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28.xml" ContentType="application/vnd.openxmlformats-officedocument.wordprocessingml.footer+xml"/>
  <Override PartName="/word/footer651.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29.xml" ContentType="application/vnd.openxmlformats-officedocument.wordprocessingml.footer+xml"/>
  <Override PartName="/word/footer652.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647.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64.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665.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666.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670.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673.xml" ContentType="application/vnd.openxmlformats-officedocument.wordprocessingml.footer+xml"/>
  <Override PartName="/word/footer675.xml" ContentType="application/vnd.openxmlformats-officedocument.wordprocessingml.footer+xml"/>
  <Override PartName="/word/footer596.xml" ContentType="application/vnd.openxmlformats-officedocument.wordprocessingml.footer+xml"/>
  <Override PartName="/word/footer674.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63.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62.xml" ContentType="application/vnd.openxmlformats-officedocument.wordprocessingml.footer+xml"/>
  <Override PartName="/word/footer661.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551.xml" ContentType="application/vnd.openxmlformats-officedocument.wordprocessingml.footer+xml"/>
  <Override PartName="/word/footer648.xml" ContentType="application/vnd.openxmlformats-officedocument.wordprocessingml.footer+xml"/>
  <Override PartName="/word/footer550.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1.xml" ContentType="application/vnd.openxmlformats-officedocument.wordprocessingml.footer+xml"/>
  <Override PartName="/word/footer590.xml" ContentType="application/vnd.openxmlformats-officedocument.wordprocessingml.footer+xml"/>
  <Override PartName="/word/footer580.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546.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الامام الخمینی قدس سرة الشریف المجلدات </w:t>
      </w:r>
      <w:r>
        <w:rPr/>
        <w:t>8</w:t>
      </w:r>
      <w:r>
        <w:rPr>
          <w:rtl w:val="true"/>
        </w:rPr>
        <w:t xml:space="preserve"> - </w:t>
      </w:r>
      <w:r>
        <w:rPr/>
        <w:t>11</w:t>
      </w:r>
      <w:r>
        <w:rPr>
          <w:rtl w:val="true"/>
        </w:rPr>
        <w:t xml:space="preserve"> </w:t>
      </w:r>
      <w:r>
        <w:rPr>
          <w:rtl w:val="true"/>
        </w:rPr>
        <w:t xml:space="preserve">کتاب الطهارة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86166_3406789950">
            <w:r>
              <w:rPr>
                <w:webHidden/>
                <w:rStyle w:val="IndexLink"/>
                <w:rtl w:val="true"/>
              </w:rPr>
              <w:t>هوية الکتاب</w:t>
            </w:r>
            <w:r>
              <w:rPr>
                <w:rStyle w:val="IndexLink"/>
                <w:rtl w:val="true"/>
              </w:rPr>
              <w:tab/>
            </w:r>
            <w:r>
              <w:rPr>
                <w:rStyle w:val="IndexLink"/>
              </w:rPr>
              <w:t>10</w:t>
            </w:r>
          </w:hyperlink>
        </w:p>
        <w:p>
          <w:pPr>
            <w:pStyle w:val="Contents2"/>
            <w:tabs>
              <w:tab w:val="clear" w:pos="8743"/>
              <w:tab w:val="right" w:pos="9026" w:leader="dot"/>
            </w:tabs>
            <w:rPr/>
          </w:pPr>
          <w:hyperlink w:anchor="__RefHeading___Toc686168_3406789950">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686170_3406789950">
            <w:r>
              <w:rPr>
                <w:webHidden/>
                <w:rStyle w:val="IndexLink"/>
                <w:rtl w:val="true"/>
              </w:rPr>
              <w:t>مقدّمة التحقيق</w:t>
            </w:r>
            <w:r>
              <w:rPr>
                <w:rStyle w:val="IndexLink"/>
                <w:rtl w:val="true"/>
              </w:rPr>
              <w:tab/>
            </w:r>
            <w:r>
              <w:rPr>
                <w:rStyle w:val="IndexLink"/>
              </w:rPr>
              <w:t>14</w:t>
            </w:r>
          </w:hyperlink>
        </w:p>
        <w:p>
          <w:pPr>
            <w:pStyle w:val="Contents2"/>
            <w:tabs>
              <w:tab w:val="clear" w:pos="8743"/>
              <w:tab w:val="right" w:pos="9026" w:leader="dot"/>
            </w:tabs>
            <w:rPr/>
          </w:pPr>
          <w:hyperlink w:anchor="__RefHeading___Toc686172_3406789950">
            <w:r>
              <w:rPr>
                <w:webHidden/>
                <w:rStyle w:val="IndexLink"/>
                <w:rtl w:val="true"/>
              </w:rPr>
              <w:t>منهجنا في التحقيق</w:t>
            </w:r>
            <w:r>
              <w:rPr>
                <w:rStyle w:val="IndexLink"/>
                <w:rtl w:val="true"/>
              </w:rPr>
              <w:tab/>
            </w:r>
            <w:r>
              <w:rPr>
                <w:rStyle w:val="IndexLink"/>
              </w:rPr>
              <w:t>16</w:t>
            </w:r>
          </w:hyperlink>
        </w:p>
        <w:p>
          <w:pPr>
            <w:pStyle w:val="Contents2"/>
            <w:tabs>
              <w:tab w:val="clear" w:pos="8743"/>
              <w:tab w:val="right" w:pos="9026" w:leader="dot"/>
            </w:tabs>
            <w:rPr/>
          </w:pPr>
          <w:hyperlink w:anchor="__RefHeading___Toc686174_3406789950">
            <w:r>
              <w:rPr>
                <w:webHidden/>
                <w:rStyle w:val="IndexLink"/>
                <w:rtl w:val="true"/>
              </w:rPr>
              <w:t>الدماء الثلاثة</w:t>
            </w:r>
            <w:r>
              <w:rPr>
                <w:rStyle w:val="IndexLink"/>
                <w:rtl w:val="true"/>
              </w:rPr>
              <w:tab/>
            </w:r>
            <w:r>
              <w:rPr>
                <w:rStyle w:val="IndexLink"/>
              </w:rPr>
              <w:t>20</w:t>
            </w:r>
          </w:hyperlink>
        </w:p>
        <w:p>
          <w:pPr>
            <w:pStyle w:val="Contents3"/>
            <w:tabs>
              <w:tab w:val="clear" w:pos="8459"/>
              <w:tab w:val="right" w:pos="9026" w:leader="dot"/>
            </w:tabs>
            <w:rPr/>
          </w:pPr>
          <w:hyperlink w:anchor="__RefHeading___Toc686176_3406789950">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686178_3406789950">
            <w:r>
              <w:rPr>
                <w:webHidden/>
                <w:rStyle w:val="IndexLink"/>
                <w:rtl w:val="true"/>
              </w:rPr>
              <w:t>المقصد الأوّل</w:t>
            </w:r>
            <w:r>
              <w:rPr>
                <w:rStyle w:val="IndexLink"/>
                <w:rtl w:val="true"/>
              </w:rPr>
              <w:t xml:space="preserve">: </w:t>
            </w:r>
            <w:r>
              <w:rPr>
                <w:rStyle w:val="IndexLink"/>
                <w:rtl w:val="true"/>
              </w:rPr>
              <w:t>في الحيض</w:t>
            </w:r>
            <w:r>
              <w:rPr>
                <w:rStyle w:val="IndexLink"/>
                <w:rtl w:val="true"/>
              </w:rPr>
              <w:tab/>
            </w:r>
            <w:r>
              <w:rPr>
                <w:rStyle w:val="IndexLink"/>
              </w:rPr>
              <w:t>24</w:t>
            </w:r>
          </w:hyperlink>
        </w:p>
        <w:p>
          <w:pPr>
            <w:pStyle w:val="Contents4"/>
            <w:tabs>
              <w:tab w:val="clear" w:pos="8176"/>
              <w:tab w:val="right" w:pos="9026" w:leader="dot"/>
            </w:tabs>
            <w:rPr/>
          </w:pPr>
          <w:hyperlink w:anchor="__RefHeading___Toc686180_3406789950">
            <w:r>
              <w:rPr>
                <w:webHidden/>
                <w:rStyle w:val="IndexLink"/>
                <w:rtl w:val="true"/>
              </w:rPr>
              <w:t>اشارة</w:t>
            </w:r>
            <w:r>
              <w:rPr>
                <w:rStyle w:val="IndexLink"/>
                <w:rtl w:val="true"/>
              </w:rPr>
              <w:tab/>
            </w:r>
            <w:r>
              <w:rPr>
                <w:rStyle w:val="IndexLink"/>
              </w:rPr>
              <w:t>24</w:t>
            </w:r>
          </w:hyperlink>
        </w:p>
        <w:p>
          <w:pPr>
            <w:pStyle w:val="Contents4"/>
            <w:tabs>
              <w:tab w:val="clear" w:pos="8176"/>
              <w:tab w:val="right" w:pos="9026" w:leader="dot"/>
            </w:tabs>
            <w:rPr/>
          </w:pPr>
          <w:hyperlink w:anchor="__RefHeading___Toc686182_3406789950">
            <w:r>
              <w:rPr>
                <w:webHidden/>
                <w:rStyle w:val="IndexLink"/>
                <w:rtl w:val="true"/>
              </w:rPr>
              <w:t>تمهيد في حدّ الحيض شرعاً</w:t>
            </w:r>
            <w:r>
              <w:rPr>
                <w:rStyle w:val="IndexLink"/>
                <w:rtl w:val="true"/>
              </w:rPr>
              <w:tab/>
            </w:r>
            <w:r>
              <w:rPr>
                <w:rStyle w:val="IndexLink"/>
              </w:rPr>
              <w:t>26</w:t>
            </w:r>
          </w:hyperlink>
        </w:p>
        <w:p>
          <w:pPr>
            <w:pStyle w:val="Contents4"/>
            <w:tabs>
              <w:tab w:val="clear" w:pos="8176"/>
              <w:tab w:val="right" w:pos="9026" w:leader="dot"/>
            </w:tabs>
            <w:rPr/>
          </w:pPr>
          <w:hyperlink w:anchor="__RefHeading___Toc686184_3406789950">
            <w:r>
              <w:rPr>
                <w:webHidden/>
                <w:rStyle w:val="IndexLink"/>
                <w:rtl w:val="true"/>
              </w:rPr>
              <w:t>كلام المحقّق الخراساني وجوابه</w:t>
            </w:r>
            <w:r>
              <w:rPr>
                <w:rStyle w:val="IndexLink"/>
                <w:rtl w:val="true"/>
              </w:rPr>
              <w:tab/>
            </w:r>
            <w:r>
              <w:rPr>
                <w:rStyle w:val="IndexLink"/>
              </w:rPr>
              <w:t>28</w:t>
            </w:r>
          </w:hyperlink>
        </w:p>
        <w:p>
          <w:pPr>
            <w:pStyle w:val="Contents4"/>
            <w:tabs>
              <w:tab w:val="clear" w:pos="8176"/>
              <w:tab w:val="right" w:pos="9026" w:leader="dot"/>
            </w:tabs>
            <w:rPr/>
          </w:pPr>
          <w:hyperlink w:anchor="__RefHeading___Toc686186_3406789950">
            <w:r>
              <w:rPr>
                <w:webHidden/>
                <w:rStyle w:val="IndexLink"/>
                <w:rtl w:val="true"/>
              </w:rPr>
              <w:t>المطلب الأوّل</w:t>
            </w:r>
            <w:r>
              <w:rPr>
                <w:rStyle w:val="IndexLink"/>
                <w:rtl w:val="true"/>
              </w:rPr>
              <w:t xml:space="preserve">: </w:t>
            </w:r>
            <w:r>
              <w:rPr>
                <w:rStyle w:val="IndexLink"/>
                <w:rtl w:val="true"/>
              </w:rPr>
              <w:t>فيما يميّز به دم الحيض عن غيره</w:t>
            </w:r>
            <w:r>
              <w:rPr>
                <w:rStyle w:val="IndexLink"/>
                <w:rtl w:val="true"/>
              </w:rPr>
              <w:tab/>
            </w:r>
            <w:r>
              <w:rPr>
                <w:rStyle w:val="IndexLink"/>
              </w:rPr>
              <w:t>30</w:t>
            </w:r>
          </w:hyperlink>
        </w:p>
        <w:p>
          <w:pPr>
            <w:pStyle w:val="Contents5"/>
            <w:tabs>
              <w:tab w:val="clear" w:pos="7892"/>
              <w:tab w:val="right" w:pos="9026" w:leader="dot"/>
            </w:tabs>
            <w:rPr/>
          </w:pPr>
          <w:hyperlink w:anchor="__RefHeading___Toc686188_3406789950">
            <w:r>
              <w:rPr>
                <w:webHidden/>
                <w:rStyle w:val="IndexLink"/>
                <w:rtl w:val="true"/>
              </w:rPr>
              <w:t>اشارة</w:t>
            </w:r>
            <w:r>
              <w:rPr>
                <w:rStyle w:val="IndexLink"/>
                <w:rtl w:val="true"/>
              </w:rPr>
              <w:tab/>
            </w:r>
            <w:r>
              <w:rPr>
                <w:rStyle w:val="IndexLink"/>
              </w:rPr>
              <w:t>30</w:t>
            </w:r>
          </w:hyperlink>
        </w:p>
        <w:p>
          <w:pPr>
            <w:pStyle w:val="Contents5"/>
            <w:tabs>
              <w:tab w:val="clear" w:pos="7892"/>
              <w:tab w:val="right" w:pos="9026" w:leader="dot"/>
            </w:tabs>
            <w:rPr/>
          </w:pPr>
          <w:hyperlink w:anchor="__RefHeading___Toc686190_3406789950">
            <w:r>
              <w:rPr>
                <w:webHidden/>
                <w:rStyle w:val="IndexLink"/>
                <w:rtl w:val="true"/>
              </w:rPr>
              <w:t xml:space="preserve">المسألة الاُولى </w:t>
            </w:r>
            <w:r>
              <w:rPr>
                <w:rStyle w:val="IndexLink"/>
                <w:rtl w:val="true"/>
              </w:rPr>
              <w:t xml:space="preserve">: </w:t>
            </w:r>
            <w:r>
              <w:rPr>
                <w:rStyle w:val="IndexLink"/>
                <w:rtl w:val="true"/>
              </w:rPr>
              <w:t>فيما يميّز به دم الحيض عن الاستحاضة</w:t>
            </w:r>
            <w:r>
              <w:rPr>
                <w:rStyle w:val="IndexLink"/>
                <w:rtl w:val="true"/>
              </w:rPr>
              <w:tab/>
            </w:r>
            <w:r>
              <w:rPr>
                <w:rStyle w:val="IndexLink"/>
              </w:rPr>
              <w:t>30</w:t>
            </w:r>
          </w:hyperlink>
        </w:p>
        <w:p>
          <w:pPr>
            <w:pStyle w:val="Contents6"/>
            <w:tabs>
              <w:tab w:val="clear" w:pos="7609"/>
              <w:tab w:val="right" w:pos="9026" w:leader="dot"/>
            </w:tabs>
            <w:rPr/>
          </w:pPr>
          <w:hyperlink w:anchor="__RefHeading___Toc686192_3406789950">
            <w:r>
              <w:rPr>
                <w:webHidden/>
                <w:rStyle w:val="IndexLink"/>
                <w:rtl w:val="true"/>
              </w:rPr>
              <w:t>اشارة</w:t>
            </w:r>
            <w:r>
              <w:rPr>
                <w:rStyle w:val="IndexLink"/>
                <w:rtl w:val="true"/>
              </w:rPr>
              <w:tab/>
            </w:r>
            <w:r>
              <w:rPr>
                <w:rStyle w:val="IndexLink"/>
              </w:rPr>
              <w:t>30</w:t>
            </w:r>
          </w:hyperlink>
        </w:p>
        <w:p>
          <w:pPr>
            <w:pStyle w:val="Contents6"/>
            <w:tabs>
              <w:tab w:val="clear" w:pos="7609"/>
              <w:tab w:val="right" w:pos="9026" w:leader="dot"/>
            </w:tabs>
            <w:rPr/>
          </w:pPr>
          <w:hyperlink w:anchor="__RefHeading___Toc686194_3406789950">
            <w:r>
              <w:rPr>
                <w:webHidden/>
                <w:rStyle w:val="IndexLink"/>
                <w:rtl w:val="true"/>
              </w:rPr>
              <w:t>تفصيل المحقّق الخراساني بين الأوصاف</w:t>
            </w:r>
            <w:r>
              <w:rPr>
                <w:rStyle w:val="IndexLink"/>
                <w:rtl w:val="true"/>
              </w:rPr>
              <w:tab/>
            </w:r>
            <w:r>
              <w:rPr>
                <w:rStyle w:val="IndexLink"/>
              </w:rPr>
              <w:t>32</w:t>
            </w:r>
          </w:hyperlink>
        </w:p>
        <w:p>
          <w:pPr>
            <w:pStyle w:val="Contents6"/>
            <w:tabs>
              <w:tab w:val="clear" w:pos="7609"/>
              <w:tab w:val="right" w:pos="9026" w:leader="dot"/>
            </w:tabs>
            <w:rPr/>
          </w:pPr>
          <w:hyperlink w:anchor="__RefHeading___Toc686196_3406789950">
            <w:r>
              <w:rPr>
                <w:webHidden/>
                <w:rStyle w:val="IndexLink"/>
                <w:rtl w:val="true"/>
              </w:rPr>
              <w:t>مقدار أمارية الأوصاف</w:t>
            </w:r>
            <w:r>
              <w:rPr>
                <w:rStyle w:val="IndexLink"/>
                <w:rtl w:val="true"/>
              </w:rPr>
              <w:tab/>
            </w:r>
            <w:r>
              <w:rPr>
                <w:rStyle w:val="IndexLink"/>
              </w:rPr>
              <w:t>37</w:t>
            </w:r>
          </w:hyperlink>
        </w:p>
        <w:p>
          <w:pPr>
            <w:pStyle w:val="Contents6"/>
            <w:tabs>
              <w:tab w:val="clear" w:pos="7609"/>
              <w:tab w:val="right" w:pos="9026" w:leader="dot"/>
            </w:tabs>
            <w:rPr/>
          </w:pPr>
          <w:hyperlink w:anchor="__RefHeading___Toc686198_3406789950">
            <w:r>
              <w:rPr>
                <w:webHidden/>
                <w:rStyle w:val="IndexLink"/>
                <w:rtl w:val="true"/>
              </w:rPr>
              <w:t>حول اختصاص أمارية الصفات بمستمرّة الدم</w:t>
            </w:r>
            <w:r>
              <w:rPr>
                <w:rStyle w:val="IndexLink"/>
                <w:rtl w:val="true"/>
              </w:rPr>
              <w:tab/>
            </w:r>
            <w:r>
              <w:rPr>
                <w:rStyle w:val="IndexLink"/>
              </w:rPr>
              <w:t>39</w:t>
            </w:r>
          </w:hyperlink>
        </w:p>
        <w:p>
          <w:pPr>
            <w:pStyle w:val="Contents6"/>
            <w:tabs>
              <w:tab w:val="clear" w:pos="7609"/>
              <w:tab w:val="right" w:pos="9026" w:leader="dot"/>
            </w:tabs>
            <w:rPr/>
          </w:pPr>
          <w:hyperlink w:anchor="__RefHeading___Toc686200_3406789950">
            <w:r>
              <w:rPr>
                <w:webHidden/>
                <w:rStyle w:val="IndexLink"/>
                <w:rtl w:val="true"/>
              </w:rPr>
              <w:t>الكلام حول دلالة مرسلة يونس الطويلة</w:t>
            </w:r>
            <w:r>
              <w:rPr>
                <w:rStyle w:val="IndexLink"/>
                <w:rtl w:val="true"/>
              </w:rPr>
              <w:tab/>
            </w:r>
            <w:r>
              <w:rPr>
                <w:rStyle w:val="IndexLink"/>
              </w:rPr>
              <w:t>40</w:t>
            </w:r>
          </w:hyperlink>
        </w:p>
        <w:p>
          <w:pPr>
            <w:pStyle w:val="Contents6"/>
            <w:tabs>
              <w:tab w:val="clear" w:pos="7609"/>
              <w:tab w:val="right" w:pos="9026" w:leader="dot"/>
            </w:tabs>
            <w:rPr/>
          </w:pPr>
          <w:hyperlink w:anchor="__RefHeading___Toc686202_3406789950">
            <w:r>
              <w:rPr>
                <w:webHidden/>
                <w:rStyle w:val="IndexLink"/>
                <w:rtl w:val="true"/>
              </w:rPr>
              <w:t>هل الأوصاف خاصّة مركّبة ؟</w:t>
            </w:r>
            <w:r>
              <w:rPr>
                <w:rStyle w:val="IndexLink"/>
                <w:rtl w:val="true"/>
              </w:rPr>
              <w:tab/>
            </w:r>
            <w:r>
              <w:rPr>
                <w:rStyle w:val="IndexLink"/>
              </w:rPr>
              <w:t>44</w:t>
            </w:r>
          </w:hyperlink>
        </w:p>
        <w:p>
          <w:pPr>
            <w:pStyle w:val="Contents6"/>
            <w:tabs>
              <w:tab w:val="clear" w:pos="7609"/>
              <w:tab w:val="right" w:pos="9026" w:leader="dot"/>
            </w:tabs>
            <w:rPr/>
          </w:pPr>
          <w:hyperlink w:anchor="__RefHeading___Toc686204_3406789950">
            <w:r>
              <w:rPr>
                <w:webHidden/>
                <w:rStyle w:val="IndexLink"/>
                <w:rtl w:val="true"/>
              </w:rPr>
              <w:t>في حجّية مطلق الظنّ بالحيضية</w:t>
            </w:r>
            <w:r>
              <w:rPr>
                <w:rStyle w:val="IndexLink"/>
                <w:rtl w:val="true"/>
              </w:rPr>
              <w:tab/>
            </w:r>
            <w:r>
              <w:rPr>
                <w:rStyle w:val="IndexLink"/>
              </w:rPr>
              <w:t>47</w:t>
            </w:r>
          </w:hyperlink>
        </w:p>
        <w:p>
          <w:pPr>
            <w:pStyle w:val="Contents5"/>
            <w:tabs>
              <w:tab w:val="clear" w:pos="7892"/>
              <w:tab w:val="right" w:pos="9026" w:leader="dot"/>
            </w:tabs>
            <w:rPr/>
          </w:pPr>
          <w:hyperlink w:anchor="__RefHeading___Toc686206_3406789950">
            <w:r>
              <w:rPr>
                <w:webHidden/>
                <w:rStyle w:val="IndexLink"/>
                <w:rtl w:val="true"/>
              </w:rPr>
              <w:t>المسألة الثانية فيما يميّز به دم الحيض عن دم العذرة</w:t>
            </w:r>
            <w:r>
              <w:rPr>
                <w:rStyle w:val="IndexLink"/>
                <w:rtl w:val="true"/>
              </w:rPr>
              <w:tab/>
            </w:r>
            <w:r>
              <w:rPr>
                <w:rStyle w:val="IndexLink"/>
              </w:rPr>
              <w:t>49</w:t>
            </w:r>
          </w:hyperlink>
        </w:p>
        <w:p>
          <w:pPr>
            <w:pStyle w:val="Contents6"/>
            <w:tabs>
              <w:tab w:val="clear" w:pos="7609"/>
              <w:tab w:val="right" w:pos="9026" w:leader="dot"/>
            </w:tabs>
            <w:rPr/>
          </w:pPr>
          <w:hyperlink w:anchor="__RefHeading___Toc686208_3406789950">
            <w:r>
              <w:rPr>
                <w:webHidden/>
                <w:rStyle w:val="IndexLink"/>
                <w:rtl w:val="true"/>
              </w:rPr>
              <w:t>اشارة</w:t>
            </w:r>
            <w:r>
              <w:rPr>
                <w:rStyle w:val="IndexLink"/>
                <w:rtl w:val="true"/>
              </w:rPr>
              <w:tab/>
            </w:r>
            <w:r>
              <w:rPr>
                <w:rStyle w:val="IndexLink"/>
              </w:rPr>
              <w:t>49</w:t>
            </w:r>
          </w:hyperlink>
        </w:p>
        <w:p>
          <w:pPr>
            <w:pStyle w:val="Contents6"/>
            <w:tabs>
              <w:tab w:val="clear" w:pos="7609"/>
              <w:tab w:val="right" w:pos="9026" w:leader="dot"/>
            </w:tabs>
            <w:rPr/>
          </w:pPr>
          <w:hyperlink w:anchor="__RefHeading___Toc686210_3406789950">
            <w:r>
              <w:rPr>
                <w:webHidden/>
                <w:rStyle w:val="IndexLink"/>
                <w:rtl w:val="true"/>
              </w:rPr>
              <w:t>في أمارية التطوّق للعذرة والانغماس للحيض</w:t>
            </w:r>
            <w:r>
              <w:rPr>
                <w:rStyle w:val="IndexLink"/>
                <w:rtl w:val="true"/>
              </w:rPr>
              <w:tab/>
            </w:r>
            <w:r>
              <w:rPr>
                <w:rStyle w:val="IndexLink"/>
              </w:rPr>
              <w:t>49</w:t>
            </w:r>
          </w:hyperlink>
        </w:p>
        <w:p>
          <w:pPr>
            <w:pStyle w:val="Contents6"/>
            <w:tabs>
              <w:tab w:val="clear" w:pos="7609"/>
              <w:tab w:val="right" w:pos="9026" w:leader="dot"/>
            </w:tabs>
            <w:rPr/>
          </w:pPr>
          <w:hyperlink w:anchor="__RefHeading___Toc686212_3406789950">
            <w:r>
              <w:rPr>
                <w:webHidden/>
                <w:rStyle w:val="IndexLink"/>
                <w:rtl w:val="true"/>
              </w:rPr>
              <w:t>دخل العلم بالافتضاض في أمارية التطوّق</w:t>
            </w:r>
            <w:r>
              <w:rPr>
                <w:rStyle w:val="IndexLink"/>
                <w:rtl w:val="true"/>
              </w:rPr>
              <w:tab/>
            </w:r>
            <w:r>
              <w:rPr>
                <w:rStyle w:val="IndexLink"/>
              </w:rPr>
              <w:t>52</w:t>
            </w:r>
          </w:hyperlink>
        </w:p>
        <w:p>
          <w:pPr>
            <w:pStyle w:val="Contents6"/>
            <w:tabs>
              <w:tab w:val="clear" w:pos="7609"/>
              <w:tab w:val="right" w:pos="9026" w:leader="dot"/>
            </w:tabs>
            <w:rPr/>
          </w:pPr>
          <w:hyperlink w:anchor="__RefHeading___Toc686214_3406789950">
            <w:r>
              <w:rPr>
                <w:webHidden/>
                <w:rStyle w:val="IndexLink"/>
                <w:rtl w:val="true"/>
              </w:rPr>
              <w:t>في مورد أمارية التطوّق والانغماس</w:t>
            </w:r>
            <w:r>
              <w:rPr>
                <w:rStyle w:val="IndexLink"/>
                <w:rtl w:val="true"/>
              </w:rPr>
              <w:tab/>
            </w:r>
            <w:r>
              <w:rPr>
                <w:rStyle w:val="IndexLink"/>
              </w:rPr>
              <w:t>53</w:t>
            </w:r>
          </w:hyperlink>
        </w:p>
        <w:p>
          <w:pPr>
            <w:pStyle w:val="Contents6"/>
            <w:tabs>
              <w:tab w:val="clear" w:pos="7609"/>
              <w:tab w:val="right" w:pos="9026" w:leader="dot"/>
            </w:tabs>
            <w:rPr/>
          </w:pPr>
          <w:hyperlink w:anchor="__RefHeading___Toc686216_3406789950">
            <w:r>
              <w:rPr>
                <w:webHidden/>
                <w:rStyle w:val="IndexLink"/>
                <w:rtl w:val="true"/>
              </w:rPr>
              <w:t>أمارية التطوّق للعذرة مطلقاً</w:t>
            </w:r>
            <w:r>
              <w:rPr>
                <w:rStyle w:val="IndexLink"/>
                <w:rtl w:val="true"/>
              </w:rPr>
              <w:tab/>
            </w:r>
            <w:r>
              <w:rPr>
                <w:rStyle w:val="IndexLink"/>
              </w:rPr>
              <w:t>55</w:t>
            </w:r>
          </w:hyperlink>
        </w:p>
        <w:p>
          <w:pPr>
            <w:pStyle w:val="Contents6"/>
            <w:tabs>
              <w:tab w:val="clear" w:pos="7609"/>
              <w:tab w:val="right" w:pos="9026" w:leader="dot"/>
            </w:tabs>
            <w:rPr/>
          </w:pPr>
          <w:hyperlink w:anchor="__RefHeading___Toc686218_3406789950">
            <w:r>
              <w:rPr>
                <w:webHidden/>
                <w:rStyle w:val="IndexLink"/>
                <w:rtl w:val="true"/>
              </w:rPr>
              <w:t>أمارية التطوّق والانغماس في جميع صور الشكّ</w:t>
            </w:r>
            <w:r>
              <w:rPr>
                <w:rStyle w:val="IndexLink"/>
                <w:rtl w:val="true"/>
              </w:rPr>
              <w:tab/>
            </w:r>
            <w:r>
              <w:rPr>
                <w:rStyle w:val="IndexLink"/>
              </w:rPr>
              <w:t>58</w:t>
            </w:r>
          </w:hyperlink>
        </w:p>
        <w:p>
          <w:pPr>
            <w:pStyle w:val="Contents6"/>
            <w:tabs>
              <w:tab w:val="clear" w:pos="7609"/>
              <w:tab w:val="right" w:pos="9026" w:leader="dot"/>
            </w:tabs>
            <w:rPr/>
          </w:pPr>
          <w:hyperlink w:anchor="__RefHeading___Toc686220_3406789950">
            <w:r>
              <w:rPr>
                <w:webHidden/>
                <w:rStyle w:val="IndexLink"/>
                <w:rtl w:val="true"/>
              </w:rPr>
              <w:t>حول وجوب الاختبار في جميع صور الشكّ</w:t>
            </w:r>
            <w:r>
              <w:rPr>
                <w:rStyle w:val="IndexLink"/>
                <w:rtl w:val="true"/>
              </w:rPr>
              <w:tab/>
            </w:r>
            <w:r>
              <w:rPr>
                <w:rStyle w:val="IndexLink"/>
              </w:rPr>
              <w:t>60</w:t>
            </w:r>
          </w:hyperlink>
        </w:p>
        <w:p>
          <w:pPr>
            <w:pStyle w:val="Contents5"/>
            <w:tabs>
              <w:tab w:val="clear" w:pos="7892"/>
              <w:tab w:val="right" w:pos="9026" w:leader="dot"/>
            </w:tabs>
            <w:rPr/>
          </w:pPr>
          <w:hyperlink w:anchor="__RefHeading___Toc686222_3406789950">
            <w:r>
              <w:rPr>
                <w:webHidden/>
                <w:rStyle w:val="IndexLink"/>
                <w:rtl w:val="true"/>
              </w:rPr>
              <w:t>المسألة الثالثة فيما يميّز به دم الحيض عن دم القرحة</w:t>
            </w:r>
            <w:r>
              <w:rPr>
                <w:rStyle w:val="IndexLink"/>
                <w:rtl w:val="true"/>
              </w:rPr>
              <w:tab/>
            </w:r>
            <w:r>
              <w:rPr>
                <w:rStyle w:val="IndexLink"/>
              </w:rPr>
              <w:t>62</w:t>
            </w:r>
          </w:hyperlink>
        </w:p>
        <w:p>
          <w:pPr>
            <w:pStyle w:val="Contents6"/>
            <w:tabs>
              <w:tab w:val="clear" w:pos="7609"/>
              <w:tab w:val="right" w:pos="9026" w:leader="dot"/>
            </w:tabs>
            <w:rPr/>
          </w:pPr>
          <w:hyperlink w:anchor="__RefHeading___Toc686224_3406789950">
            <w:r>
              <w:rPr>
                <w:webHidden/>
                <w:rStyle w:val="IndexLink"/>
                <w:rtl w:val="true"/>
              </w:rPr>
              <w:t>اشارة</w:t>
            </w:r>
            <w:r>
              <w:rPr>
                <w:rStyle w:val="IndexLink"/>
                <w:rtl w:val="true"/>
              </w:rPr>
              <w:tab/>
            </w:r>
            <w:r>
              <w:rPr>
                <w:rStyle w:val="IndexLink"/>
              </w:rPr>
              <w:t>62</w:t>
            </w:r>
          </w:hyperlink>
        </w:p>
        <w:p>
          <w:pPr>
            <w:pStyle w:val="Contents6"/>
            <w:tabs>
              <w:tab w:val="clear" w:pos="7609"/>
              <w:tab w:val="right" w:pos="9026" w:leader="dot"/>
            </w:tabs>
            <w:rPr/>
          </w:pPr>
          <w:hyperlink w:anchor="__RefHeading___Toc686226_3406789950">
            <w:r>
              <w:rPr>
                <w:webHidden/>
                <w:rStyle w:val="IndexLink"/>
                <w:rtl w:val="true"/>
              </w:rPr>
              <w:t>استفادة أمارية خروج الدم من الأيسر أو الأيمن من رواية أبان</w:t>
            </w:r>
            <w:r>
              <w:rPr>
                <w:rStyle w:val="IndexLink"/>
                <w:rtl w:val="true"/>
              </w:rPr>
              <w:tab/>
            </w:r>
            <w:r>
              <w:rPr>
                <w:rStyle w:val="IndexLink"/>
              </w:rPr>
              <w:t>62</w:t>
            </w:r>
          </w:hyperlink>
        </w:p>
        <w:p>
          <w:pPr>
            <w:pStyle w:val="Contents6"/>
            <w:tabs>
              <w:tab w:val="clear" w:pos="7609"/>
              <w:tab w:val="right" w:pos="9026" w:leader="dot"/>
            </w:tabs>
            <w:rPr/>
          </w:pPr>
          <w:hyperlink w:anchor="__RefHeading___Toc686228_3406789950">
            <w:r>
              <w:rPr>
                <w:webHidden/>
                <w:rStyle w:val="IndexLink"/>
                <w:rtl w:val="true"/>
              </w:rPr>
              <w:t>الإشكال في مقتضى إطلاق رواية أبان</w:t>
            </w:r>
            <w:r>
              <w:rPr>
                <w:rStyle w:val="IndexLink"/>
                <w:rtl w:val="true"/>
              </w:rPr>
              <w:tab/>
            </w:r>
            <w:r>
              <w:rPr>
                <w:rStyle w:val="IndexLink"/>
              </w:rPr>
              <w:t>67</w:t>
            </w:r>
          </w:hyperlink>
        </w:p>
        <w:p>
          <w:pPr>
            <w:pStyle w:val="Contents5"/>
            <w:tabs>
              <w:tab w:val="clear" w:pos="7892"/>
              <w:tab w:val="right" w:pos="9026" w:leader="dot"/>
            </w:tabs>
            <w:rPr/>
          </w:pPr>
          <w:hyperlink w:anchor="__RefHeading___Toc686230_3406789950">
            <w:r>
              <w:rPr>
                <w:webHidden/>
                <w:rStyle w:val="IndexLink"/>
                <w:rtl w:val="true"/>
              </w:rPr>
              <w:t>المسألة الرابعة في سائر الاشتباهات بين دم الحيض وغيره</w:t>
            </w:r>
            <w:r>
              <w:rPr>
                <w:rStyle w:val="IndexLink"/>
                <w:rtl w:val="true"/>
              </w:rPr>
              <w:tab/>
            </w:r>
            <w:r>
              <w:rPr>
                <w:rStyle w:val="IndexLink"/>
              </w:rPr>
              <w:t>68</w:t>
            </w:r>
          </w:hyperlink>
        </w:p>
        <w:p>
          <w:pPr>
            <w:pStyle w:val="Contents6"/>
            <w:tabs>
              <w:tab w:val="clear" w:pos="7609"/>
              <w:tab w:val="right" w:pos="9026" w:leader="dot"/>
            </w:tabs>
            <w:rPr/>
          </w:pPr>
          <w:hyperlink w:anchor="__RefHeading___Toc686232_3406789950">
            <w:r>
              <w:rPr>
                <w:webHidden/>
                <w:rStyle w:val="IndexLink"/>
                <w:rtl w:val="true"/>
              </w:rPr>
              <w:t>اشارة</w:t>
            </w:r>
            <w:r>
              <w:rPr>
                <w:rStyle w:val="IndexLink"/>
                <w:rtl w:val="true"/>
              </w:rPr>
              <w:tab/>
            </w:r>
            <w:r>
              <w:rPr>
                <w:rStyle w:val="IndexLink"/>
              </w:rPr>
              <w:t>68</w:t>
            </w:r>
          </w:hyperlink>
        </w:p>
        <w:p>
          <w:pPr>
            <w:pStyle w:val="Contents6"/>
            <w:tabs>
              <w:tab w:val="clear" w:pos="7609"/>
              <w:tab w:val="right" w:pos="9026" w:leader="dot"/>
            </w:tabs>
            <w:rPr/>
          </w:pPr>
          <w:hyperlink w:anchor="__RefHeading___Toc686234_3406789950">
            <w:r>
              <w:rPr>
                <w:webHidden/>
                <w:rStyle w:val="IndexLink"/>
                <w:rtl w:val="true"/>
              </w:rPr>
              <w:t>الكلام في قاعدة الإمكان</w:t>
            </w:r>
            <w:r>
              <w:rPr>
                <w:rStyle w:val="IndexLink"/>
                <w:rtl w:val="true"/>
              </w:rPr>
              <w:tab/>
            </w:r>
            <w:r>
              <w:rPr>
                <w:rStyle w:val="IndexLink"/>
              </w:rPr>
              <w:t>69</w:t>
            </w:r>
          </w:hyperlink>
        </w:p>
        <w:p>
          <w:pPr>
            <w:pStyle w:val="Contents6"/>
            <w:tabs>
              <w:tab w:val="clear" w:pos="7609"/>
              <w:tab w:val="right" w:pos="9026" w:leader="dot"/>
            </w:tabs>
            <w:rPr/>
          </w:pPr>
          <w:hyperlink w:anchor="__RefHeading___Toc686236_3406789950">
            <w:r>
              <w:rPr>
                <w:webHidden/>
                <w:rStyle w:val="IndexLink"/>
                <w:rtl w:val="true"/>
              </w:rPr>
              <w:t>موضوع قاعدة الإمكان</w:t>
            </w:r>
            <w:r>
              <w:rPr>
                <w:rStyle w:val="IndexLink"/>
                <w:rtl w:val="true"/>
              </w:rPr>
              <w:tab/>
            </w:r>
            <w:r>
              <w:rPr>
                <w:rStyle w:val="IndexLink"/>
              </w:rPr>
              <w:t>70</w:t>
            </w:r>
          </w:hyperlink>
        </w:p>
        <w:p>
          <w:pPr>
            <w:pStyle w:val="Contents6"/>
            <w:tabs>
              <w:tab w:val="clear" w:pos="7609"/>
              <w:tab w:val="right" w:pos="9026" w:leader="dot"/>
            </w:tabs>
            <w:rPr/>
          </w:pPr>
          <w:hyperlink w:anchor="__RefHeading___Toc686238_3406789950">
            <w:r>
              <w:rPr>
                <w:webHidden/>
                <w:rStyle w:val="IndexLink"/>
                <w:rtl w:val="true"/>
              </w:rPr>
              <w:t>دليل قاعدة الإمكان</w:t>
            </w:r>
            <w:r>
              <w:rPr>
                <w:rStyle w:val="IndexLink"/>
                <w:rtl w:val="true"/>
              </w:rPr>
              <w:tab/>
            </w:r>
            <w:r>
              <w:rPr>
                <w:rStyle w:val="IndexLink"/>
              </w:rPr>
              <w:t>71</w:t>
            </w:r>
          </w:hyperlink>
        </w:p>
        <w:p>
          <w:pPr>
            <w:pStyle w:val="Contents6"/>
            <w:tabs>
              <w:tab w:val="clear" w:pos="7609"/>
              <w:tab w:val="right" w:pos="9026" w:leader="dot"/>
            </w:tabs>
            <w:rPr/>
          </w:pPr>
          <w:hyperlink w:anchor="__RefHeading___Toc686240_3406789950">
            <w:r>
              <w:rPr>
                <w:webHidden/>
                <w:rStyle w:val="IndexLink"/>
                <w:rtl w:val="true"/>
              </w:rPr>
              <w:t>في مقدار سعة قاعدة الإمكان</w:t>
            </w:r>
            <w:r>
              <w:rPr>
                <w:rStyle w:val="IndexLink"/>
                <w:rtl w:val="true"/>
              </w:rPr>
              <w:tab/>
            </w:r>
            <w:r>
              <w:rPr>
                <w:rStyle w:val="IndexLink"/>
              </w:rPr>
              <w:t>87</w:t>
            </w:r>
          </w:hyperlink>
        </w:p>
        <w:p>
          <w:pPr>
            <w:pStyle w:val="Contents6"/>
            <w:tabs>
              <w:tab w:val="clear" w:pos="7609"/>
              <w:tab w:val="right" w:pos="9026" w:leader="dot"/>
            </w:tabs>
            <w:rPr/>
          </w:pPr>
          <w:hyperlink w:anchor="__RefHeading___Toc686242_3406789950">
            <w:r>
              <w:rPr>
                <w:webHidden/>
                <w:rStyle w:val="IndexLink"/>
                <w:rtl w:val="true"/>
              </w:rPr>
              <w:t>حول أمارية القاعدة وأصليتها وبيان نسبتها مع غيرها</w:t>
            </w:r>
            <w:r>
              <w:rPr>
                <w:rStyle w:val="IndexLink"/>
                <w:rtl w:val="true"/>
              </w:rPr>
              <w:tab/>
            </w:r>
            <w:r>
              <w:rPr>
                <w:rStyle w:val="IndexLink"/>
              </w:rPr>
              <w:t>88</w:t>
            </w:r>
          </w:hyperlink>
        </w:p>
        <w:p>
          <w:pPr>
            <w:pStyle w:val="Contents4"/>
            <w:tabs>
              <w:tab w:val="clear" w:pos="8176"/>
              <w:tab w:val="right" w:pos="9026" w:leader="dot"/>
            </w:tabs>
            <w:rPr/>
          </w:pPr>
          <w:hyperlink w:anchor="__RefHeading___Toc686244_3406789950">
            <w:r>
              <w:rPr>
                <w:webHidden/>
                <w:rStyle w:val="IndexLink"/>
                <w:rtl w:val="true"/>
              </w:rPr>
              <w:t>المطلب الثاني</w:t>
            </w:r>
            <w:r>
              <w:rPr>
                <w:rStyle w:val="IndexLink"/>
                <w:rtl w:val="true"/>
              </w:rPr>
              <w:t xml:space="preserve">: </w:t>
            </w:r>
            <w:r>
              <w:rPr>
                <w:rStyle w:val="IndexLink"/>
                <w:rtl w:val="true"/>
              </w:rPr>
              <w:t>في حدود الحيض وقيوده وشرائطه</w:t>
            </w:r>
            <w:r>
              <w:rPr>
                <w:rStyle w:val="IndexLink"/>
                <w:rtl w:val="true"/>
              </w:rPr>
              <w:tab/>
            </w:r>
            <w:r>
              <w:rPr>
                <w:rStyle w:val="IndexLink"/>
              </w:rPr>
              <w:t>90</w:t>
            </w:r>
          </w:hyperlink>
        </w:p>
        <w:p>
          <w:pPr>
            <w:pStyle w:val="Contents5"/>
            <w:tabs>
              <w:tab w:val="clear" w:pos="7892"/>
              <w:tab w:val="right" w:pos="9026" w:leader="dot"/>
            </w:tabs>
            <w:rPr/>
          </w:pPr>
          <w:hyperlink w:anchor="__RefHeading___Toc686246_3406789950">
            <w:r>
              <w:rPr>
                <w:webHidden/>
                <w:rStyle w:val="IndexLink"/>
                <w:rtl w:val="true"/>
              </w:rPr>
              <w:t>اشارة</w:t>
            </w:r>
            <w:r>
              <w:rPr>
                <w:rStyle w:val="IndexLink"/>
                <w:rtl w:val="true"/>
              </w:rPr>
              <w:tab/>
            </w:r>
            <w:r>
              <w:rPr>
                <w:rStyle w:val="IndexLink"/>
              </w:rPr>
              <w:t>90</w:t>
            </w:r>
          </w:hyperlink>
        </w:p>
        <w:p>
          <w:pPr>
            <w:pStyle w:val="Contents5"/>
            <w:tabs>
              <w:tab w:val="clear" w:pos="7892"/>
              <w:tab w:val="right" w:pos="9026" w:leader="dot"/>
            </w:tabs>
            <w:rPr/>
          </w:pPr>
          <w:hyperlink w:anchor="__RefHeading___Toc686248_3406789950">
            <w:r>
              <w:rPr>
                <w:webHidden/>
                <w:rStyle w:val="IndexLink"/>
                <w:rtl w:val="true"/>
              </w:rPr>
              <w:t xml:space="preserve">الأمر الأوّل </w:t>
            </w:r>
            <w:r>
              <w:rPr>
                <w:rStyle w:val="IndexLink"/>
                <w:rtl w:val="true"/>
              </w:rPr>
              <w:t xml:space="preserve">: </w:t>
            </w:r>
            <w:r>
              <w:rPr>
                <w:rStyle w:val="IndexLink"/>
                <w:rtl w:val="true"/>
              </w:rPr>
              <w:t>فيما تراه الصبيّة قبل البلوغ</w:t>
            </w:r>
            <w:r>
              <w:rPr>
                <w:rStyle w:val="IndexLink"/>
                <w:rtl w:val="true"/>
              </w:rPr>
              <w:tab/>
            </w:r>
            <w:r>
              <w:rPr>
                <w:rStyle w:val="IndexLink"/>
              </w:rPr>
              <w:t>90</w:t>
            </w:r>
          </w:hyperlink>
        </w:p>
        <w:p>
          <w:pPr>
            <w:pStyle w:val="Contents6"/>
            <w:tabs>
              <w:tab w:val="clear" w:pos="7609"/>
              <w:tab w:val="right" w:pos="9026" w:leader="dot"/>
            </w:tabs>
            <w:rPr/>
          </w:pPr>
          <w:hyperlink w:anchor="__RefHeading___Toc686250_3406789950">
            <w:r>
              <w:rPr>
                <w:webHidden/>
                <w:rStyle w:val="IndexLink"/>
                <w:rtl w:val="true"/>
              </w:rPr>
              <w:t>اشارة</w:t>
            </w:r>
            <w:r>
              <w:rPr>
                <w:rStyle w:val="IndexLink"/>
                <w:rtl w:val="true"/>
              </w:rPr>
              <w:tab/>
            </w:r>
            <w:r>
              <w:rPr>
                <w:rStyle w:val="IndexLink"/>
              </w:rPr>
              <w:t>90</w:t>
            </w:r>
          </w:hyperlink>
        </w:p>
        <w:p>
          <w:pPr>
            <w:pStyle w:val="Contents6"/>
            <w:tabs>
              <w:tab w:val="clear" w:pos="7609"/>
              <w:tab w:val="right" w:pos="9026" w:leader="dot"/>
            </w:tabs>
            <w:rPr/>
          </w:pPr>
          <w:hyperlink w:anchor="__RefHeading___Toc686252_3406789950">
            <w:r>
              <w:rPr>
                <w:webHidden/>
                <w:rStyle w:val="IndexLink"/>
                <w:rtl w:val="true"/>
              </w:rPr>
              <w:t>في التنافي بين كون الحيض دليل البلوغ وعدم حيضية ما تراه الصبيّة</w:t>
            </w:r>
            <w:r>
              <w:rPr>
                <w:rStyle w:val="IndexLink"/>
                <w:rtl w:val="true"/>
              </w:rPr>
              <w:tab/>
            </w:r>
            <w:r>
              <w:rPr>
                <w:rStyle w:val="IndexLink"/>
              </w:rPr>
              <w:t>93</w:t>
            </w:r>
          </w:hyperlink>
        </w:p>
        <w:p>
          <w:pPr>
            <w:pStyle w:val="Contents6"/>
            <w:tabs>
              <w:tab w:val="clear" w:pos="7609"/>
              <w:tab w:val="right" w:pos="9026" w:leader="dot"/>
            </w:tabs>
            <w:rPr/>
          </w:pPr>
          <w:hyperlink w:anchor="__RefHeading___Toc686254_3406789950">
            <w:r>
              <w:rPr>
                <w:webHidden/>
                <w:rStyle w:val="IndexLink"/>
                <w:rtl w:val="true"/>
              </w:rPr>
              <w:t>عدم صحّة التمسّك بروايات الصفات للحكم بالحيضية والسنّ</w:t>
            </w:r>
            <w:r>
              <w:rPr>
                <w:rStyle w:val="IndexLink"/>
                <w:rtl w:val="true"/>
              </w:rPr>
              <w:tab/>
            </w:r>
            <w:r>
              <w:rPr>
                <w:rStyle w:val="IndexLink"/>
              </w:rPr>
              <w:t>95</w:t>
            </w:r>
          </w:hyperlink>
        </w:p>
        <w:p>
          <w:pPr>
            <w:pStyle w:val="Contents5"/>
            <w:tabs>
              <w:tab w:val="clear" w:pos="7892"/>
              <w:tab w:val="right" w:pos="9026" w:leader="dot"/>
            </w:tabs>
            <w:rPr/>
          </w:pPr>
          <w:hyperlink w:anchor="__RefHeading___Toc686256_3406789950">
            <w:r>
              <w:rPr>
                <w:webHidden/>
                <w:rStyle w:val="IndexLink"/>
                <w:rtl w:val="true"/>
              </w:rPr>
              <w:t>الأمر الثاني في بيان حدّ اليأس</w:t>
            </w:r>
            <w:r>
              <w:rPr>
                <w:rStyle w:val="IndexLink"/>
                <w:rtl w:val="true"/>
              </w:rPr>
              <w:tab/>
            </w:r>
            <w:r>
              <w:rPr>
                <w:rStyle w:val="IndexLink"/>
              </w:rPr>
              <w:t>96</w:t>
            </w:r>
          </w:hyperlink>
        </w:p>
        <w:p>
          <w:pPr>
            <w:pStyle w:val="Contents6"/>
            <w:tabs>
              <w:tab w:val="clear" w:pos="7609"/>
              <w:tab w:val="right" w:pos="9026" w:leader="dot"/>
            </w:tabs>
            <w:rPr/>
          </w:pPr>
          <w:hyperlink w:anchor="__RefHeading___Toc686258_3406789950">
            <w:r>
              <w:rPr>
                <w:webHidden/>
                <w:rStyle w:val="IndexLink"/>
                <w:rtl w:val="true"/>
              </w:rPr>
              <w:t>اشارة</w:t>
            </w:r>
            <w:r>
              <w:rPr>
                <w:rStyle w:val="IndexLink"/>
                <w:rtl w:val="true"/>
              </w:rPr>
              <w:tab/>
            </w:r>
            <w:r>
              <w:rPr>
                <w:rStyle w:val="IndexLink"/>
              </w:rPr>
              <w:t>96</w:t>
            </w:r>
          </w:hyperlink>
        </w:p>
        <w:p>
          <w:pPr>
            <w:pStyle w:val="Contents6"/>
            <w:tabs>
              <w:tab w:val="clear" w:pos="7609"/>
              <w:tab w:val="right" w:pos="9026" w:leader="dot"/>
            </w:tabs>
            <w:rPr/>
          </w:pPr>
          <w:hyperlink w:anchor="__RefHeading___Toc686260_3406789950">
            <w:r>
              <w:rPr>
                <w:webHidden/>
                <w:rStyle w:val="IndexLink"/>
                <w:rtl w:val="true"/>
              </w:rPr>
              <w:t>أدلّة التفصيل بين القرشية وغيرها</w:t>
            </w:r>
            <w:r>
              <w:rPr>
                <w:rStyle w:val="IndexLink"/>
                <w:rtl w:val="true"/>
              </w:rPr>
              <w:tab/>
            </w:r>
            <w:r>
              <w:rPr>
                <w:rStyle w:val="IndexLink"/>
              </w:rPr>
              <w:t>99</w:t>
            </w:r>
          </w:hyperlink>
        </w:p>
        <w:p>
          <w:pPr>
            <w:pStyle w:val="Contents6"/>
            <w:tabs>
              <w:tab w:val="clear" w:pos="7609"/>
              <w:tab w:val="right" w:pos="9026" w:leader="dot"/>
            </w:tabs>
            <w:rPr/>
          </w:pPr>
          <w:hyperlink w:anchor="__RefHeading___Toc686262_3406789950">
            <w:r>
              <w:rPr>
                <w:webHidden/>
                <w:rStyle w:val="IndexLink"/>
                <w:rtl w:val="true"/>
              </w:rPr>
              <w:t>مقتضى الأصل عند الشكّ في القرشية والنبطية</w:t>
            </w:r>
            <w:r>
              <w:rPr>
                <w:rStyle w:val="IndexLink"/>
                <w:rtl w:val="true"/>
              </w:rPr>
              <w:tab/>
            </w:r>
            <w:r>
              <w:rPr>
                <w:rStyle w:val="IndexLink"/>
              </w:rPr>
              <w:t>102</w:t>
            </w:r>
          </w:hyperlink>
        </w:p>
        <w:p>
          <w:pPr>
            <w:pStyle w:val="Contents5"/>
            <w:tabs>
              <w:tab w:val="clear" w:pos="7892"/>
              <w:tab w:val="right" w:pos="9026" w:leader="dot"/>
            </w:tabs>
            <w:rPr/>
          </w:pPr>
          <w:hyperlink w:anchor="__RefHeading___Toc686264_3406789950">
            <w:r>
              <w:rPr>
                <w:webHidden/>
                <w:rStyle w:val="IndexLink"/>
                <w:rtl w:val="true"/>
              </w:rPr>
              <w:t>الأمر الثالث في أنّ أقلّ الحيض ثلاثة أيّام</w:t>
            </w:r>
            <w:r>
              <w:rPr>
                <w:rStyle w:val="IndexLink"/>
                <w:rtl w:val="true"/>
              </w:rPr>
              <w:tab/>
            </w:r>
            <w:r>
              <w:rPr>
                <w:rStyle w:val="IndexLink"/>
              </w:rPr>
              <w:t>103</w:t>
            </w:r>
          </w:hyperlink>
        </w:p>
        <w:p>
          <w:pPr>
            <w:pStyle w:val="Contents6"/>
            <w:tabs>
              <w:tab w:val="clear" w:pos="7609"/>
              <w:tab w:val="right" w:pos="9026" w:leader="dot"/>
            </w:tabs>
            <w:rPr/>
          </w:pPr>
          <w:hyperlink w:anchor="__RefHeading___Toc686266_3406789950">
            <w:r>
              <w:rPr>
                <w:webHidden/>
                <w:rStyle w:val="IndexLink"/>
                <w:rtl w:val="true"/>
              </w:rPr>
              <w:t>اشارة</w:t>
            </w:r>
            <w:r>
              <w:rPr>
                <w:rStyle w:val="IndexLink"/>
                <w:rtl w:val="true"/>
              </w:rPr>
              <w:tab/>
            </w:r>
            <w:r>
              <w:rPr>
                <w:rStyle w:val="IndexLink"/>
              </w:rPr>
              <w:t>103</w:t>
            </w:r>
          </w:hyperlink>
        </w:p>
        <w:p>
          <w:pPr>
            <w:pStyle w:val="Contents6"/>
            <w:tabs>
              <w:tab w:val="clear" w:pos="7609"/>
              <w:tab w:val="right" w:pos="9026" w:leader="dot"/>
            </w:tabs>
            <w:rPr/>
          </w:pPr>
          <w:hyperlink w:anchor="__RefHeading___Toc686268_3406789950">
            <w:r>
              <w:rPr>
                <w:webHidden/>
                <w:rStyle w:val="IndexLink"/>
                <w:rtl w:val="true"/>
              </w:rPr>
              <w:t>حول الروايات الواردة في حدود الحيض</w:t>
            </w:r>
            <w:r>
              <w:rPr>
                <w:rStyle w:val="IndexLink"/>
                <w:rtl w:val="true"/>
              </w:rPr>
              <w:tab/>
            </w:r>
            <w:r>
              <w:rPr>
                <w:rStyle w:val="IndexLink"/>
              </w:rPr>
              <w:t>103</w:t>
            </w:r>
          </w:hyperlink>
        </w:p>
        <w:p>
          <w:pPr>
            <w:pStyle w:val="Contents6"/>
            <w:tabs>
              <w:tab w:val="clear" w:pos="7609"/>
              <w:tab w:val="right" w:pos="9026" w:leader="dot"/>
            </w:tabs>
            <w:rPr/>
          </w:pPr>
          <w:hyperlink w:anchor="__RefHeading___Toc686270_3406789950">
            <w:r>
              <w:rPr>
                <w:webHidden/>
                <w:rStyle w:val="IndexLink"/>
                <w:rtl w:val="true"/>
              </w:rPr>
              <w:t>اعتبار التوالي في الأيّام الثلاثة</w:t>
            </w:r>
            <w:r>
              <w:rPr>
                <w:rStyle w:val="IndexLink"/>
                <w:rtl w:val="true"/>
              </w:rPr>
              <w:tab/>
            </w:r>
            <w:r>
              <w:rPr>
                <w:rStyle w:val="IndexLink"/>
              </w:rPr>
              <w:t>106</w:t>
            </w:r>
          </w:hyperlink>
        </w:p>
        <w:p>
          <w:pPr>
            <w:pStyle w:val="Contents6"/>
            <w:tabs>
              <w:tab w:val="clear" w:pos="7609"/>
              <w:tab w:val="right" w:pos="9026" w:leader="dot"/>
            </w:tabs>
            <w:rPr/>
          </w:pPr>
          <w:hyperlink w:anchor="__RefHeading___Toc686272_3406789950">
            <w:r>
              <w:rPr>
                <w:webHidden/>
                <w:rStyle w:val="IndexLink"/>
                <w:rtl w:val="true"/>
              </w:rPr>
              <w:t>الروايات الدالّة على اعتبار التوالي</w:t>
            </w:r>
            <w:r>
              <w:rPr>
                <w:rStyle w:val="IndexLink"/>
                <w:rtl w:val="true"/>
              </w:rPr>
              <w:tab/>
            </w:r>
            <w:r>
              <w:rPr>
                <w:rStyle w:val="IndexLink"/>
              </w:rPr>
              <w:t>107</w:t>
            </w:r>
          </w:hyperlink>
        </w:p>
        <w:p>
          <w:pPr>
            <w:pStyle w:val="Contents6"/>
            <w:tabs>
              <w:tab w:val="clear" w:pos="7609"/>
              <w:tab w:val="right" w:pos="9026" w:leader="dot"/>
            </w:tabs>
            <w:rPr/>
          </w:pPr>
          <w:hyperlink w:anchor="__RefHeading___Toc686274_3406789950">
            <w:r>
              <w:rPr>
                <w:webHidden/>
                <w:rStyle w:val="IndexLink"/>
                <w:rtl w:val="true"/>
              </w:rPr>
              <w:t>التمسّك بمرسلة يونس القصيرة على عدم اعتبار التوالي</w:t>
            </w:r>
            <w:r>
              <w:rPr>
                <w:rStyle w:val="IndexLink"/>
                <w:rtl w:val="true"/>
              </w:rPr>
              <w:tab/>
            </w:r>
            <w:r>
              <w:rPr>
                <w:rStyle w:val="IndexLink"/>
              </w:rPr>
              <w:t>110</w:t>
            </w:r>
          </w:hyperlink>
        </w:p>
        <w:p>
          <w:pPr>
            <w:pStyle w:val="Contents6"/>
            <w:tabs>
              <w:tab w:val="clear" w:pos="7609"/>
              <w:tab w:val="right" w:pos="9026" w:leader="dot"/>
            </w:tabs>
            <w:rPr/>
          </w:pPr>
          <w:hyperlink w:anchor="__RefHeading___Toc686276_3406789950">
            <w:r>
              <w:rPr>
                <w:webHidden/>
                <w:rStyle w:val="IndexLink"/>
                <w:rtl w:val="true"/>
              </w:rPr>
              <w:t>التمسّك بصحيحة ابن مسلم وروايته على عدم اعتبار التوالي</w:t>
            </w:r>
            <w:r>
              <w:rPr>
                <w:rStyle w:val="IndexLink"/>
                <w:rtl w:val="true"/>
              </w:rPr>
              <w:tab/>
            </w:r>
            <w:r>
              <w:rPr>
                <w:rStyle w:val="IndexLink"/>
              </w:rPr>
              <w:t>115</w:t>
            </w:r>
          </w:hyperlink>
        </w:p>
        <w:p>
          <w:pPr>
            <w:pStyle w:val="Contents6"/>
            <w:tabs>
              <w:tab w:val="clear" w:pos="7609"/>
              <w:tab w:val="right" w:pos="9026" w:leader="dot"/>
            </w:tabs>
            <w:rPr/>
          </w:pPr>
          <w:hyperlink w:anchor="__RefHeading___Toc686278_3406789950">
            <w:r>
              <w:rPr>
                <w:webHidden/>
                <w:rStyle w:val="IndexLink"/>
                <w:rtl w:val="true"/>
              </w:rPr>
              <w:t>التمسّك برواية عبد الرحمان على عدم اعتبار التوالي</w:t>
            </w:r>
            <w:r>
              <w:rPr>
                <w:rStyle w:val="IndexLink"/>
                <w:rtl w:val="true"/>
              </w:rPr>
              <w:tab/>
            </w:r>
            <w:r>
              <w:rPr>
                <w:rStyle w:val="IndexLink"/>
              </w:rPr>
              <w:t>117</w:t>
            </w:r>
          </w:hyperlink>
        </w:p>
        <w:p>
          <w:pPr>
            <w:pStyle w:val="Contents6"/>
            <w:tabs>
              <w:tab w:val="clear" w:pos="7609"/>
              <w:tab w:val="right" w:pos="9026" w:leader="dot"/>
            </w:tabs>
            <w:rPr/>
          </w:pPr>
          <w:hyperlink w:anchor="__RefHeading___Toc686280_3406789950">
            <w:r>
              <w:rPr>
                <w:webHidden/>
                <w:rStyle w:val="IndexLink"/>
                <w:rtl w:val="true"/>
              </w:rPr>
              <w:t>بطلان التمسّك بقاعدة الإمكان على عدم اعتبار التوالي</w:t>
            </w:r>
            <w:r>
              <w:rPr>
                <w:rStyle w:val="IndexLink"/>
                <w:rtl w:val="true"/>
              </w:rPr>
              <w:tab/>
            </w:r>
            <w:r>
              <w:rPr>
                <w:rStyle w:val="IndexLink"/>
              </w:rPr>
              <w:t>118</w:t>
            </w:r>
          </w:hyperlink>
        </w:p>
        <w:p>
          <w:pPr>
            <w:pStyle w:val="Contents6"/>
            <w:tabs>
              <w:tab w:val="clear" w:pos="7609"/>
              <w:tab w:val="right" w:pos="9026" w:leader="dot"/>
            </w:tabs>
            <w:rPr/>
          </w:pPr>
          <w:hyperlink w:anchor="__RefHeading___Toc686282_3406789950">
            <w:r>
              <w:rPr>
                <w:webHidden/>
                <w:rStyle w:val="IndexLink"/>
                <w:rtl w:val="true"/>
              </w:rPr>
              <w:t>حول الاُصول الموضوعية والحكمية الدالّة على اعتبار التوالي</w:t>
            </w:r>
            <w:r>
              <w:rPr>
                <w:rStyle w:val="IndexLink"/>
                <w:rtl w:val="true"/>
              </w:rPr>
              <w:tab/>
            </w:r>
            <w:r>
              <w:rPr>
                <w:rStyle w:val="IndexLink"/>
              </w:rPr>
              <w:t>118</w:t>
            </w:r>
          </w:hyperlink>
        </w:p>
        <w:p>
          <w:pPr>
            <w:pStyle w:val="Contents6"/>
            <w:tabs>
              <w:tab w:val="clear" w:pos="7609"/>
              <w:tab w:val="right" w:pos="9026" w:leader="dot"/>
            </w:tabs>
            <w:rPr/>
          </w:pPr>
          <w:hyperlink w:anchor="__RefHeading___Toc686284_3406789950">
            <w:r>
              <w:rPr>
                <w:webHidden/>
                <w:rStyle w:val="IndexLink"/>
                <w:rtl w:val="true"/>
              </w:rPr>
              <w:t>في اعتبار الاستمرار في الأيّام الثلاثة</w:t>
            </w:r>
            <w:r>
              <w:rPr>
                <w:rStyle w:val="IndexLink"/>
                <w:rtl w:val="true"/>
              </w:rPr>
              <w:tab/>
            </w:r>
            <w:r>
              <w:rPr>
                <w:rStyle w:val="IndexLink"/>
              </w:rPr>
              <w:t>122</w:t>
            </w:r>
          </w:hyperlink>
        </w:p>
        <w:p>
          <w:pPr>
            <w:pStyle w:val="Contents6"/>
            <w:tabs>
              <w:tab w:val="clear" w:pos="7609"/>
              <w:tab w:val="right" w:pos="9026" w:leader="dot"/>
            </w:tabs>
            <w:rPr/>
          </w:pPr>
          <w:hyperlink w:anchor="__RefHeading___Toc686286_3406789950">
            <w:r>
              <w:rPr>
                <w:webHidden/>
                <w:rStyle w:val="IndexLink"/>
                <w:rtl w:val="true"/>
              </w:rPr>
              <w:t>عدم إضرار الفترات اليسيرة المعهودة بين النساء</w:t>
            </w:r>
            <w:r>
              <w:rPr>
                <w:rStyle w:val="IndexLink"/>
                <w:rtl w:val="true"/>
              </w:rPr>
              <w:tab/>
            </w:r>
            <w:r>
              <w:rPr>
                <w:rStyle w:val="IndexLink"/>
              </w:rPr>
              <w:t>126</w:t>
            </w:r>
          </w:hyperlink>
        </w:p>
        <w:p>
          <w:pPr>
            <w:pStyle w:val="Contents6"/>
            <w:tabs>
              <w:tab w:val="clear" w:pos="7609"/>
              <w:tab w:val="right" w:pos="9026" w:leader="dot"/>
            </w:tabs>
            <w:rPr/>
          </w:pPr>
          <w:hyperlink w:anchor="__RefHeading___Toc686288_3406789950">
            <w:r>
              <w:rPr>
                <w:webHidden/>
                <w:rStyle w:val="IndexLink"/>
                <w:rtl w:val="true"/>
              </w:rPr>
              <w:t>في دخول الليالي في الأيّام الثلاثة</w:t>
            </w:r>
            <w:r>
              <w:rPr>
                <w:rStyle w:val="IndexLink"/>
                <w:rtl w:val="true"/>
              </w:rPr>
              <w:tab/>
            </w:r>
            <w:r>
              <w:rPr>
                <w:rStyle w:val="IndexLink"/>
              </w:rPr>
              <w:t>127</w:t>
            </w:r>
          </w:hyperlink>
        </w:p>
        <w:p>
          <w:pPr>
            <w:pStyle w:val="Contents6"/>
            <w:tabs>
              <w:tab w:val="clear" w:pos="7609"/>
              <w:tab w:val="right" w:pos="9026" w:leader="dot"/>
            </w:tabs>
            <w:rPr/>
          </w:pPr>
          <w:hyperlink w:anchor="__RefHeading___Toc686290_3406789950">
            <w:r>
              <w:rPr>
                <w:webHidden/>
                <w:rStyle w:val="IndexLink"/>
                <w:rtl w:val="true"/>
              </w:rPr>
              <w:t>دخول الليلتين المتوسّطتين والاُولى</w:t>
            </w:r>
            <w:r>
              <w:rPr>
                <w:rStyle w:val="IndexLink"/>
                <w:rtl w:val="true"/>
              </w:rPr>
              <w:tab/>
            </w:r>
            <w:r>
              <w:rPr>
                <w:rStyle w:val="IndexLink"/>
              </w:rPr>
              <w:t>130</w:t>
            </w:r>
          </w:hyperlink>
        </w:p>
        <w:p>
          <w:pPr>
            <w:pStyle w:val="Contents5"/>
            <w:tabs>
              <w:tab w:val="clear" w:pos="7892"/>
              <w:tab w:val="right" w:pos="9026" w:leader="dot"/>
            </w:tabs>
            <w:rPr/>
          </w:pPr>
          <w:hyperlink w:anchor="__RefHeading___Toc686292_3406789950">
            <w:r>
              <w:rPr>
                <w:webHidden/>
                <w:rStyle w:val="IndexLink"/>
                <w:rtl w:val="true"/>
              </w:rPr>
              <w:t>الأمر الرابع في أنّ أكثر الحيض عشرة أيّام</w:t>
            </w:r>
            <w:r>
              <w:rPr>
                <w:rStyle w:val="IndexLink"/>
                <w:rtl w:val="true"/>
              </w:rPr>
              <w:tab/>
            </w:r>
            <w:r>
              <w:rPr>
                <w:rStyle w:val="IndexLink"/>
              </w:rPr>
              <w:t>132</w:t>
            </w:r>
          </w:hyperlink>
        </w:p>
        <w:p>
          <w:pPr>
            <w:pStyle w:val="Contents6"/>
            <w:tabs>
              <w:tab w:val="clear" w:pos="7609"/>
              <w:tab w:val="right" w:pos="9026" w:leader="dot"/>
            </w:tabs>
            <w:rPr/>
          </w:pPr>
          <w:hyperlink w:anchor="__RefHeading___Toc686294_3406789950">
            <w:r>
              <w:rPr>
                <w:webHidden/>
                <w:rStyle w:val="IndexLink"/>
                <w:rtl w:val="true"/>
              </w:rPr>
              <w:t>اشارة</w:t>
            </w:r>
            <w:r>
              <w:rPr>
                <w:rStyle w:val="IndexLink"/>
                <w:rtl w:val="true"/>
              </w:rPr>
              <w:tab/>
            </w:r>
            <w:r>
              <w:rPr>
                <w:rStyle w:val="IndexLink"/>
              </w:rPr>
              <w:t>132</w:t>
            </w:r>
          </w:hyperlink>
        </w:p>
        <w:p>
          <w:pPr>
            <w:pStyle w:val="Contents6"/>
            <w:tabs>
              <w:tab w:val="clear" w:pos="7609"/>
              <w:tab w:val="right" w:pos="9026" w:leader="dot"/>
            </w:tabs>
            <w:rPr/>
          </w:pPr>
          <w:hyperlink w:anchor="__RefHeading___Toc686296_3406789950">
            <w:r>
              <w:rPr>
                <w:webHidden/>
                <w:rStyle w:val="IndexLink"/>
                <w:rtl w:val="true"/>
              </w:rPr>
              <w:t>اعتبار التوالي في العشرة</w:t>
            </w:r>
            <w:r>
              <w:rPr>
                <w:rStyle w:val="IndexLink"/>
                <w:rtl w:val="true"/>
              </w:rPr>
              <w:tab/>
            </w:r>
            <w:r>
              <w:rPr>
                <w:rStyle w:val="IndexLink"/>
              </w:rPr>
              <w:t>133</w:t>
            </w:r>
          </w:hyperlink>
        </w:p>
        <w:p>
          <w:pPr>
            <w:pStyle w:val="Contents6"/>
            <w:tabs>
              <w:tab w:val="clear" w:pos="7609"/>
              <w:tab w:val="right" w:pos="9026" w:leader="dot"/>
            </w:tabs>
            <w:rPr/>
          </w:pPr>
          <w:hyperlink w:anchor="__RefHeading___Toc686298_3406789950">
            <w:r>
              <w:rPr>
                <w:webHidden/>
                <w:rStyle w:val="IndexLink"/>
                <w:rtl w:val="true"/>
              </w:rPr>
              <w:t>مخالفة صاحب الحدائق المشهور في اعتبار التوالي وأقلّ الطهر</w:t>
            </w:r>
            <w:r>
              <w:rPr>
                <w:rStyle w:val="IndexLink"/>
                <w:rtl w:val="true"/>
              </w:rPr>
              <w:tab/>
            </w:r>
            <w:r>
              <w:rPr>
                <w:rStyle w:val="IndexLink"/>
              </w:rPr>
              <w:t>134</w:t>
            </w:r>
          </w:hyperlink>
        </w:p>
        <w:p>
          <w:pPr>
            <w:pStyle w:val="Contents4"/>
            <w:tabs>
              <w:tab w:val="clear" w:pos="8176"/>
              <w:tab w:val="right" w:pos="9026" w:leader="dot"/>
            </w:tabs>
            <w:rPr/>
          </w:pPr>
          <w:hyperlink w:anchor="__RefHeading___Toc686300_3406789950">
            <w:r>
              <w:rPr>
                <w:webHidden/>
                <w:rStyle w:val="IndexLink"/>
                <w:rtl w:val="true"/>
              </w:rPr>
              <w:t>المطلب الثالث</w:t>
            </w:r>
            <w:r>
              <w:rPr>
                <w:rStyle w:val="IndexLink"/>
                <w:rtl w:val="true"/>
              </w:rPr>
              <w:t xml:space="preserve">: </w:t>
            </w:r>
            <w:r>
              <w:rPr>
                <w:rStyle w:val="IndexLink"/>
                <w:rtl w:val="true"/>
              </w:rPr>
              <w:t>في أقسام الحائض وأحكامها</w:t>
            </w:r>
            <w:r>
              <w:rPr>
                <w:rStyle w:val="IndexLink"/>
                <w:rtl w:val="true"/>
              </w:rPr>
              <w:tab/>
            </w:r>
            <w:r>
              <w:rPr>
                <w:rStyle w:val="IndexLink"/>
              </w:rPr>
              <w:t>149</w:t>
            </w:r>
          </w:hyperlink>
        </w:p>
        <w:p>
          <w:pPr>
            <w:pStyle w:val="Contents5"/>
            <w:tabs>
              <w:tab w:val="clear" w:pos="7892"/>
              <w:tab w:val="right" w:pos="9026" w:leader="dot"/>
            </w:tabs>
            <w:rPr/>
          </w:pPr>
          <w:hyperlink w:anchor="__RefHeading___Toc686302_3406789950">
            <w:r>
              <w:rPr>
                <w:webHidden/>
                <w:rStyle w:val="IndexLink"/>
                <w:rtl w:val="true"/>
              </w:rPr>
              <w:t>اشارة</w:t>
            </w:r>
            <w:r>
              <w:rPr>
                <w:rStyle w:val="IndexLink"/>
                <w:rtl w:val="true"/>
              </w:rPr>
              <w:tab/>
            </w:r>
            <w:r>
              <w:rPr>
                <w:rStyle w:val="IndexLink"/>
              </w:rPr>
              <w:t>149</w:t>
            </w:r>
          </w:hyperlink>
        </w:p>
        <w:p>
          <w:pPr>
            <w:pStyle w:val="Contents5"/>
            <w:tabs>
              <w:tab w:val="clear" w:pos="7892"/>
              <w:tab w:val="right" w:pos="9026" w:leader="dot"/>
            </w:tabs>
            <w:rPr/>
          </w:pPr>
          <w:hyperlink w:anchor="__RefHeading___Toc686304_3406789950">
            <w:r>
              <w:rPr>
                <w:webHidden/>
                <w:rStyle w:val="IndexLink"/>
                <w:rtl w:val="true"/>
              </w:rPr>
              <w:t>المسألة الاُولى في استفادة حصول العادة بمرّتين من الأخبار</w:t>
            </w:r>
            <w:r>
              <w:rPr>
                <w:rStyle w:val="IndexLink"/>
                <w:rtl w:val="true"/>
              </w:rPr>
              <w:tab/>
            </w:r>
            <w:r>
              <w:rPr>
                <w:rStyle w:val="IndexLink"/>
              </w:rPr>
              <w:t>150</w:t>
            </w:r>
          </w:hyperlink>
        </w:p>
        <w:p>
          <w:pPr>
            <w:pStyle w:val="Contents6"/>
            <w:tabs>
              <w:tab w:val="clear" w:pos="7609"/>
              <w:tab w:val="right" w:pos="9026" w:leader="dot"/>
            </w:tabs>
            <w:rPr/>
          </w:pPr>
          <w:hyperlink w:anchor="__RefHeading___Toc686306_3406789950">
            <w:r>
              <w:rPr>
                <w:webHidden/>
                <w:rStyle w:val="IndexLink"/>
                <w:rtl w:val="true"/>
              </w:rPr>
              <w:t>اشارة</w:t>
            </w:r>
            <w:r>
              <w:rPr>
                <w:rStyle w:val="IndexLink"/>
                <w:rtl w:val="true"/>
              </w:rPr>
              <w:tab/>
            </w:r>
            <w:r>
              <w:rPr>
                <w:rStyle w:val="IndexLink"/>
              </w:rPr>
              <w:t>150</w:t>
            </w:r>
          </w:hyperlink>
        </w:p>
        <w:p>
          <w:pPr>
            <w:pStyle w:val="Contents6"/>
            <w:tabs>
              <w:tab w:val="clear" w:pos="7609"/>
              <w:tab w:val="right" w:pos="9026" w:leader="dot"/>
            </w:tabs>
            <w:rPr/>
          </w:pPr>
          <w:hyperlink w:anchor="__RefHeading___Toc686308_3406789950">
            <w:r>
              <w:rPr>
                <w:webHidden/>
                <w:rStyle w:val="IndexLink"/>
                <w:rtl w:val="true"/>
              </w:rPr>
              <w:t>دلالة ذيل مرسلة يونس على تحقّق العادة بحيضتين مطلقاً</w:t>
            </w:r>
            <w:r>
              <w:rPr>
                <w:rStyle w:val="IndexLink"/>
                <w:rtl w:val="true"/>
              </w:rPr>
              <w:tab/>
            </w:r>
            <w:r>
              <w:rPr>
                <w:rStyle w:val="IndexLink"/>
              </w:rPr>
              <w:t>156</w:t>
            </w:r>
          </w:hyperlink>
        </w:p>
        <w:p>
          <w:pPr>
            <w:pStyle w:val="Contents5"/>
            <w:tabs>
              <w:tab w:val="clear" w:pos="7892"/>
              <w:tab w:val="right" w:pos="9026" w:leader="dot"/>
            </w:tabs>
            <w:rPr/>
          </w:pPr>
          <w:hyperlink w:anchor="__RefHeading___Toc686310_3406789950">
            <w:r>
              <w:rPr>
                <w:webHidden/>
                <w:rStyle w:val="IndexLink"/>
                <w:rtl w:val="true"/>
              </w:rPr>
              <w:t>المسألة الثانية في ثبوت العددية الناقصة برؤية مرّتين مختلفتين عدداً</w:t>
            </w:r>
            <w:r>
              <w:rPr>
                <w:rStyle w:val="IndexLink"/>
                <w:rtl w:val="true"/>
              </w:rPr>
              <w:tab/>
            </w:r>
            <w:r>
              <w:rPr>
                <w:rStyle w:val="IndexLink"/>
              </w:rPr>
              <w:t>159</w:t>
            </w:r>
          </w:hyperlink>
        </w:p>
        <w:p>
          <w:pPr>
            <w:pStyle w:val="Contents5"/>
            <w:tabs>
              <w:tab w:val="clear" w:pos="7892"/>
              <w:tab w:val="right" w:pos="9026" w:leader="dot"/>
            </w:tabs>
            <w:rPr/>
          </w:pPr>
          <w:hyperlink w:anchor="__RefHeading___Toc686312_3406789950">
            <w:r>
              <w:rPr>
                <w:webHidden/>
                <w:rStyle w:val="IndexLink"/>
                <w:rtl w:val="true"/>
              </w:rPr>
              <w:t>المسألة الثالثة في تحقّق العادة بالمرّتين مطلقاً</w:t>
            </w:r>
            <w:r>
              <w:rPr>
                <w:rStyle w:val="IndexLink"/>
                <w:rtl w:val="true"/>
              </w:rPr>
              <w:tab/>
            </w:r>
            <w:r>
              <w:rPr>
                <w:rStyle w:val="IndexLink"/>
              </w:rPr>
              <w:t>163</w:t>
            </w:r>
          </w:hyperlink>
        </w:p>
        <w:p>
          <w:pPr>
            <w:pStyle w:val="Contents5"/>
            <w:tabs>
              <w:tab w:val="clear" w:pos="7892"/>
              <w:tab w:val="right" w:pos="9026" w:leader="dot"/>
            </w:tabs>
            <w:rPr/>
          </w:pPr>
          <w:hyperlink w:anchor="__RefHeading___Toc686314_3406789950">
            <w:r>
              <w:rPr>
                <w:webHidden/>
                <w:rStyle w:val="IndexLink"/>
                <w:rtl w:val="true"/>
              </w:rPr>
              <w:t>المسألة الرابعة في حصول العادة بالمرّتين مع حصول النقاء في البين</w:t>
            </w:r>
            <w:r>
              <w:rPr>
                <w:rStyle w:val="IndexLink"/>
                <w:rtl w:val="true"/>
              </w:rPr>
              <w:tab/>
            </w:r>
            <w:r>
              <w:rPr>
                <w:rStyle w:val="IndexLink"/>
              </w:rPr>
              <w:t>168</w:t>
            </w:r>
          </w:hyperlink>
        </w:p>
        <w:p>
          <w:pPr>
            <w:pStyle w:val="Contents5"/>
            <w:tabs>
              <w:tab w:val="clear" w:pos="7892"/>
              <w:tab w:val="right" w:pos="9026" w:leader="dot"/>
            </w:tabs>
            <w:rPr/>
          </w:pPr>
          <w:hyperlink w:anchor="__RefHeading___Toc686316_3406789950">
            <w:r>
              <w:rPr>
                <w:webHidden/>
                <w:rStyle w:val="IndexLink"/>
                <w:rtl w:val="true"/>
              </w:rPr>
              <w:t>المسألة الخامسة في حصول العادة الوقتية بتكرّر الحيض</w:t>
            </w:r>
            <w:r>
              <w:rPr>
                <w:rStyle w:val="IndexLink"/>
                <w:rtl w:val="true"/>
              </w:rPr>
              <w:tab/>
            </w:r>
            <w:r>
              <w:rPr>
                <w:rStyle w:val="IndexLink"/>
              </w:rPr>
              <w:t>173</w:t>
            </w:r>
          </w:hyperlink>
        </w:p>
        <w:p>
          <w:pPr>
            <w:pStyle w:val="Contents5"/>
            <w:tabs>
              <w:tab w:val="clear" w:pos="7892"/>
              <w:tab w:val="right" w:pos="9026" w:leader="dot"/>
            </w:tabs>
            <w:rPr/>
          </w:pPr>
          <w:hyperlink w:anchor="__RefHeading___Toc686318_3406789950">
            <w:r>
              <w:rPr>
                <w:webHidden/>
                <w:rStyle w:val="IndexLink"/>
                <w:rtl w:val="true"/>
              </w:rPr>
              <w:t>المسألة السادسة في زوال العادة بعادة شرعية مطلقاً</w:t>
            </w:r>
            <w:r>
              <w:rPr>
                <w:rStyle w:val="IndexLink"/>
                <w:rtl w:val="true"/>
              </w:rPr>
              <w:tab/>
            </w:r>
            <w:r>
              <w:rPr>
                <w:rStyle w:val="IndexLink"/>
              </w:rPr>
              <w:t>175</w:t>
            </w:r>
          </w:hyperlink>
        </w:p>
        <w:p>
          <w:pPr>
            <w:pStyle w:val="Contents6"/>
            <w:tabs>
              <w:tab w:val="clear" w:pos="7609"/>
              <w:tab w:val="right" w:pos="9026" w:leader="dot"/>
            </w:tabs>
            <w:rPr/>
          </w:pPr>
          <w:hyperlink w:anchor="__RefHeading___Toc686320_3406789950">
            <w:r>
              <w:rPr>
                <w:webHidden/>
                <w:rStyle w:val="IndexLink"/>
                <w:rtl w:val="true"/>
              </w:rPr>
              <w:t>اشارة</w:t>
            </w:r>
            <w:r>
              <w:rPr>
                <w:rStyle w:val="IndexLink"/>
                <w:rtl w:val="true"/>
              </w:rPr>
              <w:tab/>
            </w:r>
            <w:r>
              <w:rPr>
                <w:rStyle w:val="IndexLink"/>
              </w:rPr>
              <w:t>175</w:t>
            </w:r>
          </w:hyperlink>
        </w:p>
        <w:p>
          <w:pPr>
            <w:pStyle w:val="Contents6"/>
            <w:tabs>
              <w:tab w:val="clear" w:pos="7609"/>
              <w:tab w:val="right" w:pos="9026" w:leader="dot"/>
            </w:tabs>
            <w:rPr/>
          </w:pPr>
          <w:hyperlink w:anchor="__RefHeading___Toc686322_3406789950">
            <w:r>
              <w:rPr>
                <w:webHidden/>
                <w:rStyle w:val="IndexLink"/>
                <w:rtl w:val="true"/>
              </w:rPr>
              <w:t>هل تزول العادة برؤية مرّتين غير متماثلتين؟</w:t>
            </w:r>
            <w:r>
              <w:rPr>
                <w:rStyle w:val="IndexLink"/>
                <w:rtl w:val="true"/>
              </w:rPr>
              <w:tab/>
            </w:r>
            <w:r>
              <w:rPr>
                <w:rStyle w:val="IndexLink"/>
              </w:rPr>
              <w:t>178</w:t>
            </w:r>
          </w:hyperlink>
        </w:p>
        <w:p>
          <w:pPr>
            <w:pStyle w:val="Contents5"/>
            <w:tabs>
              <w:tab w:val="clear" w:pos="7892"/>
              <w:tab w:val="right" w:pos="9026" w:leader="dot"/>
            </w:tabs>
            <w:rPr/>
          </w:pPr>
          <w:hyperlink w:anchor="__RefHeading___Toc686324_3406789950">
            <w:r>
              <w:rPr>
                <w:webHidden/>
                <w:rStyle w:val="IndexLink"/>
                <w:rtl w:val="true"/>
              </w:rPr>
              <w:t>المسألة السابعة في أقسام ذات العادة وأحكامها</w:t>
            </w:r>
            <w:r>
              <w:rPr>
                <w:rStyle w:val="IndexLink"/>
                <w:rtl w:val="true"/>
              </w:rPr>
              <w:tab/>
            </w:r>
            <w:r>
              <w:rPr>
                <w:rStyle w:val="IndexLink"/>
              </w:rPr>
              <w:t>179</w:t>
            </w:r>
          </w:hyperlink>
        </w:p>
        <w:p>
          <w:pPr>
            <w:pStyle w:val="Contents6"/>
            <w:tabs>
              <w:tab w:val="clear" w:pos="7609"/>
              <w:tab w:val="right" w:pos="9026" w:leader="dot"/>
            </w:tabs>
            <w:rPr/>
          </w:pPr>
          <w:hyperlink w:anchor="__RefHeading___Toc686326_3406789950">
            <w:r>
              <w:rPr>
                <w:webHidden/>
                <w:rStyle w:val="IndexLink"/>
                <w:rtl w:val="true"/>
              </w:rPr>
              <w:t>اشارة</w:t>
            </w:r>
            <w:r>
              <w:rPr>
                <w:rStyle w:val="IndexLink"/>
                <w:rtl w:val="true"/>
              </w:rPr>
              <w:tab/>
            </w:r>
            <w:r>
              <w:rPr>
                <w:rStyle w:val="IndexLink"/>
              </w:rPr>
              <w:t>179</w:t>
            </w:r>
          </w:hyperlink>
        </w:p>
        <w:p>
          <w:pPr>
            <w:pStyle w:val="Contents6"/>
            <w:tabs>
              <w:tab w:val="clear" w:pos="7609"/>
              <w:tab w:val="right" w:pos="9026" w:leader="dot"/>
            </w:tabs>
            <w:rPr/>
          </w:pPr>
          <w:hyperlink w:anchor="__RefHeading___Toc686328_3406789950">
            <w:r>
              <w:rPr>
                <w:webHidden/>
                <w:rStyle w:val="IndexLink"/>
                <w:rtl w:val="true"/>
              </w:rPr>
              <w:t xml:space="preserve">الجهة الاُولى </w:t>
            </w:r>
            <w:r>
              <w:rPr>
                <w:rStyle w:val="IndexLink"/>
                <w:rtl w:val="true"/>
              </w:rPr>
              <w:t xml:space="preserve">: </w:t>
            </w:r>
            <w:r>
              <w:rPr>
                <w:rStyle w:val="IndexLink"/>
                <w:rtl w:val="true"/>
              </w:rPr>
              <w:t>في تحيّض ذات العادة الوقتية مطلقاً برؤية الدم في أيّامها</w:t>
            </w:r>
            <w:r>
              <w:rPr>
                <w:rStyle w:val="IndexLink"/>
                <w:rtl w:val="true"/>
              </w:rPr>
              <w:tab/>
            </w:r>
            <w:r>
              <w:rPr>
                <w:rStyle w:val="IndexLink"/>
              </w:rPr>
              <w:t>179</w:t>
            </w:r>
          </w:hyperlink>
        </w:p>
        <w:p>
          <w:pPr>
            <w:pStyle w:val="Contents6"/>
            <w:tabs>
              <w:tab w:val="clear" w:pos="7609"/>
              <w:tab w:val="right" w:pos="9026" w:leader="dot"/>
            </w:tabs>
            <w:rPr/>
          </w:pPr>
          <w:hyperlink w:anchor="__RefHeading___Toc686330_3406789950">
            <w:r>
              <w:rPr>
                <w:webHidden/>
                <w:rStyle w:val="IndexLink"/>
                <w:rtl w:val="true"/>
              </w:rPr>
              <w:t xml:space="preserve">الجهة الثانية </w:t>
            </w:r>
            <w:r>
              <w:rPr>
                <w:rStyle w:val="IndexLink"/>
                <w:rtl w:val="true"/>
              </w:rPr>
              <w:t xml:space="preserve">: </w:t>
            </w:r>
            <w:r>
              <w:rPr>
                <w:rStyle w:val="IndexLink"/>
                <w:rtl w:val="true"/>
              </w:rPr>
              <w:t>في الحكم بحيضية الدم المتقدّم أو المتأخّر بقليل</w:t>
            </w:r>
            <w:r>
              <w:rPr>
                <w:rStyle w:val="IndexLink"/>
                <w:rtl w:val="true"/>
              </w:rPr>
              <w:tab/>
            </w:r>
            <w:r>
              <w:rPr>
                <w:rStyle w:val="IndexLink"/>
              </w:rPr>
              <w:t>181</w:t>
            </w:r>
          </w:hyperlink>
        </w:p>
        <w:p>
          <w:pPr>
            <w:pStyle w:val="Contents6"/>
            <w:tabs>
              <w:tab w:val="clear" w:pos="7609"/>
              <w:tab w:val="right" w:pos="9026" w:leader="dot"/>
            </w:tabs>
            <w:rPr/>
          </w:pPr>
          <w:hyperlink w:anchor="__RefHeading___Toc686332_3406789950">
            <w:r>
              <w:rPr>
                <w:webHidden/>
                <w:rStyle w:val="IndexLink"/>
                <w:rtl w:val="true"/>
              </w:rPr>
              <w:t xml:space="preserve">الجهة الثالثة </w:t>
            </w:r>
            <w:r>
              <w:rPr>
                <w:rStyle w:val="IndexLink"/>
                <w:rtl w:val="true"/>
              </w:rPr>
              <w:t xml:space="preserve">: </w:t>
            </w:r>
            <w:r>
              <w:rPr>
                <w:rStyle w:val="IndexLink"/>
                <w:rtl w:val="true"/>
              </w:rPr>
              <w:t>في حكم الدم المرئي قبل أيّام العادة أو بعدها بكثير</w:t>
            </w:r>
            <w:r>
              <w:rPr>
                <w:rStyle w:val="IndexLink"/>
                <w:rtl w:val="true"/>
              </w:rPr>
              <w:tab/>
            </w:r>
            <w:r>
              <w:rPr>
                <w:rStyle w:val="IndexLink"/>
              </w:rPr>
              <w:t>186</w:t>
            </w:r>
          </w:hyperlink>
        </w:p>
        <w:p>
          <w:pPr>
            <w:pStyle w:val="Contents6"/>
            <w:tabs>
              <w:tab w:val="clear" w:pos="7609"/>
              <w:tab w:val="right" w:pos="9026" w:leader="dot"/>
            </w:tabs>
            <w:rPr/>
          </w:pPr>
          <w:hyperlink w:anchor="__RefHeading___Toc686334_3406789950">
            <w:r>
              <w:rPr>
                <w:webHidden/>
                <w:rStyle w:val="IndexLink"/>
                <w:rtl w:val="true"/>
              </w:rPr>
              <w:t>اشارة</w:t>
            </w:r>
            <w:r>
              <w:rPr>
                <w:rStyle w:val="IndexLink"/>
                <w:rtl w:val="true"/>
              </w:rPr>
              <w:tab/>
            </w:r>
            <w:r>
              <w:rPr>
                <w:rStyle w:val="IndexLink"/>
              </w:rPr>
              <w:t>186</w:t>
            </w:r>
          </w:hyperlink>
        </w:p>
        <w:p>
          <w:pPr>
            <w:pStyle w:val="Contents6"/>
            <w:tabs>
              <w:tab w:val="clear" w:pos="7609"/>
              <w:tab w:val="right" w:pos="9026" w:leader="dot"/>
            </w:tabs>
            <w:rPr/>
          </w:pPr>
          <w:hyperlink w:anchor="__RefHeading___Toc686336_3406789950">
            <w:r>
              <w:rPr>
                <w:webHidden/>
                <w:rStyle w:val="IndexLink"/>
                <w:rtl w:val="true"/>
              </w:rPr>
              <w:t>الحكم بحيضية الدم الجامع لصفات الحيض مطلقاً في المقام</w:t>
            </w:r>
            <w:r>
              <w:rPr>
                <w:rStyle w:val="IndexLink"/>
                <w:rtl w:val="true"/>
              </w:rPr>
              <w:tab/>
            </w:r>
            <w:r>
              <w:rPr>
                <w:rStyle w:val="IndexLink"/>
              </w:rPr>
              <w:t>186</w:t>
            </w:r>
          </w:hyperlink>
        </w:p>
        <w:p>
          <w:pPr>
            <w:pStyle w:val="Contents6"/>
            <w:tabs>
              <w:tab w:val="clear" w:pos="7609"/>
              <w:tab w:val="right" w:pos="9026" w:leader="dot"/>
            </w:tabs>
            <w:rPr/>
          </w:pPr>
          <w:hyperlink w:anchor="__RefHeading___Toc686338_3406789950">
            <w:r>
              <w:rPr>
                <w:webHidden/>
                <w:rStyle w:val="IndexLink"/>
                <w:rtl w:val="true"/>
              </w:rPr>
              <w:t>الروايات التي قد تتوهّم دلالتها على عدم التحيّض</w:t>
            </w:r>
            <w:r>
              <w:rPr>
                <w:rStyle w:val="IndexLink"/>
                <w:rtl w:val="true"/>
              </w:rPr>
              <w:tab/>
            </w:r>
            <w:r>
              <w:rPr>
                <w:rStyle w:val="IndexLink"/>
              </w:rPr>
              <w:t>188</w:t>
            </w:r>
          </w:hyperlink>
        </w:p>
        <w:p>
          <w:pPr>
            <w:pStyle w:val="Contents6"/>
            <w:tabs>
              <w:tab w:val="clear" w:pos="7609"/>
              <w:tab w:val="right" w:pos="9026" w:leader="dot"/>
            </w:tabs>
            <w:rPr/>
          </w:pPr>
          <w:hyperlink w:anchor="__RefHeading___Toc686340_3406789950">
            <w:r>
              <w:rPr>
                <w:webHidden/>
                <w:rStyle w:val="IndexLink"/>
                <w:rtl w:val="true"/>
              </w:rPr>
              <w:t>الحكم بعدم حيضية الدم الجامع لصفات الاستحاضة في المقام</w:t>
            </w:r>
            <w:r>
              <w:rPr>
                <w:rStyle w:val="IndexLink"/>
                <w:rtl w:val="true"/>
              </w:rPr>
              <w:tab/>
            </w:r>
            <w:r>
              <w:rPr>
                <w:rStyle w:val="IndexLink"/>
              </w:rPr>
              <w:t>189</w:t>
            </w:r>
          </w:hyperlink>
        </w:p>
        <w:p>
          <w:pPr>
            <w:pStyle w:val="Contents6"/>
            <w:tabs>
              <w:tab w:val="clear" w:pos="7609"/>
              <w:tab w:val="right" w:pos="9026" w:leader="dot"/>
            </w:tabs>
            <w:rPr/>
          </w:pPr>
          <w:hyperlink w:anchor="__RefHeading___Toc686342_3406789950">
            <w:r>
              <w:rPr>
                <w:webHidden/>
                <w:rStyle w:val="IndexLink"/>
                <w:rtl w:val="true"/>
              </w:rPr>
              <w:t>التمسّك بقاعدة الإمكان لإثبات حيضية الدم الجامع لصفات الاستحاضة</w:t>
            </w:r>
            <w:r>
              <w:rPr>
                <w:rStyle w:val="IndexLink"/>
                <w:rtl w:val="true"/>
              </w:rPr>
              <w:tab/>
            </w:r>
            <w:r>
              <w:rPr>
                <w:rStyle w:val="IndexLink"/>
              </w:rPr>
              <w:t>192</w:t>
            </w:r>
          </w:hyperlink>
        </w:p>
        <w:p>
          <w:pPr>
            <w:pStyle w:val="Contents6"/>
            <w:tabs>
              <w:tab w:val="clear" w:pos="7609"/>
              <w:tab w:val="right" w:pos="9026" w:leader="dot"/>
            </w:tabs>
            <w:rPr/>
          </w:pPr>
          <w:hyperlink w:anchor="__RefHeading___Toc686344_3406789950">
            <w:r>
              <w:rPr>
                <w:webHidden/>
                <w:rStyle w:val="IndexLink"/>
                <w:rtl w:val="true"/>
              </w:rPr>
              <w:t xml:space="preserve">الجهة الرابعة </w:t>
            </w:r>
            <w:r>
              <w:rPr>
                <w:rStyle w:val="IndexLink"/>
                <w:rtl w:val="true"/>
              </w:rPr>
              <w:t xml:space="preserve">: </w:t>
            </w:r>
            <w:r>
              <w:rPr>
                <w:rStyle w:val="IndexLink"/>
                <w:rtl w:val="true"/>
              </w:rPr>
              <w:t>في حكم ذات العادة العددية المحضة</w:t>
            </w:r>
            <w:r>
              <w:rPr>
                <w:rStyle w:val="IndexLink"/>
                <w:rtl w:val="true"/>
              </w:rPr>
              <w:tab/>
            </w:r>
            <w:r>
              <w:rPr>
                <w:rStyle w:val="IndexLink"/>
              </w:rPr>
              <w:t>194</w:t>
            </w:r>
          </w:hyperlink>
        </w:p>
        <w:p>
          <w:pPr>
            <w:pStyle w:val="Contents6"/>
            <w:tabs>
              <w:tab w:val="clear" w:pos="7609"/>
              <w:tab w:val="right" w:pos="9026" w:leader="dot"/>
            </w:tabs>
            <w:rPr/>
          </w:pPr>
          <w:hyperlink w:anchor="__RefHeading___Toc686346_3406789950">
            <w:r>
              <w:rPr>
                <w:webHidden/>
                <w:rStyle w:val="IndexLink"/>
                <w:rtl w:val="true"/>
              </w:rPr>
              <w:t>اشارة</w:t>
            </w:r>
            <w:r>
              <w:rPr>
                <w:rStyle w:val="IndexLink"/>
                <w:rtl w:val="true"/>
              </w:rPr>
              <w:tab/>
            </w:r>
            <w:r>
              <w:rPr>
                <w:rStyle w:val="IndexLink"/>
              </w:rPr>
              <w:t>194</w:t>
            </w:r>
          </w:hyperlink>
        </w:p>
        <w:p>
          <w:pPr>
            <w:pStyle w:val="Contents6"/>
            <w:tabs>
              <w:tab w:val="clear" w:pos="7609"/>
              <w:tab w:val="right" w:pos="9026" w:leader="dot"/>
            </w:tabs>
            <w:rPr/>
          </w:pPr>
          <w:hyperlink w:anchor="__RefHeading___Toc686348_3406789950">
            <w:r>
              <w:rPr>
                <w:webHidden/>
                <w:rStyle w:val="IndexLink"/>
                <w:rtl w:val="true"/>
              </w:rPr>
              <w:t>حكم المبتدئة والمضطربة والناسية</w:t>
            </w:r>
            <w:r>
              <w:rPr>
                <w:rStyle w:val="IndexLink"/>
                <w:rtl w:val="true"/>
              </w:rPr>
              <w:tab/>
            </w:r>
            <w:r>
              <w:rPr>
                <w:rStyle w:val="IndexLink"/>
              </w:rPr>
              <w:t>197</w:t>
            </w:r>
          </w:hyperlink>
        </w:p>
        <w:p>
          <w:pPr>
            <w:pStyle w:val="Contents6"/>
            <w:tabs>
              <w:tab w:val="clear" w:pos="7609"/>
              <w:tab w:val="right" w:pos="9026" w:leader="dot"/>
            </w:tabs>
            <w:rPr/>
          </w:pPr>
          <w:hyperlink w:anchor="__RefHeading___Toc686350_3406789950">
            <w:r>
              <w:rPr>
                <w:webHidden/>
                <w:rStyle w:val="IndexLink"/>
                <w:rtl w:val="true"/>
              </w:rPr>
              <w:t>حكم تعارض الأمارتين</w:t>
            </w:r>
            <w:r>
              <w:rPr>
                <w:rStyle w:val="IndexLink"/>
                <w:rtl w:val="true"/>
              </w:rPr>
              <w:tab/>
            </w:r>
            <w:r>
              <w:rPr>
                <w:rStyle w:val="IndexLink"/>
              </w:rPr>
              <w:t>198</w:t>
            </w:r>
          </w:hyperlink>
        </w:p>
        <w:p>
          <w:pPr>
            <w:pStyle w:val="Contents5"/>
            <w:tabs>
              <w:tab w:val="clear" w:pos="7892"/>
              <w:tab w:val="right" w:pos="9026" w:leader="dot"/>
            </w:tabs>
            <w:rPr/>
          </w:pPr>
          <w:hyperlink w:anchor="__RefHeading___Toc686352_3406789950">
            <w:r>
              <w:rPr>
                <w:webHidden/>
                <w:rStyle w:val="IndexLink"/>
                <w:rtl w:val="true"/>
              </w:rPr>
              <w:t>المسألة الثامنة في حكم ما إذا رأت الدم ثلاثة أيّام فانقطع ثمّ رأته بعدها</w:t>
            </w:r>
            <w:r>
              <w:rPr>
                <w:rStyle w:val="IndexLink"/>
                <w:rtl w:val="true"/>
              </w:rPr>
              <w:tab/>
            </w:r>
            <w:r>
              <w:rPr>
                <w:rStyle w:val="IndexLink"/>
              </w:rPr>
              <w:t>199</w:t>
            </w:r>
          </w:hyperlink>
        </w:p>
        <w:p>
          <w:pPr>
            <w:pStyle w:val="Contents6"/>
            <w:tabs>
              <w:tab w:val="clear" w:pos="7609"/>
              <w:tab w:val="right" w:pos="9026" w:leader="dot"/>
            </w:tabs>
            <w:rPr/>
          </w:pPr>
          <w:hyperlink w:anchor="__RefHeading___Toc686354_3406789950">
            <w:r>
              <w:rPr>
                <w:webHidden/>
                <w:rStyle w:val="IndexLink"/>
                <w:rtl w:val="true"/>
              </w:rPr>
              <w:t>اشارة</w:t>
            </w:r>
            <w:r>
              <w:rPr>
                <w:rStyle w:val="IndexLink"/>
                <w:rtl w:val="true"/>
              </w:rPr>
              <w:tab/>
            </w:r>
            <w:r>
              <w:rPr>
                <w:rStyle w:val="IndexLink"/>
              </w:rPr>
              <w:t>199</w:t>
            </w:r>
          </w:hyperlink>
        </w:p>
        <w:p>
          <w:pPr>
            <w:pStyle w:val="Contents6"/>
            <w:tabs>
              <w:tab w:val="clear" w:pos="7609"/>
              <w:tab w:val="right" w:pos="9026" w:leader="dot"/>
            </w:tabs>
            <w:rPr/>
          </w:pPr>
          <w:hyperlink w:anchor="__RefHeading___Toc686356_3406789950">
            <w:r>
              <w:rPr>
                <w:webHidden/>
                <w:rStyle w:val="IndexLink"/>
                <w:rtl w:val="true"/>
              </w:rPr>
              <w:t>حكم الدم الأوّل</w:t>
            </w:r>
            <w:r>
              <w:rPr>
                <w:rStyle w:val="IndexLink"/>
                <w:rtl w:val="true"/>
              </w:rPr>
              <w:tab/>
            </w:r>
            <w:r>
              <w:rPr>
                <w:rStyle w:val="IndexLink"/>
              </w:rPr>
              <w:t>199</w:t>
            </w:r>
          </w:hyperlink>
        </w:p>
        <w:p>
          <w:pPr>
            <w:pStyle w:val="Contents6"/>
            <w:tabs>
              <w:tab w:val="clear" w:pos="7609"/>
              <w:tab w:val="right" w:pos="9026" w:leader="dot"/>
            </w:tabs>
            <w:rPr/>
          </w:pPr>
          <w:hyperlink w:anchor="__RefHeading___Toc686358_3406789950">
            <w:r>
              <w:rPr>
                <w:webHidden/>
                <w:rStyle w:val="IndexLink"/>
                <w:rtl w:val="true"/>
              </w:rPr>
              <w:t>حكم الدم الثاني</w:t>
            </w:r>
            <w:r>
              <w:rPr>
                <w:rStyle w:val="IndexLink"/>
                <w:rtl w:val="true"/>
              </w:rPr>
              <w:tab/>
            </w:r>
            <w:r>
              <w:rPr>
                <w:rStyle w:val="IndexLink"/>
              </w:rPr>
              <w:t>200</w:t>
            </w:r>
          </w:hyperlink>
        </w:p>
        <w:p>
          <w:pPr>
            <w:pStyle w:val="Contents5"/>
            <w:tabs>
              <w:tab w:val="clear" w:pos="7892"/>
              <w:tab w:val="right" w:pos="9026" w:leader="dot"/>
            </w:tabs>
            <w:rPr/>
          </w:pPr>
          <w:hyperlink w:anchor="__RefHeading___Toc686360_3406789950">
            <w:r>
              <w:rPr>
                <w:webHidden/>
                <w:rStyle w:val="IndexLink"/>
                <w:rtl w:val="true"/>
              </w:rPr>
              <w:t>المسألة التاسعة في وجوب الاستبراء عند الانقطاع لدون العشرة</w:t>
            </w:r>
            <w:r>
              <w:rPr>
                <w:rStyle w:val="IndexLink"/>
                <w:rtl w:val="true"/>
              </w:rPr>
              <w:tab/>
            </w:r>
            <w:r>
              <w:rPr>
                <w:rStyle w:val="IndexLink"/>
              </w:rPr>
              <w:t>204</w:t>
            </w:r>
          </w:hyperlink>
        </w:p>
        <w:p>
          <w:pPr>
            <w:pStyle w:val="Contents6"/>
            <w:tabs>
              <w:tab w:val="clear" w:pos="7609"/>
              <w:tab w:val="right" w:pos="9026" w:leader="dot"/>
            </w:tabs>
            <w:rPr/>
          </w:pPr>
          <w:hyperlink w:anchor="__RefHeading___Toc686362_3406789950">
            <w:r>
              <w:rPr>
                <w:webHidden/>
                <w:rStyle w:val="IndexLink"/>
                <w:rtl w:val="true"/>
              </w:rPr>
              <w:t>اشارة</w:t>
            </w:r>
            <w:r>
              <w:rPr>
                <w:rStyle w:val="IndexLink"/>
                <w:rtl w:val="true"/>
              </w:rPr>
              <w:tab/>
            </w:r>
            <w:r>
              <w:rPr>
                <w:rStyle w:val="IndexLink"/>
              </w:rPr>
              <w:t>204</w:t>
            </w:r>
          </w:hyperlink>
        </w:p>
        <w:p>
          <w:pPr>
            <w:pStyle w:val="Contents6"/>
            <w:tabs>
              <w:tab w:val="clear" w:pos="7609"/>
              <w:tab w:val="right" w:pos="9026" w:leader="dot"/>
            </w:tabs>
            <w:rPr/>
          </w:pPr>
          <w:hyperlink w:anchor="__RefHeading___Toc686364_3406789950">
            <w:r>
              <w:rPr>
                <w:webHidden/>
                <w:rStyle w:val="IndexLink"/>
                <w:rtl w:val="true"/>
              </w:rPr>
              <w:t>الاستدلال على وجوب الاستبراء بالأخبار</w:t>
            </w:r>
            <w:r>
              <w:rPr>
                <w:rStyle w:val="IndexLink"/>
                <w:rtl w:val="true"/>
              </w:rPr>
              <w:tab/>
            </w:r>
            <w:r>
              <w:rPr>
                <w:rStyle w:val="IndexLink"/>
              </w:rPr>
              <w:t>205</w:t>
            </w:r>
          </w:hyperlink>
        </w:p>
        <w:p>
          <w:pPr>
            <w:pStyle w:val="Contents6"/>
            <w:tabs>
              <w:tab w:val="clear" w:pos="7609"/>
              <w:tab w:val="right" w:pos="9026" w:leader="dot"/>
            </w:tabs>
            <w:rPr/>
          </w:pPr>
          <w:hyperlink w:anchor="__RefHeading___Toc686366_3406789950">
            <w:r>
              <w:rPr>
                <w:webHidden/>
                <w:rStyle w:val="IndexLink"/>
                <w:rtl w:val="true"/>
              </w:rPr>
              <w:t>هل يجب الاستبراء ثانياً وثالثاً ؟</w:t>
            </w:r>
            <w:r>
              <w:rPr>
                <w:rStyle w:val="IndexLink"/>
                <w:rtl w:val="true"/>
              </w:rPr>
              <w:tab/>
            </w:r>
            <w:r>
              <w:rPr>
                <w:rStyle w:val="IndexLink"/>
              </w:rPr>
              <w:t>209</w:t>
            </w:r>
          </w:hyperlink>
        </w:p>
        <w:p>
          <w:pPr>
            <w:pStyle w:val="Contents6"/>
            <w:tabs>
              <w:tab w:val="clear" w:pos="7609"/>
              <w:tab w:val="right" w:pos="9026" w:leader="dot"/>
            </w:tabs>
            <w:rPr/>
          </w:pPr>
          <w:hyperlink w:anchor="__RefHeading___Toc686368_3406789950">
            <w:r>
              <w:rPr>
                <w:webHidden/>
                <w:rStyle w:val="IndexLink"/>
                <w:rtl w:val="true"/>
              </w:rPr>
              <w:t>حكم نسيان الاستبراء</w:t>
            </w:r>
            <w:r>
              <w:rPr>
                <w:rStyle w:val="IndexLink"/>
                <w:rtl w:val="true"/>
              </w:rPr>
              <w:tab/>
            </w:r>
            <w:r>
              <w:rPr>
                <w:rStyle w:val="IndexLink"/>
              </w:rPr>
              <w:t>210</w:t>
            </w:r>
          </w:hyperlink>
        </w:p>
        <w:p>
          <w:pPr>
            <w:pStyle w:val="Contents6"/>
            <w:tabs>
              <w:tab w:val="clear" w:pos="7609"/>
              <w:tab w:val="right" w:pos="9026" w:leader="dot"/>
            </w:tabs>
            <w:rPr/>
          </w:pPr>
          <w:hyperlink w:anchor="__RefHeading___Toc686370_3406789950">
            <w:r>
              <w:rPr>
                <w:webHidden/>
                <w:rStyle w:val="IndexLink"/>
                <w:rtl w:val="true"/>
              </w:rPr>
              <w:t>حول سقوط شرطية الاستبراء مع تعذّره</w:t>
            </w:r>
            <w:r>
              <w:rPr>
                <w:rStyle w:val="IndexLink"/>
                <w:rtl w:val="true"/>
              </w:rPr>
              <w:tab/>
            </w:r>
            <w:r>
              <w:rPr>
                <w:rStyle w:val="IndexLink"/>
              </w:rPr>
              <w:t>211</w:t>
            </w:r>
          </w:hyperlink>
        </w:p>
        <w:p>
          <w:pPr>
            <w:pStyle w:val="Contents6"/>
            <w:tabs>
              <w:tab w:val="clear" w:pos="7609"/>
              <w:tab w:val="right" w:pos="9026" w:leader="dot"/>
            </w:tabs>
            <w:rPr/>
          </w:pPr>
          <w:hyperlink w:anchor="__RefHeading___Toc686372_3406789950">
            <w:r>
              <w:rPr>
                <w:webHidden/>
                <w:rStyle w:val="IndexLink"/>
                <w:rtl w:val="true"/>
              </w:rPr>
              <w:t>كيفية الاستبراء</w:t>
            </w:r>
            <w:r>
              <w:rPr>
                <w:rStyle w:val="IndexLink"/>
                <w:rtl w:val="true"/>
              </w:rPr>
              <w:tab/>
            </w:r>
            <w:r>
              <w:rPr>
                <w:rStyle w:val="IndexLink"/>
              </w:rPr>
              <w:t>212</w:t>
            </w:r>
          </w:hyperlink>
        </w:p>
        <w:p>
          <w:pPr>
            <w:pStyle w:val="Contents5"/>
            <w:tabs>
              <w:tab w:val="clear" w:pos="7892"/>
              <w:tab w:val="right" w:pos="9026" w:leader="dot"/>
            </w:tabs>
            <w:rPr/>
          </w:pPr>
          <w:hyperlink w:anchor="__RefHeading___Toc686374_3406789950">
            <w:r>
              <w:rPr>
                <w:webHidden/>
                <w:rStyle w:val="IndexLink"/>
                <w:rtl w:val="true"/>
              </w:rPr>
              <w:t>المسألة العاشرة في صور ما بعد الاستبراء وبيان أحكامها</w:t>
            </w:r>
            <w:r>
              <w:rPr>
                <w:rStyle w:val="IndexLink"/>
                <w:rtl w:val="true"/>
              </w:rPr>
              <w:tab/>
            </w:r>
            <w:r>
              <w:rPr>
                <w:rStyle w:val="IndexLink"/>
              </w:rPr>
              <w:t>214</w:t>
            </w:r>
          </w:hyperlink>
        </w:p>
        <w:p>
          <w:pPr>
            <w:pStyle w:val="Contents6"/>
            <w:tabs>
              <w:tab w:val="clear" w:pos="7609"/>
              <w:tab w:val="right" w:pos="9026" w:leader="dot"/>
            </w:tabs>
            <w:rPr/>
          </w:pPr>
          <w:hyperlink w:anchor="__RefHeading___Toc686376_3406789950">
            <w:r>
              <w:rPr>
                <w:webHidden/>
                <w:rStyle w:val="IndexLink"/>
                <w:rtl w:val="true"/>
              </w:rPr>
              <w:t>اشارة</w:t>
            </w:r>
            <w:r>
              <w:rPr>
                <w:rStyle w:val="IndexLink"/>
                <w:rtl w:val="true"/>
              </w:rPr>
              <w:tab/>
            </w:r>
            <w:r>
              <w:rPr>
                <w:rStyle w:val="IndexLink"/>
              </w:rPr>
              <w:t>214</w:t>
            </w:r>
          </w:hyperlink>
        </w:p>
        <w:p>
          <w:pPr>
            <w:pStyle w:val="Contents6"/>
            <w:tabs>
              <w:tab w:val="clear" w:pos="7609"/>
              <w:tab w:val="right" w:pos="9026" w:leader="dot"/>
            </w:tabs>
            <w:rPr/>
          </w:pPr>
          <w:hyperlink w:anchor="__RefHeading___Toc686378_3406789950">
            <w:r>
              <w:rPr>
                <w:webHidden/>
                <w:rStyle w:val="IndexLink"/>
                <w:rtl w:val="true"/>
              </w:rPr>
              <w:t xml:space="preserve">الصورة الاُولى </w:t>
            </w:r>
            <w:r>
              <w:rPr>
                <w:rStyle w:val="IndexLink"/>
                <w:rtl w:val="true"/>
              </w:rPr>
              <w:t xml:space="preserve">: </w:t>
            </w:r>
            <w:r>
              <w:rPr>
                <w:rStyle w:val="IndexLink"/>
                <w:rtl w:val="true"/>
              </w:rPr>
              <w:t>فيما إذا خرجت القطنة نقيّة بعد الاستبراء</w:t>
            </w:r>
            <w:r>
              <w:rPr>
                <w:rStyle w:val="IndexLink"/>
                <w:rtl w:val="true"/>
              </w:rPr>
              <w:tab/>
            </w:r>
            <w:r>
              <w:rPr>
                <w:rStyle w:val="IndexLink"/>
              </w:rPr>
              <w:t>214</w:t>
            </w:r>
          </w:hyperlink>
        </w:p>
        <w:p>
          <w:pPr>
            <w:pStyle w:val="Contents6"/>
            <w:tabs>
              <w:tab w:val="clear" w:pos="7609"/>
              <w:tab w:val="right" w:pos="9026" w:leader="dot"/>
            </w:tabs>
            <w:rPr/>
          </w:pPr>
          <w:hyperlink w:anchor="__RefHeading___Toc686380_3406789950">
            <w:r>
              <w:rPr>
                <w:webHidden/>
                <w:rStyle w:val="IndexLink"/>
                <w:rtl w:val="true"/>
              </w:rPr>
              <w:t>الصورة الثانية فيما إذا خرجت القطنة ملوّثة بالحمرة أو الصفرة</w:t>
            </w:r>
            <w:r>
              <w:rPr>
                <w:rStyle w:val="IndexLink"/>
                <w:rtl w:val="true"/>
              </w:rPr>
              <w:tab/>
            </w:r>
            <w:r>
              <w:rPr>
                <w:rStyle w:val="IndexLink"/>
              </w:rPr>
              <w:t>216</w:t>
            </w:r>
          </w:hyperlink>
        </w:p>
        <w:p>
          <w:pPr>
            <w:pStyle w:val="Contents6"/>
            <w:tabs>
              <w:tab w:val="clear" w:pos="7609"/>
              <w:tab w:val="right" w:pos="9026" w:leader="dot"/>
            </w:tabs>
            <w:rPr/>
          </w:pPr>
          <w:hyperlink w:anchor="__RefHeading___Toc686382_3406789950">
            <w:r>
              <w:rPr>
                <w:webHidden/>
                <w:rStyle w:val="IndexLink"/>
                <w:rtl w:val="true"/>
              </w:rPr>
              <w:t>الصورة الثالثة في حكم ما إذا رأت ذات العادة بعد أيّامها صفرة</w:t>
            </w:r>
            <w:r>
              <w:rPr>
                <w:rStyle w:val="IndexLink"/>
                <w:rtl w:val="true"/>
              </w:rPr>
              <w:tab/>
            </w:r>
            <w:r>
              <w:rPr>
                <w:rStyle w:val="IndexLink"/>
              </w:rPr>
              <w:t>220</w:t>
            </w:r>
          </w:hyperlink>
        </w:p>
        <w:p>
          <w:pPr>
            <w:pStyle w:val="Contents6"/>
            <w:tabs>
              <w:tab w:val="clear" w:pos="7609"/>
              <w:tab w:val="right" w:pos="9026" w:leader="dot"/>
            </w:tabs>
            <w:rPr/>
          </w:pPr>
          <w:hyperlink w:anchor="__RefHeading___Toc686384_3406789950">
            <w:r>
              <w:rPr>
                <w:webHidden/>
                <w:rStyle w:val="IndexLink"/>
                <w:rtl w:val="true"/>
              </w:rPr>
              <w:t>الصورة الرابعة في حكم ذات العادة مع تلوّث القطنة بعد أيّامها</w:t>
            </w:r>
            <w:r>
              <w:rPr>
                <w:rStyle w:val="IndexLink"/>
                <w:rtl w:val="true"/>
              </w:rPr>
              <w:tab/>
            </w:r>
            <w:r>
              <w:rPr>
                <w:rStyle w:val="IndexLink"/>
              </w:rPr>
              <w:t>222</w:t>
            </w:r>
          </w:hyperlink>
        </w:p>
        <w:p>
          <w:pPr>
            <w:pStyle w:val="Contents6"/>
            <w:tabs>
              <w:tab w:val="clear" w:pos="7609"/>
              <w:tab w:val="right" w:pos="9026" w:leader="dot"/>
            </w:tabs>
            <w:rPr/>
          </w:pPr>
          <w:hyperlink w:anchor="__RefHeading___Toc686386_3406789950">
            <w:r>
              <w:rPr>
                <w:webHidden/>
                <w:rStyle w:val="IndexLink"/>
                <w:rtl w:val="true"/>
              </w:rPr>
              <w:t>اشارة</w:t>
            </w:r>
            <w:r>
              <w:rPr>
                <w:rStyle w:val="IndexLink"/>
                <w:rtl w:val="true"/>
              </w:rPr>
              <w:tab/>
            </w:r>
            <w:r>
              <w:rPr>
                <w:rStyle w:val="IndexLink"/>
              </w:rPr>
              <w:t>222</w:t>
            </w:r>
          </w:hyperlink>
        </w:p>
        <w:p>
          <w:pPr>
            <w:pStyle w:val="Contents6"/>
            <w:tabs>
              <w:tab w:val="clear" w:pos="7609"/>
              <w:tab w:val="right" w:pos="9026" w:leader="dot"/>
            </w:tabs>
            <w:rPr/>
          </w:pPr>
          <w:hyperlink w:anchor="__RefHeading___Toc686388_3406789950">
            <w:r>
              <w:rPr>
                <w:webHidden/>
                <w:rStyle w:val="IndexLink"/>
                <w:rtl w:val="true"/>
              </w:rPr>
              <w:t>مقتضى القاعدة في المقام</w:t>
            </w:r>
            <w:r>
              <w:rPr>
                <w:rStyle w:val="IndexLink"/>
                <w:rtl w:val="true"/>
              </w:rPr>
              <w:tab/>
            </w:r>
            <w:r>
              <w:rPr>
                <w:rStyle w:val="IndexLink"/>
              </w:rPr>
              <w:t>222</w:t>
            </w:r>
          </w:hyperlink>
        </w:p>
        <w:p>
          <w:pPr>
            <w:pStyle w:val="Contents6"/>
            <w:tabs>
              <w:tab w:val="clear" w:pos="7609"/>
              <w:tab w:val="right" w:pos="9026" w:leader="dot"/>
            </w:tabs>
            <w:rPr/>
          </w:pPr>
          <w:hyperlink w:anchor="__RefHeading___Toc686390_3406789950">
            <w:r>
              <w:rPr>
                <w:webHidden/>
                <w:rStyle w:val="IndexLink"/>
                <w:rtl w:val="true"/>
              </w:rPr>
              <w:t xml:space="preserve">الجهة الاُولى </w:t>
            </w:r>
            <w:r>
              <w:rPr>
                <w:rStyle w:val="IndexLink"/>
                <w:rtl w:val="true"/>
              </w:rPr>
              <w:t xml:space="preserve">: </w:t>
            </w:r>
            <w:r>
              <w:rPr>
                <w:rStyle w:val="IndexLink"/>
                <w:rtl w:val="true"/>
              </w:rPr>
              <w:t>في مصبّ أخبار الاستظهار وموردها</w:t>
            </w:r>
            <w:r>
              <w:rPr>
                <w:rStyle w:val="IndexLink"/>
                <w:rtl w:val="true"/>
              </w:rPr>
              <w:tab/>
            </w:r>
            <w:r>
              <w:rPr>
                <w:rStyle w:val="IndexLink"/>
              </w:rPr>
              <w:t>223</w:t>
            </w:r>
          </w:hyperlink>
        </w:p>
        <w:p>
          <w:pPr>
            <w:pStyle w:val="Contents6"/>
            <w:tabs>
              <w:tab w:val="clear" w:pos="7609"/>
              <w:tab w:val="right" w:pos="9026" w:leader="dot"/>
            </w:tabs>
            <w:rPr/>
          </w:pPr>
          <w:hyperlink w:anchor="__RefHeading___Toc686392_3406789950">
            <w:r>
              <w:rPr>
                <w:webHidden/>
                <w:rStyle w:val="IndexLink"/>
                <w:rtl w:val="true"/>
              </w:rPr>
              <w:t xml:space="preserve">الجهة الثانية </w:t>
            </w:r>
            <w:r>
              <w:rPr>
                <w:rStyle w:val="IndexLink"/>
                <w:rtl w:val="true"/>
              </w:rPr>
              <w:t xml:space="preserve">: </w:t>
            </w:r>
            <w:r>
              <w:rPr>
                <w:rStyle w:val="IndexLink"/>
                <w:rtl w:val="true"/>
              </w:rPr>
              <w:t>في اختلاف أخبار الاستظهار</w:t>
            </w:r>
            <w:r>
              <w:rPr>
                <w:rStyle w:val="IndexLink"/>
                <w:rtl w:val="true"/>
              </w:rPr>
              <w:tab/>
            </w:r>
            <w:r>
              <w:rPr>
                <w:rStyle w:val="IndexLink"/>
              </w:rPr>
              <w:t>227</w:t>
            </w:r>
          </w:hyperlink>
        </w:p>
        <w:p>
          <w:pPr>
            <w:pStyle w:val="Contents6"/>
            <w:tabs>
              <w:tab w:val="clear" w:pos="7609"/>
              <w:tab w:val="right" w:pos="9026" w:leader="dot"/>
            </w:tabs>
            <w:rPr/>
          </w:pPr>
          <w:hyperlink w:anchor="__RefHeading___Toc686394_3406789950">
            <w:r>
              <w:rPr>
                <w:webHidden/>
                <w:rStyle w:val="IndexLink"/>
                <w:rtl w:val="true"/>
              </w:rPr>
              <w:t>تعارض روايات الاستظهار مع أدلّة الاقتصار وبيان وجه الجمع بينها</w:t>
            </w:r>
            <w:r>
              <w:rPr>
                <w:rStyle w:val="IndexLink"/>
                <w:rtl w:val="true"/>
              </w:rPr>
              <w:tab/>
            </w:r>
            <w:r>
              <w:rPr>
                <w:rStyle w:val="IndexLink"/>
              </w:rPr>
              <w:t>230</w:t>
            </w:r>
          </w:hyperlink>
        </w:p>
        <w:p>
          <w:pPr>
            <w:pStyle w:val="Contents6"/>
            <w:tabs>
              <w:tab w:val="clear" w:pos="7609"/>
              <w:tab w:val="right" w:pos="9026" w:leader="dot"/>
            </w:tabs>
            <w:rPr/>
          </w:pPr>
          <w:hyperlink w:anchor="__RefHeading___Toc686396_3406789950">
            <w:r>
              <w:rPr>
                <w:webHidden/>
                <w:rStyle w:val="IndexLink"/>
                <w:rtl w:val="true"/>
              </w:rPr>
              <w:t>رجحان الحمل على الإرشاد العقلي على ما ذكره المحقّقون</w:t>
            </w:r>
            <w:r>
              <w:rPr>
                <w:rStyle w:val="IndexLink"/>
                <w:rtl w:val="true"/>
              </w:rPr>
              <w:tab/>
            </w:r>
            <w:r>
              <w:rPr>
                <w:rStyle w:val="IndexLink"/>
              </w:rPr>
              <w:t>233</w:t>
            </w:r>
          </w:hyperlink>
        </w:p>
        <w:p>
          <w:pPr>
            <w:pStyle w:val="Contents6"/>
            <w:tabs>
              <w:tab w:val="clear" w:pos="7609"/>
              <w:tab w:val="right" w:pos="9026" w:leader="dot"/>
            </w:tabs>
            <w:rPr/>
          </w:pPr>
          <w:hyperlink w:anchor="__RefHeading___Toc686398_3406789950">
            <w:r>
              <w:rPr>
                <w:webHidden/>
                <w:rStyle w:val="IndexLink"/>
                <w:rtl w:val="true"/>
              </w:rPr>
              <w:t>تتميم</w:t>
            </w:r>
            <w:r>
              <w:rPr>
                <w:rStyle w:val="IndexLink"/>
                <w:rtl w:val="true"/>
              </w:rPr>
              <w:tab/>
            </w:r>
            <w:r>
              <w:rPr>
                <w:rStyle w:val="IndexLink"/>
              </w:rPr>
              <w:t>236</w:t>
            </w:r>
          </w:hyperlink>
        </w:p>
        <w:p>
          <w:pPr>
            <w:pStyle w:val="Contents6"/>
            <w:tabs>
              <w:tab w:val="clear" w:pos="7609"/>
              <w:tab w:val="right" w:pos="9026" w:leader="dot"/>
            </w:tabs>
            <w:rPr/>
          </w:pPr>
          <w:hyperlink w:anchor="__RefHeading___Toc686400_3406789950">
            <w:r>
              <w:rPr>
                <w:webHidden/>
                <w:rStyle w:val="IndexLink"/>
                <w:rtl w:val="true"/>
              </w:rPr>
              <w:t>حيضية جميع الأيّام فيما لو انقطع على العشرة</w:t>
            </w:r>
            <w:r>
              <w:rPr>
                <w:rStyle w:val="IndexLink"/>
                <w:rtl w:val="true"/>
              </w:rPr>
              <w:tab/>
            </w:r>
            <w:r>
              <w:rPr>
                <w:rStyle w:val="IndexLink"/>
              </w:rPr>
              <w:t>236</w:t>
            </w:r>
          </w:hyperlink>
        </w:p>
        <w:p>
          <w:pPr>
            <w:pStyle w:val="Contents6"/>
            <w:tabs>
              <w:tab w:val="clear" w:pos="7609"/>
              <w:tab w:val="right" w:pos="9026" w:leader="dot"/>
            </w:tabs>
            <w:rPr/>
          </w:pPr>
          <w:hyperlink w:anchor="__RefHeading___Toc686402_3406789950">
            <w:r>
              <w:rPr>
                <w:webHidden/>
                <w:rStyle w:val="IndexLink"/>
                <w:rtl w:val="true"/>
              </w:rPr>
              <w:t>حيضية خصوص أيّام العادة مع تجاوز الدم عن العشرة</w:t>
            </w:r>
            <w:r>
              <w:rPr>
                <w:rStyle w:val="IndexLink"/>
                <w:rtl w:val="true"/>
              </w:rPr>
              <w:tab/>
            </w:r>
            <w:r>
              <w:rPr>
                <w:rStyle w:val="IndexLink"/>
              </w:rPr>
              <w:t>238</w:t>
            </w:r>
          </w:hyperlink>
        </w:p>
        <w:p>
          <w:pPr>
            <w:pStyle w:val="Contents6"/>
            <w:tabs>
              <w:tab w:val="clear" w:pos="7609"/>
              <w:tab w:val="right" w:pos="9026" w:leader="dot"/>
            </w:tabs>
            <w:rPr/>
          </w:pPr>
          <w:hyperlink w:anchor="__RefHeading___Toc686404_3406789950">
            <w:r>
              <w:rPr>
                <w:webHidden/>
                <w:rStyle w:val="IndexLink"/>
                <w:rtl w:val="true"/>
              </w:rPr>
              <w:t>لزوم قضاء الصوم مع انقطاع الدم على العشرة</w:t>
            </w:r>
            <w:r>
              <w:rPr>
                <w:rStyle w:val="IndexLink"/>
                <w:rtl w:val="true"/>
              </w:rPr>
              <w:tab/>
            </w:r>
            <w:r>
              <w:rPr>
                <w:rStyle w:val="IndexLink"/>
              </w:rPr>
              <w:t>239</w:t>
            </w:r>
          </w:hyperlink>
        </w:p>
        <w:p>
          <w:pPr>
            <w:pStyle w:val="Contents6"/>
            <w:tabs>
              <w:tab w:val="clear" w:pos="7609"/>
              <w:tab w:val="right" w:pos="9026" w:leader="dot"/>
            </w:tabs>
            <w:rPr/>
          </w:pPr>
          <w:hyperlink w:anchor="__RefHeading___Toc686406_3406789950">
            <w:r>
              <w:rPr>
                <w:webHidden/>
                <w:rStyle w:val="IndexLink"/>
                <w:rtl w:val="true"/>
              </w:rPr>
              <w:t>صحّة صيام ما بعد العادة مع تجاوز العشرة</w:t>
            </w:r>
            <w:r>
              <w:rPr>
                <w:rStyle w:val="IndexLink"/>
                <w:rtl w:val="true"/>
              </w:rPr>
              <w:tab/>
            </w:r>
            <w:r>
              <w:rPr>
                <w:rStyle w:val="IndexLink"/>
              </w:rPr>
              <w:t>239</w:t>
            </w:r>
          </w:hyperlink>
        </w:p>
        <w:p>
          <w:pPr>
            <w:pStyle w:val="Contents4"/>
            <w:tabs>
              <w:tab w:val="clear" w:pos="8176"/>
              <w:tab w:val="right" w:pos="9026" w:leader="dot"/>
            </w:tabs>
            <w:rPr/>
          </w:pPr>
          <w:hyperlink w:anchor="__RefHeading___Toc686408_3406789950">
            <w:r>
              <w:rPr>
                <w:webHidden/>
                <w:rStyle w:val="IndexLink"/>
                <w:rtl w:val="true"/>
              </w:rPr>
              <w:t>المطلب الرابع في بعض مهمّات أحكام الحيض والحائض</w:t>
            </w:r>
            <w:r>
              <w:rPr>
                <w:rStyle w:val="IndexLink"/>
                <w:rtl w:val="true"/>
              </w:rPr>
              <w:tab/>
            </w:r>
            <w:r>
              <w:rPr>
                <w:rStyle w:val="IndexLink"/>
              </w:rPr>
              <w:t>241</w:t>
            </w:r>
          </w:hyperlink>
        </w:p>
        <w:p>
          <w:pPr>
            <w:pStyle w:val="Contents5"/>
            <w:tabs>
              <w:tab w:val="clear" w:pos="7892"/>
              <w:tab w:val="right" w:pos="9026" w:leader="dot"/>
            </w:tabs>
            <w:rPr/>
          </w:pPr>
          <w:hyperlink w:anchor="__RefHeading___Toc686410_3406789950">
            <w:r>
              <w:rPr>
                <w:webHidden/>
                <w:rStyle w:val="IndexLink"/>
                <w:rtl w:val="true"/>
              </w:rPr>
              <w:t>اشارة</w:t>
            </w:r>
            <w:r>
              <w:rPr>
                <w:rStyle w:val="IndexLink"/>
                <w:rtl w:val="true"/>
              </w:rPr>
              <w:tab/>
            </w:r>
            <w:r>
              <w:rPr>
                <w:rStyle w:val="IndexLink"/>
              </w:rPr>
              <w:t>241</w:t>
            </w:r>
          </w:hyperlink>
        </w:p>
        <w:p>
          <w:pPr>
            <w:pStyle w:val="Contents5"/>
            <w:tabs>
              <w:tab w:val="clear" w:pos="7892"/>
              <w:tab w:val="right" w:pos="9026" w:leader="dot"/>
            </w:tabs>
            <w:rPr/>
          </w:pPr>
          <w:hyperlink w:anchor="__RefHeading___Toc686412_3406789950">
            <w:r>
              <w:rPr>
                <w:webHidden/>
                <w:rStyle w:val="IndexLink"/>
                <w:rtl w:val="true"/>
              </w:rPr>
              <w:t xml:space="preserve">الأمر الأوّل </w:t>
            </w:r>
            <w:r>
              <w:rPr>
                <w:rStyle w:val="IndexLink"/>
                <w:rtl w:val="true"/>
              </w:rPr>
              <w:t xml:space="preserve">: </w:t>
            </w:r>
            <w:r>
              <w:rPr>
                <w:rStyle w:val="IndexLink"/>
                <w:rtl w:val="true"/>
              </w:rPr>
              <w:t>حرمة الوط‌ء</w:t>
            </w:r>
            <w:r>
              <w:rPr>
                <w:rStyle w:val="IndexLink"/>
                <w:rtl w:val="true"/>
              </w:rPr>
              <w:tab/>
            </w:r>
            <w:r>
              <w:rPr>
                <w:rStyle w:val="IndexLink"/>
              </w:rPr>
              <w:t>241</w:t>
            </w:r>
          </w:hyperlink>
        </w:p>
        <w:p>
          <w:pPr>
            <w:pStyle w:val="Contents6"/>
            <w:tabs>
              <w:tab w:val="clear" w:pos="7609"/>
              <w:tab w:val="right" w:pos="9026" w:leader="dot"/>
            </w:tabs>
            <w:rPr/>
          </w:pPr>
          <w:hyperlink w:anchor="__RefHeading___Toc686414_3406789950">
            <w:r>
              <w:rPr>
                <w:webHidden/>
                <w:rStyle w:val="IndexLink"/>
                <w:rtl w:val="true"/>
              </w:rPr>
              <w:t>اشارة</w:t>
            </w:r>
            <w:r>
              <w:rPr>
                <w:rStyle w:val="IndexLink"/>
                <w:rtl w:val="true"/>
              </w:rPr>
              <w:tab/>
            </w:r>
            <w:r>
              <w:rPr>
                <w:rStyle w:val="IndexLink"/>
              </w:rPr>
              <w:t>241</w:t>
            </w:r>
          </w:hyperlink>
        </w:p>
        <w:p>
          <w:pPr>
            <w:pStyle w:val="Contents6"/>
            <w:tabs>
              <w:tab w:val="clear" w:pos="7609"/>
              <w:tab w:val="right" w:pos="9026" w:leader="dot"/>
            </w:tabs>
            <w:rPr/>
          </w:pPr>
          <w:hyperlink w:anchor="__RefHeading___Toc686416_3406789950">
            <w:r>
              <w:rPr>
                <w:webHidden/>
                <w:rStyle w:val="IndexLink"/>
                <w:rtl w:val="true"/>
              </w:rPr>
              <w:t>في لحوق أيّام الاستظهار بالحيض في جميع أحكامه</w:t>
            </w:r>
            <w:r>
              <w:rPr>
                <w:rStyle w:val="IndexLink"/>
                <w:rtl w:val="true"/>
              </w:rPr>
              <w:tab/>
            </w:r>
            <w:r>
              <w:rPr>
                <w:rStyle w:val="IndexLink"/>
              </w:rPr>
              <w:t>244</w:t>
            </w:r>
          </w:hyperlink>
        </w:p>
        <w:p>
          <w:pPr>
            <w:pStyle w:val="Contents6"/>
            <w:tabs>
              <w:tab w:val="clear" w:pos="7609"/>
              <w:tab w:val="right" w:pos="9026" w:leader="dot"/>
            </w:tabs>
            <w:rPr/>
          </w:pPr>
          <w:hyperlink w:anchor="__RefHeading___Toc686418_3406789950">
            <w:r>
              <w:rPr>
                <w:webHidden/>
                <w:rStyle w:val="IndexLink"/>
                <w:rtl w:val="true"/>
              </w:rPr>
              <w:t>مقتضى أدلّة الاستظهار</w:t>
            </w:r>
            <w:r>
              <w:rPr>
                <w:rStyle w:val="IndexLink"/>
                <w:rtl w:val="true"/>
              </w:rPr>
              <w:tab/>
            </w:r>
            <w:r>
              <w:rPr>
                <w:rStyle w:val="IndexLink"/>
              </w:rPr>
              <w:t>245</w:t>
            </w:r>
          </w:hyperlink>
        </w:p>
        <w:p>
          <w:pPr>
            <w:pStyle w:val="Contents6"/>
            <w:tabs>
              <w:tab w:val="clear" w:pos="7609"/>
              <w:tab w:val="right" w:pos="9026" w:leader="dot"/>
            </w:tabs>
            <w:rPr/>
          </w:pPr>
          <w:hyperlink w:anchor="__RefHeading___Toc686420_3406789950">
            <w:r>
              <w:rPr>
                <w:webHidden/>
                <w:rStyle w:val="IndexLink"/>
                <w:rtl w:val="true"/>
              </w:rPr>
              <w:t>الروايات التي يمكن استفادة الحرمة منها وجوابها</w:t>
            </w:r>
            <w:r>
              <w:rPr>
                <w:rStyle w:val="IndexLink"/>
                <w:rtl w:val="true"/>
              </w:rPr>
              <w:tab/>
            </w:r>
            <w:r>
              <w:rPr>
                <w:rStyle w:val="IndexLink"/>
              </w:rPr>
              <w:t>246</w:t>
            </w:r>
          </w:hyperlink>
        </w:p>
        <w:p>
          <w:pPr>
            <w:pStyle w:val="Contents5"/>
            <w:tabs>
              <w:tab w:val="clear" w:pos="7892"/>
              <w:tab w:val="right" w:pos="9026" w:leader="dot"/>
            </w:tabs>
            <w:rPr/>
          </w:pPr>
          <w:hyperlink w:anchor="__RefHeading___Toc686422_3406789950">
            <w:r>
              <w:rPr>
                <w:webHidden/>
                <w:rStyle w:val="IndexLink"/>
                <w:rtl w:val="true"/>
              </w:rPr>
              <w:t>الأمر الثاني فيما يجوز الاستمتاع به من الحائض</w:t>
            </w:r>
            <w:r>
              <w:rPr>
                <w:rStyle w:val="IndexLink"/>
                <w:rtl w:val="true"/>
              </w:rPr>
              <w:tab/>
            </w:r>
            <w:r>
              <w:rPr>
                <w:rStyle w:val="IndexLink"/>
              </w:rPr>
              <w:t>249</w:t>
            </w:r>
          </w:hyperlink>
        </w:p>
        <w:p>
          <w:pPr>
            <w:pStyle w:val="Contents6"/>
            <w:tabs>
              <w:tab w:val="clear" w:pos="7609"/>
              <w:tab w:val="right" w:pos="9026" w:leader="dot"/>
            </w:tabs>
            <w:rPr/>
          </w:pPr>
          <w:hyperlink w:anchor="__RefHeading___Toc686424_3406789950">
            <w:r>
              <w:rPr>
                <w:webHidden/>
                <w:rStyle w:val="IndexLink"/>
                <w:rtl w:val="true"/>
              </w:rPr>
              <w:t>اشارة</w:t>
            </w:r>
            <w:r>
              <w:rPr>
                <w:rStyle w:val="IndexLink"/>
                <w:rtl w:val="true"/>
              </w:rPr>
              <w:tab/>
            </w:r>
            <w:r>
              <w:rPr>
                <w:rStyle w:val="IndexLink"/>
              </w:rPr>
              <w:t>249</w:t>
            </w:r>
          </w:hyperlink>
        </w:p>
        <w:p>
          <w:pPr>
            <w:pStyle w:val="Contents6"/>
            <w:tabs>
              <w:tab w:val="clear" w:pos="7609"/>
              <w:tab w:val="right" w:pos="9026" w:leader="dot"/>
            </w:tabs>
            <w:rPr/>
          </w:pPr>
          <w:hyperlink w:anchor="__RefHeading___Toc686426_3406789950">
            <w:r>
              <w:rPr>
                <w:webHidden/>
                <w:rStyle w:val="IndexLink"/>
                <w:rtl w:val="true"/>
              </w:rPr>
              <w:t>عدم دلالة آية المحيض إلاّ على حرمة الوط‌ء في الفرج</w:t>
            </w:r>
            <w:r>
              <w:rPr>
                <w:rStyle w:val="IndexLink"/>
                <w:rtl w:val="true"/>
              </w:rPr>
              <w:tab/>
            </w:r>
            <w:r>
              <w:rPr>
                <w:rStyle w:val="IndexLink"/>
              </w:rPr>
              <w:t>250</w:t>
            </w:r>
          </w:hyperlink>
        </w:p>
        <w:p>
          <w:pPr>
            <w:pStyle w:val="Contents6"/>
            <w:tabs>
              <w:tab w:val="clear" w:pos="7609"/>
              <w:tab w:val="right" w:pos="9026" w:leader="dot"/>
            </w:tabs>
            <w:rPr/>
          </w:pPr>
          <w:hyperlink w:anchor="__RefHeading___Toc686428_3406789950">
            <w:r>
              <w:rPr>
                <w:webHidden/>
                <w:rStyle w:val="IndexLink"/>
                <w:rtl w:val="true"/>
              </w:rPr>
              <w:t>دلالة الأخبار على جواز الاستمتاع بغير الفرج</w:t>
            </w:r>
            <w:r>
              <w:rPr>
                <w:rStyle w:val="IndexLink"/>
                <w:rtl w:val="true"/>
              </w:rPr>
              <w:tab/>
            </w:r>
            <w:r>
              <w:rPr>
                <w:rStyle w:val="IndexLink"/>
              </w:rPr>
              <w:t>252</w:t>
            </w:r>
          </w:hyperlink>
        </w:p>
        <w:p>
          <w:pPr>
            <w:pStyle w:val="Contents6"/>
            <w:tabs>
              <w:tab w:val="clear" w:pos="7609"/>
              <w:tab w:val="right" w:pos="9026" w:leader="dot"/>
            </w:tabs>
            <w:rPr/>
          </w:pPr>
          <w:hyperlink w:anchor="__RefHeading___Toc686430_3406789950">
            <w:r>
              <w:rPr>
                <w:webHidden/>
                <w:rStyle w:val="IndexLink"/>
                <w:rtl w:val="true"/>
              </w:rPr>
              <w:t>الروايات التي قد يتوهّم معارضتها لما سبق وبيان وجه الجمع بينهما</w:t>
            </w:r>
            <w:r>
              <w:rPr>
                <w:rStyle w:val="IndexLink"/>
                <w:rtl w:val="true"/>
              </w:rPr>
              <w:tab/>
            </w:r>
            <w:r>
              <w:rPr>
                <w:rStyle w:val="IndexLink"/>
              </w:rPr>
              <w:t>253</w:t>
            </w:r>
          </w:hyperlink>
        </w:p>
        <w:p>
          <w:pPr>
            <w:pStyle w:val="Contents5"/>
            <w:tabs>
              <w:tab w:val="clear" w:pos="7892"/>
              <w:tab w:val="right" w:pos="9026" w:leader="dot"/>
            </w:tabs>
            <w:rPr/>
          </w:pPr>
          <w:hyperlink w:anchor="__RefHeading___Toc686432_3406789950">
            <w:r>
              <w:rPr>
                <w:webHidden/>
                <w:rStyle w:val="IndexLink"/>
                <w:rtl w:val="true"/>
              </w:rPr>
              <w:t>الأمر الثالث في كفّارة وط‌ء الحائض</w:t>
            </w:r>
            <w:r>
              <w:rPr>
                <w:rStyle w:val="IndexLink"/>
                <w:rtl w:val="true"/>
              </w:rPr>
              <w:tab/>
            </w:r>
            <w:r>
              <w:rPr>
                <w:rStyle w:val="IndexLink"/>
              </w:rPr>
              <w:t>255</w:t>
            </w:r>
          </w:hyperlink>
        </w:p>
        <w:p>
          <w:pPr>
            <w:pStyle w:val="Contents6"/>
            <w:tabs>
              <w:tab w:val="clear" w:pos="7609"/>
              <w:tab w:val="right" w:pos="9026" w:leader="dot"/>
            </w:tabs>
            <w:rPr/>
          </w:pPr>
          <w:hyperlink w:anchor="__RefHeading___Toc686434_3406789950">
            <w:r>
              <w:rPr>
                <w:webHidden/>
                <w:rStyle w:val="IndexLink"/>
                <w:rtl w:val="true"/>
              </w:rPr>
              <w:t>اشارة</w:t>
            </w:r>
            <w:r>
              <w:rPr>
                <w:rStyle w:val="IndexLink"/>
                <w:rtl w:val="true"/>
              </w:rPr>
              <w:tab/>
            </w:r>
            <w:r>
              <w:rPr>
                <w:rStyle w:val="IndexLink"/>
              </w:rPr>
              <w:t>255</w:t>
            </w:r>
          </w:hyperlink>
        </w:p>
        <w:p>
          <w:pPr>
            <w:pStyle w:val="Contents6"/>
            <w:tabs>
              <w:tab w:val="clear" w:pos="7609"/>
              <w:tab w:val="right" w:pos="9026" w:leader="dot"/>
            </w:tabs>
            <w:rPr/>
          </w:pPr>
          <w:hyperlink w:anchor="__RefHeading___Toc686436_3406789950">
            <w:r>
              <w:rPr>
                <w:webHidden/>
                <w:rStyle w:val="IndexLink"/>
                <w:rtl w:val="true"/>
              </w:rPr>
              <w:t>الروايات الدالّة على مختار القدماء من أصحابنا</w:t>
            </w:r>
            <w:r>
              <w:rPr>
                <w:rStyle w:val="IndexLink"/>
                <w:rtl w:val="true"/>
              </w:rPr>
              <w:tab/>
            </w:r>
            <w:r>
              <w:rPr>
                <w:rStyle w:val="IndexLink"/>
              </w:rPr>
              <w:t>256</w:t>
            </w:r>
          </w:hyperlink>
        </w:p>
        <w:p>
          <w:pPr>
            <w:pStyle w:val="Contents6"/>
            <w:tabs>
              <w:tab w:val="clear" w:pos="7609"/>
              <w:tab w:val="right" w:pos="9026" w:leader="dot"/>
            </w:tabs>
            <w:rPr/>
          </w:pPr>
          <w:hyperlink w:anchor="__RefHeading___Toc686438_3406789950">
            <w:r>
              <w:rPr>
                <w:webHidden/>
                <w:rStyle w:val="IndexLink"/>
                <w:rtl w:val="true"/>
              </w:rPr>
              <w:t>الروايات المنافية للطائفة السابقة وبيان إعراض الأصحاب عنها</w:t>
            </w:r>
            <w:r>
              <w:rPr>
                <w:rStyle w:val="IndexLink"/>
                <w:rtl w:val="true"/>
              </w:rPr>
              <w:tab/>
            </w:r>
            <w:r>
              <w:rPr>
                <w:rStyle w:val="IndexLink"/>
              </w:rPr>
              <w:t>258</w:t>
            </w:r>
          </w:hyperlink>
        </w:p>
        <w:p>
          <w:pPr>
            <w:pStyle w:val="Contents6"/>
            <w:tabs>
              <w:tab w:val="clear" w:pos="7609"/>
              <w:tab w:val="right" w:pos="9026" w:leader="dot"/>
            </w:tabs>
            <w:rPr/>
          </w:pPr>
          <w:hyperlink w:anchor="__RefHeading___Toc686440_3406789950">
            <w:r>
              <w:rPr>
                <w:webHidden/>
                <w:rStyle w:val="IndexLink"/>
                <w:rtl w:val="true"/>
              </w:rPr>
              <w:t>تكرّر الكفّارة بتكرّر الوط‌ء في وقت واحد</w:t>
            </w:r>
            <w:r>
              <w:rPr>
                <w:rStyle w:val="IndexLink"/>
                <w:rtl w:val="true"/>
              </w:rPr>
              <w:tab/>
            </w:r>
            <w:r>
              <w:rPr>
                <w:rStyle w:val="IndexLink"/>
              </w:rPr>
              <w:t>261</w:t>
            </w:r>
          </w:hyperlink>
        </w:p>
        <w:p>
          <w:pPr>
            <w:pStyle w:val="Contents6"/>
            <w:tabs>
              <w:tab w:val="clear" w:pos="7609"/>
              <w:tab w:val="right" w:pos="9026" w:leader="dot"/>
            </w:tabs>
            <w:rPr/>
          </w:pPr>
          <w:hyperlink w:anchor="__RefHeading___Toc686442_3406789950">
            <w:r>
              <w:rPr>
                <w:webHidden/>
                <w:rStyle w:val="IndexLink"/>
                <w:rtl w:val="true"/>
              </w:rPr>
              <w:t>مقتضى مقام الثبوت والتصوّر</w:t>
            </w:r>
            <w:r>
              <w:rPr>
                <w:rStyle w:val="IndexLink"/>
                <w:rtl w:val="true"/>
              </w:rPr>
              <w:tab/>
            </w:r>
            <w:r>
              <w:rPr>
                <w:rStyle w:val="IndexLink"/>
              </w:rPr>
              <w:t>262</w:t>
            </w:r>
          </w:hyperlink>
        </w:p>
        <w:p>
          <w:pPr>
            <w:pStyle w:val="Contents6"/>
            <w:tabs>
              <w:tab w:val="clear" w:pos="7609"/>
              <w:tab w:val="right" w:pos="9026" w:leader="dot"/>
            </w:tabs>
            <w:rPr/>
          </w:pPr>
          <w:hyperlink w:anchor="__RefHeading___Toc686444_3406789950">
            <w:r>
              <w:rPr>
                <w:webHidden/>
                <w:rStyle w:val="IndexLink"/>
                <w:rtl w:val="true"/>
              </w:rPr>
              <w:t>مقتضى مقام الإثبات والدلالة</w:t>
            </w:r>
            <w:r>
              <w:rPr>
                <w:rStyle w:val="IndexLink"/>
                <w:rtl w:val="true"/>
              </w:rPr>
              <w:tab/>
            </w:r>
            <w:r>
              <w:rPr>
                <w:rStyle w:val="IndexLink"/>
              </w:rPr>
              <w:t>268</w:t>
            </w:r>
          </w:hyperlink>
        </w:p>
        <w:p>
          <w:pPr>
            <w:pStyle w:val="Contents6"/>
            <w:tabs>
              <w:tab w:val="clear" w:pos="7609"/>
              <w:tab w:val="right" w:pos="9026" w:leader="dot"/>
            </w:tabs>
            <w:rPr/>
          </w:pPr>
          <w:hyperlink w:anchor="__RefHeading___Toc686446_3406789950">
            <w:r>
              <w:rPr>
                <w:webHidden/>
                <w:rStyle w:val="IndexLink"/>
                <w:rtl w:val="true"/>
              </w:rPr>
              <w:t>هل يتعدّى الحكم إلى الأجنبيّة المشتبهة أو المزنيّ بها ؟</w:t>
            </w:r>
            <w:r>
              <w:rPr>
                <w:rStyle w:val="IndexLink"/>
                <w:rtl w:val="true"/>
              </w:rPr>
              <w:tab/>
            </w:r>
            <w:r>
              <w:rPr>
                <w:rStyle w:val="IndexLink"/>
              </w:rPr>
              <w:t>269</w:t>
            </w:r>
          </w:hyperlink>
        </w:p>
        <w:p>
          <w:pPr>
            <w:pStyle w:val="Contents6"/>
            <w:tabs>
              <w:tab w:val="clear" w:pos="7609"/>
              <w:tab w:val="right" w:pos="9026" w:leader="dot"/>
            </w:tabs>
            <w:rPr/>
          </w:pPr>
          <w:hyperlink w:anchor="__RefHeading___Toc686448_3406789950">
            <w:r>
              <w:rPr>
                <w:webHidden/>
                <w:rStyle w:val="IndexLink"/>
                <w:rtl w:val="true"/>
              </w:rPr>
              <w:t>المراد ب</w:t>
            </w:r>
            <w:r>
              <w:rPr>
                <w:rStyle w:val="IndexLink"/>
                <w:rtl w:val="true"/>
              </w:rPr>
              <w:t>- «</w:t>
            </w:r>
            <w:r>
              <w:rPr>
                <w:rStyle w:val="IndexLink"/>
                <w:rtl w:val="true"/>
              </w:rPr>
              <w:t>الدينار</w:t>
            </w:r>
            <w:r>
              <w:rPr>
                <w:rStyle w:val="IndexLink"/>
                <w:rtl w:val="true"/>
              </w:rPr>
              <w:t xml:space="preserve">» </w:t>
            </w:r>
            <w:r>
              <w:rPr>
                <w:rStyle w:val="IndexLink"/>
                <w:rtl w:val="true"/>
              </w:rPr>
              <w:t>في المقام</w:t>
            </w:r>
            <w:r>
              <w:rPr>
                <w:rStyle w:val="IndexLink"/>
                <w:rtl w:val="true"/>
              </w:rPr>
              <w:tab/>
            </w:r>
            <w:r>
              <w:rPr>
                <w:rStyle w:val="IndexLink"/>
              </w:rPr>
              <w:t>269</w:t>
            </w:r>
          </w:hyperlink>
        </w:p>
        <w:p>
          <w:pPr>
            <w:pStyle w:val="Contents6"/>
            <w:tabs>
              <w:tab w:val="clear" w:pos="7609"/>
              <w:tab w:val="right" w:pos="9026" w:leader="dot"/>
            </w:tabs>
            <w:rPr/>
          </w:pPr>
          <w:hyperlink w:anchor="__RefHeading___Toc686450_3406789950">
            <w:r>
              <w:rPr>
                <w:webHidden/>
                <w:rStyle w:val="IndexLink"/>
                <w:rtl w:val="true"/>
              </w:rPr>
              <w:t>تحديد أوّل الحيض ووسطه وآخره</w:t>
            </w:r>
            <w:r>
              <w:rPr>
                <w:rStyle w:val="IndexLink"/>
                <w:rtl w:val="true"/>
              </w:rPr>
              <w:tab/>
            </w:r>
            <w:r>
              <w:rPr>
                <w:rStyle w:val="IndexLink"/>
              </w:rPr>
              <w:t>270</w:t>
            </w:r>
          </w:hyperlink>
        </w:p>
        <w:p>
          <w:pPr>
            <w:pStyle w:val="Contents6"/>
            <w:tabs>
              <w:tab w:val="clear" w:pos="7609"/>
              <w:tab w:val="right" w:pos="9026" w:leader="dot"/>
            </w:tabs>
            <w:rPr/>
          </w:pPr>
          <w:hyperlink w:anchor="__RefHeading___Toc686452_3406789950">
            <w:r>
              <w:rPr>
                <w:webHidden/>
                <w:rStyle w:val="IndexLink"/>
                <w:rtl w:val="true"/>
              </w:rPr>
              <w:t>عدم إلحاق وط‌ء النفساء بالحائض في ثبوت الكفّارة</w:t>
            </w:r>
            <w:r>
              <w:rPr>
                <w:rStyle w:val="IndexLink"/>
                <w:rtl w:val="true"/>
              </w:rPr>
              <w:tab/>
            </w:r>
            <w:r>
              <w:rPr>
                <w:rStyle w:val="IndexLink"/>
              </w:rPr>
              <w:t>271</w:t>
            </w:r>
          </w:hyperlink>
        </w:p>
        <w:p>
          <w:pPr>
            <w:pStyle w:val="Contents5"/>
            <w:tabs>
              <w:tab w:val="clear" w:pos="7892"/>
              <w:tab w:val="right" w:pos="9026" w:leader="dot"/>
            </w:tabs>
            <w:rPr/>
          </w:pPr>
          <w:hyperlink w:anchor="__RefHeading___Toc686454_3406789950">
            <w:r>
              <w:rPr>
                <w:webHidden/>
                <w:rStyle w:val="IndexLink"/>
                <w:rtl w:val="true"/>
              </w:rPr>
              <w:t>الأمر الرابع في جواز وط‌ء الزوجة قبلاً بعد نقائها وقبل الغسل</w:t>
            </w:r>
            <w:r>
              <w:rPr>
                <w:rStyle w:val="IndexLink"/>
                <w:rtl w:val="true"/>
              </w:rPr>
              <w:tab/>
            </w:r>
            <w:r>
              <w:rPr>
                <w:rStyle w:val="IndexLink"/>
              </w:rPr>
              <w:t>272</w:t>
            </w:r>
          </w:hyperlink>
        </w:p>
        <w:p>
          <w:pPr>
            <w:pStyle w:val="Contents6"/>
            <w:tabs>
              <w:tab w:val="clear" w:pos="7609"/>
              <w:tab w:val="right" w:pos="9026" w:leader="dot"/>
            </w:tabs>
            <w:rPr/>
          </w:pPr>
          <w:hyperlink w:anchor="__RefHeading___Toc686456_3406789950">
            <w:r>
              <w:rPr>
                <w:webHidden/>
                <w:rStyle w:val="IndexLink"/>
                <w:rtl w:val="true"/>
              </w:rPr>
              <w:t>اشارة</w:t>
            </w:r>
            <w:r>
              <w:rPr>
                <w:rStyle w:val="IndexLink"/>
                <w:rtl w:val="true"/>
              </w:rPr>
              <w:tab/>
            </w:r>
            <w:r>
              <w:rPr>
                <w:rStyle w:val="IndexLink"/>
              </w:rPr>
              <w:t>272</w:t>
            </w:r>
          </w:hyperlink>
        </w:p>
        <w:p>
          <w:pPr>
            <w:pStyle w:val="Contents6"/>
            <w:tabs>
              <w:tab w:val="clear" w:pos="7609"/>
              <w:tab w:val="right" w:pos="9026" w:leader="dot"/>
            </w:tabs>
            <w:rPr/>
          </w:pPr>
          <w:hyperlink w:anchor="__RefHeading___Toc686458_3406789950">
            <w:r>
              <w:rPr>
                <w:webHidden/>
                <w:rStyle w:val="IndexLink"/>
                <w:rtl w:val="true"/>
              </w:rPr>
              <w:t>دلالة آية المحيض على الجواز</w:t>
            </w:r>
            <w:r>
              <w:rPr>
                <w:rStyle w:val="IndexLink"/>
                <w:rtl w:val="true"/>
              </w:rPr>
              <w:tab/>
            </w:r>
            <w:r>
              <w:rPr>
                <w:rStyle w:val="IndexLink"/>
              </w:rPr>
              <w:t>273</w:t>
            </w:r>
          </w:hyperlink>
        </w:p>
        <w:p>
          <w:pPr>
            <w:pStyle w:val="Contents6"/>
            <w:tabs>
              <w:tab w:val="clear" w:pos="7609"/>
              <w:tab w:val="right" w:pos="9026" w:leader="dot"/>
            </w:tabs>
            <w:rPr/>
          </w:pPr>
          <w:hyperlink w:anchor="__RefHeading___Toc686460_3406789950">
            <w:r>
              <w:rPr>
                <w:webHidden/>
                <w:rStyle w:val="IndexLink"/>
                <w:rtl w:val="true"/>
              </w:rPr>
              <w:t>تقريب دلالة الآية بناءً على قراءة التخفيف</w:t>
            </w:r>
            <w:r>
              <w:rPr>
                <w:rStyle w:val="IndexLink"/>
                <w:rtl w:val="true"/>
              </w:rPr>
              <w:tab/>
            </w:r>
            <w:r>
              <w:rPr>
                <w:rStyle w:val="IndexLink"/>
              </w:rPr>
              <w:t>273</w:t>
            </w:r>
          </w:hyperlink>
        </w:p>
        <w:p>
          <w:pPr>
            <w:pStyle w:val="Contents6"/>
            <w:tabs>
              <w:tab w:val="clear" w:pos="7609"/>
              <w:tab w:val="right" w:pos="9026" w:leader="dot"/>
            </w:tabs>
            <w:rPr/>
          </w:pPr>
          <w:hyperlink w:anchor="__RefHeading___Toc686462_3406789950">
            <w:r>
              <w:rPr>
                <w:webHidden/>
                <w:rStyle w:val="IndexLink"/>
                <w:rtl w:val="true"/>
              </w:rPr>
              <w:t>تقريب دلالة الآية بناءً على قراءة التضعيف</w:t>
            </w:r>
            <w:r>
              <w:rPr>
                <w:rStyle w:val="IndexLink"/>
                <w:rtl w:val="true"/>
              </w:rPr>
              <w:tab/>
            </w:r>
            <w:r>
              <w:rPr>
                <w:rStyle w:val="IndexLink"/>
              </w:rPr>
              <w:t>275</w:t>
            </w:r>
          </w:hyperlink>
        </w:p>
        <w:p>
          <w:pPr>
            <w:pStyle w:val="Contents6"/>
            <w:tabs>
              <w:tab w:val="clear" w:pos="7609"/>
              <w:tab w:val="right" w:pos="9026" w:leader="dot"/>
            </w:tabs>
            <w:rPr/>
          </w:pPr>
          <w:hyperlink w:anchor="__RefHeading___Toc686464_3406789950">
            <w:r>
              <w:rPr>
                <w:webHidden/>
                <w:rStyle w:val="IndexLink"/>
                <w:rtl w:val="true"/>
              </w:rPr>
              <w:t>ترجيح قراءة التخفيف وإبطال القراءات السبع أو العشر</w:t>
            </w:r>
            <w:r>
              <w:rPr>
                <w:rStyle w:val="IndexLink"/>
                <w:rtl w:val="true"/>
              </w:rPr>
              <w:tab/>
            </w:r>
            <w:r>
              <w:rPr>
                <w:rStyle w:val="IndexLink"/>
              </w:rPr>
              <w:t>276</w:t>
            </w:r>
          </w:hyperlink>
        </w:p>
        <w:p>
          <w:pPr>
            <w:pStyle w:val="Contents6"/>
            <w:tabs>
              <w:tab w:val="clear" w:pos="7609"/>
              <w:tab w:val="right" w:pos="9026" w:leader="dot"/>
            </w:tabs>
            <w:rPr/>
          </w:pPr>
          <w:hyperlink w:anchor="__RefHeading___Toc686466_3406789950">
            <w:r>
              <w:rPr>
                <w:webHidden/>
                <w:rStyle w:val="IndexLink"/>
                <w:rtl w:val="true"/>
              </w:rPr>
              <w:t>بيان وجه الجمع العقلائي بين قراءتي التخفيف والتضعيف</w:t>
            </w:r>
            <w:r>
              <w:rPr>
                <w:rStyle w:val="IndexLink"/>
                <w:rtl w:val="true"/>
              </w:rPr>
              <w:tab/>
            </w:r>
            <w:r>
              <w:rPr>
                <w:rStyle w:val="IndexLink"/>
              </w:rPr>
              <w:t>278</w:t>
            </w:r>
          </w:hyperlink>
        </w:p>
        <w:p>
          <w:pPr>
            <w:pStyle w:val="Contents6"/>
            <w:tabs>
              <w:tab w:val="clear" w:pos="7609"/>
              <w:tab w:val="right" w:pos="9026" w:leader="dot"/>
            </w:tabs>
            <w:rPr/>
          </w:pPr>
          <w:hyperlink w:anchor="__RefHeading___Toc686468_3406789950">
            <w:r>
              <w:rPr>
                <w:webHidden/>
                <w:rStyle w:val="IndexLink"/>
                <w:rtl w:val="true"/>
              </w:rPr>
              <w:t>دلالة عموم الكتاب والسنّة على جواز الوط‌ء قبل الغسل</w:t>
            </w:r>
            <w:r>
              <w:rPr>
                <w:rStyle w:val="IndexLink"/>
                <w:rtl w:val="true"/>
              </w:rPr>
              <w:tab/>
            </w:r>
            <w:r>
              <w:rPr>
                <w:rStyle w:val="IndexLink"/>
              </w:rPr>
              <w:t>278</w:t>
            </w:r>
          </w:hyperlink>
        </w:p>
        <w:p>
          <w:pPr>
            <w:pStyle w:val="Contents6"/>
            <w:tabs>
              <w:tab w:val="clear" w:pos="7609"/>
              <w:tab w:val="right" w:pos="9026" w:leader="dot"/>
            </w:tabs>
            <w:rPr/>
          </w:pPr>
          <w:hyperlink w:anchor="__RefHeading___Toc686470_3406789950">
            <w:r>
              <w:rPr>
                <w:webHidden/>
                <w:rStyle w:val="IndexLink"/>
                <w:rtl w:val="true"/>
              </w:rPr>
              <w:t>دلالة الأخبار الخاصّة على جواز الوط‌ء قبل الغسل</w:t>
            </w:r>
            <w:r>
              <w:rPr>
                <w:rStyle w:val="IndexLink"/>
                <w:rtl w:val="true"/>
              </w:rPr>
              <w:tab/>
            </w:r>
            <w:r>
              <w:rPr>
                <w:rStyle w:val="IndexLink"/>
              </w:rPr>
              <w:t>280</w:t>
            </w:r>
          </w:hyperlink>
        </w:p>
        <w:p>
          <w:pPr>
            <w:pStyle w:val="Contents6"/>
            <w:tabs>
              <w:tab w:val="clear" w:pos="7609"/>
              <w:tab w:val="right" w:pos="9026" w:leader="dot"/>
            </w:tabs>
            <w:rPr/>
          </w:pPr>
          <w:hyperlink w:anchor="__RefHeading___Toc686472_3406789950">
            <w:r>
              <w:rPr>
                <w:webHidden/>
                <w:rStyle w:val="IndexLink"/>
                <w:rtl w:val="true"/>
              </w:rPr>
              <w:t>اعتبار وقوع الانقطاع في آخر أيّام الحيض لا بعد أيّامه</w:t>
            </w:r>
            <w:r>
              <w:rPr>
                <w:rStyle w:val="IndexLink"/>
                <w:rtl w:val="true"/>
              </w:rPr>
              <w:tab/>
            </w:r>
            <w:r>
              <w:rPr>
                <w:rStyle w:val="IndexLink"/>
              </w:rPr>
              <w:t>283</w:t>
            </w:r>
          </w:hyperlink>
        </w:p>
        <w:p>
          <w:pPr>
            <w:pStyle w:val="Contents6"/>
            <w:tabs>
              <w:tab w:val="clear" w:pos="7609"/>
              <w:tab w:val="right" w:pos="9026" w:leader="dot"/>
            </w:tabs>
            <w:rPr/>
          </w:pPr>
          <w:hyperlink w:anchor="__RefHeading___Toc686474_3406789950">
            <w:r>
              <w:rPr>
                <w:webHidden/>
                <w:rStyle w:val="IndexLink"/>
                <w:rtl w:val="true"/>
              </w:rPr>
              <w:t>جواز الوط‌ء قبل غسل الفرج</w:t>
            </w:r>
            <w:r>
              <w:rPr>
                <w:rStyle w:val="IndexLink"/>
                <w:rtl w:val="true"/>
              </w:rPr>
              <w:tab/>
            </w:r>
            <w:r>
              <w:rPr>
                <w:rStyle w:val="IndexLink"/>
              </w:rPr>
              <w:t>283</w:t>
            </w:r>
          </w:hyperlink>
        </w:p>
        <w:p>
          <w:pPr>
            <w:pStyle w:val="Contents6"/>
            <w:tabs>
              <w:tab w:val="clear" w:pos="7609"/>
              <w:tab w:val="right" w:pos="9026" w:leader="dot"/>
            </w:tabs>
            <w:rPr/>
          </w:pPr>
          <w:hyperlink w:anchor="__RefHeading___Toc686476_3406789950">
            <w:r>
              <w:rPr>
                <w:webHidden/>
                <w:rStyle w:val="IndexLink"/>
                <w:rtl w:val="true"/>
              </w:rPr>
              <w:t>ارتفاع المنع أو المرجوحية مع تيمّم المرأة</w:t>
            </w:r>
            <w:r>
              <w:rPr>
                <w:rStyle w:val="IndexLink"/>
                <w:rtl w:val="true"/>
              </w:rPr>
              <w:tab/>
            </w:r>
            <w:r>
              <w:rPr>
                <w:rStyle w:val="IndexLink"/>
              </w:rPr>
              <w:t>285</w:t>
            </w:r>
          </w:hyperlink>
        </w:p>
        <w:p>
          <w:pPr>
            <w:pStyle w:val="Contents5"/>
            <w:tabs>
              <w:tab w:val="clear" w:pos="7892"/>
              <w:tab w:val="right" w:pos="9026" w:leader="dot"/>
            </w:tabs>
            <w:rPr/>
          </w:pPr>
          <w:hyperlink w:anchor="__RefHeading___Toc686478_3406789950">
            <w:r>
              <w:rPr>
                <w:webHidden/>
                <w:rStyle w:val="IndexLink"/>
                <w:rtl w:val="true"/>
              </w:rPr>
              <w:t>الأمر الخامس عدم إجزاء غسل الحيض عن الوضوء</w:t>
            </w:r>
            <w:r>
              <w:rPr>
                <w:rStyle w:val="IndexLink"/>
                <w:rtl w:val="true"/>
              </w:rPr>
              <w:tab/>
            </w:r>
            <w:r>
              <w:rPr>
                <w:rStyle w:val="IndexLink"/>
              </w:rPr>
              <w:t>288</w:t>
            </w:r>
          </w:hyperlink>
        </w:p>
        <w:p>
          <w:pPr>
            <w:pStyle w:val="Contents6"/>
            <w:tabs>
              <w:tab w:val="clear" w:pos="7609"/>
              <w:tab w:val="right" w:pos="9026" w:leader="dot"/>
            </w:tabs>
            <w:rPr/>
          </w:pPr>
          <w:hyperlink w:anchor="__RefHeading___Toc686480_3406789950">
            <w:r>
              <w:rPr>
                <w:webHidden/>
                <w:rStyle w:val="IndexLink"/>
                <w:rtl w:val="true"/>
              </w:rPr>
              <w:t>اشارة</w:t>
            </w:r>
            <w:r>
              <w:rPr>
                <w:rStyle w:val="IndexLink"/>
                <w:rtl w:val="true"/>
              </w:rPr>
              <w:tab/>
            </w:r>
            <w:r>
              <w:rPr>
                <w:rStyle w:val="IndexLink"/>
              </w:rPr>
              <w:t>288</w:t>
            </w:r>
          </w:hyperlink>
        </w:p>
        <w:p>
          <w:pPr>
            <w:pStyle w:val="Contents6"/>
            <w:tabs>
              <w:tab w:val="clear" w:pos="7609"/>
              <w:tab w:val="right" w:pos="9026" w:leader="dot"/>
            </w:tabs>
            <w:rPr/>
          </w:pPr>
          <w:hyperlink w:anchor="__RefHeading___Toc686482_3406789950">
            <w:r>
              <w:rPr>
                <w:webHidden/>
                <w:rStyle w:val="IndexLink"/>
                <w:rtl w:val="true"/>
              </w:rPr>
              <w:t>عدم إجزاء سائر الأغسال عن الوضوء عدا غسل الجنابة</w:t>
            </w:r>
            <w:r>
              <w:rPr>
                <w:rStyle w:val="IndexLink"/>
                <w:rtl w:val="true"/>
              </w:rPr>
              <w:tab/>
            </w:r>
            <w:r>
              <w:rPr>
                <w:rStyle w:val="IndexLink"/>
              </w:rPr>
              <w:t>290</w:t>
            </w:r>
          </w:hyperlink>
        </w:p>
        <w:p>
          <w:pPr>
            <w:pStyle w:val="Contents6"/>
            <w:tabs>
              <w:tab w:val="clear" w:pos="7609"/>
              <w:tab w:val="right" w:pos="9026" w:leader="dot"/>
            </w:tabs>
            <w:rPr/>
          </w:pPr>
          <w:hyperlink w:anchor="__RefHeading___Toc686484_3406789950">
            <w:r>
              <w:rPr>
                <w:webHidden/>
                <w:rStyle w:val="IndexLink"/>
                <w:rtl w:val="true"/>
              </w:rPr>
              <w:t>حول الأخبار الواردة في المقام</w:t>
            </w:r>
            <w:r>
              <w:rPr>
                <w:rStyle w:val="IndexLink"/>
                <w:rtl w:val="true"/>
              </w:rPr>
              <w:tab/>
            </w:r>
            <w:r>
              <w:rPr>
                <w:rStyle w:val="IndexLink"/>
              </w:rPr>
              <w:t>291</w:t>
            </w:r>
          </w:hyperlink>
        </w:p>
        <w:p>
          <w:pPr>
            <w:pStyle w:val="Contents6"/>
            <w:tabs>
              <w:tab w:val="clear" w:pos="7609"/>
              <w:tab w:val="right" w:pos="9026" w:leader="dot"/>
            </w:tabs>
            <w:rPr/>
          </w:pPr>
          <w:hyperlink w:anchor="__RefHeading___Toc686486_3406789950">
            <w:r>
              <w:rPr>
                <w:webHidden/>
                <w:rStyle w:val="IndexLink"/>
                <w:rtl w:val="true"/>
              </w:rPr>
              <w:t>حول وجوب تقديم الوضوء على الغسل وجوباً شرطياً</w:t>
            </w:r>
            <w:r>
              <w:rPr>
                <w:rStyle w:val="IndexLink"/>
                <w:rtl w:val="true"/>
              </w:rPr>
              <w:tab/>
            </w:r>
            <w:r>
              <w:rPr>
                <w:rStyle w:val="IndexLink"/>
              </w:rPr>
              <w:t>302</w:t>
            </w:r>
          </w:hyperlink>
        </w:p>
        <w:p>
          <w:pPr>
            <w:pStyle w:val="Contents6"/>
            <w:tabs>
              <w:tab w:val="clear" w:pos="7609"/>
              <w:tab w:val="right" w:pos="9026" w:leader="dot"/>
            </w:tabs>
            <w:rPr/>
          </w:pPr>
          <w:hyperlink w:anchor="__RefHeading___Toc686488_3406789950">
            <w:r>
              <w:rPr>
                <w:webHidden/>
                <w:rStyle w:val="IndexLink"/>
                <w:rtl w:val="true"/>
              </w:rPr>
              <w:t>في كيفية رفع غسل الحيض والوضوء الحدثين</w:t>
            </w:r>
            <w:r>
              <w:rPr>
                <w:rStyle w:val="IndexLink"/>
                <w:rtl w:val="true"/>
              </w:rPr>
              <w:tab/>
            </w:r>
            <w:r>
              <w:rPr>
                <w:rStyle w:val="IndexLink"/>
              </w:rPr>
              <w:t>304</w:t>
            </w:r>
          </w:hyperlink>
        </w:p>
        <w:p>
          <w:pPr>
            <w:pStyle w:val="Contents6"/>
            <w:tabs>
              <w:tab w:val="clear" w:pos="7609"/>
              <w:tab w:val="right" w:pos="9026" w:leader="dot"/>
            </w:tabs>
            <w:rPr/>
          </w:pPr>
          <w:hyperlink w:anchor="__RefHeading___Toc686490_3406789950">
            <w:r>
              <w:rPr>
                <w:webHidden/>
                <w:rStyle w:val="IndexLink"/>
                <w:rtl w:val="true"/>
              </w:rPr>
              <w:t>في الالتزام بالتوزيع مع تحقّق سبب الأكبر دون الأصغر</w:t>
            </w:r>
            <w:r>
              <w:rPr>
                <w:rStyle w:val="IndexLink"/>
                <w:rtl w:val="true"/>
              </w:rPr>
              <w:tab/>
            </w:r>
            <w:r>
              <w:rPr>
                <w:rStyle w:val="IndexLink"/>
              </w:rPr>
              <w:t>306</w:t>
            </w:r>
          </w:hyperlink>
        </w:p>
        <w:p>
          <w:pPr>
            <w:pStyle w:val="Contents5"/>
            <w:tabs>
              <w:tab w:val="clear" w:pos="7892"/>
              <w:tab w:val="right" w:pos="9026" w:leader="dot"/>
            </w:tabs>
            <w:rPr/>
          </w:pPr>
          <w:hyperlink w:anchor="__RefHeading___Toc686492_3406789950">
            <w:r>
              <w:rPr>
                <w:webHidden/>
                <w:rStyle w:val="IndexLink"/>
                <w:rtl w:val="true"/>
              </w:rPr>
              <w:t>الأمر السادس في حكم الحيض بعد دخول وقت الصلاة</w:t>
            </w:r>
            <w:r>
              <w:rPr>
                <w:rStyle w:val="IndexLink"/>
                <w:rtl w:val="true"/>
              </w:rPr>
              <w:tab/>
            </w:r>
            <w:r>
              <w:rPr>
                <w:rStyle w:val="IndexLink"/>
              </w:rPr>
              <w:t>307</w:t>
            </w:r>
          </w:hyperlink>
        </w:p>
        <w:p>
          <w:pPr>
            <w:pStyle w:val="Contents6"/>
            <w:tabs>
              <w:tab w:val="clear" w:pos="7609"/>
              <w:tab w:val="right" w:pos="9026" w:leader="dot"/>
            </w:tabs>
            <w:rPr/>
          </w:pPr>
          <w:hyperlink w:anchor="__RefHeading___Toc686494_3406789950">
            <w:r>
              <w:rPr>
                <w:webHidden/>
                <w:rStyle w:val="IndexLink"/>
                <w:rtl w:val="true"/>
              </w:rPr>
              <w:t>اشارة</w:t>
            </w:r>
            <w:r>
              <w:rPr>
                <w:rStyle w:val="IndexLink"/>
                <w:rtl w:val="true"/>
              </w:rPr>
              <w:tab/>
            </w:r>
            <w:r>
              <w:rPr>
                <w:rStyle w:val="IndexLink"/>
              </w:rPr>
              <w:t>307</w:t>
            </w:r>
          </w:hyperlink>
        </w:p>
        <w:p>
          <w:pPr>
            <w:pStyle w:val="Contents6"/>
            <w:tabs>
              <w:tab w:val="clear" w:pos="7609"/>
              <w:tab w:val="right" w:pos="9026" w:leader="dot"/>
            </w:tabs>
            <w:rPr/>
          </w:pPr>
          <w:hyperlink w:anchor="__RefHeading___Toc686496_3406789950">
            <w:r>
              <w:rPr>
                <w:webHidden/>
                <w:rStyle w:val="IndexLink"/>
                <w:rtl w:val="true"/>
              </w:rPr>
              <w:t>مقتضى أدلّة القضاء وعدمه على الحائض</w:t>
            </w:r>
            <w:r>
              <w:rPr>
                <w:rStyle w:val="IndexLink"/>
                <w:rtl w:val="true"/>
              </w:rPr>
              <w:tab/>
            </w:r>
            <w:r>
              <w:rPr>
                <w:rStyle w:val="IndexLink"/>
              </w:rPr>
              <w:t>307</w:t>
            </w:r>
          </w:hyperlink>
        </w:p>
        <w:p>
          <w:pPr>
            <w:pStyle w:val="Contents6"/>
            <w:tabs>
              <w:tab w:val="clear" w:pos="7609"/>
              <w:tab w:val="right" w:pos="9026" w:leader="dot"/>
            </w:tabs>
            <w:rPr/>
          </w:pPr>
          <w:hyperlink w:anchor="__RefHeading___Toc686498_3406789950">
            <w:r>
              <w:rPr>
                <w:webHidden/>
                <w:rStyle w:val="IndexLink"/>
                <w:rtl w:val="true"/>
              </w:rPr>
              <w:t>تعارض أدلّة عدم القضاء مع الأدلّة السابقة</w:t>
            </w:r>
            <w:r>
              <w:rPr>
                <w:rStyle w:val="IndexLink"/>
                <w:rtl w:val="true"/>
              </w:rPr>
              <w:tab/>
            </w:r>
            <w:r>
              <w:rPr>
                <w:rStyle w:val="IndexLink"/>
              </w:rPr>
              <w:t>312</w:t>
            </w:r>
          </w:hyperlink>
        </w:p>
        <w:p>
          <w:pPr>
            <w:pStyle w:val="Contents6"/>
            <w:tabs>
              <w:tab w:val="clear" w:pos="7609"/>
              <w:tab w:val="right" w:pos="9026" w:leader="dot"/>
            </w:tabs>
            <w:rPr/>
          </w:pPr>
          <w:hyperlink w:anchor="__RefHeading___Toc686500_3406789950">
            <w:r>
              <w:rPr>
                <w:webHidden/>
                <w:rStyle w:val="IndexLink"/>
                <w:rtl w:val="true"/>
              </w:rPr>
              <w:t>مقتضى الأخبار الخاصّة في المقام</w:t>
            </w:r>
            <w:r>
              <w:rPr>
                <w:rStyle w:val="IndexLink"/>
                <w:rtl w:val="true"/>
              </w:rPr>
              <w:tab/>
            </w:r>
            <w:r>
              <w:rPr>
                <w:rStyle w:val="IndexLink"/>
              </w:rPr>
              <w:t>315</w:t>
            </w:r>
          </w:hyperlink>
        </w:p>
        <w:p>
          <w:pPr>
            <w:pStyle w:val="Contents5"/>
            <w:tabs>
              <w:tab w:val="clear" w:pos="7892"/>
              <w:tab w:val="right" w:pos="9026" w:leader="dot"/>
            </w:tabs>
            <w:rPr/>
          </w:pPr>
          <w:hyperlink w:anchor="__RefHeading___Toc686502_3406789950">
            <w:r>
              <w:rPr>
                <w:webHidden/>
                <w:rStyle w:val="IndexLink"/>
                <w:rtl w:val="true"/>
              </w:rPr>
              <w:t>الأمر السابع في حكم صلاة الحائض إن طهرت آخر الوقت</w:t>
            </w:r>
            <w:r>
              <w:rPr>
                <w:rStyle w:val="IndexLink"/>
                <w:rtl w:val="true"/>
              </w:rPr>
              <w:tab/>
            </w:r>
            <w:r>
              <w:rPr>
                <w:rStyle w:val="IndexLink"/>
              </w:rPr>
              <w:t>318</w:t>
            </w:r>
          </w:hyperlink>
        </w:p>
        <w:p>
          <w:pPr>
            <w:pStyle w:val="Contents6"/>
            <w:tabs>
              <w:tab w:val="clear" w:pos="7609"/>
              <w:tab w:val="right" w:pos="9026" w:leader="dot"/>
            </w:tabs>
            <w:rPr/>
          </w:pPr>
          <w:hyperlink w:anchor="__RefHeading___Toc686504_3406789950">
            <w:r>
              <w:rPr>
                <w:webHidden/>
                <w:rStyle w:val="IndexLink"/>
                <w:rtl w:val="true"/>
              </w:rPr>
              <w:t>اشارة</w:t>
            </w:r>
            <w:r>
              <w:rPr>
                <w:rStyle w:val="IndexLink"/>
                <w:rtl w:val="true"/>
              </w:rPr>
              <w:tab/>
            </w:r>
            <w:r>
              <w:rPr>
                <w:rStyle w:val="IndexLink"/>
              </w:rPr>
              <w:t>318</w:t>
            </w:r>
          </w:hyperlink>
        </w:p>
        <w:p>
          <w:pPr>
            <w:pStyle w:val="Contents6"/>
            <w:tabs>
              <w:tab w:val="clear" w:pos="7609"/>
              <w:tab w:val="right" w:pos="9026" w:leader="dot"/>
            </w:tabs>
            <w:rPr/>
          </w:pPr>
          <w:hyperlink w:anchor="__RefHeading___Toc686506_3406789950">
            <w:r>
              <w:rPr>
                <w:webHidden/>
                <w:rStyle w:val="IndexLink"/>
                <w:rtl w:val="true"/>
              </w:rPr>
              <w:t>حكم إدراك ركعة من العصر والعشاء والصبح مع الشرائط الاختيارية</w:t>
            </w:r>
            <w:r>
              <w:rPr>
                <w:rStyle w:val="IndexLink"/>
                <w:rtl w:val="true"/>
              </w:rPr>
              <w:tab/>
            </w:r>
            <w:r>
              <w:rPr>
                <w:rStyle w:val="IndexLink"/>
              </w:rPr>
              <w:t>318</w:t>
            </w:r>
          </w:hyperlink>
        </w:p>
        <w:p>
          <w:pPr>
            <w:pStyle w:val="Contents6"/>
            <w:tabs>
              <w:tab w:val="clear" w:pos="7609"/>
              <w:tab w:val="right" w:pos="9026" w:leader="dot"/>
            </w:tabs>
            <w:rPr/>
          </w:pPr>
          <w:hyperlink w:anchor="__RefHeading___Toc686508_3406789950">
            <w:r>
              <w:rPr>
                <w:webHidden/>
                <w:rStyle w:val="IndexLink"/>
                <w:rtl w:val="true"/>
              </w:rPr>
              <w:t>حكم إدراك ركعة من الظهر والمغرب مع الشرائط الاختيارية</w:t>
            </w:r>
            <w:r>
              <w:rPr>
                <w:rStyle w:val="IndexLink"/>
                <w:rtl w:val="true"/>
              </w:rPr>
              <w:tab/>
            </w:r>
            <w:r>
              <w:rPr>
                <w:rStyle w:val="IndexLink"/>
              </w:rPr>
              <w:t>322</w:t>
            </w:r>
          </w:hyperlink>
        </w:p>
        <w:p>
          <w:pPr>
            <w:pStyle w:val="Contents6"/>
            <w:tabs>
              <w:tab w:val="clear" w:pos="7609"/>
              <w:tab w:val="right" w:pos="9026" w:leader="dot"/>
            </w:tabs>
            <w:rPr/>
          </w:pPr>
          <w:hyperlink w:anchor="__RefHeading___Toc686510_3406789950">
            <w:r>
              <w:rPr>
                <w:webHidden/>
                <w:rStyle w:val="IndexLink"/>
                <w:rtl w:val="true"/>
              </w:rPr>
              <w:t>حكم إدراك أقلّ من ركعة مع الشرائط الاختيارية</w:t>
            </w:r>
            <w:r>
              <w:rPr>
                <w:rStyle w:val="IndexLink"/>
                <w:rtl w:val="true"/>
              </w:rPr>
              <w:tab/>
            </w:r>
            <w:r>
              <w:rPr>
                <w:rStyle w:val="IndexLink"/>
              </w:rPr>
              <w:t>325</w:t>
            </w:r>
          </w:hyperlink>
        </w:p>
        <w:p>
          <w:pPr>
            <w:pStyle w:val="Contents6"/>
            <w:tabs>
              <w:tab w:val="clear" w:pos="7609"/>
              <w:tab w:val="right" w:pos="9026" w:leader="dot"/>
            </w:tabs>
            <w:rPr/>
          </w:pPr>
          <w:hyperlink w:anchor="__RefHeading___Toc686512_3406789950">
            <w:r>
              <w:rPr>
                <w:webHidden/>
                <w:rStyle w:val="IndexLink"/>
                <w:rtl w:val="true"/>
              </w:rPr>
              <w:t>حكم إدراك تمام الصلاة بفردها الاضطراري</w:t>
            </w:r>
            <w:r>
              <w:rPr>
                <w:rStyle w:val="IndexLink"/>
                <w:rtl w:val="true"/>
              </w:rPr>
              <w:tab/>
            </w:r>
            <w:r>
              <w:rPr>
                <w:rStyle w:val="IndexLink"/>
              </w:rPr>
              <w:t>325</w:t>
            </w:r>
          </w:hyperlink>
        </w:p>
        <w:p>
          <w:pPr>
            <w:pStyle w:val="Contents6"/>
            <w:tabs>
              <w:tab w:val="clear" w:pos="7609"/>
              <w:tab w:val="right" w:pos="9026" w:leader="dot"/>
            </w:tabs>
            <w:rPr/>
          </w:pPr>
          <w:hyperlink w:anchor="__RefHeading___Toc686514_3406789950">
            <w:r>
              <w:rPr>
                <w:webHidden/>
                <w:rStyle w:val="IndexLink"/>
                <w:rtl w:val="true"/>
              </w:rPr>
              <w:t>مقتضى القواعد في المقام</w:t>
            </w:r>
            <w:r>
              <w:rPr>
                <w:rStyle w:val="IndexLink"/>
                <w:rtl w:val="true"/>
              </w:rPr>
              <w:tab/>
            </w:r>
            <w:r>
              <w:rPr>
                <w:rStyle w:val="IndexLink"/>
              </w:rPr>
              <w:t>325</w:t>
            </w:r>
          </w:hyperlink>
        </w:p>
        <w:p>
          <w:pPr>
            <w:pStyle w:val="Contents6"/>
            <w:tabs>
              <w:tab w:val="clear" w:pos="7609"/>
              <w:tab w:val="right" w:pos="9026" w:leader="dot"/>
            </w:tabs>
            <w:rPr/>
          </w:pPr>
          <w:hyperlink w:anchor="__RefHeading___Toc686516_3406789950">
            <w:r>
              <w:rPr>
                <w:webHidden/>
                <w:rStyle w:val="IndexLink"/>
                <w:rtl w:val="true"/>
              </w:rPr>
              <w:t>مقتضى الروايات الخاصّة</w:t>
            </w:r>
            <w:r>
              <w:rPr>
                <w:rStyle w:val="IndexLink"/>
                <w:rtl w:val="true"/>
              </w:rPr>
              <w:tab/>
            </w:r>
            <w:r>
              <w:rPr>
                <w:rStyle w:val="IndexLink"/>
              </w:rPr>
              <w:t>327</w:t>
            </w:r>
          </w:hyperlink>
        </w:p>
        <w:p>
          <w:pPr>
            <w:pStyle w:val="Contents3"/>
            <w:tabs>
              <w:tab w:val="clear" w:pos="8459"/>
              <w:tab w:val="right" w:pos="9026" w:leader="dot"/>
            </w:tabs>
            <w:rPr/>
          </w:pPr>
          <w:hyperlink w:anchor="__RefHeading___Toc686518_3406789950">
            <w:r>
              <w:rPr>
                <w:webHidden/>
                <w:rStyle w:val="IndexLink"/>
                <w:rtl w:val="true"/>
              </w:rPr>
              <w:t>المقصد الثاني</w:t>
            </w:r>
            <w:r>
              <w:rPr>
                <w:rStyle w:val="IndexLink"/>
                <w:rtl w:val="true"/>
              </w:rPr>
              <w:t xml:space="preserve">: </w:t>
            </w:r>
            <w:r>
              <w:rPr>
                <w:rStyle w:val="IndexLink"/>
                <w:rtl w:val="true"/>
              </w:rPr>
              <w:t>في الاستحاضة</w:t>
            </w:r>
            <w:r>
              <w:rPr>
                <w:rStyle w:val="IndexLink"/>
                <w:rtl w:val="true"/>
              </w:rPr>
              <w:tab/>
            </w:r>
            <w:r>
              <w:rPr>
                <w:rStyle w:val="IndexLink"/>
              </w:rPr>
              <w:t>334</w:t>
            </w:r>
          </w:hyperlink>
        </w:p>
        <w:p>
          <w:pPr>
            <w:pStyle w:val="Contents4"/>
            <w:tabs>
              <w:tab w:val="clear" w:pos="8176"/>
              <w:tab w:val="right" w:pos="9026" w:leader="dot"/>
            </w:tabs>
            <w:rPr/>
          </w:pPr>
          <w:hyperlink w:anchor="__RefHeading___Toc686520_3406789950">
            <w:r>
              <w:rPr>
                <w:webHidden/>
                <w:rStyle w:val="IndexLink"/>
                <w:rtl w:val="true"/>
              </w:rPr>
              <w:t>اشارة</w:t>
            </w:r>
            <w:r>
              <w:rPr>
                <w:rStyle w:val="IndexLink"/>
                <w:rtl w:val="true"/>
              </w:rPr>
              <w:tab/>
            </w:r>
            <w:r>
              <w:rPr>
                <w:rStyle w:val="IndexLink"/>
              </w:rPr>
              <w:t>334</w:t>
            </w:r>
          </w:hyperlink>
        </w:p>
        <w:p>
          <w:pPr>
            <w:pStyle w:val="Contents4"/>
            <w:tabs>
              <w:tab w:val="clear" w:pos="8176"/>
              <w:tab w:val="right" w:pos="9026" w:leader="dot"/>
            </w:tabs>
            <w:rPr/>
          </w:pPr>
          <w:hyperlink w:anchor="__RefHeading___Toc686522_3406789950">
            <w:r>
              <w:rPr>
                <w:webHidden/>
                <w:rStyle w:val="IndexLink"/>
                <w:rtl w:val="true"/>
              </w:rPr>
              <w:t>القول في حقيقة الاستحاضة</w:t>
            </w:r>
            <w:r>
              <w:rPr>
                <w:rStyle w:val="IndexLink"/>
                <w:rtl w:val="true"/>
              </w:rPr>
              <w:tab/>
            </w:r>
            <w:r>
              <w:rPr>
                <w:rStyle w:val="IndexLink"/>
              </w:rPr>
              <w:t>336</w:t>
            </w:r>
          </w:hyperlink>
        </w:p>
        <w:p>
          <w:pPr>
            <w:pStyle w:val="Contents4"/>
            <w:tabs>
              <w:tab w:val="clear" w:pos="8176"/>
              <w:tab w:val="right" w:pos="9026" w:leader="dot"/>
            </w:tabs>
            <w:rPr/>
          </w:pPr>
          <w:hyperlink w:anchor="__RefHeading___Toc686524_3406789950">
            <w:r>
              <w:rPr>
                <w:webHidden/>
                <w:rStyle w:val="IndexLink"/>
                <w:rtl w:val="true"/>
              </w:rPr>
              <w:t>التحقيق في بيان موضوع الاستحاضة</w:t>
            </w:r>
            <w:r>
              <w:rPr>
                <w:rStyle w:val="IndexLink"/>
                <w:rtl w:val="true"/>
              </w:rPr>
              <w:tab/>
            </w:r>
            <w:r>
              <w:rPr>
                <w:rStyle w:val="IndexLink"/>
              </w:rPr>
              <w:t>340</w:t>
            </w:r>
          </w:hyperlink>
        </w:p>
        <w:p>
          <w:pPr>
            <w:pStyle w:val="Contents4"/>
            <w:tabs>
              <w:tab w:val="clear" w:pos="8176"/>
              <w:tab w:val="right" w:pos="9026" w:leader="dot"/>
            </w:tabs>
            <w:rPr/>
          </w:pPr>
          <w:hyperlink w:anchor="__RefHeading___Toc686526_3406789950">
            <w:r>
              <w:rPr>
                <w:webHidden/>
                <w:rStyle w:val="IndexLink"/>
                <w:rtl w:val="true"/>
              </w:rPr>
              <w:t>المقام الأوّل في الأوصاف التي جعلت بحسب الروايات أمارة</w:t>
            </w:r>
            <w:r>
              <w:rPr>
                <w:rStyle w:val="IndexLink"/>
                <w:rtl w:val="true"/>
              </w:rPr>
              <w:tab/>
            </w:r>
            <w:r>
              <w:rPr>
                <w:rStyle w:val="IndexLink"/>
              </w:rPr>
              <w:t>342</w:t>
            </w:r>
          </w:hyperlink>
        </w:p>
        <w:p>
          <w:pPr>
            <w:pStyle w:val="Contents5"/>
            <w:tabs>
              <w:tab w:val="clear" w:pos="7892"/>
              <w:tab w:val="right" w:pos="9026" w:leader="dot"/>
            </w:tabs>
            <w:rPr/>
          </w:pPr>
          <w:hyperlink w:anchor="__RefHeading___Toc686528_3406789950">
            <w:r>
              <w:rPr>
                <w:webHidden/>
                <w:rStyle w:val="IndexLink"/>
                <w:rtl w:val="true"/>
              </w:rPr>
              <w:t>اشارة</w:t>
            </w:r>
            <w:r>
              <w:rPr>
                <w:rStyle w:val="IndexLink"/>
                <w:rtl w:val="true"/>
              </w:rPr>
              <w:tab/>
            </w:r>
            <w:r>
              <w:rPr>
                <w:rStyle w:val="IndexLink"/>
              </w:rPr>
              <w:t>342</w:t>
            </w:r>
          </w:hyperlink>
        </w:p>
        <w:p>
          <w:pPr>
            <w:pStyle w:val="Contents5"/>
            <w:tabs>
              <w:tab w:val="clear" w:pos="7892"/>
              <w:tab w:val="right" w:pos="9026" w:leader="dot"/>
            </w:tabs>
            <w:rPr/>
          </w:pPr>
          <w:hyperlink w:anchor="__RefHeading___Toc686530_3406789950">
            <w:r>
              <w:rPr>
                <w:webHidden/>
                <w:rStyle w:val="IndexLink"/>
                <w:rtl w:val="true"/>
              </w:rPr>
              <w:t>عدم حصول التمييز بغير الأوصاف المنصوصة</w:t>
            </w:r>
            <w:r>
              <w:rPr>
                <w:rStyle w:val="IndexLink"/>
                <w:rtl w:val="true"/>
              </w:rPr>
              <w:tab/>
            </w:r>
            <w:r>
              <w:rPr>
                <w:rStyle w:val="IndexLink"/>
              </w:rPr>
              <w:t>345</w:t>
            </w:r>
          </w:hyperlink>
        </w:p>
        <w:p>
          <w:pPr>
            <w:pStyle w:val="Contents4"/>
            <w:tabs>
              <w:tab w:val="clear" w:pos="8176"/>
              <w:tab w:val="right" w:pos="9026" w:leader="dot"/>
            </w:tabs>
            <w:rPr/>
          </w:pPr>
          <w:hyperlink w:anchor="__RefHeading___Toc686532_3406789950">
            <w:r>
              <w:rPr>
                <w:webHidden/>
                <w:rStyle w:val="IndexLink"/>
                <w:rtl w:val="true"/>
              </w:rPr>
              <w:t>المقام الثاني في بيان حدود دلالة الروايات</w:t>
            </w:r>
            <w:r>
              <w:rPr>
                <w:rStyle w:val="IndexLink"/>
                <w:rtl w:val="true"/>
              </w:rPr>
              <w:tab/>
            </w:r>
            <w:r>
              <w:rPr>
                <w:rStyle w:val="IndexLink"/>
              </w:rPr>
              <w:t>347</w:t>
            </w:r>
          </w:hyperlink>
        </w:p>
        <w:p>
          <w:pPr>
            <w:pStyle w:val="Contents4"/>
            <w:tabs>
              <w:tab w:val="clear" w:pos="8176"/>
              <w:tab w:val="right" w:pos="9026" w:leader="dot"/>
            </w:tabs>
            <w:rPr/>
          </w:pPr>
          <w:hyperlink w:anchor="__RefHeading___Toc686534_3406789950">
            <w:r>
              <w:rPr>
                <w:webHidden/>
                <w:rStyle w:val="IndexLink"/>
                <w:rtl w:val="true"/>
              </w:rPr>
              <w:t xml:space="preserve">المقام الثالث في أنّ </w:t>
            </w:r>
            <w:r>
              <w:rPr>
                <w:rStyle w:val="IndexLink"/>
                <w:rtl w:val="true"/>
              </w:rPr>
              <w:t>«</w:t>
            </w:r>
            <w:r>
              <w:rPr>
                <w:rStyle w:val="IndexLink"/>
                <w:rtl w:val="true"/>
              </w:rPr>
              <w:t>كلّ ما يمتنع أن يكون حيضاً فهو استحاضة</w:t>
            </w:r>
            <w:r>
              <w:rPr>
                <w:rStyle w:val="IndexLink"/>
                <w:rtl w:val="true"/>
              </w:rPr>
              <w:t>»</w:t>
              <w:tab/>
            </w:r>
            <w:r>
              <w:rPr>
                <w:rStyle w:val="IndexLink"/>
              </w:rPr>
              <w:t>355</w:t>
            </w:r>
          </w:hyperlink>
        </w:p>
        <w:p>
          <w:pPr>
            <w:pStyle w:val="Contents5"/>
            <w:tabs>
              <w:tab w:val="clear" w:pos="7892"/>
              <w:tab w:val="right" w:pos="9026" w:leader="dot"/>
            </w:tabs>
            <w:rPr/>
          </w:pPr>
          <w:hyperlink w:anchor="__RefHeading___Toc686536_3406789950">
            <w:r>
              <w:rPr>
                <w:webHidden/>
                <w:rStyle w:val="IndexLink"/>
                <w:rtl w:val="true"/>
              </w:rPr>
              <w:t>اشارة</w:t>
            </w:r>
            <w:r>
              <w:rPr>
                <w:rStyle w:val="IndexLink"/>
                <w:rtl w:val="true"/>
              </w:rPr>
              <w:tab/>
            </w:r>
            <w:r>
              <w:rPr>
                <w:rStyle w:val="IndexLink"/>
              </w:rPr>
              <w:t>355</w:t>
            </w:r>
          </w:hyperlink>
        </w:p>
        <w:p>
          <w:pPr>
            <w:pStyle w:val="Contents5"/>
            <w:tabs>
              <w:tab w:val="clear" w:pos="7892"/>
              <w:tab w:val="right" w:pos="9026" w:leader="dot"/>
            </w:tabs>
            <w:rPr/>
          </w:pPr>
          <w:hyperlink w:anchor="__RefHeading___Toc686538_3406789950">
            <w:r>
              <w:rPr>
                <w:webHidden/>
                <w:rStyle w:val="IndexLink"/>
                <w:rtl w:val="true"/>
              </w:rPr>
              <w:t>توجيه الحكم باستحاضة اليائسة والصغيرة</w:t>
            </w:r>
            <w:r>
              <w:rPr>
                <w:rStyle w:val="IndexLink"/>
                <w:rtl w:val="true"/>
              </w:rPr>
              <w:tab/>
            </w:r>
            <w:r>
              <w:rPr>
                <w:rStyle w:val="IndexLink"/>
              </w:rPr>
              <w:t>358</w:t>
            </w:r>
          </w:hyperlink>
        </w:p>
        <w:p>
          <w:pPr>
            <w:pStyle w:val="Contents5"/>
            <w:tabs>
              <w:tab w:val="clear" w:pos="7892"/>
              <w:tab w:val="right" w:pos="9026" w:leader="dot"/>
            </w:tabs>
            <w:rPr/>
          </w:pPr>
          <w:hyperlink w:anchor="__RefHeading___Toc686540_3406789950">
            <w:r>
              <w:rPr>
                <w:webHidden/>
                <w:rStyle w:val="IndexLink"/>
                <w:rtl w:val="true"/>
              </w:rPr>
              <w:t>فرع في اجتماع الحمل والحيض</w:t>
            </w:r>
            <w:r>
              <w:rPr>
                <w:rStyle w:val="IndexLink"/>
                <w:rtl w:val="true"/>
              </w:rPr>
              <w:tab/>
            </w:r>
            <w:r>
              <w:rPr>
                <w:rStyle w:val="IndexLink"/>
              </w:rPr>
              <w:t>361</w:t>
            </w:r>
          </w:hyperlink>
        </w:p>
        <w:p>
          <w:pPr>
            <w:pStyle w:val="Contents5"/>
            <w:tabs>
              <w:tab w:val="clear" w:pos="7892"/>
              <w:tab w:val="right" w:pos="9026" w:leader="dot"/>
            </w:tabs>
            <w:rPr/>
          </w:pPr>
          <w:hyperlink w:anchor="__RefHeading___Toc686542_3406789950">
            <w:r>
              <w:rPr>
                <w:webHidden/>
                <w:rStyle w:val="IndexLink"/>
                <w:rtl w:val="true"/>
              </w:rPr>
              <w:t>الأقوال في المقام</w:t>
            </w:r>
            <w:r>
              <w:rPr>
                <w:rStyle w:val="IndexLink"/>
                <w:rtl w:val="true"/>
              </w:rPr>
              <w:tab/>
            </w:r>
            <w:r>
              <w:rPr>
                <w:rStyle w:val="IndexLink"/>
              </w:rPr>
              <w:t>361</w:t>
            </w:r>
          </w:hyperlink>
        </w:p>
        <w:p>
          <w:pPr>
            <w:pStyle w:val="Contents6"/>
            <w:tabs>
              <w:tab w:val="clear" w:pos="7609"/>
              <w:tab w:val="right" w:pos="9026" w:leader="dot"/>
            </w:tabs>
            <w:rPr/>
          </w:pPr>
          <w:hyperlink w:anchor="__RefHeading___Toc686544_3406789950">
            <w:r>
              <w:rPr>
                <w:webHidden/>
                <w:rStyle w:val="IndexLink"/>
                <w:rtl w:val="true"/>
              </w:rPr>
              <w:t>اشارة</w:t>
            </w:r>
            <w:r>
              <w:rPr>
                <w:rStyle w:val="IndexLink"/>
                <w:rtl w:val="true"/>
              </w:rPr>
              <w:tab/>
            </w:r>
            <w:r>
              <w:rPr>
                <w:rStyle w:val="IndexLink"/>
              </w:rPr>
              <w:t>361</w:t>
            </w:r>
          </w:hyperlink>
        </w:p>
        <w:p>
          <w:pPr>
            <w:pStyle w:val="Contents6"/>
            <w:tabs>
              <w:tab w:val="clear" w:pos="7609"/>
              <w:tab w:val="right" w:pos="9026" w:leader="dot"/>
            </w:tabs>
            <w:rPr/>
          </w:pPr>
          <w:hyperlink w:anchor="__RefHeading___Toc686546_3406789950">
            <w:r>
              <w:rPr>
                <w:webHidden/>
                <w:rStyle w:val="IndexLink"/>
                <w:rtl w:val="true"/>
              </w:rPr>
              <w:t>أدلّة الاجتماع مطلقاً</w:t>
            </w:r>
            <w:r>
              <w:rPr>
                <w:rStyle w:val="IndexLink"/>
                <w:rtl w:val="true"/>
              </w:rPr>
              <w:tab/>
            </w:r>
            <w:r>
              <w:rPr>
                <w:rStyle w:val="IndexLink"/>
              </w:rPr>
              <w:t>363</w:t>
            </w:r>
          </w:hyperlink>
        </w:p>
        <w:p>
          <w:pPr>
            <w:pStyle w:val="Contents6"/>
            <w:tabs>
              <w:tab w:val="clear" w:pos="7609"/>
              <w:tab w:val="right" w:pos="9026" w:leader="dot"/>
            </w:tabs>
            <w:rPr/>
          </w:pPr>
          <w:hyperlink w:anchor="__RefHeading___Toc686548_3406789950">
            <w:r>
              <w:rPr>
                <w:webHidden/>
                <w:rStyle w:val="IndexLink"/>
                <w:rtl w:val="true"/>
              </w:rPr>
              <w:t>أدلّة الاجتماع في الجملة</w:t>
            </w:r>
            <w:r>
              <w:rPr>
                <w:rStyle w:val="IndexLink"/>
                <w:rtl w:val="true"/>
              </w:rPr>
              <w:tab/>
            </w:r>
            <w:r>
              <w:rPr>
                <w:rStyle w:val="IndexLink"/>
              </w:rPr>
              <w:t>365</w:t>
            </w:r>
          </w:hyperlink>
        </w:p>
        <w:p>
          <w:pPr>
            <w:pStyle w:val="Contents6"/>
            <w:tabs>
              <w:tab w:val="clear" w:pos="7609"/>
              <w:tab w:val="right" w:pos="9026" w:leader="dot"/>
            </w:tabs>
            <w:rPr/>
          </w:pPr>
          <w:hyperlink w:anchor="__RefHeading___Toc686550_3406789950">
            <w:r>
              <w:rPr>
                <w:webHidden/>
                <w:rStyle w:val="IndexLink"/>
                <w:rtl w:val="true"/>
              </w:rPr>
              <w:t>أدلّة عدم الاجتماع مطلقاً</w:t>
            </w:r>
            <w:r>
              <w:rPr>
                <w:rStyle w:val="IndexLink"/>
                <w:rtl w:val="true"/>
              </w:rPr>
              <w:tab/>
            </w:r>
            <w:r>
              <w:rPr>
                <w:rStyle w:val="IndexLink"/>
              </w:rPr>
              <w:t>365</w:t>
            </w:r>
          </w:hyperlink>
        </w:p>
        <w:p>
          <w:pPr>
            <w:pStyle w:val="Contents6"/>
            <w:tabs>
              <w:tab w:val="clear" w:pos="7609"/>
              <w:tab w:val="right" w:pos="9026" w:leader="dot"/>
            </w:tabs>
            <w:rPr/>
          </w:pPr>
          <w:hyperlink w:anchor="__RefHeading___Toc686552_3406789950">
            <w:r>
              <w:rPr>
                <w:webHidden/>
                <w:rStyle w:val="IndexLink"/>
                <w:rtl w:val="true"/>
              </w:rPr>
              <w:t>وجه الجمع بين ما دلّت على الاجتماع وما دلّت على عدمه مع قطع النظر عن صحيحة الصحّاف</w:t>
            </w:r>
            <w:r>
              <w:rPr>
                <w:rStyle w:val="IndexLink"/>
                <w:rtl w:val="true"/>
              </w:rPr>
              <w:tab/>
            </w:r>
            <w:r>
              <w:rPr>
                <w:rStyle w:val="IndexLink"/>
              </w:rPr>
              <w:t>370</w:t>
            </w:r>
          </w:hyperlink>
        </w:p>
        <w:p>
          <w:pPr>
            <w:pStyle w:val="Contents6"/>
            <w:tabs>
              <w:tab w:val="clear" w:pos="7609"/>
              <w:tab w:val="right" w:pos="9026" w:leader="dot"/>
            </w:tabs>
            <w:rPr/>
          </w:pPr>
          <w:hyperlink w:anchor="__RefHeading___Toc686554_3406789950">
            <w:r>
              <w:rPr>
                <w:webHidden/>
                <w:rStyle w:val="IndexLink"/>
                <w:rtl w:val="true"/>
              </w:rPr>
              <w:t>قوّة العمل بصحيحة الصحّاف</w:t>
            </w:r>
            <w:r>
              <w:rPr>
                <w:rStyle w:val="IndexLink"/>
                <w:rtl w:val="true"/>
              </w:rPr>
              <w:tab/>
            </w:r>
            <w:r>
              <w:rPr>
                <w:rStyle w:val="IndexLink"/>
              </w:rPr>
              <w:t>374</w:t>
            </w:r>
          </w:hyperlink>
        </w:p>
        <w:p>
          <w:pPr>
            <w:pStyle w:val="Contents5"/>
            <w:tabs>
              <w:tab w:val="clear" w:pos="7892"/>
              <w:tab w:val="right" w:pos="9026" w:leader="dot"/>
            </w:tabs>
            <w:rPr/>
          </w:pPr>
          <w:hyperlink w:anchor="__RefHeading___Toc686556_3406789950">
            <w:r>
              <w:rPr>
                <w:webHidden/>
                <w:rStyle w:val="IndexLink"/>
                <w:rtl w:val="true"/>
              </w:rPr>
              <w:t>المطلب الأوّل</w:t>
            </w:r>
            <w:r>
              <w:rPr>
                <w:rStyle w:val="IndexLink"/>
                <w:rtl w:val="true"/>
              </w:rPr>
              <w:t xml:space="preserve">: </w:t>
            </w:r>
            <w:r>
              <w:rPr>
                <w:rStyle w:val="IndexLink"/>
                <w:rtl w:val="true"/>
              </w:rPr>
              <w:t>في حكم تجاوز الدم عن أكثر الحيض</w:t>
            </w:r>
            <w:r>
              <w:rPr>
                <w:rStyle w:val="IndexLink"/>
                <w:rtl w:val="true"/>
              </w:rPr>
              <w:tab/>
            </w:r>
            <w:r>
              <w:rPr>
                <w:rStyle w:val="IndexLink"/>
              </w:rPr>
              <w:t>378</w:t>
            </w:r>
          </w:hyperlink>
        </w:p>
        <w:p>
          <w:pPr>
            <w:pStyle w:val="Contents6"/>
            <w:tabs>
              <w:tab w:val="clear" w:pos="7609"/>
              <w:tab w:val="right" w:pos="9026" w:leader="dot"/>
            </w:tabs>
            <w:rPr/>
          </w:pPr>
          <w:hyperlink w:anchor="__RefHeading___Toc686558_3406789950">
            <w:r>
              <w:rPr>
                <w:webHidden/>
                <w:rStyle w:val="IndexLink"/>
                <w:rtl w:val="true"/>
              </w:rPr>
              <w:t>اشارة</w:t>
            </w:r>
            <w:r>
              <w:rPr>
                <w:rStyle w:val="IndexLink"/>
                <w:rtl w:val="true"/>
              </w:rPr>
              <w:tab/>
            </w:r>
            <w:r>
              <w:rPr>
                <w:rStyle w:val="IndexLink"/>
              </w:rPr>
              <w:t>378</w:t>
            </w:r>
          </w:hyperlink>
        </w:p>
        <w:p>
          <w:pPr>
            <w:pStyle w:val="Contents6"/>
            <w:tabs>
              <w:tab w:val="clear" w:pos="7609"/>
              <w:tab w:val="right" w:pos="9026" w:leader="dot"/>
            </w:tabs>
            <w:rPr/>
          </w:pPr>
          <w:hyperlink w:anchor="__RefHeading___Toc686560_3406789950">
            <w:r>
              <w:rPr>
                <w:webHidden/>
                <w:rStyle w:val="IndexLink"/>
                <w:rtl w:val="true"/>
              </w:rPr>
              <w:t>المسألة الاُولى</w:t>
            </w:r>
            <w:r>
              <w:rPr>
                <w:rStyle w:val="IndexLink"/>
                <w:rtl w:val="true"/>
              </w:rPr>
              <w:t xml:space="preserve">: </w:t>
            </w:r>
            <w:r>
              <w:rPr>
                <w:rStyle w:val="IndexLink"/>
                <w:rtl w:val="true"/>
              </w:rPr>
              <w:t>في اعتبار التمييز في المبتدئة</w:t>
            </w:r>
            <w:r>
              <w:rPr>
                <w:rStyle w:val="IndexLink"/>
                <w:rtl w:val="true"/>
              </w:rPr>
              <w:tab/>
            </w:r>
            <w:r>
              <w:rPr>
                <w:rStyle w:val="IndexLink"/>
              </w:rPr>
              <w:t>379</w:t>
            </w:r>
          </w:hyperlink>
        </w:p>
        <w:p>
          <w:pPr>
            <w:pStyle w:val="Contents6"/>
            <w:tabs>
              <w:tab w:val="clear" w:pos="7609"/>
              <w:tab w:val="right" w:pos="9026" w:leader="dot"/>
            </w:tabs>
            <w:rPr/>
          </w:pPr>
          <w:hyperlink w:anchor="__RefHeading___Toc686562_3406789950">
            <w:r>
              <w:rPr>
                <w:webHidden/>
                <w:rStyle w:val="IndexLink"/>
                <w:rtl w:val="true"/>
              </w:rPr>
              <w:t>اشارة</w:t>
            </w:r>
            <w:r>
              <w:rPr>
                <w:rStyle w:val="IndexLink"/>
                <w:rtl w:val="true"/>
              </w:rPr>
              <w:tab/>
            </w:r>
            <w:r>
              <w:rPr>
                <w:rStyle w:val="IndexLink"/>
              </w:rPr>
              <w:t>379</w:t>
            </w:r>
          </w:hyperlink>
        </w:p>
        <w:p>
          <w:pPr>
            <w:pStyle w:val="Contents6"/>
            <w:tabs>
              <w:tab w:val="clear" w:pos="7609"/>
              <w:tab w:val="right" w:pos="9026" w:leader="dot"/>
            </w:tabs>
            <w:rPr/>
          </w:pPr>
          <w:hyperlink w:anchor="__RefHeading___Toc686564_3406789950">
            <w:r>
              <w:rPr>
                <w:webHidden/>
                <w:rStyle w:val="IndexLink"/>
                <w:rtl w:val="true"/>
              </w:rPr>
              <w:t xml:space="preserve">الروايات التي زعم صاحب </w:t>
            </w:r>
            <w:r>
              <w:rPr>
                <w:rStyle w:val="IndexLink"/>
                <w:rtl w:val="true"/>
              </w:rPr>
              <w:t>«</w:t>
            </w:r>
            <w:r>
              <w:rPr>
                <w:rStyle w:val="IndexLink"/>
                <w:rtl w:val="true"/>
              </w:rPr>
              <w:t>الحدائق</w:t>
            </w:r>
            <w:r>
              <w:rPr>
                <w:rStyle w:val="IndexLink"/>
                <w:rtl w:val="true"/>
              </w:rPr>
              <w:t xml:space="preserve">» </w:t>
            </w:r>
            <w:r>
              <w:rPr>
                <w:rStyle w:val="IndexLink"/>
                <w:rtl w:val="true"/>
              </w:rPr>
              <w:t>دلالتها على عدم اعتبار التمييز</w:t>
            </w:r>
            <w:r>
              <w:rPr>
                <w:rStyle w:val="IndexLink"/>
                <w:rtl w:val="true"/>
              </w:rPr>
              <w:tab/>
            </w:r>
            <w:r>
              <w:rPr>
                <w:rStyle w:val="IndexLink"/>
              </w:rPr>
              <w:t>382</w:t>
            </w:r>
          </w:hyperlink>
        </w:p>
        <w:p>
          <w:pPr>
            <w:pStyle w:val="Contents6"/>
            <w:tabs>
              <w:tab w:val="clear" w:pos="7609"/>
              <w:tab w:val="right" w:pos="9026" w:leader="dot"/>
            </w:tabs>
            <w:rPr/>
          </w:pPr>
          <w:hyperlink w:anchor="__RefHeading___Toc686566_3406789950">
            <w:r>
              <w:rPr>
                <w:webHidden/>
                <w:rStyle w:val="IndexLink"/>
                <w:rtl w:val="true"/>
              </w:rPr>
              <w:t>بيان بعض فقرات المرسلة</w:t>
            </w:r>
            <w:r>
              <w:rPr>
                <w:rStyle w:val="IndexLink"/>
                <w:rtl w:val="true"/>
              </w:rPr>
              <w:tab/>
            </w:r>
            <w:r>
              <w:rPr>
                <w:rStyle w:val="IndexLink"/>
              </w:rPr>
              <w:t>387</w:t>
            </w:r>
          </w:hyperlink>
        </w:p>
        <w:p>
          <w:pPr>
            <w:pStyle w:val="Contents6"/>
            <w:tabs>
              <w:tab w:val="clear" w:pos="7609"/>
              <w:tab w:val="right" w:pos="9026" w:leader="dot"/>
            </w:tabs>
            <w:rPr/>
          </w:pPr>
          <w:hyperlink w:anchor="__RefHeading___Toc686568_3406789950">
            <w:r>
              <w:rPr>
                <w:webHidden/>
                <w:rStyle w:val="IndexLink"/>
                <w:rtl w:val="true"/>
              </w:rPr>
              <w:t>رواية سماعة وموثّقة ابن بكير</w:t>
            </w:r>
            <w:r>
              <w:rPr>
                <w:rStyle w:val="IndexLink"/>
                <w:rtl w:val="true"/>
              </w:rPr>
              <w:tab/>
            </w:r>
            <w:r>
              <w:rPr>
                <w:rStyle w:val="IndexLink"/>
              </w:rPr>
              <w:t>395</w:t>
            </w:r>
          </w:hyperlink>
        </w:p>
        <w:p>
          <w:pPr>
            <w:pStyle w:val="Contents6"/>
            <w:tabs>
              <w:tab w:val="clear" w:pos="7609"/>
              <w:tab w:val="right" w:pos="9026" w:leader="dot"/>
            </w:tabs>
            <w:rPr/>
          </w:pPr>
          <w:hyperlink w:anchor="__RefHeading___Toc686570_3406789950">
            <w:r>
              <w:rPr>
                <w:webHidden/>
                <w:rStyle w:val="IndexLink"/>
                <w:rtl w:val="true"/>
              </w:rPr>
              <w:t>الأمر الأوّل في شرائط الرجوع إلى التمييز</w:t>
            </w:r>
            <w:r>
              <w:rPr>
                <w:rStyle w:val="IndexLink"/>
                <w:rtl w:val="true"/>
              </w:rPr>
              <w:tab/>
            </w:r>
            <w:r>
              <w:rPr>
                <w:rStyle w:val="IndexLink"/>
              </w:rPr>
              <w:t>397</w:t>
            </w:r>
          </w:hyperlink>
        </w:p>
        <w:p>
          <w:pPr>
            <w:pStyle w:val="Contents6"/>
            <w:tabs>
              <w:tab w:val="clear" w:pos="7609"/>
              <w:tab w:val="right" w:pos="9026" w:leader="dot"/>
            </w:tabs>
            <w:rPr/>
          </w:pPr>
          <w:hyperlink w:anchor="__RefHeading___Toc686572_3406789950">
            <w:r>
              <w:rPr>
                <w:webHidden/>
                <w:rStyle w:val="IndexLink"/>
                <w:rtl w:val="true"/>
              </w:rPr>
              <w:t xml:space="preserve">مختار صاحب </w:t>
            </w:r>
            <w:r>
              <w:rPr>
                <w:rStyle w:val="IndexLink"/>
                <w:rtl w:val="true"/>
              </w:rPr>
              <w:t>«</w:t>
            </w:r>
            <w:r>
              <w:rPr>
                <w:rStyle w:val="IndexLink"/>
                <w:rtl w:val="true"/>
              </w:rPr>
              <w:t>الحدائق</w:t>
            </w:r>
            <w:r>
              <w:rPr>
                <w:rStyle w:val="IndexLink"/>
                <w:rtl w:val="true"/>
              </w:rPr>
              <w:t xml:space="preserve">» </w:t>
            </w:r>
            <w:r>
              <w:rPr>
                <w:rStyle w:val="IndexLink"/>
                <w:rtl w:val="true"/>
              </w:rPr>
              <w:t>في المقام ونقده</w:t>
            </w:r>
            <w:r>
              <w:rPr>
                <w:rStyle w:val="IndexLink"/>
                <w:rtl w:val="true"/>
              </w:rPr>
              <w:tab/>
            </w:r>
            <w:r>
              <w:rPr>
                <w:rStyle w:val="IndexLink"/>
              </w:rPr>
              <w:t>397</w:t>
            </w:r>
          </w:hyperlink>
        </w:p>
        <w:p>
          <w:pPr>
            <w:pStyle w:val="Contents6"/>
            <w:tabs>
              <w:tab w:val="clear" w:pos="7609"/>
              <w:tab w:val="right" w:pos="9026" w:leader="dot"/>
            </w:tabs>
            <w:rPr/>
          </w:pPr>
          <w:hyperlink w:anchor="__RefHeading___Toc686574_3406789950">
            <w:r>
              <w:rPr>
                <w:webHidden/>
                <w:rStyle w:val="IndexLink"/>
                <w:rtl w:val="true"/>
              </w:rPr>
              <w:t>الأمر الثاني في حكم ما تراه بصفة الحيض أقلّ من ثلاثة أيّام</w:t>
            </w:r>
            <w:r>
              <w:rPr>
                <w:rStyle w:val="IndexLink"/>
                <w:rtl w:val="true"/>
              </w:rPr>
              <w:tab/>
            </w:r>
            <w:r>
              <w:rPr>
                <w:rStyle w:val="IndexLink"/>
              </w:rPr>
              <w:t>400</w:t>
            </w:r>
          </w:hyperlink>
        </w:p>
        <w:p>
          <w:pPr>
            <w:pStyle w:val="Contents6"/>
            <w:tabs>
              <w:tab w:val="clear" w:pos="7609"/>
              <w:tab w:val="right" w:pos="9026" w:leader="dot"/>
            </w:tabs>
            <w:rPr/>
          </w:pPr>
          <w:hyperlink w:anchor="__RefHeading___Toc686576_3406789950">
            <w:r>
              <w:rPr>
                <w:webHidden/>
                <w:rStyle w:val="IndexLink"/>
                <w:rtl w:val="true"/>
              </w:rPr>
              <w:t>الكلام في كيفية التتميم</w:t>
            </w:r>
            <w:r>
              <w:rPr>
                <w:rStyle w:val="IndexLink"/>
                <w:rtl w:val="true"/>
              </w:rPr>
              <w:tab/>
            </w:r>
            <w:r>
              <w:rPr>
                <w:rStyle w:val="IndexLink"/>
              </w:rPr>
              <w:t>402</w:t>
            </w:r>
          </w:hyperlink>
        </w:p>
        <w:p>
          <w:pPr>
            <w:pStyle w:val="Contents6"/>
            <w:tabs>
              <w:tab w:val="clear" w:pos="7609"/>
              <w:tab w:val="right" w:pos="9026" w:leader="dot"/>
            </w:tabs>
            <w:rPr/>
          </w:pPr>
          <w:hyperlink w:anchor="__RefHeading___Toc686578_3406789950">
            <w:r>
              <w:rPr>
                <w:webHidden/>
                <w:rStyle w:val="IndexLink"/>
                <w:rtl w:val="true"/>
              </w:rPr>
              <w:t>الأمر الثالث في حكم ما تراه بصفة الحيض أكثر من عشرة أيّام</w:t>
            </w:r>
            <w:r>
              <w:rPr>
                <w:rStyle w:val="IndexLink"/>
                <w:rtl w:val="true"/>
              </w:rPr>
              <w:tab/>
            </w:r>
            <w:r>
              <w:rPr>
                <w:rStyle w:val="IndexLink"/>
              </w:rPr>
              <w:t>404</w:t>
            </w:r>
          </w:hyperlink>
        </w:p>
        <w:p>
          <w:pPr>
            <w:pStyle w:val="Contents6"/>
            <w:tabs>
              <w:tab w:val="clear" w:pos="7609"/>
              <w:tab w:val="right" w:pos="9026" w:leader="dot"/>
            </w:tabs>
            <w:rPr/>
          </w:pPr>
          <w:hyperlink w:anchor="__RefHeading___Toc686580_3406789950">
            <w:r>
              <w:rPr>
                <w:webHidden/>
                <w:rStyle w:val="IndexLink"/>
                <w:rtl w:val="true"/>
              </w:rPr>
              <w:t>الأمر الرابع في حكم ما إذا رأت ذات التمييز صفرة بين الدمين</w:t>
            </w:r>
            <w:r>
              <w:rPr>
                <w:rStyle w:val="IndexLink"/>
                <w:rtl w:val="true"/>
              </w:rPr>
              <w:tab/>
            </w:r>
            <w:r>
              <w:rPr>
                <w:rStyle w:val="IndexLink"/>
              </w:rPr>
              <w:t>409</w:t>
            </w:r>
          </w:hyperlink>
        </w:p>
        <w:p>
          <w:pPr>
            <w:pStyle w:val="Contents6"/>
            <w:tabs>
              <w:tab w:val="clear" w:pos="7609"/>
              <w:tab w:val="right" w:pos="9026" w:leader="dot"/>
            </w:tabs>
            <w:rPr/>
          </w:pPr>
          <w:hyperlink w:anchor="__RefHeading___Toc686582_3406789950">
            <w:r>
              <w:rPr>
                <w:webHidden/>
                <w:rStyle w:val="IndexLink"/>
                <w:rtl w:val="true"/>
              </w:rPr>
              <w:t>فقدان المرأة للتمييز بناءً على أمارية أوصاف الاستحاضة</w:t>
            </w:r>
            <w:r>
              <w:rPr>
                <w:rStyle w:val="IndexLink"/>
                <w:rtl w:val="true"/>
              </w:rPr>
              <w:tab/>
            </w:r>
            <w:r>
              <w:rPr>
                <w:rStyle w:val="IndexLink"/>
              </w:rPr>
              <w:t>410</w:t>
            </w:r>
          </w:hyperlink>
        </w:p>
        <w:p>
          <w:pPr>
            <w:pStyle w:val="Contents6"/>
            <w:tabs>
              <w:tab w:val="clear" w:pos="7609"/>
              <w:tab w:val="right" w:pos="9026" w:leader="dot"/>
            </w:tabs>
            <w:rPr/>
          </w:pPr>
          <w:hyperlink w:anchor="__RefHeading___Toc686584_3406789950">
            <w:r>
              <w:rPr>
                <w:webHidden/>
                <w:rStyle w:val="IndexLink"/>
                <w:rtl w:val="true"/>
              </w:rPr>
              <w:t>الأمر الخامس في حكم المبتدئة الفاقدة للتمييز</w:t>
            </w:r>
            <w:r>
              <w:rPr>
                <w:rStyle w:val="IndexLink"/>
                <w:rtl w:val="true"/>
              </w:rPr>
              <w:tab/>
            </w:r>
            <w:r>
              <w:rPr>
                <w:rStyle w:val="IndexLink"/>
              </w:rPr>
              <w:t>412</w:t>
            </w:r>
          </w:hyperlink>
        </w:p>
        <w:p>
          <w:pPr>
            <w:pStyle w:val="Contents6"/>
            <w:tabs>
              <w:tab w:val="clear" w:pos="7609"/>
              <w:tab w:val="right" w:pos="9026" w:leader="dot"/>
            </w:tabs>
            <w:rPr/>
          </w:pPr>
          <w:hyperlink w:anchor="__RefHeading___Toc686586_3406789950">
            <w:r>
              <w:rPr>
                <w:webHidden/>
                <w:rStyle w:val="IndexLink"/>
                <w:rtl w:val="true"/>
              </w:rPr>
              <w:t>اشارة</w:t>
            </w:r>
            <w:r>
              <w:rPr>
                <w:rStyle w:val="IndexLink"/>
                <w:rtl w:val="true"/>
              </w:rPr>
              <w:tab/>
            </w:r>
            <w:r>
              <w:rPr>
                <w:rStyle w:val="IndexLink"/>
              </w:rPr>
              <w:t>412</w:t>
            </w:r>
          </w:hyperlink>
        </w:p>
        <w:p>
          <w:pPr>
            <w:pStyle w:val="Contents6"/>
            <w:tabs>
              <w:tab w:val="clear" w:pos="7609"/>
              <w:tab w:val="right" w:pos="9026" w:leader="dot"/>
            </w:tabs>
            <w:rPr/>
          </w:pPr>
          <w:hyperlink w:anchor="__RefHeading___Toc686588_3406789950">
            <w:r>
              <w:rPr>
                <w:webHidden/>
                <w:rStyle w:val="IndexLink"/>
                <w:rtl w:val="true"/>
              </w:rPr>
              <w:t xml:space="preserve">الجهة الاُولى </w:t>
            </w:r>
            <w:r>
              <w:rPr>
                <w:rStyle w:val="IndexLink"/>
                <w:rtl w:val="true"/>
              </w:rPr>
              <w:t xml:space="preserve">: </w:t>
            </w:r>
            <w:r>
              <w:rPr>
                <w:rStyle w:val="IndexLink"/>
                <w:rtl w:val="true"/>
              </w:rPr>
              <w:t>في كيفية الجمع بين الروايات</w:t>
            </w:r>
            <w:r>
              <w:rPr>
                <w:rStyle w:val="IndexLink"/>
                <w:rtl w:val="true"/>
              </w:rPr>
              <w:tab/>
            </w:r>
            <w:r>
              <w:rPr>
                <w:rStyle w:val="IndexLink"/>
              </w:rPr>
              <w:t>412</w:t>
            </w:r>
          </w:hyperlink>
        </w:p>
        <w:p>
          <w:pPr>
            <w:pStyle w:val="Contents6"/>
            <w:tabs>
              <w:tab w:val="clear" w:pos="7609"/>
              <w:tab w:val="right" w:pos="9026" w:leader="dot"/>
            </w:tabs>
            <w:rPr/>
          </w:pPr>
          <w:hyperlink w:anchor="__RefHeading___Toc686590_3406789950">
            <w:r>
              <w:rPr>
                <w:webHidden/>
                <w:rStyle w:val="IndexLink"/>
                <w:rtl w:val="true"/>
              </w:rPr>
              <w:t xml:space="preserve">الجهة الثانية </w:t>
            </w:r>
            <w:r>
              <w:rPr>
                <w:rStyle w:val="IndexLink"/>
                <w:rtl w:val="true"/>
              </w:rPr>
              <w:t xml:space="preserve">: </w:t>
            </w:r>
            <w:r>
              <w:rPr>
                <w:rStyle w:val="IndexLink"/>
                <w:rtl w:val="true"/>
              </w:rPr>
              <w:t>في رجوع غير مستقرّة العادة إلى عادة نسائها</w:t>
            </w:r>
            <w:r>
              <w:rPr>
                <w:rStyle w:val="IndexLink"/>
                <w:rtl w:val="true"/>
              </w:rPr>
              <w:tab/>
            </w:r>
            <w:r>
              <w:rPr>
                <w:rStyle w:val="IndexLink"/>
              </w:rPr>
              <w:t>416</w:t>
            </w:r>
          </w:hyperlink>
        </w:p>
        <w:p>
          <w:pPr>
            <w:pStyle w:val="Contents6"/>
            <w:tabs>
              <w:tab w:val="clear" w:pos="7609"/>
              <w:tab w:val="right" w:pos="9026" w:leader="dot"/>
            </w:tabs>
            <w:rPr/>
          </w:pPr>
          <w:hyperlink w:anchor="__RefHeading___Toc686592_3406789950">
            <w:r>
              <w:rPr>
                <w:webHidden/>
                <w:rStyle w:val="IndexLink"/>
                <w:rtl w:val="true"/>
              </w:rPr>
              <w:t xml:space="preserve">الجهة الثالثة </w:t>
            </w:r>
            <w:r>
              <w:rPr>
                <w:rStyle w:val="IndexLink"/>
                <w:rtl w:val="true"/>
              </w:rPr>
              <w:t xml:space="preserve">: </w:t>
            </w:r>
            <w:r>
              <w:rPr>
                <w:rStyle w:val="IndexLink"/>
                <w:rtl w:val="true"/>
              </w:rPr>
              <w:t>في بيان ما هو المعتبر عند الرجوع إلى عادة النساء</w:t>
            </w:r>
            <w:r>
              <w:rPr>
                <w:rStyle w:val="IndexLink"/>
                <w:rtl w:val="true"/>
              </w:rPr>
              <w:tab/>
            </w:r>
            <w:r>
              <w:rPr>
                <w:rStyle w:val="IndexLink"/>
              </w:rPr>
              <w:t>419</w:t>
            </w:r>
          </w:hyperlink>
        </w:p>
        <w:p>
          <w:pPr>
            <w:pStyle w:val="Contents6"/>
            <w:tabs>
              <w:tab w:val="clear" w:pos="7609"/>
              <w:tab w:val="right" w:pos="9026" w:leader="dot"/>
            </w:tabs>
            <w:rPr/>
          </w:pPr>
          <w:hyperlink w:anchor="__RefHeading___Toc686594_3406789950">
            <w:r>
              <w:rPr>
                <w:webHidden/>
                <w:rStyle w:val="IndexLink"/>
                <w:rtl w:val="true"/>
              </w:rPr>
              <w:t>اشارة</w:t>
            </w:r>
            <w:r>
              <w:rPr>
                <w:rStyle w:val="IndexLink"/>
                <w:rtl w:val="true"/>
              </w:rPr>
              <w:tab/>
            </w:r>
            <w:r>
              <w:rPr>
                <w:rStyle w:val="IndexLink"/>
              </w:rPr>
              <w:t>419</w:t>
            </w:r>
          </w:hyperlink>
        </w:p>
        <w:p>
          <w:pPr>
            <w:pStyle w:val="Contents6"/>
            <w:tabs>
              <w:tab w:val="clear" w:pos="7609"/>
              <w:tab w:val="right" w:pos="9026" w:leader="dot"/>
            </w:tabs>
            <w:rPr/>
          </w:pPr>
          <w:hyperlink w:anchor="__RefHeading___Toc686596_3406789950">
            <w:r>
              <w:rPr>
                <w:webHidden/>
                <w:rStyle w:val="IndexLink"/>
                <w:rtl w:val="true"/>
              </w:rPr>
              <w:t>حول إجراء أصالة العدم الأزلي لإحراز موضوع الرجوع</w:t>
            </w:r>
            <w:r>
              <w:rPr>
                <w:rStyle w:val="IndexLink"/>
                <w:rtl w:val="true"/>
              </w:rPr>
              <w:tab/>
            </w:r>
            <w:r>
              <w:rPr>
                <w:rStyle w:val="IndexLink"/>
              </w:rPr>
              <w:t>421</w:t>
            </w:r>
          </w:hyperlink>
        </w:p>
        <w:p>
          <w:pPr>
            <w:pStyle w:val="Contents6"/>
            <w:tabs>
              <w:tab w:val="clear" w:pos="7609"/>
              <w:tab w:val="right" w:pos="9026" w:leader="dot"/>
            </w:tabs>
            <w:rPr/>
          </w:pPr>
          <w:hyperlink w:anchor="__RefHeading___Toc686598_3406789950">
            <w:r>
              <w:rPr>
                <w:webHidden/>
                <w:rStyle w:val="IndexLink"/>
                <w:rtl w:val="true"/>
              </w:rPr>
              <w:t>كفاية الاتّفاق في خصوص العدد أو خصوص الوقت</w:t>
            </w:r>
            <w:r>
              <w:rPr>
                <w:rStyle w:val="IndexLink"/>
                <w:rtl w:val="true"/>
              </w:rPr>
              <w:tab/>
            </w:r>
            <w:r>
              <w:rPr>
                <w:rStyle w:val="IndexLink"/>
              </w:rPr>
              <w:t>422</w:t>
            </w:r>
          </w:hyperlink>
        </w:p>
        <w:p>
          <w:pPr>
            <w:pStyle w:val="Contents6"/>
            <w:tabs>
              <w:tab w:val="clear" w:pos="7609"/>
              <w:tab w:val="right" w:pos="9026" w:leader="dot"/>
            </w:tabs>
            <w:rPr/>
          </w:pPr>
          <w:hyperlink w:anchor="__RefHeading___Toc686600_3406789950">
            <w:r>
              <w:rPr>
                <w:webHidden/>
                <w:rStyle w:val="IndexLink"/>
                <w:rtl w:val="true"/>
              </w:rPr>
              <w:t xml:space="preserve">الجهة الرابعة </w:t>
            </w:r>
            <w:r>
              <w:rPr>
                <w:rStyle w:val="IndexLink"/>
                <w:rtl w:val="true"/>
              </w:rPr>
              <w:t xml:space="preserve">: </w:t>
            </w:r>
            <w:r>
              <w:rPr>
                <w:rStyle w:val="IndexLink"/>
                <w:rtl w:val="true"/>
              </w:rPr>
              <w:t>في عدم الرجوع إلى عادة أقرانها عند فقد نسائها</w:t>
            </w:r>
            <w:r>
              <w:rPr>
                <w:rStyle w:val="IndexLink"/>
                <w:rtl w:val="true"/>
              </w:rPr>
              <w:tab/>
            </w:r>
            <w:r>
              <w:rPr>
                <w:rStyle w:val="IndexLink"/>
              </w:rPr>
              <w:t>423</w:t>
            </w:r>
          </w:hyperlink>
        </w:p>
        <w:p>
          <w:pPr>
            <w:pStyle w:val="Contents6"/>
            <w:tabs>
              <w:tab w:val="clear" w:pos="7609"/>
              <w:tab w:val="right" w:pos="9026" w:leader="dot"/>
            </w:tabs>
            <w:rPr/>
          </w:pPr>
          <w:hyperlink w:anchor="__RefHeading___Toc686602_3406789950">
            <w:r>
              <w:rPr>
                <w:webHidden/>
                <w:rStyle w:val="IndexLink"/>
                <w:rtl w:val="true"/>
              </w:rPr>
              <w:t>الأمر السادس في حكم من لا يمكنها الرجوع إلى نسائها</w:t>
            </w:r>
            <w:r>
              <w:rPr>
                <w:rStyle w:val="IndexLink"/>
                <w:rtl w:val="true"/>
              </w:rPr>
              <w:tab/>
            </w:r>
            <w:r>
              <w:rPr>
                <w:rStyle w:val="IndexLink"/>
              </w:rPr>
              <w:t>425</w:t>
            </w:r>
          </w:hyperlink>
        </w:p>
        <w:p>
          <w:pPr>
            <w:pStyle w:val="Contents6"/>
            <w:tabs>
              <w:tab w:val="clear" w:pos="7609"/>
              <w:tab w:val="right" w:pos="9026" w:leader="dot"/>
            </w:tabs>
            <w:rPr/>
          </w:pPr>
          <w:hyperlink w:anchor="__RefHeading___Toc686604_3406789950">
            <w:r>
              <w:rPr>
                <w:webHidden/>
                <w:rStyle w:val="IndexLink"/>
                <w:rtl w:val="true"/>
              </w:rPr>
              <w:t>اشارة</w:t>
            </w:r>
            <w:r>
              <w:rPr>
                <w:rStyle w:val="IndexLink"/>
                <w:rtl w:val="true"/>
              </w:rPr>
              <w:tab/>
            </w:r>
            <w:r>
              <w:rPr>
                <w:rStyle w:val="IndexLink"/>
              </w:rPr>
              <w:t>425</w:t>
            </w:r>
          </w:hyperlink>
        </w:p>
        <w:p>
          <w:pPr>
            <w:pStyle w:val="Contents6"/>
            <w:tabs>
              <w:tab w:val="clear" w:pos="7609"/>
              <w:tab w:val="right" w:pos="9026" w:leader="dot"/>
            </w:tabs>
            <w:rPr/>
          </w:pPr>
          <w:hyperlink w:anchor="__RefHeading___Toc686606_3406789950">
            <w:r>
              <w:rPr>
                <w:webHidden/>
                <w:rStyle w:val="IndexLink"/>
                <w:rtl w:val="true"/>
              </w:rPr>
              <w:t>وجه للجمع بين أخبار المقام وبيان ما فيه</w:t>
            </w:r>
            <w:r>
              <w:rPr>
                <w:rStyle w:val="IndexLink"/>
                <w:rtl w:val="true"/>
              </w:rPr>
              <w:tab/>
            </w:r>
            <w:r>
              <w:rPr>
                <w:rStyle w:val="IndexLink"/>
              </w:rPr>
              <w:t>426</w:t>
            </w:r>
          </w:hyperlink>
        </w:p>
        <w:p>
          <w:pPr>
            <w:pStyle w:val="Contents6"/>
            <w:tabs>
              <w:tab w:val="clear" w:pos="7609"/>
              <w:tab w:val="right" w:pos="9026" w:leader="dot"/>
            </w:tabs>
            <w:rPr/>
          </w:pPr>
          <w:hyperlink w:anchor="__RefHeading___Toc686608_3406789950">
            <w:r>
              <w:rPr>
                <w:webHidden/>
                <w:rStyle w:val="IndexLink"/>
                <w:rtl w:val="true"/>
              </w:rPr>
              <w:t>ترجيح العمل بمرسلة يونس على ما ينافيها</w:t>
            </w:r>
            <w:r>
              <w:rPr>
                <w:rStyle w:val="IndexLink"/>
                <w:rtl w:val="true"/>
              </w:rPr>
              <w:tab/>
            </w:r>
            <w:r>
              <w:rPr>
                <w:rStyle w:val="IndexLink"/>
              </w:rPr>
              <w:t>428</w:t>
            </w:r>
          </w:hyperlink>
        </w:p>
        <w:p>
          <w:pPr>
            <w:pStyle w:val="Contents6"/>
            <w:tabs>
              <w:tab w:val="clear" w:pos="7609"/>
              <w:tab w:val="right" w:pos="9026" w:leader="dot"/>
            </w:tabs>
            <w:rPr/>
          </w:pPr>
          <w:hyperlink w:anchor="__RefHeading___Toc686610_3406789950">
            <w:r>
              <w:rPr>
                <w:webHidden/>
                <w:rStyle w:val="IndexLink"/>
                <w:rtl w:val="true"/>
              </w:rPr>
              <w:t>تعارض فقرات المرسلة وقوّة الأخذ بالسبعة</w:t>
            </w:r>
            <w:r>
              <w:rPr>
                <w:rStyle w:val="IndexLink"/>
                <w:rtl w:val="true"/>
              </w:rPr>
              <w:tab/>
            </w:r>
            <w:r>
              <w:rPr>
                <w:rStyle w:val="IndexLink"/>
              </w:rPr>
              <w:t>430</w:t>
            </w:r>
          </w:hyperlink>
        </w:p>
        <w:p>
          <w:pPr>
            <w:pStyle w:val="Contents6"/>
            <w:tabs>
              <w:tab w:val="clear" w:pos="7609"/>
              <w:tab w:val="right" w:pos="9026" w:leader="dot"/>
            </w:tabs>
            <w:rPr/>
          </w:pPr>
          <w:hyperlink w:anchor="__RefHeading___Toc686612_3406789950">
            <w:r>
              <w:rPr>
                <w:webHidden/>
                <w:rStyle w:val="IndexLink"/>
                <w:rtl w:val="true"/>
              </w:rPr>
              <w:t>عدم اختصاص المرسلة بالمبتدئة بالمعنى الأخصّ بخلاف الموثّقات</w:t>
            </w:r>
            <w:r>
              <w:rPr>
                <w:rStyle w:val="IndexLink"/>
                <w:rtl w:val="true"/>
              </w:rPr>
              <w:tab/>
            </w:r>
            <w:r>
              <w:rPr>
                <w:rStyle w:val="IndexLink"/>
              </w:rPr>
              <w:t>432</w:t>
            </w:r>
          </w:hyperlink>
        </w:p>
        <w:p>
          <w:pPr>
            <w:pStyle w:val="Contents6"/>
            <w:tabs>
              <w:tab w:val="clear" w:pos="7609"/>
              <w:tab w:val="right" w:pos="9026" w:leader="dot"/>
            </w:tabs>
            <w:rPr/>
          </w:pPr>
          <w:hyperlink w:anchor="__RefHeading___Toc686614_3406789950">
            <w:r>
              <w:rPr>
                <w:webHidden/>
                <w:rStyle w:val="IndexLink"/>
                <w:rtl w:val="true"/>
              </w:rPr>
              <w:t>تنبيه</w:t>
            </w:r>
            <w:r>
              <w:rPr>
                <w:rStyle w:val="IndexLink"/>
                <w:rtl w:val="true"/>
              </w:rPr>
              <w:tab/>
            </w:r>
            <w:r>
              <w:rPr>
                <w:rStyle w:val="IndexLink"/>
              </w:rPr>
              <w:t>434</w:t>
            </w:r>
          </w:hyperlink>
        </w:p>
        <w:p>
          <w:pPr>
            <w:pStyle w:val="Contents6"/>
            <w:tabs>
              <w:tab w:val="clear" w:pos="7609"/>
              <w:tab w:val="right" w:pos="9026" w:leader="dot"/>
            </w:tabs>
            <w:rPr/>
          </w:pPr>
          <w:hyperlink w:anchor="__RefHeading___Toc686616_3406789950">
            <w:r>
              <w:rPr>
                <w:webHidden/>
                <w:rStyle w:val="IndexLink"/>
                <w:rtl w:val="true"/>
              </w:rPr>
              <w:t>المسألة الثانية في تقديم ذات العادة لعادتها على التمييز</w:t>
            </w:r>
            <w:r>
              <w:rPr>
                <w:rStyle w:val="IndexLink"/>
                <w:rtl w:val="true"/>
              </w:rPr>
              <w:tab/>
            </w:r>
            <w:r>
              <w:rPr>
                <w:rStyle w:val="IndexLink"/>
              </w:rPr>
              <w:t>438</w:t>
            </w:r>
          </w:hyperlink>
        </w:p>
        <w:p>
          <w:pPr>
            <w:pStyle w:val="Contents6"/>
            <w:tabs>
              <w:tab w:val="clear" w:pos="7609"/>
              <w:tab w:val="right" w:pos="9026" w:leader="dot"/>
            </w:tabs>
            <w:rPr/>
          </w:pPr>
          <w:hyperlink w:anchor="__RefHeading___Toc686618_3406789950">
            <w:r>
              <w:rPr>
                <w:webHidden/>
                <w:rStyle w:val="IndexLink"/>
                <w:rtl w:val="true"/>
              </w:rPr>
              <w:t>المسألة الثالثة في أقسام الناسية وأحكامها</w:t>
            </w:r>
            <w:r>
              <w:rPr>
                <w:rStyle w:val="IndexLink"/>
                <w:rtl w:val="true"/>
              </w:rPr>
              <w:tab/>
            </w:r>
            <w:r>
              <w:rPr>
                <w:rStyle w:val="IndexLink"/>
              </w:rPr>
              <w:t>439</w:t>
            </w:r>
          </w:hyperlink>
        </w:p>
        <w:p>
          <w:pPr>
            <w:pStyle w:val="Contents6"/>
            <w:tabs>
              <w:tab w:val="clear" w:pos="7609"/>
              <w:tab w:val="right" w:pos="9026" w:leader="dot"/>
            </w:tabs>
            <w:rPr/>
          </w:pPr>
          <w:hyperlink w:anchor="__RefHeading___Toc686620_3406789950">
            <w:r>
              <w:rPr>
                <w:webHidden/>
                <w:rStyle w:val="IndexLink"/>
                <w:rtl w:val="true"/>
              </w:rPr>
              <w:t>اشارة</w:t>
            </w:r>
            <w:r>
              <w:rPr>
                <w:rStyle w:val="IndexLink"/>
                <w:rtl w:val="true"/>
              </w:rPr>
              <w:tab/>
            </w:r>
            <w:r>
              <w:rPr>
                <w:rStyle w:val="IndexLink"/>
              </w:rPr>
              <w:t>439</w:t>
            </w:r>
          </w:hyperlink>
        </w:p>
        <w:p>
          <w:pPr>
            <w:pStyle w:val="Contents6"/>
            <w:tabs>
              <w:tab w:val="clear" w:pos="7609"/>
              <w:tab w:val="right" w:pos="9026" w:leader="dot"/>
            </w:tabs>
            <w:rPr/>
          </w:pPr>
          <w:hyperlink w:anchor="__RefHeading___Toc686622_3406789950">
            <w:r>
              <w:rPr>
                <w:webHidden/>
                <w:rStyle w:val="IndexLink"/>
                <w:rtl w:val="true"/>
              </w:rPr>
              <w:t xml:space="preserve">الجهة الاُولى </w:t>
            </w:r>
            <w:r>
              <w:rPr>
                <w:rStyle w:val="IndexLink"/>
                <w:rtl w:val="true"/>
              </w:rPr>
              <w:t xml:space="preserve">: </w:t>
            </w:r>
            <w:r>
              <w:rPr>
                <w:rStyle w:val="IndexLink"/>
                <w:rtl w:val="true"/>
              </w:rPr>
              <w:t>في أقسام الناسية</w:t>
            </w:r>
            <w:r>
              <w:rPr>
                <w:rStyle w:val="IndexLink"/>
                <w:rtl w:val="true"/>
              </w:rPr>
              <w:tab/>
            </w:r>
            <w:r>
              <w:rPr>
                <w:rStyle w:val="IndexLink"/>
              </w:rPr>
              <w:t>439</w:t>
            </w:r>
          </w:hyperlink>
        </w:p>
        <w:p>
          <w:pPr>
            <w:pStyle w:val="Contents6"/>
            <w:tabs>
              <w:tab w:val="clear" w:pos="7609"/>
              <w:tab w:val="right" w:pos="9026" w:leader="dot"/>
            </w:tabs>
            <w:rPr/>
          </w:pPr>
          <w:hyperlink w:anchor="__RefHeading___Toc686624_3406789950">
            <w:r>
              <w:rPr>
                <w:webHidden/>
                <w:rStyle w:val="IndexLink"/>
                <w:rtl w:val="true"/>
              </w:rPr>
              <w:t>الجهة الثانية في دلالة المرسلة على رجوع الناسية إلى العادة أوّلاً ثمّ إلى التمييز</w:t>
            </w:r>
            <w:r>
              <w:rPr>
                <w:rStyle w:val="IndexLink"/>
                <w:rtl w:val="true"/>
              </w:rPr>
              <w:tab/>
            </w:r>
            <w:r>
              <w:rPr>
                <w:rStyle w:val="IndexLink"/>
              </w:rPr>
              <w:t>440</w:t>
            </w:r>
          </w:hyperlink>
        </w:p>
        <w:p>
          <w:pPr>
            <w:pStyle w:val="Contents6"/>
            <w:tabs>
              <w:tab w:val="clear" w:pos="7609"/>
              <w:tab w:val="right" w:pos="9026" w:leader="dot"/>
            </w:tabs>
            <w:rPr/>
          </w:pPr>
          <w:hyperlink w:anchor="__RefHeading___Toc686626_3406789950">
            <w:r>
              <w:rPr>
                <w:webHidden/>
                <w:rStyle w:val="IndexLink"/>
                <w:rtl w:val="true"/>
              </w:rPr>
              <w:t>الجهة الثالثة في حكم الناسية إذا فقدت التمييز</w:t>
            </w:r>
            <w:r>
              <w:rPr>
                <w:rStyle w:val="IndexLink"/>
                <w:rtl w:val="true"/>
              </w:rPr>
              <w:tab/>
            </w:r>
            <w:r>
              <w:rPr>
                <w:rStyle w:val="IndexLink"/>
              </w:rPr>
              <w:t>443</w:t>
            </w:r>
          </w:hyperlink>
        </w:p>
        <w:p>
          <w:pPr>
            <w:pStyle w:val="Contents6"/>
            <w:tabs>
              <w:tab w:val="clear" w:pos="7609"/>
              <w:tab w:val="right" w:pos="9026" w:leader="dot"/>
            </w:tabs>
            <w:rPr/>
          </w:pPr>
          <w:hyperlink w:anchor="__RefHeading___Toc686628_3406789950">
            <w:r>
              <w:rPr>
                <w:webHidden/>
                <w:rStyle w:val="IndexLink"/>
                <w:rtl w:val="true"/>
              </w:rPr>
              <w:t>اشارة</w:t>
            </w:r>
            <w:r>
              <w:rPr>
                <w:rStyle w:val="IndexLink"/>
                <w:rtl w:val="true"/>
              </w:rPr>
              <w:tab/>
            </w:r>
            <w:r>
              <w:rPr>
                <w:rStyle w:val="IndexLink"/>
              </w:rPr>
              <w:t>443</w:t>
            </w:r>
          </w:hyperlink>
        </w:p>
        <w:p>
          <w:pPr>
            <w:pStyle w:val="Contents6"/>
            <w:tabs>
              <w:tab w:val="clear" w:pos="7609"/>
              <w:tab w:val="right" w:pos="9026" w:leader="dot"/>
            </w:tabs>
            <w:rPr/>
          </w:pPr>
          <w:hyperlink w:anchor="__RefHeading___Toc686630_3406789950">
            <w:r>
              <w:rPr>
                <w:webHidden/>
                <w:rStyle w:val="IndexLink"/>
                <w:rtl w:val="true"/>
              </w:rPr>
              <w:t xml:space="preserve">الموضع الأوّل </w:t>
            </w:r>
            <w:r>
              <w:rPr>
                <w:rStyle w:val="IndexLink"/>
                <w:rtl w:val="true"/>
              </w:rPr>
              <w:t xml:space="preserve">: </w:t>
            </w:r>
            <w:r>
              <w:rPr>
                <w:rStyle w:val="IndexLink"/>
                <w:rtl w:val="true"/>
              </w:rPr>
              <w:t>في ناسية الوقت دون العدد</w:t>
            </w:r>
            <w:r>
              <w:rPr>
                <w:rStyle w:val="IndexLink"/>
                <w:rtl w:val="true"/>
              </w:rPr>
              <w:tab/>
            </w:r>
            <w:r>
              <w:rPr>
                <w:rStyle w:val="IndexLink"/>
              </w:rPr>
              <w:t>443</w:t>
            </w:r>
          </w:hyperlink>
        </w:p>
        <w:p>
          <w:pPr>
            <w:pStyle w:val="Contents6"/>
            <w:tabs>
              <w:tab w:val="clear" w:pos="7609"/>
              <w:tab w:val="right" w:pos="9026" w:leader="dot"/>
            </w:tabs>
            <w:rPr/>
          </w:pPr>
          <w:hyperlink w:anchor="__RefHeading___Toc686632_3406789950">
            <w:r>
              <w:rPr>
                <w:webHidden/>
                <w:rStyle w:val="IndexLink"/>
                <w:rtl w:val="true"/>
              </w:rPr>
              <w:t>اشارة</w:t>
            </w:r>
            <w:r>
              <w:rPr>
                <w:rStyle w:val="IndexLink"/>
                <w:rtl w:val="true"/>
              </w:rPr>
              <w:tab/>
            </w:r>
            <w:r>
              <w:rPr>
                <w:rStyle w:val="IndexLink"/>
              </w:rPr>
              <w:t>443</w:t>
            </w:r>
          </w:hyperlink>
        </w:p>
        <w:p>
          <w:pPr>
            <w:pStyle w:val="Contents6"/>
            <w:tabs>
              <w:tab w:val="clear" w:pos="7609"/>
              <w:tab w:val="right" w:pos="9026" w:leader="dot"/>
            </w:tabs>
            <w:rPr/>
          </w:pPr>
          <w:hyperlink w:anchor="__RefHeading___Toc686634_3406789950">
            <w:r>
              <w:rPr>
                <w:webHidden/>
                <w:rStyle w:val="IndexLink"/>
                <w:rtl w:val="true"/>
              </w:rPr>
              <w:t>التمسّك بمثل مرسلة يونس على التحيّض ونفي الاحتياط</w:t>
            </w:r>
            <w:r>
              <w:rPr>
                <w:rStyle w:val="IndexLink"/>
                <w:rtl w:val="true"/>
              </w:rPr>
              <w:tab/>
            </w:r>
            <w:r>
              <w:rPr>
                <w:rStyle w:val="IndexLink"/>
              </w:rPr>
              <w:t>445</w:t>
            </w:r>
          </w:hyperlink>
        </w:p>
        <w:p>
          <w:pPr>
            <w:pStyle w:val="Contents6"/>
            <w:tabs>
              <w:tab w:val="clear" w:pos="7609"/>
              <w:tab w:val="right" w:pos="9026" w:leader="dot"/>
            </w:tabs>
            <w:rPr/>
          </w:pPr>
          <w:hyperlink w:anchor="__RefHeading___Toc686636_3406789950">
            <w:r>
              <w:rPr>
                <w:webHidden/>
                <w:rStyle w:val="IndexLink"/>
                <w:rtl w:val="true"/>
              </w:rPr>
              <w:t>في كيفية تحيّض الناسية</w:t>
            </w:r>
            <w:r>
              <w:rPr>
                <w:rStyle w:val="IndexLink"/>
                <w:rtl w:val="true"/>
              </w:rPr>
              <w:tab/>
            </w:r>
            <w:r>
              <w:rPr>
                <w:rStyle w:val="IndexLink"/>
              </w:rPr>
              <w:t>447</w:t>
            </w:r>
          </w:hyperlink>
        </w:p>
        <w:p>
          <w:pPr>
            <w:pStyle w:val="Contents6"/>
            <w:tabs>
              <w:tab w:val="clear" w:pos="7609"/>
              <w:tab w:val="right" w:pos="9026" w:leader="dot"/>
            </w:tabs>
            <w:rPr/>
          </w:pPr>
          <w:hyperlink w:anchor="__RefHeading___Toc686638_3406789950">
            <w:r>
              <w:rPr>
                <w:webHidden/>
                <w:rStyle w:val="IndexLink"/>
                <w:rtl w:val="true"/>
              </w:rPr>
              <w:t>الروايات التي بإطلاقها يقتضي التخيير</w:t>
            </w:r>
            <w:r>
              <w:rPr>
                <w:rStyle w:val="IndexLink"/>
                <w:rtl w:val="true"/>
              </w:rPr>
              <w:tab/>
            </w:r>
            <w:r>
              <w:rPr>
                <w:rStyle w:val="IndexLink"/>
              </w:rPr>
              <w:t>449</w:t>
            </w:r>
          </w:hyperlink>
        </w:p>
        <w:p>
          <w:pPr>
            <w:pStyle w:val="Contents6"/>
            <w:tabs>
              <w:tab w:val="clear" w:pos="7609"/>
              <w:tab w:val="right" w:pos="9026" w:leader="dot"/>
            </w:tabs>
            <w:rPr/>
          </w:pPr>
          <w:hyperlink w:anchor="__RefHeading___Toc686640_3406789950">
            <w:r>
              <w:rPr>
                <w:webHidden/>
                <w:rStyle w:val="IndexLink"/>
                <w:rtl w:val="true"/>
              </w:rPr>
              <w:t>الروايات التي يمكن الاستدلال بها على لزوم التحيّض في أوّل الرؤية</w:t>
            </w:r>
            <w:r>
              <w:rPr>
                <w:rStyle w:val="IndexLink"/>
                <w:rtl w:val="true"/>
              </w:rPr>
              <w:tab/>
            </w:r>
            <w:r>
              <w:rPr>
                <w:rStyle w:val="IndexLink"/>
              </w:rPr>
              <w:t>451</w:t>
            </w:r>
          </w:hyperlink>
        </w:p>
        <w:p>
          <w:pPr>
            <w:pStyle w:val="Contents6"/>
            <w:tabs>
              <w:tab w:val="clear" w:pos="7609"/>
              <w:tab w:val="right" w:pos="9026" w:leader="dot"/>
            </w:tabs>
            <w:rPr/>
          </w:pPr>
          <w:hyperlink w:anchor="__RefHeading___Toc686642_3406789950">
            <w:r>
              <w:rPr>
                <w:webHidden/>
                <w:rStyle w:val="IndexLink"/>
                <w:rtl w:val="true"/>
              </w:rPr>
              <w:t xml:space="preserve">الموضع الثاني </w:t>
            </w:r>
            <w:r>
              <w:rPr>
                <w:rStyle w:val="IndexLink"/>
                <w:rtl w:val="true"/>
              </w:rPr>
              <w:t xml:space="preserve">: </w:t>
            </w:r>
            <w:r>
              <w:rPr>
                <w:rStyle w:val="IndexLink"/>
                <w:rtl w:val="true"/>
              </w:rPr>
              <w:t>في ناسية العدد دون الوقت</w:t>
            </w:r>
            <w:r>
              <w:rPr>
                <w:rStyle w:val="IndexLink"/>
                <w:rtl w:val="true"/>
              </w:rPr>
              <w:tab/>
            </w:r>
            <w:r>
              <w:rPr>
                <w:rStyle w:val="IndexLink"/>
              </w:rPr>
              <w:t>452</w:t>
            </w:r>
          </w:hyperlink>
        </w:p>
        <w:p>
          <w:pPr>
            <w:pStyle w:val="Contents6"/>
            <w:tabs>
              <w:tab w:val="clear" w:pos="7609"/>
              <w:tab w:val="right" w:pos="9026" w:leader="dot"/>
            </w:tabs>
            <w:rPr/>
          </w:pPr>
          <w:hyperlink w:anchor="__RefHeading___Toc686644_3406789950">
            <w:r>
              <w:rPr>
                <w:webHidden/>
                <w:rStyle w:val="IndexLink"/>
                <w:rtl w:val="true"/>
              </w:rPr>
              <w:t xml:space="preserve">الموضع الثالث </w:t>
            </w:r>
            <w:r>
              <w:rPr>
                <w:rStyle w:val="IndexLink"/>
                <w:rtl w:val="true"/>
              </w:rPr>
              <w:t xml:space="preserve">: </w:t>
            </w:r>
            <w:r>
              <w:rPr>
                <w:rStyle w:val="IndexLink"/>
                <w:rtl w:val="true"/>
              </w:rPr>
              <w:t>في ناسية الوقت والعدد</w:t>
            </w:r>
            <w:r>
              <w:rPr>
                <w:rStyle w:val="IndexLink"/>
                <w:rtl w:val="true"/>
              </w:rPr>
              <w:tab/>
            </w:r>
            <w:r>
              <w:rPr>
                <w:rStyle w:val="IndexLink"/>
              </w:rPr>
              <w:t>455</w:t>
            </w:r>
          </w:hyperlink>
        </w:p>
        <w:p>
          <w:pPr>
            <w:pStyle w:val="Contents5"/>
            <w:tabs>
              <w:tab w:val="clear" w:pos="7892"/>
              <w:tab w:val="right" w:pos="9026" w:leader="dot"/>
            </w:tabs>
            <w:rPr/>
          </w:pPr>
          <w:hyperlink w:anchor="__RefHeading___Toc686646_3406789950">
            <w:r>
              <w:rPr>
                <w:webHidden/>
                <w:rStyle w:val="IndexLink"/>
                <w:rtl w:val="true"/>
              </w:rPr>
              <w:t>المطلب الثاني</w:t>
            </w:r>
            <w:r>
              <w:rPr>
                <w:rStyle w:val="IndexLink"/>
                <w:rtl w:val="true"/>
              </w:rPr>
              <w:t xml:space="preserve">: </w:t>
            </w:r>
            <w:r>
              <w:rPr>
                <w:rStyle w:val="IndexLink"/>
                <w:rtl w:val="true"/>
              </w:rPr>
              <w:t>في أقسام الاستحاضة</w:t>
            </w:r>
            <w:r>
              <w:rPr>
                <w:rStyle w:val="IndexLink"/>
                <w:rtl w:val="true"/>
              </w:rPr>
              <w:tab/>
            </w:r>
            <w:r>
              <w:rPr>
                <w:rStyle w:val="IndexLink"/>
              </w:rPr>
              <w:t>456</w:t>
            </w:r>
          </w:hyperlink>
        </w:p>
        <w:p>
          <w:pPr>
            <w:pStyle w:val="Contents6"/>
            <w:tabs>
              <w:tab w:val="clear" w:pos="7609"/>
              <w:tab w:val="right" w:pos="9026" w:leader="dot"/>
            </w:tabs>
            <w:rPr/>
          </w:pPr>
          <w:hyperlink w:anchor="__RefHeading___Toc686648_3406789950">
            <w:r>
              <w:rPr>
                <w:webHidden/>
                <w:rStyle w:val="IndexLink"/>
                <w:rtl w:val="true"/>
              </w:rPr>
              <w:t>اشارة</w:t>
            </w:r>
            <w:r>
              <w:rPr>
                <w:rStyle w:val="IndexLink"/>
                <w:rtl w:val="true"/>
              </w:rPr>
              <w:tab/>
            </w:r>
            <w:r>
              <w:rPr>
                <w:rStyle w:val="IndexLink"/>
              </w:rPr>
              <w:t>456</w:t>
            </w:r>
          </w:hyperlink>
        </w:p>
        <w:p>
          <w:pPr>
            <w:pStyle w:val="Contents6"/>
            <w:tabs>
              <w:tab w:val="clear" w:pos="7609"/>
              <w:tab w:val="right" w:pos="9026" w:leader="dot"/>
            </w:tabs>
            <w:rPr/>
          </w:pPr>
          <w:hyperlink w:anchor="__RefHeading___Toc686650_3406789950">
            <w:r>
              <w:rPr>
                <w:webHidden/>
                <w:rStyle w:val="IndexLink"/>
                <w:rtl w:val="true"/>
              </w:rPr>
              <w:t>مقتضى الجمع بين الروايات تثليث الأقسام</w:t>
            </w:r>
            <w:r>
              <w:rPr>
                <w:rStyle w:val="IndexLink"/>
                <w:rtl w:val="true"/>
              </w:rPr>
              <w:tab/>
            </w:r>
            <w:r>
              <w:rPr>
                <w:rStyle w:val="IndexLink"/>
              </w:rPr>
              <w:t>457</w:t>
            </w:r>
          </w:hyperlink>
        </w:p>
        <w:p>
          <w:pPr>
            <w:pStyle w:val="Contents6"/>
            <w:tabs>
              <w:tab w:val="clear" w:pos="7609"/>
              <w:tab w:val="right" w:pos="9026" w:leader="dot"/>
            </w:tabs>
            <w:rPr/>
          </w:pPr>
          <w:hyperlink w:anchor="__RefHeading___Toc686652_3406789950">
            <w:r>
              <w:rPr>
                <w:webHidden/>
                <w:rStyle w:val="IndexLink"/>
                <w:rtl w:val="true"/>
              </w:rPr>
              <w:t>ضابطة الاستحاضة الكثيرة والمتوسّطة والقليلة</w:t>
            </w:r>
            <w:r>
              <w:rPr>
                <w:rStyle w:val="IndexLink"/>
                <w:rtl w:val="true"/>
              </w:rPr>
              <w:tab/>
            </w:r>
            <w:r>
              <w:rPr>
                <w:rStyle w:val="IndexLink"/>
              </w:rPr>
              <w:t>463</w:t>
            </w:r>
          </w:hyperlink>
        </w:p>
        <w:p>
          <w:pPr>
            <w:pStyle w:val="Contents5"/>
            <w:tabs>
              <w:tab w:val="clear" w:pos="7892"/>
              <w:tab w:val="right" w:pos="9026" w:leader="dot"/>
            </w:tabs>
            <w:rPr/>
          </w:pPr>
          <w:hyperlink w:anchor="__RefHeading___Toc686654_3406789950">
            <w:r>
              <w:rPr>
                <w:webHidden/>
                <w:rStyle w:val="IndexLink"/>
                <w:rtl w:val="true"/>
              </w:rPr>
              <w:t>المطلب الثالث</w:t>
            </w:r>
            <w:r>
              <w:rPr>
                <w:rStyle w:val="IndexLink"/>
                <w:rtl w:val="true"/>
              </w:rPr>
              <w:t xml:space="preserve">: </w:t>
            </w:r>
            <w:r>
              <w:rPr>
                <w:rStyle w:val="IndexLink"/>
                <w:rtl w:val="true"/>
              </w:rPr>
              <w:t>في بيان أحكام الأقسام الثلاثة</w:t>
            </w:r>
            <w:r>
              <w:rPr>
                <w:rStyle w:val="IndexLink"/>
                <w:rtl w:val="true"/>
              </w:rPr>
              <w:tab/>
            </w:r>
            <w:r>
              <w:rPr>
                <w:rStyle w:val="IndexLink"/>
              </w:rPr>
              <w:t>465</w:t>
            </w:r>
          </w:hyperlink>
        </w:p>
        <w:p>
          <w:pPr>
            <w:pStyle w:val="Contents6"/>
            <w:tabs>
              <w:tab w:val="clear" w:pos="7609"/>
              <w:tab w:val="right" w:pos="9026" w:leader="dot"/>
            </w:tabs>
            <w:rPr/>
          </w:pPr>
          <w:hyperlink w:anchor="__RefHeading___Toc686656_3406789950">
            <w:r>
              <w:rPr>
                <w:webHidden/>
                <w:rStyle w:val="IndexLink"/>
                <w:rtl w:val="true"/>
              </w:rPr>
              <w:t>حكم الاستحاضة القليلة</w:t>
            </w:r>
            <w:r>
              <w:rPr>
                <w:rStyle w:val="IndexLink"/>
                <w:rtl w:val="true"/>
              </w:rPr>
              <w:tab/>
            </w:r>
            <w:r>
              <w:rPr>
                <w:rStyle w:val="IndexLink"/>
              </w:rPr>
              <w:t>465</w:t>
            </w:r>
          </w:hyperlink>
        </w:p>
        <w:p>
          <w:pPr>
            <w:pStyle w:val="Contents6"/>
            <w:tabs>
              <w:tab w:val="clear" w:pos="7609"/>
              <w:tab w:val="right" w:pos="9026" w:leader="dot"/>
            </w:tabs>
            <w:rPr/>
          </w:pPr>
          <w:hyperlink w:anchor="__RefHeading___Toc686658_3406789950">
            <w:r>
              <w:rPr>
                <w:webHidden/>
                <w:rStyle w:val="IndexLink"/>
                <w:rtl w:val="true"/>
              </w:rPr>
              <w:t>عدم الفرق بين الفريضة والنافلة في الحكم</w:t>
            </w:r>
            <w:r>
              <w:rPr>
                <w:rStyle w:val="IndexLink"/>
                <w:rtl w:val="true"/>
              </w:rPr>
              <w:tab/>
            </w:r>
            <w:r>
              <w:rPr>
                <w:rStyle w:val="IndexLink"/>
              </w:rPr>
              <w:t>473</w:t>
            </w:r>
          </w:hyperlink>
        </w:p>
        <w:p>
          <w:pPr>
            <w:pStyle w:val="Contents6"/>
            <w:tabs>
              <w:tab w:val="clear" w:pos="7609"/>
              <w:tab w:val="right" w:pos="9026" w:leader="dot"/>
            </w:tabs>
            <w:rPr/>
          </w:pPr>
          <w:hyperlink w:anchor="__RefHeading___Toc686660_3406789950">
            <w:r>
              <w:rPr>
                <w:webHidden/>
                <w:rStyle w:val="IndexLink"/>
                <w:rtl w:val="true"/>
              </w:rPr>
              <w:t>حكم الاستحاضة المتوسّطة</w:t>
            </w:r>
            <w:r>
              <w:rPr>
                <w:rStyle w:val="IndexLink"/>
                <w:rtl w:val="true"/>
              </w:rPr>
              <w:tab/>
            </w:r>
            <w:r>
              <w:rPr>
                <w:rStyle w:val="IndexLink"/>
              </w:rPr>
              <w:t>475</w:t>
            </w:r>
          </w:hyperlink>
        </w:p>
        <w:p>
          <w:pPr>
            <w:pStyle w:val="Contents6"/>
            <w:tabs>
              <w:tab w:val="clear" w:pos="7609"/>
              <w:tab w:val="right" w:pos="9026" w:leader="dot"/>
            </w:tabs>
            <w:rPr/>
          </w:pPr>
          <w:hyperlink w:anchor="__RefHeading___Toc686662_3406789950">
            <w:r>
              <w:rPr>
                <w:webHidden/>
                <w:rStyle w:val="IndexLink"/>
                <w:rtl w:val="true"/>
              </w:rPr>
              <w:t>منشأ الاختلاف في عدد الغسل</w:t>
            </w:r>
            <w:r>
              <w:rPr>
                <w:rStyle w:val="IndexLink"/>
                <w:rtl w:val="true"/>
              </w:rPr>
              <w:tab/>
            </w:r>
            <w:r>
              <w:rPr>
                <w:rStyle w:val="IndexLink"/>
              </w:rPr>
              <w:t>481</w:t>
            </w:r>
          </w:hyperlink>
        </w:p>
        <w:p>
          <w:pPr>
            <w:pStyle w:val="Contents6"/>
            <w:tabs>
              <w:tab w:val="clear" w:pos="7609"/>
              <w:tab w:val="right" w:pos="9026" w:leader="dot"/>
            </w:tabs>
            <w:rPr/>
          </w:pPr>
          <w:hyperlink w:anchor="__RefHeading___Toc686664_3406789950">
            <w:r>
              <w:rPr>
                <w:webHidden/>
                <w:rStyle w:val="IndexLink"/>
                <w:rtl w:val="true"/>
              </w:rPr>
              <w:t>وجوب الغسل بنحو الوجوب الشرطي المتقدّم لجميع الصلوات</w:t>
            </w:r>
            <w:r>
              <w:rPr>
                <w:rStyle w:val="IndexLink"/>
                <w:rtl w:val="true"/>
              </w:rPr>
              <w:tab/>
            </w:r>
            <w:r>
              <w:rPr>
                <w:rStyle w:val="IndexLink"/>
              </w:rPr>
              <w:t>488</w:t>
            </w:r>
          </w:hyperlink>
        </w:p>
        <w:p>
          <w:pPr>
            <w:pStyle w:val="Contents6"/>
            <w:tabs>
              <w:tab w:val="clear" w:pos="7609"/>
              <w:tab w:val="right" w:pos="9026" w:leader="dot"/>
            </w:tabs>
            <w:rPr/>
          </w:pPr>
          <w:hyperlink w:anchor="__RefHeading___Toc686666_3406789950">
            <w:r>
              <w:rPr>
                <w:webHidden/>
                <w:rStyle w:val="IndexLink"/>
                <w:rtl w:val="true"/>
              </w:rPr>
              <w:t>حكم الاستحاضة الكثيرة</w:t>
            </w:r>
            <w:r>
              <w:rPr>
                <w:rStyle w:val="IndexLink"/>
                <w:rtl w:val="true"/>
              </w:rPr>
              <w:tab/>
            </w:r>
            <w:r>
              <w:rPr>
                <w:rStyle w:val="IndexLink"/>
              </w:rPr>
              <w:t>490</w:t>
            </w:r>
          </w:hyperlink>
        </w:p>
        <w:p>
          <w:pPr>
            <w:pStyle w:val="Contents6"/>
            <w:tabs>
              <w:tab w:val="clear" w:pos="7609"/>
              <w:tab w:val="right" w:pos="9026" w:leader="dot"/>
            </w:tabs>
            <w:rPr/>
          </w:pPr>
          <w:hyperlink w:anchor="__RefHeading___Toc686668_3406789950">
            <w:r>
              <w:rPr>
                <w:webHidden/>
                <w:rStyle w:val="IndexLink"/>
                <w:rtl w:val="true"/>
              </w:rPr>
              <w:t>اشارة</w:t>
            </w:r>
            <w:r>
              <w:rPr>
                <w:rStyle w:val="IndexLink"/>
                <w:rtl w:val="true"/>
              </w:rPr>
              <w:tab/>
            </w:r>
            <w:r>
              <w:rPr>
                <w:rStyle w:val="IndexLink"/>
              </w:rPr>
              <w:t>490</w:t>
            </w:r>
          </w:hyperlink>
        </w:p>
        <w:p>
          <w:pPr>
            <w:pStyle w:val="Contents6"/>
            <w:tabs>
              <w:tab w:val="clear" w:pos="7609"/>
              <w:tab w:val="right" w:pos="9026" w:leader="dot"/>
            </w:tabs>
            <w:rPr/>
          </w:pPr>
          <w:hyperlink w:anchor="__RefHeading___Toc686670_3406789950">
            <w:r>
              <w:rPr>
                <w:webHidden/>
                <w:rStyle w:val="IndexLink"/>
                <w:rtl w:val="true"/>
              </w:rPr>
              <w:t>الأمر الأوّل</w:t>
            </w:r>
            <w:r>
              <w:rPr>
                <w:rStyle w:val="IndexLink"/>
                <w:rtl w:val="true"/>
              </w:rPr>
              <w:t xml:space="preserve">: </w:t>
            </w:r>
            <w:r>
              <w:rPr>
                <w:rStyle w:val="IndexLink"/>
                <w:rtl w:val="true"/>
              </w:rPr>
              <w:t>في أنّ نفس الدم الكثير بذاته موجب للغسل</w:t>
            </w:r>
            <w:r>
              <w:rPr>
                <w:rStyle w:val="IndexLink"/>
                <w:rtl w:val="true"/>
              </w:rPr>
              <w:tab/>
            </w:r>
            <w:r>
              <w:rPr>
                <w:rStyle w:val="IndexLink"/>
              </w:rPr>
              <w:t>498</w:t>
            </w:r>
          </w:hyperlink>
        </w:p>
        <w:p>
          <w:pPr>
            <w:pStyle w:val="Contents6"/>
            <w:tabs>
              <w:tab w:val="clear" w:pos="7609"/>
              <w:tab w:val="right" w:pos="9026" w:leader="dot"/>
            </w:tabs>
            <w:rPr/>
          </w:pPr>
          <w:hyperlink w:anchor="__RefHeading___Toc686672_3406789950">
            <w:r>
              <w:rPr>
                <w:webHidden/>
                <w:rStyle w:val="IndexLink"/>
                <w:rtl w:val="true"/>
              </w:rPr>
              <w:t>محتملات ما يوجب الأغسال الثلاثة بحسب التصوّر</w:t>
            </w:r>
            <w:r>
              <w:rPr>
                <w:rStyle w:val="IndexLink"/>
                <w:rtl w:val="true"/>
              </w:rPr>
              <w:tab/>
            </w:r>
            <w:r>
              <w:rPr>
                <w:rStyle w:val="IndexLink"/>
              </w:rPr>
              <w:t>498</w:t>
            </w:r>
          </w:hyperlink>
        </w:p>
        <w:p>
          <w:pPr>
            <w:pStyle w:val="Contents6"/>
            <w:tabs>
              <w:tab w:val="clear" w:pos="7609"/>
              <w:tab w:val="right" w:pos="9026" w:leader="dot"/>
            </w:tabs>
            <w:rPr/>
          </w:pPr>
          <w:hyperlink w:anchor="__RefHeading___Toc686674_3406789950">
            <w:r>
              <w:rPr>
                <w:webHidden/>
                <w:rStyle w:val="IndexLink"/>
                <w:rtl w:val="true"/>
              </w:rPr>
              <w:t>مناقشة الاحتمال الأوّل</w:t>
            </w:r>
            <w:r>
              <w:rPr>
                <w:rStyle w:val="IndexLink"/>
                <w:rtl w:val="true"/>
              </w:rPr>
              <w:tab/>
            </w:r>
            <w:r>
              <w:rPr>
                <w:rStyle w:val="IndexLink"/>
              </w:rPr>
              <w:t>499</w:t>
            </w:r>
          </w:hyperlink>
        </w:p>
        <w:p>
          <w:pPr>
            <w:pStyle w:val="Contents6"/>
            <w:tabs>
              <w:tab w:val="clear" w:pos="7609"/>
              <w:tab w:val="right" w:pos="9026" w:leader="dot"/>
            </w:tabs>
            <w:rPr/>
          </w:pPr>
          <w:hyperlink w:anchor="__RefHeading___Toc686676_3406789950">
            <w:r>
              <w:rPr>
                <w:webHidden/>
                <w:rStyle w:val="IndexLink"/>
                <w:rtl w:val="true"/>
              </w:rPr>
              <w:t>مناقشة الاحتمالين الثاني والثالث</w:t>
            </w:r>
            <w:r>
              <w:rPr>
                <w:rStyle w:val="IndexLink"/>
                <w:rtl w:val="true"/>
              </w:rPr>
              <w:tab/>
            </w:r>
            <w:r>
              <w:rPr>
                <w:rStyle w:val="IndexLink"/>
              </w:rPr>
              <w:t>501</w:t>
            </w:r>
          </w:hyperlink>
        </w:p>
        <w:p>
          <w:pPr>
            <w:pStyle w:val="Contents6"/>
            <w:tabs>
              <w:tab w:val="clear" w:pos="7609"/>
              <w:tab w:val="right" w:pos="9026" w:leader="dot"/>
            </w:tabs>
            <w:rPr/>
          </w:pPr>
          <w:hyperlink w:anchor="__RefHeading___Toc686678_3406789950">
            <w:r>
              <w:rPr>
                <w:webHidden/>
                <w:rStyle w:val="IndexLink"/>
                <w:rtl w:val="true"/>
              </w:rPr>
              <w:t>مناقشة الاحتمال الرابع</w:t>
            </w:r>
            <w:r>
              <w:rPr>
                <w:rStyle w:val="IndexLink"/>
                <w:rtl w:val="true"/>
              </w:rPr>
              <w:tab/>
            </w:r>
            <w:r>
              <w:rPr>
                <w:rStyle w:val="IndexLink"/>
              </w:rPr>
              <w:t>502</w:t>
            </w:r>
          </w:hyperlink>
        </w:p>
        <w:p>
          <w:pPr>
            <w:pStyle w:val="Contents6"/>
            <w:tabs>
              <w:tab w:val="clear" w:pos="7609"/>
              <w:tab w:val="right" w:pos="9026" w:leader="dot"/>
            </w:tabs>
            <w:rPr/>
          </w:pPr>
          <w:hyperlink w:anchor="__RefHeading___Toc686680_3406789950">
            <w:r>
              <w:rPr>
                <w:webHidden/>
                <w:rStyle w:val="IndexLink"/>
                <w:rtl w:val="true"/>
              </w:rPr>
              <w:t>مناقشة الاحتمال الخامس وترجيح السادس</w:t>
            </w:r>
            <w:r>
              <w:rPr>
                <w:rStyle w:val="IndexLink"/>
                <w:rtl w:val="true"/>
              </w:rPr>
              <w:tab/>
            </w:r>
            <w:r>
              <w:rPr>
                <w:rStyle w:val="IndexLink"/>
              </w:rPr>
              <w:t>502</w:t>
            </w:r>
          </w:hyperlink>
        </w:p>
        <w:p>
          <w:pPr>
            <w:pStyle w:val="Contents6"/>
            <w:tabs>
              <w:tab w:val="clear" w:pos="7609"/>
              <w:tab w:val="right" w:pos="9026" w:leader="dot"/>
            </w:tabs>
            <w:rPr/>
          </w:pPr>
          <w:hyperlink w:anchor="__RefHeading___Toc686682_3406789950">
            <w:r>
              <w:rPr>
                <w:webHidden/>
                <w:rStyle w:val="IndexLink"/>
                <w:rtl w:val="true"/>
              </w:rPr>
              <w:t>سببية الدم الفعلي للأغسال</w:t>
            </w:r>
            <w:r>
              <w:rPr>
                <w:rStyle w:val="IndexLink"/>
                <w:rtl w:val="true"/>
              </w:rPr>
              <w:tab/>
            </w:r>
            <w:r>
              <w:rPr>
                <w:rStyle w:val="IndexLink"/>
              </w:rPr>
              <w:t>506</w:t>
            </w:r>
          </w:hyperlink>
        </w:p>
        <w:p>
          <w:pPr>
            <w:pStyle w:val="Contents6"/>
            <w:tabs>
              <w:tab w:val="clear" w:pos="7609"/>
              <w:tab w:val="right" w:pos="9026" w:leader="dot"/>
            </w:tabs>
            <w:rPr/>
          </w:pPr>
          <w:hyperlink w:anchor="__RefHeading___Toc686684_3406789950">
            <w:r>
              <w:rPr>
                <w:webHidden/>
                <w:rStyle w:val="IndexLink"/>
                <w:rtl w:val="true"/>
              </w:rPr>
              <w:t>الأمر الثاني في حكم انقطاع دم الاستحاضة لبرء أو فترة</w:t>
            </w:r>
            <w:r>
              <w:rPr>
                <w:rStyle w:val="IndexLink"/>
                <w:rtl w:val="true"/>
              </w:rPr>
              <w:tab/>
            </w:r>
            <w:r>
              <w:rPr>
                <w:rStyle w:val="IndexLink"/>
              </w:rPr>
              <w:t>508</w:t>
            </w:r>
          </w:hyperlink>
        </w:p>
        <w:p>
          <w:pPr>
            <w:pStyle w:val="Contents6"/>
            <w:tabs>
              <w:tab w:val="clear" w:pos="7609"/>
              <w:tab w:val="right" w:pos="9026" w:leader="dot"/>
            </w:tabs>
            <w:rPr/>
          </w:pPr>
          <w:hyperlink w:anchor="__RefHeading___Toc686686_3406789950">
            <w:r>
              <w:rPr>
                <w:webHidden/>
                <w:rStyle w:val="IndexLink"/>
                <w:rtl w:val="true"/>
              </w:rPr>
              <w:t>اشارة</w:t>
            </w:r>
            <w:r>
              <w:rPr>
                <w:rStyle w:val="IndexLink"/>
                <w:rtl w:val="true"/>
              </w:rPr>
              <w:tab/>
            </w:r>
            <w:r>
              <w:rPr>
                <w:rStyle w:val="IndexLink"/>
              </w:rPr>
              <w:t>508</w:t>
            </w:r>
          </w:hyperlink>
        </w:p>
        <w:p>
          <w:pPr>
            <w:pStyle w:val="Contents6"/>
            <w:tabs>
              <w:tab w:val="clear" w:pos="7609"/>
              <w:tab w:val="right" w:pos="9026" w:leader="dot"/>
            </w:tabs>
            <w:rPr/>
          </w:pPr>
          <w:hyperlink w:anchor="__RefHeading___Toc686688_3406789950">
            <w:r>
              <w:rPr>
                <w:webHidden/>
                <w:rStyle w:val="IndexLink"/>
                <w:rtl w:val="true"/>
              </w:rPr>
              <w:t>بيان تكليف المستحاضة بالنسبة للأعمال المستقبلة</w:t>
            </w:r>
            <w:r>
              <w:rPr>
                <w:rStyle w:val="IndexLink"/>
                <w:rtl w:val="true"/>
              </w:rPr>
              <w:tab/>
            </w:r>
            <w:r>
              <w:rPr>
                <w:rStyle w:val="IndexLink"/>
              </w:rPr>
              <w:t>508</w:t>
            </w:r>
          </w:hyperlink>
        </w:p>
        <w:p>
          <w:pPr>
            <w:pStyle w:val="Contents6"/>
            <w:tabs>
              <w:tab w:val="clear" w:pos="7609"/>
              <w:tab w:val="right" w:pos="9026" w:leader="dot"/>
            </w:tabs>
            <w:rPr/>
          </w:pPr>
          <w:hyperlink w:anchor="__RefHeading___Toc686690_3406789950">
            <w:r>
              <w:rPr>
                <w:webHidden/>
                <w:rStyle w:val="IndexLink"/>
                <w:rtl w:val="true"/>
              </w:rPr>
              <w:t>بيان تكليف المستحاضة بالنسبة للأعمال الماضية</w:t>
            </w:r>
            <w:r>
              <w:rPr>
                <w:rStyle w:val="IndexLink"/>
                <w:rtl w:val="true"/>
              </w:rPr>
              <w:tab/>
            </w:r>
            <w:r>
              <w:rPr>
                <w:rStyle w:val="IndexLink"/>
              </w:rPr>
              <w:t>510</w:t>
            </w:r>
          </w:hyperlink>
        </w:p>
        <w:p>
          <w:pPr>
            <w:pStyle w:val="Contents6"/>
            <w:tabs>
              <w:tab w:val="clear" w:pos="7609"/>
              <w:tab w:val="right" w:pos="9026" w:leader="dot"/>
            </w:tabs>
            <w:rPr/>
          </w:pPr>
          <w:hyperlink w:anchor="__RefHeading___Toc686692_3406789950">
            <w:r>
              <w:rPr>
                <w:webHidden/>
                <w:rStyle w:val="IndexLink"/>
                <w:rtl w:val="true"/>
              </w:rPr>
              <w:t>الأمر الثالث في جواز تفريق الصلوات والغسل لكلّ صلاة</w:t>
            </w:r>
            <w:r>
              <w:rPr>
                <w:rStyle w:val="IndexLink"/>
                <w:rtl w:val="true"/>
              </w:rPr>
              <w:tab/>
            </w:r>
            <w:r>
              <w:rPr>
                <w:rStyle w:val="IndexLink"/>
              </w:rPr>
              <w:t>512</w:t>
            </w:r>
          </w:hyperlink>
        </w:p>
        <w:p>
          <w:pPr>
            <w:pStyle w:val="Contents6"/>
            <w:tabs>
              <w:tab w:val="clear" w:pos="7609"/>
              <w:tab w:val="right" w:pos="9026" w:leader="dot"/>
            </w:tabs>
            <w:rPr/>
          </w:pPr>
          <w:hyperlink w:anchor="__RefHeading___Toc686694_3406789950">
            <w:r>
              <w:rPr>
                <w:webHidden/>
                <w:rStyle w:val="IndexLink"/>
                <w:rtl w:val="true"/>
              </w:rPr>
              <w:t>اشارة</w:t>
            </w:r>
            <w:r>
              <w:rPr>
                <w:rStyle w:val="IndexLink"/>
                <w:rtl w:val="true"/>
              </w:rPr>
              <w:tab/>
            </w:r>
            <w:r>
              <w:rPr>
                <w:rStyle w:val="IndexLink"/>
              </w:rPr>
              <w:t>512</w:t>
            </w:r>
          </w:hyperlink>
        </w:p>
        <w:p>
          <w:pPr>
            <w:pStyle w:val="Contents6"/>
            <w:tabs>
              <w:tab w:val="clear" w:pos="7609"/>
              <w:tab w:val="right" w:pos="9026" w:leader="dot"/>
            </w:tabs>
            <w:rPr/>
          </w:pPr>
          <w:hyperlink w:anchor="__RefHeading___Toc686696_3406789950">
            <w:r>
              <w:rPr>
                <w:webHidden/>
                <w:rStyle w:val="IndexLink"/>
                <w:rtl w:val="true"/>
              </w:rPr>
              <w:t>في جواز إيقاع غسلين مع الجمع بين الصلاتين</w:t>
            </w:r>
            <w:r>
              <w:rPr>
                <w:rStyle w:val="IndexLink"/>
                <w:rtl w:val="true"/>
              </w:rPr>
              <w:tab/>
            </w:r>
            <w:r>
              <w:rPr>
                <w:rStyle w:val="IndexLink"/>
              </w:rPr>
              <w:t>513</w:t>
            </w:r>
          </w:hyperlink>
        </w:p>
        <w:p>
          <w:pPr>
            <w:pStyle w:val="Contents6"/>
            <w:tabs>
              <w:tab w:val="clear" w:pos="7609"/>
              <w:tab w:val="right" w:pos="9026" w:leader="dot"/>
            </w:tabs>
            <w:rPr/>
          </w:pPr>
          <w:hyperlink w:anchor="__RefHeading___Toc686698_3406789950">
            <w:r>
              <w:rPr>
                <w:webHidden/>
                <w:rStyle w:val="IndexLink"/>
                <w:rtl w:val="true"/>
              </w:rPr>
              <w:t>الأمر الرابع في وجوب تعاقب الصلاة للغسل والوضوء</w:t>
            </w:r>
            <w:r>
              <w:rPr>
                <w:rStyle w:val="IndexLink"/>
                <w:rtl w:val="true"/>
              </w:rPr>
              <w:tab/>
            </w:r>
            <w:r>
              <w:rPr>
                <w:rStyle w:val="IndexLink"/>
              </w:rPr>
              <w:t>514</w:t>
            </w:r>
          </w:hyperlink>
        </w:p>
        <w:p>
          <w:pPr>
            <w:pStyle w:val="Contents6"/>
            <w:tabs>
              <w:tab w:val="clear" w:pos="7609"/>
              <w:tab w:val="right" w:pos="9026" w:leader="dot"/>
            </w:tabs>
            <w:rPr/>
          </w:pPr>
          <w:hyperlink w:anchor="__RefHeading___Toc686700_3406789950">
            <w:r>
              <w:rPr>
                <w:webHidden/>
                <w:rStyle w:val="IndexLink"/>
                <w:rtl w:val="true"/>
              </w:rPr>
              <w:t>اشارة</w:t>
            </w:r>
            <w:r>
              <w:rPr>
                <w:rStyle w:val="IndexLink"/>
                <w:rtl w:val="true"/>
              </w:rPr>
              <w:tab/>
            </w:r>
            <w:r>
              <w:rPr>
                <w:rStyle w:val="IndexLink"/>
              </w:rPr>
              <w:t>514</w:t>
            </w:r>
          </w:hyperlink>
        </w:p>
        <w:p>
          <w:pPr>
            <w:pStyle w:val="Contents6"/>
            <w:tabs>
              <w:tab w:val="clear" w:pos="7609"/>
              <w:tab w:val="right" w:pos="9026" w:leader="dot"/>
            </w:tabs>
            <w:rPr/>
          </w:pPr>
          <w:hyperlink w:anchor="__RefHeading___Toc686702_3406789950">
            <w:r>
              <w:rPr>
                <w:webHidden/>
                <w:rStyle w:val="IndexLink"/>
                <w:rtl w:val="true"/>
              </w:rPr>
              <w:t>بيان حال الوضوء</w:t>
            </w:r>
            <w:r>
              <w:rPr>
                <w:rStyle w:val="IndexLink"/>
                <w:rtl w:val="true"/>
              </w:rPr>
              <w:tab/>
            </w:r>
            <w:r>
              <w:rPr>
                <w:rStyle w:val="IndexLink"/>
              </w:rPr>
              <w:t>516</w:t>
            </w:r>
          </w:hyperlink>
        </w:p>
        <w:p>
          <w:pPr>
            <w:pStyle w:val="Contents6"/>
            <w:tabs>
              <w:tab w:val="clear" w:pos="7609"/>
              <w:tab w:val="right" w:pos="9026" w:leader="dot"/>
            </w:tabs>
            <w:rPr/>
          </w:pPr>
          <w:hyperlink w:anchor="__RefHeading___Toc686704_3406789950">
            <w:r>
              <w:rPr>
                <w:webHidden/>
                <w:rStyle w:val="IndexLink"/>
                <w:rtl w:val="true"/>
              </w:rPr>
              <w:t>الأمر الخامس في وجوب الفحص والاختبار لتعيين نوع الاستحاضة</w:t>
            </w:r>
            <w:r>
              <w:rPr>
                <w:rStyle w:val="IndexLink"/>
                <w:rtl w:val="true"/>
              </w:rPr>
              <w:tab/>
            </w:r>
            <w:r>
              <w:rPr>
                <w:rStyle w:val="IndexLink"/>
              </w:rPr>
              <w:t>518</w:t>
            </w:r>
          </w:hyperlink>
        </w:p>
        <w:p>
          <w:pPr>
            <w:pStyle w:val="Contents6"/>
            <w:tabs>
              <w:tab w:val="clear" w:pos="7609"/>
              <w:tab w:val="right" w:pos="9026" w:leader="dot"/>
            </w:tabs>
            <w:rPr/>
          </w:pPr>
          <w:hyperlink w:anchor="__RefHeading___Toc686706_3406789950">
            <w:r>
              <w:rPr>
                <w:webHidden/>
                <w:rStyle w:val="IndexLink"/>
                <w:rtl w:val="true"/>
              </w:rPr>
              <w:t>اشارة</w:t>
            </w:r>
            <w:r>
              <w:rPr>
                <w:rStyle w:val="IndexLink"/>
                <w:rtl w:val="true"/>
              </w:rPr>
              <w:tab/>
            </w:r>
            <w:r>
              <w:rPr>
                <w:rStyle w:val="IndexLink"/>
              </w:rPr>
              <w:t>518</w:t>
            </w:r>
          </w:hyperlink>
        </w:p>
        <w:p>
          <w:pPr>
            <w:pStyle w:val="Contents6"/>
            <w:tabs>
              <w:tab w:val="clear" w:pos="7609"/>
              <w:tab w:val="right" w:pos="9026" w:leader="dot"/>
            </w:tabs>
            <w:rPr/>
          </w:pPr>
          <w:hyperlink w:anchor="__RefHeading___Toc686708_3406789950">
            <w:r>
              <w:rPr>
                <w:webHidden/>
                <w:rStyle w:val="IndexLink"/>
                <w:rtl w:val="true"/>
              </w:rPr>
              <w:t>التفصيل بين سهولة الاختبار وغيره</w:t>
            </w:r>
            <w:r>
              <w:rPr>
                <w:rStyle w:val="IndexLink"/>
                <w:rtl w:val="true"/>
              </w:rPr>
              <w:tab/>
            </w:r>
            <w:r>
              <w:rPr>
                <w:rStyle w:val="IndexLink"/>
              </w:rPr>
              <w:t>521</w:t>
            </w:r>
          </w:hyperlink>
        </w:p>
        <w:p>
          <w:pPr>
            <w:pStyle w:val="Contents6"/>
            <w:tabs>
              <w:tab w:val="clear" w:pos="7609"/>
              <w:tab w:val="right" w:pos="9026" w:leader="dot"/>
            </w:tabs>
            <w:rPr/>
          </w:pPr>
          <w:hyperlink w:anchor="__RefHeading___Toc686710_3406789950">
            <w:r>
              <w:rPr>
                <w:webHidden/>
                <w:rStyle w:val="IndexLink"/>
                <w:rtl w:val="true"/>
              </w:rPr>
              <w:t>الأمر السادس لزوم منع خروج الدم قدر الإمكان</w:t>
            </w:r>
            <w:r>
              <w:rPr>
                <w:rStyle w:val="IndexLink"/>
                <w:rtl w:val="true"/>
              </w:rPr>
              <w:tab/>
            </w:r>
            <w:r>
              <w:rPr>
                <w:rStyle w:val="IndexLink"/>
              </w:rPr>
              <w:t>522</w:t>
            </w:r>
          </w:hyperlink>
        </w:p>
        <w:p>
          <w:pPr>
            <w:pStyle w:val="Contents6"/>
            <w:tabs>
              <w:tab w:val="clear" w:pos="7609"/>
              <w:tab w:val="right" w:pos="9026" w:leader="dot"/>
            </w:tabs>
            <w:rPr/>
          </w:pPr>
          <w:hyperlink w:anchor="__RefHeading___Toc686712_3406789950">
            <w:r>
              <w:rPr>
                <w:webHidden/>
                <w:rStyle w:val="IndexLink"/>
                <w:rtl w:val="true"/>
              </w:rPr>
              <w:t>اشارة</w:t>
            </w:r>
            <w:r>
              <w:rPr>
                <w:rStyle w:val="IndexLink"/>
                <w:rtl w:val="true"/>
              </w:rPr>
              <w:tab/>
            </w:r>
            <w:r>
              <w:rPr>
                <w:rStyle w:val="IndexLink"/>
              </w:rPr>
              <w:t>522</w:t>
            </w:r>
          </w:hyperlink>
        </w:p>
        <w:p>
          <w:pPr>
            <w:pStyle w:val="Contents6"/>
            <w:tabs>
              <w:tab w:val="clear" w:pos="7609"/>
              <w:tab w:val="right" w:pos="9026" w:leader="dot"/>
            </w:tabs>
            <w:rPr/>
          </w:pPr>
          <w:hyperlink w:anchor="__RefHeading___Toc686714_3406789950">
            <w:r>
              <w:rPr>
                <w:webHidden/>
                <w:rStyle w:val="IndexLink"/>
                <w:rtl w:val="true"/>
              </w:rPr>
              <w:t>عدم وجوب الاستظهار قبل الوضوء أو الغسل ولا بعدهما</w:t>
            </w:r>
            <w:r>
              <w:rPr>
                <w:rStyle w:val="IndexLink"/>
                <w:rtl w:val="true"/>
              </w:rPr>
              <w:tab/>
            </w:r>
            <w:r>
              <w:rPr>
                <w:rStyle w:val="IndexLink"/>
              </w:rPr>
              <w:t>523</w:t>
            </w:r>
          </w:hyperlink>
        </w:p>
        <w:p>
          <w:pPr>
            <w:pStyle w:val="Contents6"/>
            <w:tabs>
              <w:tab w:val="clear" w:pos="7609"/>
              <w:tab w:val="right" w:pos="9026" w:leader="dot"/>
            </w:tabs>
            <w:rPr/>
          </w:pPr>
          <w:hyperlink w:anchor="__RefHeading___Toc686716_3406789950">
            <w:r>
              <w:rPr>
                <w:webHidden/>
                <w:rStyle w:val="IndexLink"/>
                <w:rtl w:val="true"/>
              </w:rPr>
              <w:t>الأمر السابع في أنّ المستحاضة بعد أفعالها بحكم الطاهر</w:t>
            </w:r>
            <w:r>
              <w:rPr>
                <w:rStyle w:val="IndexLink"/>
                <w:rtl w:val="true"/>
              </w:rPr>
              <w:tab/>
            </w:r>
            <w:r>
              <w:rPr>
                <w:rStyle w:val="IndexLink"/>
              </w:rPr>
              <w:t>525</w:t>
            </w:r>
          </w:hyperlink>
        </w:p>
        <w:p>
          <w:pPr>
            <w:pStyle w:val="Contents6"/>
            <w:tabs>
              <w:tab w:val="clear" w:pos="7609"/>
              <w:tab w:val="right" w:pos="9026" w:leader="dot"/>
            </w:tabs>
            <w:rPr/>
          </w:pPr>
          <w:hyperlink w:anchor="__RefHeading___Toc686718_3406789950">
            <w:r>
              <w:rPr>
                <w:webHidden/>
                <w:rStyle w:val="IndexLink"/>
                <w:rtl w:val="true"/>
              </w:rPr>
              <w:t>اشارة</w:t>
            </w:r>
            <w:r>
              <w:rPr>
                <w:rStyle w:val="IndexLink"/>
                <w:rtl w:val="true"/>
              </w:rPr>
              <w:tab/>
            </w:r>
            <w:r>
              <w:rPr>
                <w:rStyle w:val="IndexLink"/>
              </w:rPr>
              <w:t>525</w:t>
            </w:r>
          </w:hyperlink>
        </w:p>
        <w:p>
          <w:pPr>
            <w:pStyle w:val="Contents6"/>
            <w:tabs>
              <w:tab w:val="clear" w:pos="7609"/>
              <w:tab w:val="right" w:pos="9026" w:leader="dot"/>
            </w:tabs>
            <w:rPr/>
          </w:pPr>
          <w:hyperlink w:anchor="__RefHeading___Toc686720_3406789950">
            <w:r>
              <w:rPr>
                <w:webHidden/>
                <w:rStyle w:val="IndexLink"/>
                <w:rtl w:val="true"/>
              </w:rPr>
              <w:t xml:space="preserve">بيان منطوق ومفهوم قولهم </w:t>
            </w:r>
            <w:r>
              <w:rPr>
                <w:rStyle w:val="IndexLink"/>
                <w:rtl w:val="true"/>
              </w:rPr>
              <w:t>: «</w:t>
            </w:r>
            <w:r>
              <w:rPr>
                <w:rStyle w:val="IndexLink"/>
                <w:rtl w:val="true"/>
              </w:rPr>
              <w:t>إذا فعلت ذلك تصير بحكم الطاهر</w:t>
            </w:r>
            <w:r>
              <w:rPr>
                <w:rStyle w:val="IndexLink"/>
                <w:rtl w:val="true"/>
              </w:rPr>
              <w:t>»</w:t>
              <w:tab/>
            </w:r>
            <w:r>
              <w:rPr>
                <w:rStyle w:val="IndexLink"/>
              </w:rPr>
              <w:t>525</w:t>
            </w:r>
          </w:hyperlink>
        </w:p>
        <w:p>
          <w:pPr>
            <w:pStyle w:val="Contents6"/>
            <w:tabs>
              <w:tab w:val="clear" w:pos="7609"/>
              <w:tab w:val="right" w:pos="9026" w:leader="dot"/>
            </w:tabs>
            <w:rPr/>
          </w:pPr>
          <w:hyperlink w:anchor="__RefHeading___Toc686722_3406789950">
            <w:r>
              <w:rPr>
                <w:webHidden/>
                <w:rStyle w:val="IndexLink"/>
                <w:rtl w:val="true"/>
              </w:rPr>
              <w:t>جواز وط‌ء المستحاضة</w:t>
            </w:r>
            <w:r>
              <w:rPr>
                <w:rStyle w:val="IndexLink"/>
                <w:rtl w:val="true"/>
              </w:rPr>
              <w:tab/>
            </w:r>
            <w:r>
              <w:rPr>
                <w:rStyle w:val="IndexLink"/>
              </w:rPr>
              <w:t>529</w:t>
            </w:r>
          </w:hyperlink>
        </w:p>
        <w:p>
          <w:pPr>
            <w:pStyle w:val="Contents6"/>
            <w:tabs>
              <w:tab w:val="clear" w:pos="7609"/>
              <w:tab w:val="right" w:pos="9026" w:leader="dot"/>
            </w:tabs>
            <w:rPr/>
          </w:pPr>
          <w:hyperlink w:anchor="__RefHeading___Toc686724_3406789950">
            <w:r>
              <w:rPr>
                <w:webHidden/>
                <w:rStyle w:val="IndexLink"/>
                <w:rtl w:val="true"/>
              </w:rPr>
              <w:t>الأمر الثامن في حكم صوم المستحاضة</w:t>
            </w:r>
            <w:r>
              <w:rPr>
                <w:rStyle w:val="IndexLink"/>
                <w:rtl w:val="true"/>
              </w:rPr>
              <w:tab/>
            </w:r>
            <w:r>
              <w:rPr>
                <w:rStyle w:val="IndexLink"/>
              </w:rPr>
              <w:t>537</w:t>
            </w:r>
          </w:hyperlink>
        </w:p>
        <w:p>
          <w:pPr>
            <w:pStyle w:val="Contents6"/>
            <w:tabs>
              <w:tab w:val="clear" w:pos="7609"/>
              <w:tab w:val="right" w:pos="9026" w:leader="dot"/>
            </w:tabs>
            <w:rPr/>
          </w:pPr>
          <w:hyperlink w:anchor="__RefHeading___Toc686726_3406789950">
            <w:r>
              <w:rPr>
                <w:webHidden/>
                <w:rStyle w:val="IndexLink"/>
                <w:rtl w:val="true"/>
              </w:rPr>
              <w:t>اشارة</w:t>
            </w:r>
            <w:r>
              <w:rPr>
                <w:rStyle w:val="IndexLink"/>
                <w:rtl w:val="true"/>
              </w:rPr>
              <w:tab/>
            </w:r>
            <w:r>
              <w:rPr>
                <w:rStyle w:val="IndexLink"/>
              </w:rPr>
              <w:t>537</w:t>
            </w:r>
          </w:hyperlink>
        </w:p>
        <w:p>
          <w:pPr>
            <w:pStyle w:val="Contents6"/>
            <w:tabs>
              <w:tab w:val="clear" w:pos="7609"/>
              <w:tab w:val="right" w:pos="9026" w:leader="dot"/>
            </w:tabs>
            <w:rPr/>
          </w:pPr>
          <w:hyperlink w:anchor="__RefHeading___Toc686728_3406789950">
            <w:r>
              <w:rPr>
                <w:webHidden/>
                <w:rStyle w:val="IndexLink"/>
                <w:rtl w:val="true"/>
              </w:rPr>
              <w:t>توقّف صحّة صوم المستحاضة على الأغسال النهارية</w:t>
            </w:r>
            <w:r>
              <w:rPr>
                <w:rStyle w:val="IndexLink"/>
                <w:rtl w:val="true"/>
              </w:rPr>
              <w:tab/>
            </w:r>
            <w:r>
              <w:rPr>
                <w:rStyle w:val="IndexLink"/>
              </w:rPr>
              <w:t>541</w:t>
            </w:r>
          </w:hyperlink>
        </w:p>
        <w:p>
          <w:pPr>
            <w:pStyle w:val="Contents3"/>
            <w:tabs>
              <w:tab w:val="clear" w:pos="8459"/>
              <w:tab w:val="right" w:pos="9026" w:leader="dot"/>
            </w:tabs>
            <w:rPr/>
          </w:pPr>
          <w:hyperlink w:anchor="__RefHeading___Toc686730_3406789950">
            <w:r>
              <w:rPr>
                <w:webHidden/>
                <w:rStyle w:val="IndexLink"/>
                <w:rtl w:val="true"/>
              </w:rPr>
              <w:t>المقصد الثالث</w:t>
            </w:r>
            <w:r>
              <w:rPr>
                <w:rStyle w:val="IndexLink"/>
                <w:rtl w:val="true"/>
              </w:rPr>
              <w:t xml:space="preserve">: </w:t>
            </w:r>
            <w:r>
              <w:rPr>
                <w:rStyle w:val="IndexLink"/>
                <w:rtl w:val="true"/>
              </w:rPr>
              <w:t>في النفاس</w:t>
            </w:r>
            <w:r>
              <w:rPr>
                <w:rStyle w:val="IndexLink"/>
                <w:rtl w:val="true"/>
              </w:rPr>
              <w:tab/>
            </w:r>
            <w:r>
              <w:rPr>
                <w:rStyle w:val="IndexLink"/>
              </w:rPr>
              <w:t>544</w:t>
            </w:r>
          </w:hyperlink>
        </w:p>
        <w:p>
          <w:pPr>
            <w:pStyle w:val="Contents4"/>
            <w:tabs>
              <w:tab w:val="clear" w:pos="8176"/>
              <w:tab w:val="right" w:pos="9026" w:leader="dot"/>
            </w:tabs>
            <w:rPr/>
          </w:pPr>
          <w:hyperlink w:anchor="__RefHeading___Toc686732_3406789950">
            <w:r>
              <w:rPr>
                <w:webHidden/>
                <w:rStyle w:val="IndexLink"/>
                <w:rtl w:val="true"/>
              </w:rPr>
              <w:t>اشارة</w:t>
            </w:r>
            <w:r>
              <w:rPr>
                <w:rStyle w:val="IndexLink"/>
                <w:rtl w:val="true"/>
              </w:rPr>
              <w:tab/>
            </w:r>
            <w:r>
              <w:rPr>
                <w:rStyle w:val="IndexLink"/>
              </w:rPr>
              <w:t>544</w:t>
            </w:r>
          </w:hyperlink>
        </w:p>
        <w:p>
          <w:pPr>
            <w:pStyle w:val="Contents4"/>
            <w:tabs>
              <w:tab w:val="clear" w:pos="8176"/>
              <w:tab w:val="right" w:pos="9026" w:leader="dot"/>
            </w:tabs>
            <w:rPr/>
          </w:pPr>
          <w:hyperlink w:anchor="__RefHeading___Toc686734_3406789950">
            <w:r>
              <w:rPr>
                <w:webHidden/>
                <w:rStyle w:val="IndexLink"/>
                <w:rtl w:val="true"/>
              </w:rPr>
              <w:t>تمهيد فيما</w:t>
            </w:r>
            <w:r>
              <w:rPr>
                <w:rStyle w:val="IndexLink"/>
                <w:rtl w:val="true"/>
              </w:rPr>
              <w:tab/>
            </w:r>
            <w:r>
              <w:rPr>
                <w:rStyle w:val="IndexLink"/>
              </w:rPr>
              <w:t>546</w:t>
            </w:r>
          </w:hyperlink>
        </w:p>
        <w:p>
          <w:pPr>
            <w:pStyle w:val="Contents4"/>
            <w:tabs>
              <w:tab w:val="clear" w:pos="8176"/>
              <w:tab w:val="right" w:pos="9026" w:leader="dot"/>
            </w:tabs>
            <w:rPr/>
          </w:pPr>
          <w:hyperlink w:anchor="__RefHeading___Toc686736_3406789950">
            <w:r>
              <w:rPr>
                <w:webHidden/>
                <w:rStyle w:val="IndexLink"/>
                <w:rtl w:val="true"/>
              </w:rPr>
              <w:t>المسألة الاُولى في أحكام الدم الخارج قبل الولادة وبعدها والمقارن لها</w:t>
            </w:r>
            <w:r>
              <w:rPr>
                <w:rStyle w:val="IndexLink"/>
                <w:rtl w:val="true"/>
              </w:rPr>
              <w:tab/>
            </w:r>
            <w:r>
              <w:rPr>
                <w:rStyle w:val="IndexLink"/>
              </w:rPr>
              <w:t>550</w:t>
            </w:r>
          </w:hyperlink>
        </w:p>
        <w:p>
          <w:pPr>
            <w:pStyle w:val="Contents5"/>
            <w:tabs>
              <w:tab w:val="clear" w:pos="7892"/>
              <w:tab w:val="right" w:pos="9026" w:leader="dot"/>
            </w:tabs>
            <w:rPr/>
          </w:pPr>
          <w:hyperlink w:anchor="__RefHeading___Toc686738_3406789950">
            <w:r>
              <w:rPr>
                <w:webHidden/>
                <w:rStyle w:val="IndexLink"/>
                <w:rtl w:val="true"/>
              </w:rPr>
              <w:t>اشارة</w:t>
            </w:r>
            <w:r>
              <w:rPr>
                <w:rStyle w:val="IndexLink"/>
                <w:rtl w:val="true"/>
              </w:rPr>
              <w:tab/>
            </w:r>
            <w:r>
              <w:rPr>
                <w:rStyle w:val="IndexLink"/>
              </w:rPr>
              <w:t>550</w:t>
            </w:r>
          </w:hyperlink>
        </w:p>
        <w:p>
          <w:pPr>
            <w:pStyle w:val="Contents5"/>
            <w:tabs>
              <w:tab w:val="clear" w:pos="7892"/>
              <w:tab w:val="right" w:pos="9026" w:leader="dot"/>
            </w:tabs>
            <w:rPr/>
          </w:pPr>
          <w:hyperlink w:anchor="__RefHeading___Toc686740_3406789950">
            <w:r>
              <w:rPr>
                <w:webHidden/>
                <w:rStyle w:val="IndexLink"/>
                <w:rtl w:val="true"/>
              </w:rPr>
              <w:t>حول الحكم بحيضية الدم المتقدّم المستجمع لشرائط الحيض</w:t>
            </w:r>
            <w:r>
              <w:rPr>
                <w:rStyle w:val="IndexLink"/>
                <w:rtl w:val="true"/>
              </w:rPr>
              <w:tab/>
            </w:r>
            <w:r>
              <w:rPr>
                <w:rStyle w:val="IndexLink"/>
              </w:rPr>
              <w:t>550</w:t>
            </w:r>
          </w:hyperlink>
        </w:p>
        <w:p>
          <w:pPr>
            <w:pStyle w:val="Contents5"/>
            <w:tabs>
              <w:tab w:val="clear" w:pos="7892"/>
              <w:tab w:val="right" w:pos="9026" w:leader="dot"/>
            </w:tabs>
            <w:rPr/>
          </w:pPr>
          <w:hyperlink w:anchor="__RefHeading___Toc686742_3406789950">
            <w:r>
              <w:rPr>
                <w:webHidden/>
                <w:rStyle w:val="IndexLink"/>
                <w:rtl w:val="true"/>
              </w:rPr>
              <w:t>ما يتشبّث به للزوم الفصل بأقلّ الطهر</w:t>
            </w:r>
            <w:r>
              <w:rPr>
                <w:rStyle w:val="IndexLink"/>
                <w:rtl w:val="true"/>
              </w:rPr>
              <w:tab/>
            </w:r>
            <w:r>
              <w:rPr>
                <w:rStyle w:val="IndexLink"/>
              </w:rPr>
              <w:t>551</w:t>
            </w:r>
          </w:hyperlink>
        </w:p>
        <w:p>
          <w:pPr>
            <w:pStyle w:val="Contents5"/>
            <w:tabs>
              <w:tab w:val="clear" w:pos="7892"/>
              <w:tab w:val="right" w:pos="9026" w:leader="dot"/>
            </w:tabs>
            <w:rPr/>
          </w:pPr>
          <w:hyperlink w:anchor="__RefHeading___Toc686744_3406789950">
            <w:r>
              <w:rPr>
                <w:webHidden/>
                <w:rStyle w:val="IndexLink"/>
                <w:rtl w:val="true"/>
              </w:rPr>
              <w:t>الرجوع إلى الأمارات لإثبات الحيضية</w:t>
            </w:r>
            <w:r>
              <w:rPr>
                <w:rStyle w:val="IndexLink"/>
                <w:rtl w:val="true"/>
              </w:rPr>
              <w:tab/>
            </w:r>
            <w:r>
              <w:rPr>
                <w:rStyle w:val="IndexLink"/>
              </w:rPr>
              <w:t>557</w:t>
            </w:r>
          </w:hyperlink>
        </w:p>
        <w:p>
          <w:pPr>
            <w:pStyle w:val="Contents5"/>
            <w:tabs>
              <w:tab w:val="clear" w:pos="7892"/>
              <w:tab w:val="right" w:pos="9026" w:leader="dot"/>
            </w:tabs>
            <w:rPr/>
          </w:pPr>
          <w:hyperlink w:anchor="__RefHeading___Toc686746_3406789950">
            <w:r>
              <w:rPr>
                <w:webHidden/>
                <w:rStyle w:val="IndexLink"/>
                <w:rtl w:val="true"/>
              </w:rPr>
              <w:t>نفاسية الدم الخارج مع المضغة</w:t>
            </w:r>
            <w:r>
              <w:rPr>
                <w:rStyle w:val="IndexLink"/>
                <w:rtl w:val="true"/>
              </w:rPr>
              <w:tab/>
            </w:r>
            <w:r>
              <w:rPr>
                <w:rStyle w:val="IndexLink"/>
              </w:rPr>
              <w:t>561</w:t>
            </w:r>
          </w:hyperlink>
        </w:p>
        <w:p>
          <w:pPr>
            <w:pStyle w:val="Contents4"/>
            <w:tabs>
              <w:tab w:val="clear" w:pos="8176"/>
              <w:tab w:val="right" w:pos="9026" w:leader="dot"/>
            </w:tabs>
            <w:rPr/>
          </w:pPr>
          <w:hyperlink w:anchor="__RefHeading___Toc686748_3406789950">
            <w:r>
              <w:rPr>
                <w:webHidden/>
                <w:rStyle w:val="IndexLink"/>
                <w:rtl w:val="true"/>
              </w:rPr>
              <w:t>المسألة الثانية</w:t>
            </w:r>
            <w:r>
              <w:rPr>
                <w:rStyle w:val="IndexLink"/>
                <w:rtl w:val="true"/>
              </w:rPr>
              <w:t xml:space="preserve">: </w:t>
            </w:r>
            <w:r>
              <w:rPr>
                <w:rStyle w:val="IndexLink"/>
                <w:rtl w:val="true"/>
              </w:rPr>
              <w:t>في حدّ النفاس في طرف القلّة</w:t>
            </w:r>
            <w:r>
              <w:rPr>
                <w:rStyle w:val="IndexLink"/>
                <w:rtl w:val="true"/>
              </w:rPr>
              <w:tab/>
            </w:r>
            <w:r>
              <w:rPr>
                <w:rStyle w:val="IndexLink"/>
              </w:rPr>
              <w:t>563</w:t>
            </w:r>
          </w:hyperlink>
        </w:p>
        <w:p>
          <w:pPr>
            <w:pStyle w:val="Contents4"/>
            <w:tabs>
              <w:tab w:val="clear" w:pos="8176"/>
              <w:tab w:val="right" w:pos="9026" w:leader="dot"/>
            </w:tabs>
            <w:rPr/>
          </w:pPr>
          <w:hyperlink w:anchor="__RefHeading___Toc686750_3406789950">
            <w:r>
              <w:rPr>
                <w:webHidden/>
                <w:rStyle w:val="IndexLink"/>
                <w:rtl w:val="true"/>
              </w:rPr>
              <w:t>المسألة الثالثة في حدّ النفاس في طرف الكثرة</w:t>
            </w:r>
            <w:r>
              <w:rPr>
                <w:rStyle w:val="IndexLink"/>
                <w:rtl w:val="true"/>
              </w:rPr>
              <w:tab/>
            </w:r>
            <w:r>
              <w:rPr>
                <w:rStyle w:val="IndexLink"/>
              </w:rPr>
              <w:t>567</w:t>
            </w:r>
          </w:hyperlink>
        </w:p>
        <w:p>
          <w:pPr>
            <w:pStyle w:val="Contents5"/>
            <w:tabs>
              <w:tab w:val="clear" w:pos="7892"/>
              <w:tab w:val="right" w:pos="9026" w:leader="dot"/>
            </w:tabs>
            <w:rPr/>
          </w:pPr>
          <w:hyperlink w:anchor="__RefHeading___Toc686752_3406789950">
            <w:r>
              <w:rPr>
                <w:webHidden/>
                <w:rStyle w:val="IndexLink"/>
                <w:rtl w:val="true"/>
              </w:rPr>
              <w:t>اشارة</w:t>
            </w:r>
            <w:r>
              <w:rPr>
                <w:rStyle w:val="IndexLink"/>
                <w:rtl w:val="true"/>
              </w:rPr>
              <w:tab/>
            </w:r>
            <w:r>
              <w:rPr>
                <w:rStyle w:val="IndexLink"/>
              </w:rPr>
              <w:t>567</w:t>
            </w:r>
          </w:hyperlink>
        </w:p>
        <w:p>
          <w:pPr>
            <w:pStyle w:val="Contents5"/>
            <w:tabs>
              <w:tab w:val="clear" w:pos="7892"/>
              <w:tab w:val="right" w:pos="9026" w:leader="dot"/>
            </w:tabs>
            <w:rPr/>
          </w:pPr>
          <w:hyperlink w:anchor="__RefHeading___Toc686754_3406789950">
            <w:r>
              <w:rPr>
                <w:webHidden/>
                <w:rStyle w:val="IndexLink"/>
                <w:rtl w:val="true"/>
              </w:rPr>
              <w:t>حول الأخبار الواردة في أكثر النفاس</w:t>
            </w:r>
            <w:r>
              <w:rPr>
                <w:rStyle w:val="IndexLink"/>
                <w:rtl w:val="true"/>
              </w:rPr>
              <w:tab/>
            </w:r>
            <w:r>
              <w:rPr>
                <w:rStyle w:val="IndexLink"/>
              </w:rPr>
              <w:t>571</w:t>
            </w:r>
          </w:hyperlink>
        </w:p>
        <w:p>
          <w:pPr>
            <w:pStyle w:val="Contents5"/>
            <w:tabs>
              <w:tab w:val="clear" w:pos="7892"/>
              <w:tab w:val="right" w:pos="9026" w:leader="dot"/>
            </w:tabs>
            <w:rPr/>
          </w:pPr>
          <w:hyperlink w:anchor="__RefHeading___Toc686756_3406789950">
            <w:r>
              <w:rPr>
                <w:webHidden/>
                <w:rStyle w:val="IndexLink"/>
                <w:rtl w:val="true"/>
              </w:rPr>
              <w:t>مقتضى الجمع بين الأخبار الواردة في أكثر النفاس</w:t>
            </w:r>
            <w:r>
              <w:rPr>
                <w:rStyle w:val="IndexLink"/>
                <w:rtl w:val="true"/>
              </w:rPr>
              <w:tab/>
            </w:r>
            <w:r>
              <w:rPr>
                <w:rStyle w:val="IndexLink"/>
              </w:rPr>
              <w:t>579</w:t>
            </w:r>
          </w:hyperlink>
        </w:p>
        <w:p>
          <w:pPr>
            <w:pStyle w:val="Contents5"/>
            <w:tabs>
              <w:tab w:val="clear" w:pos="7892"/>
              <w:tab w:val="right" w:pos="9026" w:leader="dot"/>
            </w:tabs>
            <w:rPr/>
          </w:pPr>
          <w:hyperlink w:anchor="__RefHeading___Toc686758_3406789950">
            <w:r>
              <w:rPr>
                <w:webHidden/>
                <w:rStyle w:val="IndexLink"/>
                <w:rtl w:val="true"/>
              </w:rPr>
              <w:t>حول تفصيل العلاّمة في أكثر النفاس</w:t>
            </w:r>
            <w:r>
              <w:rPr>
                <w:rStyle w:val="IndexLink"/>
                <w:rtl w:val="true"/>
              </w:rPr>
              <w:tab/>
            </w:r>
            <w:r>
              <w:rPr>
                <w:rStyle w:val="IndexLink"/>
              </w:rPr>
              <w:t>582</w:t>
            </w:r>
          </w:hyperlink>
        </w:p>
        <w:p>
          <w:pPr>
            <w:pStyle w:val="Contents5"/>
            <w:tabs>
              <w:tab w:val="clear" w:pos="7892"/>
              <w:tab w:val="right" w:pos="9026" w:leader="dot"/>
            </w:tabs>
            <w:rPr/>
          </w:pPr>
          <w:hyperlink w:anchor="__RefHeading___Toc686760_3406789950">
            <w:r>
              <w:rPr>
                <w:webHidden/>
                <w:rStyle w:val="IndexLink"/>
                <w:rtl w:val="true"/>
              </w:rPr>
              <w:t>حول الرجوع إلى الصفات أو عادات النساء في المقام</w:t>
            </w:r>
            <w:r>
              <w:rPr>
                <w:rStyle w:val="IndexLink"/>
                <w:rtl w:val="true"/>
              </w:rPr>
              <w:tab/>
            </w:r>
            <w:r>
              <w:rPr>
                <w:rStyle w:val="IndexLink"/>
              </w:rPr>
              <w:t>584</w:t>
            </w:r>
          </w:hyperlink>
        </w:p>
        <w:p>
          <w:pPr>
            <w:pStyle w:val="Contents4"/>
            <w:tabs>
              <w:tab w:val="clear" w:pos="8176"/>
              <w:tab w:val="right" w:pos="9026" w:leader="dot"/>
            </w:tabs>
            <w:rPr/>
          </w:pPr>
          <w:hyperlink w:anchor="__RefHeading___Toc686762_3406789950">
            <w:r>
              <w:rPr>
                <w:webHidden/>
                <w:rStyle w:val="IndexLink"/>
                <w:rtl w:val="true"/>
              </w:rPr>
              <w:t>المسألة الرابعة في حكم الحامل باثنين</w:t>
            </w:r>
            <w:r>
              <w:rPr>
                <w:rStyle w:val="IndexLink"/>
                <w:rtl w:val="true"/>
              </w:rPr>
              <w:tab/>
            </w:r>
            <w:r>
              <w:rPr>
                <w:rStyle w:val="IndexLink"/>
              </w:rPr>
              <w:t>585</w:t>
            </w:r>
          </w:hyperlink>
        </w:p>
        <w:p>
          <w:pPr>
            <w:pStyle w:val="Contents5"/>
            <w:tabs>
              <w:tab w:val="clear" w:pos="7892"/>
              <w:tab w:val="right" w:pos="9026" w:leader="dot"/>
            </w:tabs>
            <w:rPr/>
          </w:pPr>
          <w:hyperlink w:anchor="__RefHeading___Toc686764_3406789950">
            <w:r>
              <w:rPr>
                <w:webHidden/>
                <w:rStyle w:val="IndexLink"/>
                <w:rtl w:val="true"/>
              </w:rPr>
              <w:t>اشارة</w:t>
            </w:r>
            <w:r>
              <w:rPr>
                <w:rStyle w:val="IndexLink"/>
                <w:rtl w:val="true"/>
              </w:rPr>
              <w:tab/>
            </w:r>
            <w:r>
              <w:rPr>
                <w:rStyle w:val="IndexLink"/>
              </w:rPr>
              <w:t>585</w:t>
            </w:r>
          </w:hyperlink>
        </w:p>
        <w:p>
          <w:pPr>
            <w:pStyle w:val="Contents5"/>
            <w:tabs>
              <w:tab w:val="clear" w:pos="7892"/>
              <w:tab w:val="right" w:pos="9026" w:leader="dot"/>
            </w:tabs>
            <w:rPr/>
          </w:pPr>
          <w:hyperlink w:anchor="__RefHeading___Toc686766_3406789950">
            <w:r>
              <w:rPr>
                <w:webHidden/>
                <w:rStyle w:val="IndexLink"/>
                <w:rtl w:val="true"/>
              </w:rPr>
              <w:t>الروايات الدالّة على استقلال كلّ من النفاسين</w:t>
            </w:r>
            <w:r>
              <w:rPr>
                <w:rStyle w:val="IndexLink"/>
                <w:rtl w:val="true"/>
              </w:rPr>
              <w:tab/>
            </w:r>
            <w:r>
              <w:rPr>
                <w:rStyle w:val="IndexLink"/>
              </w:rPr>
              <w:t>588</w:t>
            </w:r>
          </w:hyperlink>
        </w:p>
        <w:p>
          <w:pPr>
            <w:pStyle w:val="Contents5"/>
            <w:tabs>
              <w:tab w:val="clear" w:pos="7892"/>
              <w:tab w:val="right" w:pos="9026" w:leader="dot"/>
            </w:tabs>
            <w:rPr/>
          </w:pPr>
          <w:hyperlink w:anchor="__RefHeading___Toc686768_3406789950">
            <w:r>
              <w:rPr>
                <w:webHidden/>
                <w:rStyle w:val="IndexLink"/>
                <w:rtl w:val="true"/>
              </w:rPr>
              <w:t>حكم ما إذا وضعت الولد الواحد قطعةً قطعةً</w:t>
            </w:r>
            <w:r>
              <w:rPr>
                <w:rStyle w:val="IndexLink"/>
                <w:rtl w:val="true"/>
              </w:rPr>
              <w:tab/>
            </w:r>
            <w:r>
              <w:rPr>
                <w:rStyle w:val="IndexLink"/>
              </w:rPr>
              <w:t>590</w:t>
            </w:r>
          </w:hyperlink>
        </w:p>
        <w:p>
          <w:pPr>
            <w:pStyle w:val="Contents5"/>
            <w:tabs>
              <w:tab w:val="clear" w:pos="7892"/>
              <w:tab w:val="right" w:pos="9026" w:leader="dot"/>
            </w:tabs>
            <w:rPr/>
          </w:pPr>
          <w:hyperlink w:anchor="__RefHeading___Toc686770_3406789950">
            <w:r>
              <w:rPr>
                <w:webHidden/>
                <w:rStyle w:val="IndexLink"/>
                <w:rtl w:val="true"/>
              </w:rPr>
              <w:t>حول ثمرة القول بتعدّد النفاسين</w:t>
            </w:r>
            <w:r>
              <w:rPr>
                <w:rStyle w:val="IndexLink"/>
                <w:rtl w:val="true"/>
              </w:rPr>
              <w:tab/>
            </w:r>
            <w:r>
              <w:rPr>
                <w:rStyle w:val="IndexLink"/>
              </w:rPr>
              <w:t>593</w:t>
            </w:r>
          </w:hyperlink>
        </w:p>
        <w:p>
          <w:pPr>
            <w:pStyle w:val="Contents4"/>
            <w:tabs>
              <w:tab w:val="clear" w:pos="8176"/>
              <w:tab w:val="right" w:pos="9026" w:leader="dot"/>
            </w:tabs>
            <w:rPr/>
          </w:pPr>
          <w:hyperlink w:anchor="__RefHeading___Toc686772_3406789950">
            <w:r>
              <w:rPr>
                <w:webHidden/>
                <w:rStyle w:val="IndexLink"/>
                <w:rtl w:val="true"/>
              </w:rPr>
              <w:t>المسألة الخامسة في حكم تأخّر الدم عن الولادة</w:t>
            </w:r>
            <w:r>
              <w:rPr>
                <w:rStyle w:val="IndexLink"/>
                <w:rtl w:val="true"/>
              </w:rPr>
              <w:tab/>
            </w:r>
            <w:r>
              <w:rPr>
                <w:rStyle w:val="IndexLink"/>
              </w:rPr>
              <w:t>595</w:t>
            </w:r>
          </w:hyperlink>
        </w:p>
        <w:p>
          <w:pPr>
            <w:pStyle w:val="Contents5"/>
            <w:tabs>
              <w:tab w:val="clear" w:pos="7892"/>
              <w:tab w:val="right" w:pos="9026" w:leader="dot"/>
            </w:tabs>
            <w:rPr/>
          </w:pPr>
          <w:hyperlink w:anchor="__RefHeading___Toc686774_3406789950">
            <w:r>
              <w:rPr>
                <w:webHidden/>
                <w:rStyle w:val="IndexLink"/>
                <w:rtl w:val="true"/>
              </w:rPr>
              <w:t>اشارة</w:t>
            </w:r>
            <w:r>
              <w:rPr>
                <w:rStyle w:val="IndexLink"/>
                <w:rtl w:val="true"/>
              </w:rPr>
              <w:tab/>
            </w:r>
            <w:r>
              <w:rPr>
                <w:rStyle w:val="IndexLink"/>
              </w:rPr>
              <w:t>595</w:t>
            </w:r>
          </w:hyperlink>
        </w:p>
        <w:p>
          <w:pPr>
            <w:pStyle w:val="Contents5"/>
            <w:tabs>
              <w:tab w:val="clear" w:pos="7892"/>
              <w:tab w:val="right" w:pos="9026" w:leader="dot"/>
            </w:tabs>
            <w:rPr/>
          </w:pPr>
          <w:hyperlink w:anchor="__RefHeading___Toc686776_3406789950">
            <w:r>
              <w:rPr>
                <w:webHidden/>
                <w:rStyle w:val="IndexLink"/>
                <w:rtl w:val="true"/>
              </w:rPr>
              <w:t>الكلام في أصل نفاسية الدم</w:t>
            </w:r>
            <w:r>
              <w:rPr>
                <w:rStyle w:val="IndexLink"/>
                <w:rtl w:val="true"/>
              </w:rPr>
              <w:tab/>
            </w:r>
            <w:r>
              <w:rPr>
                <w:rStyle w:val="IndexLink"/>
              </w:rPr>
              <w:t>595</w:t>
            </w:r>
          </w:hyperlink>
        </w:p>
        <w:p>
          <w:pPr>
            <w:pStyle w:val="Contents5"/>
            <w:tabs>
              <w:tab w:val="clear" w:pos="7892"/>
              <w:tab w:val="right" w:pos="9026" w:leader="dot"/>
            </w:tabs>
            <w:rPr/>
          </w:pPr>
          <w:hyperlink w:anchor="__RefHeading___Toc686778_3406789950">
            <w:r>
              <w:rPr>
                <w:webHidden/>
                <w:rStyle w:val="IndexLink"/>
                <w:rtl w:val="true"/>
              </w:rPr>
              <w:t>مقدار قعود ذات العادة مع انقطاع دمها في العشرة</w:t>
            </w:r>
            <w:r>
              <w:rPr>
                <w:rStyle w:val="IndexLink"/>
                <w:rtl w:val="true"/>
              </w:rPr>
              <w:tab/>
            </w:r>
            <w:r>
              <w:rPr>
                <w:rStyle w:val="IndexLink"/>
              </w:rPr>
              <w:t>598</w:t>
            </w:r>
          </w:hyperlink>
        </w:p>
        <w:p>
          <w:pPr>
            <w:pStyle w:val="Contents5"/>
            <w:tabs>
              <w:tab w:val="clear" w:pos="7892"/>
              <w:tab w:val="right" w:pos="9026" w:leader="dot"/>
            </w:tabs>
            <w:rPr/>
          </w:pPr>
          <w:hyperlink w:anchor="__RefHeading___Toc686780_3406789950">
            <w:r>
              <w:rPr>
                <w:webHidden/>
                <w:rStyle w:val="IndexLink"/>
                <w:rtl w:val="true"/>
              </w:rPr>
              <w:t>مقدار قعود ذات العادة مع تجاوز دمها عن العشرة</w:t>
            </w:r>
            <w:r>
              <w:rPr>
                <w:rStyle w:val="IndexLink"/>
                <w:rtl w:val="true"/>
              </w:rPr>
              <w:tab/>
            </w:r>
            <w:r>
              <w:rPr>
                <w:rStyle w:val="IndexLink"/>
              </w:rPr>
              <w:t>600</w:t>
            </w:r>
          </w:hyperlink>
        </w:p>
        <w:p>
          <w:pPr>
            <w:pStyle w:val="Contents4"/>
            <w:tabs>
              <w:tab w:val="clear" w:pos="8176"/>
              <w:tab w:val="right" w:pos="9026" w:leader="dot"/>
            </w:tabs>
            <w:rPr/>
          </w:pPr>
          <w:hyperlink w:anchor="__RefHeading___Toc686782_3406789950">
            <w:r>
              <w:rPr>
                <w:webHidden/>
                <w:rStyle w:val="IndexLink"/>
                <w:rtl w:val="true"/>
              </w:rPr>
              <w:t>المسألة السادسة في تخلّل النقاء أثناء النفاس الواحد</w:t>
            </w:r>
            <w:r>
              <w:rPr>
                <w:rStyle w:val="IndexLink"/>
                <w:rtl w:val="true"/>
              </w:rPr>
              <w:tab/>
            </w:r>
            <w:r>
              <w:rPr>
                <w:rStyle w:val="IndexLink"/>
              </w:rPr>
              <w:t>602</w:t>
            </w:r>
          </w:hyperlink>
        </w:p>
        <w:p>
          <w:pPr>
            <w:pStyle w:val="Contents4"/>
            <w:tabs>
              <w:tab w:val="clear" w:pos="8176"/>
              <w:tab w:val="right" w:pos="9026" w:leader="dot"/>
            </w:tabs>
            <w:rPr/>
          </w:pPr>
          <w:hyperlink w:anchor="__RefHeading___Toc686784_3406789950">
            <w:r>
              <w:rPr>
                <w:webHidden/>
                <w:rStyle w:val="IndexLink"/>
                <w:rtl w:val="true"/>
              </w:rPr>
              <w:t>المسألة السابعة في اتّحاد أحكام النفساء والحائض</w:t>
            </w:r>
            <w:r>
              <w:rPr>
                <w:rStyle w:val="IndexLink"/>
                <w:rtl w:val="true"/>
              </w:rPr>
              <w:tab/>
            </w:r>
            <w:r>
              <w:rPr>
                <w:rStyle w:val="IndexLink"/>
              </w:rPr>
              <w:t>604</w:t>
            </w:r>
          </w:hyperlink>
        </w:p>
        <w:p>
          <w:pPr>
            <w:pStyle w:val="Contents2"/>
            <w:tabs>
              <w:tab w:val="clear" w:pos="8743"/>
              <w:tab w:val="right" w:pos="9026" w:leader="dot"/>
            </w:tabs>
            <w:rPr/>
          </w:pPr>
          <w:hyperlink w:anchor="__RefHeading___Toc686786_3406789950">
            <w:r>
              <w:rPr>
                <w:webHidden/>
                <w:rStyle w:val="IndexLink"/>
                <w:rtl w:val="true"/>
              </w:rPr>
              <w:t>الفهارس العامّة</w:t>
            </w:r>
            <w:r>
              <w:rPr>
                <w:rStyle w:val="IndexLink"/>
                <w:rtl w:val="true"/>
              </w:rPr>
              <w:tab/>
            </w:r>
            <w:r>
              <w:rPr>
                <w:rStyle w:val="IndexLink"/>
              </w:rPr>
              <w:t>606</w:t>
            </w:r>
          </w:hyperlink>
        </w:p>
        <w:p>
          <w:pPr>
            <w:pStyle w:val="Contents3"/>
            <w:tabs>
              <w:tab w:val="clear" w:pos="8459"/>
              <w:tab w:val="right" w:pos="9026" w:leader="dot"/>
            </w:tabs>
            <w:rPr/>
          </w:pPr>
          <w:hyperlink w:anchor="__RefHeading___Toc686788_3406789950">
            <w:r>
              <w:rPr>
                <w:webHidden/>
                <w:rStyle w:val="IndexLink"/>
                <w:rtl w:val="true"/>
              </w:rPr>
              <w:t>اشارة</w:t>
            </w:r>
            <w:r>
              <w:rPr>
                <w:rStyle w:val="IndexLink"/>
                <w:rtl w:val="true"/>
              </w:rPr>
              <w:tab/>
            </w:r>
            <w:r>
              <w:rPr>
                <w:rStyle w:val="IndexLink"/>
              </w:rPr>
              <w:t>606</w:t>
            </w:r>
          </w:hyperlink>
        </w:p>
        <w:p>
          <w:pPr>
            <w:pStyle w:val="Contents3"/>
            <w:tabs>
              <w:tab w:val="clear" w:pos="8459"/>
              <w:tab w:val="right" w:pos="9026" w:leader="dot"/>
            </w:tabs>
            <w:rPr/>
          </w:pPr>
          <w:hyperlink w:anchor="__RefHeading___Toc686790_3406789950">
            <w:r>
              <w:rPr>
                <w:webHidden/>
                <w:rStyle w:val="IndexLink"/>
              </w:rPr>
              <w:t>1</w:t>
            </w:r>
            <w:r>
              <w:rPr>
                <w:rStyle w:val="IndexLink"/>
                <w:rtl w:val="true"/>
              </w:rPr>
              <w:t xml:space="preserve"> - </w:t>
            </w:r>
            <w:r>
              <w:rPr>
                <w:rStyle w:val="IndexLink"/>
                <w:rtl w:val="true"/>
              </w:rPr>
              <w:t>فهرس الآيات الكريمة</w:t>
            </w:r>
            <w:r>
              <w:rPr>
                <w:rStyle w:val="IndexLink"/>
                <w:rtl w:val="true"/>
              </w:rPr>
              <w:tab/>
            </w:r>
            <w:r>
              <w:rPr>
                <w:rStyle w:val="IndexLink"/>
              </w:rPr>
              <w:t>608</w:t>
            </w:r>
          </w:hyperlink>
        </w:p>
        <w:p>
          <w:pPr>
            <w:pStyle w:val="Contents3"/>
            <w:tabs>
              <w:tab w:val="clear" w:pos="8459"/>
              <w:tab w:val="right" w:pos="9026" w:leader="dot"/>
            </w:tabs>
            <w:rPr/>
          </w:pPr>
          <w:hyperlink w:anchor="__RefHeading___Toc686792_3406789950">
            <w:r>
              <w:rPr>
                <w:webHidden/>
                <w:rStyle w:val="IndexLink"/>
              </w:rPr>
              <w:t>2</w:t>
            </w:r>
            <w:r>
              <w:rPr>
                <w:rStyle w:val="IndexLink"/>
                <w:rtl w:val="true"/>
              </w:rPr>
              <w:t xml:space="preserve"> - </w:t>
            </w:r>
            <w:r>
              <w:rPr>
                <w:rStyle w:val="IndexLink"/>
                <w:rtl w:val="true"/>
              </w:rPr>
              <w:t>فهرس الأحاديث الشريفة</w:t>
            </w:r>
            <w:r>
              <w:rPr>
                <w:rStyle w:val="IndexLink"/>
                <w:rtl w:val="true"/>
              </w:rPr>
              <w:tab/>
            </w:r>
            <w:r>
              <w:rPr>
                <w:rStyle w:val="IndexLink"/>
              </w:rPr>
              <w:t>612</w:t>
            </w:r>
          </w:hyperlink>
        </w:p>
        <w:p>
          <w:pPr>
            <w:pStyle w:val="Contents3"/>
            <w:tabs>
              <w:tab w:val="clear" w:pos="8459"/>
              <w:tab w:val="right" w:pos="9026" w:leader="dot"/>
            </w:tabs>
            <w:rPr/>
          </w:pPr>
          <w:hyperlink w:anchor="__RefHeading___Toc686794_3406789950">
            <w:r>
              <w:rPr>
                <w:webHidden/>
                <w:rStyle w:val="IndexLink"/>
              </w:rPr>
              <w:t>3</w:t>
            </w:r>
            <w:r>
              <w:rPr>
                <w:rStyle w:val="IndexLink"/>
                <w:rtl w:val="true"/>
              </w:rPr>
              <w:t xml:space="preserve"> - </w:t>
            </w:r>
            <w:r>
              <w:rPr>
                <w:rStyle w:val="IndexLink"/>
                <w:rtl w:val="true"/>
              </w:rPr>
              <w:t>فهرس أسماء المعصومين علیهم السلام</w:t>
            </w:r>
            <w:r>
              <w:rPr>
                <w:rStyle w:val="IndexLink"/>
                <w:rtl w:val="true"/>
              </w:rPr>
              <w:tab/>
            </w:r>
            <w:r>
              <w:rPr>
                <w:rStyle w:val="IndexLink"/>
              </w:rPr>
              <w:t>632</w:t>
            </w:r>
          </w:hyperlink>
        </w:p>
        <w:p>
          <w:pPr>
            <w:pStyle w:val="Contents3"/>
            <w:tabs>
              <w:tab w:val="clear" w:pos="8459"/>
              <w:tab w:val="right" w:pos="9026" w:leader="dot"/>
            </w:tabs>
            <w:rPr/>
          </w:pPr>
          <w:hyperlink w:anchor="__RefHeading___Toc686796_3406789950">
            <w:r>
              <w:rPr>
                <w:webHidden/>
                <w:rStyle w:val="IndexLink"/>
              </w:rPr>
              <w:t>4</w:t>
            </w:r>
            <w:r>
              <w:rPr>
                <w:rStyle w:val="IndexLink"/>
                <w:rtl w:val="true"/>
              </w:rPr>
              <w:t xml:space="preserve"> - </w:t>
            </w:r>
            <w:r>
              <w:rPr>
                <w:rStyle w:val="IndexLink"/>
                <w:rtl w:val="true"/>
              </w:rPr>
              <w:t>فهرس الأعلام</w:t>
            </w:r>
            <w:r>
              <w:rPr>
                <w:rStyle w:val="IndexLink"/>
                <w:rtl w:val="true"/>
              </w:rPr>
              <w:tab/>
            </w:r>
            <w:r>
              <w:rPr>
                <w:rStyle w:val="IndexLink"/>
              </w:rPr>
              <w:t>634</w:t>
            </w:r>
          </w:hyperlink>
        </w:p>
        <w:p>
          <w:pPr>
            <w:pStyle w:val="Contents3"/>
            <w:tabs>
              <w:tab w:val="clear" w:pos="8459"/>
              <w:tab w:val="right" w:pos="9026" w:leader="dot"/>
            </w:tabs>
            <w:rPr/>
          </w:pPr>
          <w:hyperlink w:anchor="__RefHeading___Toc686798_3406789950">
            <w:r>
              <w:rPr>
                <w:webHidden/>
                <w:rStyle w:val="IndexLink"/>
              </w:rPr>
              <w:t>5</w:t>
            </w:r>
            <w:r>
              <w:rPr>
                <w:rStyle w:val="IndexLink"/>
                <w:rtl w:val="true"/>
              </w:rPr>
              <w:t xml:space="preserve"> - </w:t>
            </w:r>
            <w:r>
              <w:rPr>
                <w:rStyle w:val="IndexLink"/>
                <w:rtl w:val="true"/>
              </w:rPr>
              <w:t>فهرس الكتب الواردة في المتن</w:t>
            </w:r>
            <w:r>
              <w:rPr>
                <w:rStyle w:val="IndexLink"/>
                <w:rtl w:val="true"/>
              </w:rPr>
              <w:tab/>
            </w:r>
            <w:r>
              <w:rPr>
                <w:rStyle w:val="IndexLink"/>
              </w:rPr>
              <w:t>648</w:t>
            </w:r>
          </w:hyperlink>
        </w:p>
        <w:p>
          <w:pPr>
            <w:pStyle w:val="Contents3"/>
            <w:tabs>
              <w:tab w:val="clear" w:pos="8459"/>
              <w:tab w:val="right" w:pos="9026" w:leader="dot"/>
            </w:tabs>
            <w:rPr/>
          </w:pPr>
          <w:hyperlink w:anchor="__RefHeading___Toc686800_3406789950">
            <w:r>
              <w:rPr>
                <w:webHidden/>
                <w:rStyle w:val="IndexLink"/>
              </w:rPr>
              <w:t>6</w:t>
            </w:r>
            <w:r>
              <w:rPr>
                <w:rStyle w:val="IndexLink"/>
                <w:rtl w:val="true"/>
              </w:rPr>
              <w:t xml:space="preserve"> - </w:t>
            </w:r>
            <w:r>
              <w:rPr>
                <w:rStyle w:val="IndexLink"/>
                <w:rtl w:val="true"/>
              </w:rPr>
              <w:t>فهرس مصادر التحقيق</w:t>
            </w:r>
            <w:r>
              <w:rPr>
                <w:rStyle w:val="IndexLink"/>
                <w:rtl w:val="true"/>
              </w:rPr>
              <w:tab/>
            </w:r>
            <w:r>
              <w:rPr>
                <w:rStyle w:val="IndexLink"/>
              </w:rPr>
              <w:t>656</w:t>
            </w:r>
          </w:hyperlink>
        </w:p>
        <w:p>
          <w:pPr>
            <w:pStyle w:val="Contents3"/>
            <w:tabs>
              <w:tab w:val="clear" w:pos="8459"/>
              <w:tab w:val="right" w:pos="9026" w:leader="dot"/>
            </w:tabs>
            <w:rPr/>
          </w:pPr>
          <w:hyperlink w:anchor="__RefHeading___Toc686802_3406789950">
            <w:r>
              <w:rPr>
                <w:webHidden/>
                <w:rStyle w:val="IndexLink"/>
              </w:rPr>
              <w:t>7</w:t>
            </w:r>
            <w:r>
              <w:rPr>
                <w:rStyle w:val="IndexLink"/>
                <w:rtl w:val="true"/>
              </w:rPr>
              <w:t xml:space="preserve"> - </w:t>
            </w:r>
            <w:r>
              <w:rPr>
                <w:rStyle w:val="IndexLink"/>
                <w:rtl w:val="true"/>
              </w:rPr>
              <w:t>فهرس الموضوعات</w:t>
            </w:r>
            <w:r>
              <w:rPr>
                <w:rStyle w:val="IndexLink"/>
                <w:rtl w:val="true"/>
              </w:rPr>
              <w:tab/>
            </w:r>
            <w:r>
              <w:rPr>
                <w:rStyle w:val="IndexLink"/>
              </w:rPr>
              <w:t>676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017_190505"/>
      <w:bookmarkStart w:id="1" w:name="pg15017_190505"/>
      <w:bookmarkEnd w:id="1"/>
    </w:p>
    <w:p>
      <w:pPr>
        <w:pStyle w:val="Heading2"/>
        <w:numPr>
          <w:ilvl w:val="1"/>
          <w:numId w:val="1"/>
        </w:numPr>
        <w:rPr/>
      </w:pPr>
      <w:bookmarkStart w:id="2" w:name="pg15017_190505"/>
      <w:bookmarkStart w:id="3" w:name="__RefHeading___Toc686166_3406789950"/>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روح‌الله، رهبر انقلاب و بنیانگذار جمهوری اسلامی ایران، </w:t>
      </w:r>
      <w:r>
        <w:rPr>
          <w:rFonts w:eastAsia="IRNazanin" w:cs="IRNazanin"/>
          <w:color w:val="111111"/>
          <w:sz w:val="28"/>
          <w:szCs w:val="28"/>
          <w:lang w:bidi="fa-IR"/>
        </w:rPr>
        <w:t>1279</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 الامام الخمیني قدس سرة الشریف المجلد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الطهارة المجلد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موسسه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موسوعه الامام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3300000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تقلید،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ابتدا تا شرایط شکسته شدن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قواطع سفر تا انتها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روزه،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امر به معروف و نهی از منکر، مکاسب محرمه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و فروش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و نظایر آن، وصیت، یمین و نذر، کفارات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صید و ذباحه، خوردنی‌ها و آشامیدنی‌ها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اولیای عقد تا انتها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شهادات، حدود، قصاص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عملیه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Islamic law, Ja'fari -- Handbooks, manuals, etc. -- Questions and answers</w:t>
      </w:r>
    </w:p>
    <w:p>
      <w:pPr>
        <w:pStyle w:val="BookText"/>
        <w:rPr/>
      </w:pPr>
      <w:r>
        <w:rPr>
          <w:rFonts w:ascii="IRNazanin" w:hAnsi="IRNazanin" w:eastAsia="IRNazanin"/>
          <w:color w:val="111111"/>
          <w:sz w:val="28"/>
          <w:sz w:val="28"/>
          <w:szCs w:val="28"/>
          <w:rtl w:val="true"/>
          <w:lang w:bidi="fa-IR"/>
        </w:rPr>
        <w:t xml:space="preserve">فتوا‌های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Fatwas, Shiites -- 20th century</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Institute for Compilation and Publication of Imam Khomeini's Works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BP183/9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297/3422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3421059</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86168_340678995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017_190509"/>
      <w:bookmarkStart w:id="8" w:name="pg15017_190509"/>
      <w:bookmarkEnd w:id="8"/>
    </w:p>
    <w:p>
      <w:pPr>
        <w:pStyle w:val="Heading2"/>
        <w:numPr>
          <w:ilvl w:val="1"/>
          <w:numId w:val="1"/>
        </w:numPr>
        <w:rPr/>
      </w:pPr>
      <w:bookmarkStart w:id="9" w:name="pg15017_190509"/>
      <w:bookmarkStart w:id="10" w:name="__RefHeading___Toc686170_3406789950"/>
      <w:bookmarkStart w:id="11" w:name="_Toc3"/>
      <w:bookmarkEnd w:id="9"/>
      <w:bookmarkEnd w:id="10"/>
      <w:r>
        <w:rPr>
          <w:rtl w:val="true"/>
        </w:rPr>
        <w:t>مقدّمة التحقيق</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الطاهرين</w:t>
      </w:r>
    </w:p>
    <w:p>
      <w:pPr>
        <w:pStyle w:val="BookText"/>
        <w:rPr/>
      </w:pPr>
      <w:r>
        <w:rPr>
          <w:rFonts w:ascii="Amiri" w:hAnsi="Amiri" w:eastAsia="Amiri" w:cs="Amiri"/>
          <w:color w:val="111111"/>
          <w:sz w:val="28"/>
          <w:sz w:val="28"/>
          <w:szCs w:val="28"/>
          <w:rtl w:val="true"/>
          <w:lang w:bidi="ar-SA"/>
        </w:rPr>
        <w:t xml:space="preserve">يعدّ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دوّنه الإمام الراحل من بحوثه الفقهية التفصيلية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بعض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زمن تدوين هذا الكتاب جرت سيرته قدّس سرّه غالباً على تدوين بحوثه العالية الفقهية بقلمه الشريف، فترى أكثر كتبه مصنّفة بقلمه بينما كثر التقرير عن أقرانه ومعاصريه، وهذا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مزايا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هذا فقد درّس بعض مباحث المكاسب المحرمة وكتاب الزكاة، ولكن لم يصنّف فيهما شيئاً، وللأسف ليس عندنا تقرير من تلامذته</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كان قدّس سرّه قد شرع ببحثه عام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وامتدّ تدريسه إلى عام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على حسب ترتيب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للمحقّق الحلّي رحمه الله علیه الذي عُبّر عنه بقرآن الفقه، ولكن لم يكتب مباحثه من أوّل تدريسه حتّى انتهى إلى مباحث الدماء الثلاثة، فصنّف فيها كتاباً جامعاً لآراء المتقدّمين والمتأخّرين، </w:t>
      </w:r>
    </w:p>
    <w:p>
      <w:pPr>
        <w:pStyle w:val="BookText"/>
        <w:rPr/>
      </w:pPr>
      <w:r>
        <w:rPr>
          <w:rFonts w:ascii="Amiri" w:hAnsi="Amiri" w:eastAsia="Amiri" w:cs="Amiri"/>
          <w:color w:val="111111"/>
          <w:sz w:val="28"/>
          <w:sz w:val="28"/>
          <w:szCs w:val="28"/>
          <w:rtl w:val="true"/>
          <w:lang w:bidi="ar-SA"/>
        </w:rPr>
        <w:t xml:space="preserve">سديداً في نقدها ومحاكمتها، فشرع 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 مباحث الدماء الثلاثة في عام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ثمّ سار قدّس سرّه على نفس هذا المنهج في مباحث التيمّم والنجاسات وأحكامها إلى أن فرغ منه سنة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بمدينة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وقد قرّر جمع من فضلاء بحثه من أوّل تدريس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التقريرات موجودة في مكتبة مؤسّسة تنظيم ونشر آثار الإمام الخميني قدّس سرّه وقد طبع الجزء الأوّل المشتمل على مباحث المياه وبعض الوضوء بقلم آية اللّه العظمى الفاضل اللنكراني رحمه الله علیه سابقاً، وأمّا الجزء الثاني إلى الدماء الثلاثة بقلم آية اللّه الصادق الخلخالي وغيره فلم يطبع بعدُ وهو ممهّد للنشر، لكن حيث يكون هذه الموسوعة غير مشتملة على التقريرات فعلى القارئ الرجوع إلى الكتابين وضمّهما إلى المجلّدات الأربعة من الطهارة حتّى تصير المباحث تامّة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والقارئ الحاذق يجد أنّ أبرز ما انفرد به هذا الكتاب الشريف، التتبّع الوافي في مجالي الفقه والحديث، والدقّة والعمق في استقصاء الأقوال ومحاكمة الأدلّة ونقدها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هذا جليّاً بمراجعة بحوثه ومقارنتها ببحوث المتقدّمين على سماحته والمتأخّرين عنه، حيث يجد فيها الخبير فوائد فقهية كثيرة لم يسبق غيره قدّس سرّه إليها، ويلمس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القريحة القويمة في فهم الآيات القرآنية والأحاديث الشريفة، وفي تحديد مرادات الفقهاء ومقاصدهم</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كلّ هذا فقد اشتمل الكتاب على بعض المباحث الرجالية المفيدة، كالتحقيق في أخبار أصحاب الإجماع، كما واستعرض بعض القواعد الفقهية المهمّة في باب الطهارة، وفيه أيضاً تطبيق لبعض الآراء الاُصولية التي ابتكرها </w:t>
      </w:r>
      <w:bookmarkStart w:id="12" w:name="pg15017_190511"/>
    </w:p>
    <w:p>
      <w:pPr>
        <w:pStyle w:val="BookText"/>
        <w:rPr/>
      </w:pPr>
      <w:bookmarkEnd w:id="12"/>
      <w:r>
        <w:rPr>
          <w:rFonts w:ascii="IRNazanin" w:hAnsi="IRNazanin" w:eastAsia="IRNazanin"/>
          <w:color w:val="111111"/>
          <w:sz w:val="28"/>
          <w:sz w:val="28"/>
          <w:szCs w:val="28"/>
          <w:rtl w:val="true"/>
          <w:lang w:bidi="fa-IR"/>
        </w:rPr>
        <w:t>الإمام رحمه الله علیه خصوصاً مسألة الخطابات القانونية وعدم سراية الأحكام إلى غير موضوعاتها، وما يتفرّع عليها من جواز اجتماع الأمر والنهي وغيره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وجدير بالذكر أنّ هذا الكتاب له أربع مجلّدات وقد طبع ثلاث مجلّدات منه بقم المقدّسة باهتمام آية اللّه الشيخ علي أكبر المسعودي لطبع المجلّد الأوّل المشتمل على مبحث الدماء الثلاثة وباهتمام آية اللّه السيّد هاشم الرسولي المحلاّتي لطبع المجلّد الثاني والثالث المختصّ بمبحث التيمّم والنجاسات شكر اللّه لهما سعيهما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الطبعة الاُولى التي مرّ ذكرها قد طبع المجلّد الثالث مع تحقيقات أكثر وإرجاعات أكمل في النجف الأشرف وقد انضمّ إليه المجلّد الرابع المشتمل على مباحث أحكام النجاسات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هذا كلّه طبعته مؤسّسة تنظيم ونشر آثار الإمام الخميني قدّس سرّه من جديد عام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بعد أن بذل جمع من الفضلاء جهدهم في تصحيحه ومقابلته واستخراج المنابع والتقطيع وجعل العناوين والفهارس</w:t>
      </w:r>
      <w:r>
        <w:rPr>
          <w:rFonts w:eastAsia="Amiri" w:cs="Amiri" w:ascii="Amiri" w:hAnsi="Amiri"/>
          <w:color w:val="111111"/>
          <w:sz w:val="28"/>
          <w:szCs w:val="28"/>
          <w:rtl w:val="true"/>
          <w:lang w:bidi="ar-SA"/>
        </w:rPr>
        <w:t>.</w:t>
      </w:r>
    </w:p>
    <w:p>
      <w:pPr>
        <w:pStyle w:val="Heading2"/>
        <w:numPr>
          <w:ilvl w:val="1"/>
          <w:numId w:val="1"/>
        </w:numPr>
        <w:rPr/>
      </w:pPr>
      <w:bookmarkStart w:id="13" w:name="__RefHeading___Toc686172_3406789950"/>
      <w:bookmarkStart w:id="14" w:name="_Toc4"/>
      <w:bookmarkEnd w:id="13"/>
      <w:r>
        <w:rPr>
          <w:rtl w:val="true"/>
        </w:rPr>
        <w:t>منهجنا في التحقيق</w:t>
      </w:r>
      <w:bookmarkEnd w:id="14"/>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للتحقيق المثالي في عصرنا مراحل عديدة معروفة، وقد أخذت المؤسّسة على نفسها أن تأخذ بأشقّها وأحمزها، بل لم تقنع بمرحلة إلاّ بعد تكرارها وإعادة النظر فيها مراراً، فلم يقع تحقيق هذا الكتاب دفعةً واحدة، ولا من قبل شخص واحد، بل توالت عمليات التحقيق والتصحيح، وتعدّد الأفاضل القائمون عليها؛ حرصاً منها على إخراج كتبه بحلّة قشيبة، وبأقلّ عدد ممكن من الأخطاء التي لايعصم منها إلاّ من عصمه 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القارئ الكريم إشارة </w:t>
      </w:r>
    </w:p>
    <w:p>
      <w:pPr>
        <w:pStyle w:val="BookText"/>
        <w:rPr/>
      </w:pPr>
      <w:r>
        <w:rPr>
          <w:rFonts w:ascii="IRNazanin" w:hAnsi="IRNazanin" w:eastAsia="IRNazanin"/>
          <w:color w:val="111111"/>
          <w:sz w:val="28"/>
          <w:sz w:val="28"/>
          <w:szCs w:val="28"/>
          <w:rtl w:val="true"/>
          <w:lang w:bidi="fa-IR"/>
        </w:rPr>
        <w:t>إلى هذه المراحل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تصحيح الكتاب على ضوء النسخة التي هي بخطّ العلاّمة المؤلّف قدّس سرّه</w:t>
      </w:r>
    </w:p>
    <w:p>
      <w:pPr>
        <w:pStyle w:val="BookText"/>
        <w:rPr/>
      </w:pPr>
      <w:r>
        <w:rPr>
          <w:rFonts w:ascii="Amiri" w:hAnsi="Amiri" w:eastAsia="Amiri" w:cs="Amiri"/>
          <w:color w:val="111111"/>
          <w:sz w:val="28"/>
          <w:sz w:val="28"/>
          <w:szCs w:val="28"/>
          <w:rtl w:val="true"/>
          <w:lang w:bidi="ar-SA"/>
        </w:rPr>
        <w:t>الموجودة عندنا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تقطيع المتن وتزيينه بعلامات الترقيم المتعارفة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إضافة عناوين بهدف تسهيل عملية مراجعة الكتاب ومطالعته، ونظ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 لكثرة ما أضفناه من العناوين فقد جرّدناها من العضادتين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وبهذا امتزجت عناوين المؤلّف بعناوينها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استخراج الآيات القرآنية مع الإشارة إلى مصادر الأحاديث الأصلية كالكتب الأربعة، وإلى الناقلة عنها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في صورة تكرّر ورود الحديث، حيث اكتفينا بعد ذلك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وأسقطنا المصادر الأصلية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استخراج الأقوال والآراء الفقهية والاُصولية واللغوية والرجالية والتفسيرية والحكمية وغيرها، على قدر ما عثرنا عليه منها؛ سواء منها الصريحة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استعملنا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مكتفين بالحاكي فيما إذا لم نتمكّن من تشخيص صاحب القول الأصلي بعينه، أو لم نعثر على كتابه وإن عرفناه بشخصه، أو فيما إذا لم يتطابق المحكيّ مع ما هو موجود في المصدر الأصلي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وجه الضعف أو الترديد في الأحاديث التي صرّح الإمام بضعفها أو تردّد فيها؛ وذلك على حسب المباني الرجالية للإمام الراحل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وضع الفهارس الفنّية لكلّ مجلّد من هذا الكتاب</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المراحل وإن وقعت في طبعة المؤسّسة الاُولى أيضاً لكن لم نكتف بها </w:t>
      </w:r>
    </w:p>
    <w:p>
      <w:pPr>
        <w:pStyle w:val="BookText"/>
        <w:rPr/>
      </w:pPr>
      <w:r>
        <w:rPr>
          <w:rFonts w:ascii="Amiri" w:hAnsi="Amiri" w:eastAsia="Amiri" w:cs="Amiri"/>
          <w:color w:val="111111"/>
          <w:sz w:val="28"/>
          <w:sz w:val="28"/>
          <w:szCs w:val="28"/>
          <w:rtl w:val="true"/>
          <w:lang w:bidi="ar-SA"/>
        </w:rPr>
        <w:t>فأخذنا في تسديد المراحل عند نشر الكتاب ضمن موسوعة الإمام الخميني قدّس سرّه</w:t>
      </w:r>
    </w:p>
    <w:p>
      <w:pPr>
        <w:pStyle w:val="BookText"/>
        <w:rPr/>
      </w:pPr>
      <w:r>
        <w:rPr>
          <w:rFonts w:ascii="Amiri" w:hAnsi="Amiri" w:eastAsia="Amiri" w:cs="Amiri"/>
          <w:color w:val="111111"/>
          <w:sz w:val="28"/>
          <w:sz w:val="28"/>
          <w:szCs w:val="28"/>
          <w:rtl w:val="true"/>
          <w:lang w:bidi="ar-SA"/>
        </w:rPr>
        <w:t>مرّة اُخرى وجدّدنا المصادر حسب تجديد طبع الكتب خلال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تتقدّم المؤسّسة بالشكر الجزيل والثناء العاطر إلى كلّ الإخوة الفضلاء الذين ساهموا في تحقيق هذا الكتاب، راجية لهم التسديد والموفّقية في خدمة ديننا الحنيف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أن الحمد للّه ربّ العالمين، وهو حسبنا ونعم الوكيل</w:t>
      </w:r>
    </w:p>
    <w:p>
      <w:pPr>
        <w:pStyle w:val="BookText"/>
        <w:rPr/>
      </w:pPr>
      <w:r>
        <w:rPr>
          <w:rFonts w:ascii="Amiri" w:hAnsi="Amiri" w:eastAsia="Amiri" w:cs="Amiri"/>
          <w:color w:val="111111"/>
          <w:sz w:val="28"/>
          <w:sz w:val="28"/>
          <w:szCs w:val="28"/>
          <w:rtl w:val="true"/>
          <w:lang w:bidi="ar-SA"/>
        </w:rPr>
        <w:t>مؤسّسة تنظيم ونشر آثار الإمام الخميني قدّس سرّه</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فرع قم المقدّسة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5019_190515"/>
      <w:bookmarkStart w:id="16" w:name="pg15019_190515"/>
      <w:bookmarkEnd w:id="16"/>
    </w:p>
    <w:p>
      <w:pPr>
        <w:pStyle w:val="Heading2"/>
        <w:numPr>
          <w:ilvl w:val="1"/>
          <w:numId w:val="1"/>
        </w:numPr>
        <w:rPr/>
      </w:pPr>
      <w:bookmarkStart w:id="17" w:name="pg15019_190515"/>
      <w:bookmarkStart w:id="18" w:name="__RefHeading___Toc686174_3406789950"/>
      <w:bookmarkStart w:id="19" w:name="_Toc5"/>
      <w:bookmarkEnd w:id="17"/>
      <w:bookmarkEnd w:id="18"/>
      <w:r>
        <w:rPr>
          <w:rtl w:val="true"/>
        </w:rPr>
        <w:t>الدماء الثلاثة</w:t>
      </w:r>
      <w:bookmarkEnd w:id="19"/>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686176_3406789950"/>
      <w:bookmarkStart w:id="21" w:name="_Toc6"/>
      <w:bookmarkEnd w:id="20"/>
      <w:r>
        <w:rPr>
          <w:rtl w:val="true"/>
        </w:rPr>
        <w:t>اشارة</w:t>
      </w:r>
      <w:bookmarkEnd w:id="21"/>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محمّد</w:t>
      </w:r>
    </w:p>
    <w:p>
      <w:pPr>
        <w:pStyle w:val="BookText"/>
        <w:rPr/>
      </w:pPr>
      <w:r>
        <w:rPr>
          <w:rFonts w:ascii="Amiri" w:hAnsi="Amiri" w:eastAsia="Amiri" w:cs="Amiri"/>
          <w:color w:val="111111"/>
          <w:sz w:val="28"/>
          <w:sz w:val="28"/>
          <w:szCs w:val="28"/>
          <w:rtl w:val="true"/>
          <w:lang w:bidi="ar-SA"/>
        </w:rPr>
        <w:t>وآله الطاهرين ولعنة اللّه على أعدائهم أجمعين</w:t>
      </w:r>
    </w:p>
    <w:p>
      <w:pPr>
        <w:pStyle w:val="BookText"/>
        <w:rPr/>
      </w:pP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فلمّا انتهى بحثنا في الدورة الفقهية إلى الدماء الثلاثة ، أحببت أن اُفرز رسالة فيها حاوية لمهمّات مسائلها </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وفيها مقاصد </w:t>
      </w:r>
      <w:r>
        <w:rPr>
          <w:rFonts w:eastAsia="Amiri" w:cs="Amiri" w:ascii="Amiri" w:hAnsi="Amiri"/>
          <w:color w:val="111111"/>
          <w:sz w:val="28"/>
          <w:szCs w:val="28"/>
          <w:rtl w:val="true"/>
          <w:lang w:bidi="ar-SA"/>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15019_190519"/>
      <w:bookmarkStart w:id="23" w:name="pg15019_190519"/>
      <w:bookmarkEnd w:id="23"/>
    </w:p>
    <w:p>
      <w:pPr>
        <w:pStyle w:val="Heading3"/>
        <w:numPr>
          <w:ilvl w:val="2"/>
          <w:numId w:val="1"/>
        </w:numPr>
        <w:rPr/>
      </w:pPr>
      <w:bookmarkStart w:id="24" w:name="pg15019_190519"/>
      <w:bookmarkStart w:id="25" w:name="__RefHeading___Toc686178_3406789950"/>
      <w:bookmarkStart w:id="26" w:name="_Toc7"/>
      <w:bookmarkEnd w:id="24"/>
      <w:bookmarkEnd w:id="25"/>
      <w:r>
        <w:rPr>
          <w:rtl w:val="true"/>
        </w:rPr>
        <w:t>المقصد الأوّل</w:t>
      </w:r>
      <w:r>
        <w:rPr>
          <w:rtl w:val="true"/>
        </w:rPr>
        <w:t xml:space="preserve">: </w:t>
      </w:r>
      <w:r>
        <w:rPr>
          <w:rtl w:val="true"/>
        </w:rPr>
        <w:t>في الحيض</w:t>
      </w:r>
      <w:bookmarkEnd w:id="26"/>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 w:name="__RefHeading___Toc686180_3406789950"/>
      <w:bookmarkStart w:id="28" w:name="_Toc8"/>
      <w:bookmarkEnd w:id="27"/>
      <w:r>
        <w:rPr>
          <w:rtl w:val="true"/>
        </w:rPr>
        <w:t>اشارة</w:t>
      </w:r>
      <w:bookmarkEnd w:id="28"/>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 w:name="pg15019_190521"/>
      <w:bookmarkStart w:id="30" w:name="pg15019_190521"/>
      <w:bookmarkEnd w:id="30"/>
    </w:p>
    <w:p>
      <w:pPr>
        <w:pStyle w:val="Heading4"/>
        <w:numPr>
          <w:ilvl w:val="3"/>
          <w:numId w:val="1"/>
        </w:numPr>
        <w:rPr/>
      </w:pPr>
      <w:bookmarkStart w:id="31" w:name="pg15019_190521"/>
      <w:bookmarkStart w:id="32" w:name="__RefHeading___Toc686182_3406789950"/>
      <w:bookmarkStart w:id="33" w:name="_Toc9"/>
      <w:bookmarkEnd w:id="31"/>
      <w:bookmarkEnd w:id="32"/>
      <w:r>
        <w:rPr>
          <w:rtl w:val="true"/>
        </w:rPr>
        <w:t>تمهيد في حدّ الحيض شرعاً</w:t>
      </w:r>
      <w:bookmarkEnd w:id="33"/>
    </w:p>
    <w:p>
      <w:pPr>
        <w:pStyle w:val="BookText"/>
        <w:rPr/>
      </w:pPr>
      <w:r>
        <w:rPr>
          <w:rFonts w:ascii="Amiri" w:hAnsi="Amiri" w:eastAsia="Amiri" w:cs="Amiri"/>
          <w:color w:val="111111"/>
          <w:sz w:val="28"/>
          <w:sz w:val="28"/>
          <w:szCs w:val="28"/>
          <w:rtl w:val="true"/>
          <w:lang w:bidi="ar-SA"/>
        </w:rPr>
        <w:t xml:space="preserve">والبحث في أطراف معناه اللغوي غير مهمّ ، ويشبه أن يكون دم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تقذفه الرحم حال استقامتها واستقامة مزاج المرأة ، ودم الاستحاضة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تقذفه حال الانحراف ؛ لضعف أو مرض أو 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كانت النساء نوعاً في حال الاستقامة والسلامة ، لا يقذفن الدم أقلّ من ثلاثة أيّام ، ولا أكثر من عشرة ، ونوعهنّ لا تقذف أرحامهنّ قبل البلوغ وبعد اليأس ، وخلاف ذلك من شذوذ الطبيعة ونوادرها ، تصرّف الشارع المقدّس في الموضوع ، وحدّده بحدود ، لاحظاً فيه حال النوع الغالب ؛ إلحاقاً للشواذّ والنوادر بالعدم </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رأت المرأة قبل سنّ البلوغ ما تراه البالغات منظّمةً مرتّبةً في كلّ شهر ثلاثة أو خمسة مثلاً ؛ بحيث علم أ نّه الدم المعهود الذي تقذفه الرحم بحسب العادة ، أو رأت بعد الخمسين في عادتها كما رأت قبل الخمسين ؛ بحيث علم أ نّه هو الدم المعهود الذي كانت تقذفه رحمها قبل زمان يأسها ، لم يحكم بالحيضية ، </w:t>
      </w:r>
    </w:p>
    <w:p>
      <w:pPr>
        <w:pStyle w:val="BookText"/>
        <w:rPr/>
      </w:pPr>
      <w:r>
        <w:rPr>
          <w:rFonts w:ascii="Amiri" w:hAnsi="Amiri" w:eastAsia="Amiri" w:cs="Amiri"/>
          <w:color w:val="111111"/>
          <w:sz w:val="28"/>
          <w:sz w:val="28"/>
          <w:szCs w:val="28"/>
          <w:rtl w:val="true"/>
          <w:lang w:bidi="ar-SA"/>
        </w:rPr>
        <w:t xml:space="preserve">لا لأجل أ نّه ليس بحيض ؛ أي الدم الذي تقذفه الرحم في حال استقامتها واعتدالها ، بل لإسقاط الشارع شواذّ الطبيعة ونوادرها عن الحكم الذي لغالب النسوة ونوعهنّ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الحال فيما إذا رأت يومين أو أكثر من عشرة أيّام ، مع فرض كونِ الرحم في حال السلامة ، والدمِ المقذوف هو الدم المعهود الذي تقذفه الأرحام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ذكرنا هو الأقرب لفتاوى الأصحاب رحمه الله علیه والأخبار الكثيرة في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w:t>
      </w:r>
    </w:p>
    <w:p>
      <w:pPr>
        <w:pStyle w:val="BookText"/>
        <w:rPr/>
      </w:pPr>
      <w:r>
        <w:rPr>
          <w:rFonts w:ascii="Amiri" w:hAnsi="Amiri" w:eastAsia="Amiri" w:cs="Amiri"/>
          <w:color w:val="111111"/>
          <w:sz w:val="28"/>
          <w:sz w:val="28"/>
          <w:szCs w:val="28"/>
          <w:rtl w:val="true"/>
          <w:lang w:bidi="ar-SA"/>
        </w:rPr>
        <w:t xml:space="preserve">عدم مخالفته للوجدان والضرورة ؛ فإنّ الالتزام بأنّ الدم إلى الدقيقة الأخيرة من اليوم العاشر يكون حيضاً ، ويكون مجراه مجرى خاصّاً ، ثمّ ينسدّ دفعة ذلك المجرى ، وينفتح عرق آخر هو العرق العاذل ، ويخرج منه دم الاستحاضة ، كأ نّه مخالف للضرورة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حال الدم إلى الدقيقة الأخيرة من عادتها لمن استمرّ بها الدم ، وكذا الأشباه والنظائر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 الروايات التي يتراءى منها أنّ مجرييهما مختلفان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كرواية معاوية بن</w:t>
      </w:r>
    </w:p>
    <w:p>
      <w:pPr>
        <w:pStyle w:val="BookText"/>
        <w:rPr/>
      </w:pPr>
      <w:r>
        <w:rPr>
          <w:rFonts w:ascii="IRNazanin" w:hAnsi="IRNazanin" w:eastAsia="IRNazanin"/>
          <w:color w:val="111111"/>
          <w:sz w:val="28"/>
          <w:sz w:val="28"/>
          <w:szCs w:val="28"/>
          <w:rtl w:val="true"/>
          <w:lang w:bidi="fa-IR"/>
        </w:rPr>
        <w:t xml:space="preserve">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دم الاستحاضة والحيض ليس يخرجان من مكان واحد ؛ إنّ دم الاستحاضة بارد ، وإنّ دم الحيض حارّ</w:t>
      </w:r>
      <w:r>
        <w:rPr>
          <w:rFonts w:eastAsia="IRNazanin" w:cs="IRNazanin"/>
          <w:color w:val="111111"/>
          <w:sz w:val="28"/>
          <w:szCs w:val="28"/>
          <w:rtl w:val="true"/>
          <w:lang w:bidi="fa-IR"/>
        </w:rPr>
        <w:t>»</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توجيهها بوجه لا يخالف الوجدان والضرورة ، فكيف يمكن الالتزام بأنّ من استمرّ بها الدم وتكون ذات عادة ، يكون مجرى دمها إلى آن ما قبل العادة وآن ما بعدها ، غيرَ مجراه في زمان العادة ؟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حكي عن العلاّمة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نّه لو قيل بأنّ الدم بعد الخمسين من المرأة في زمن </w:t>
      </w:r>
      <w:bookmarkStart w:id="34" w:name="pg15019_190523"/>
    </w:p>
    <w:p>
      <w:pPr>
        <w:pStyle w:val="BookText"/>
        <w:rPr/>
      </w:pPr>
      <w:bookmarkEnd w:id="34"/>
      <w:r>
        <w:rPr>
          <w:rFonts w:ascii="Amiri" w:hAnsi="Amiri" w:eastAsia="Amiri" w:cs="Amiri"/>
          <w:color w:val="111111"/>
          <w:sz w:val="28"/>
          <w:sz w:val="28"/>
          <w:szCs w:val="28"/>
          <w:rtl w:val="true"/>
          <w:lang w:bidi="ar-SA"/>
        </w:rPr>
        <w:t xml:space="preserve">عادتها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كانت تراه 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بحيض ، كان تحكّماً لا يقبل</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مراده أنّ الدم الكذائي ولو كان حيضاً ، ولا افتراق بينه وبين الدم قبل الخمسين ، لكنّ الشارع مع ذلك أسقط حكمه ، وهو يوافق ما ذكرناه نتيجة ،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الشرع حدّد الدم في موارد ؛ فما كان خارجاً عن الحدود التي جعلت للحيض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في الواقع حيضاً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محكوماً بحكمه </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686184_3406789950"/>
      <w:bookmarkStart w:id="36" w:name="_Toc10"/>
      <w:bookmarkEnd w:id="35"/>
      <w:r>
        <w:rPr>
          <w:rtl w:val="true"/>
        </w:rPr>
        <w:t>كلام المحقّق الخراساني وجوابه</w:t>
      </w:r>
      <w:bookmarkEnd w:id="36"/>
    </w:p>
    <w:p>
      <w:pPr>
        <w:pStyle w:val="BookText"/>
        <w:rPr/>
      </w:pPr>
      <w:r>
        <w:rPr>
          <w:rFonts w:ascii="Amiri" w:hAnsi="Amiri" w:eastAsia="Amiri" w:cs="Amiri"/>
          <w:color w:val="111111"/>
          <w:sz w:val="28"/>
          <w:sz w:val="28"/>
          <w:szCs w:val="28"/>
          <w:rtl w:val="true"/>
          <w:lang w:bidi="ar-SA"/>
        </w:rPr>
        <w:t>فما أفاده المحقّق الخراساني</w:t>
      </w:r>
      <w:r>
        <w:rPr>
          <w:rStyle w:val="FootnoteAnchor"/>
          <w:rtl w:val="true"/>
        </w:rPr>
        <w:footnoteReference w:id="4"/>
      </w:r>
      <w:r>
        <w:rPr>
          <w:rFonts w:ascii="Amiri" w:hAnsi="Amiri" w:eastAsia="Amiri" w:cs="Amiri"/>
          <w:color w:val="111111"/>
          <w:sz w:val="28"/>
          <w:sz w:val="28"/>
          <w:szCs w:val="28"/>
          <w:rtl w:val="true"/>
          <w:lang w:bidi="ar-SA"/>
        </w:rPr>
        <w:t>من تقريب خلاف ذلك ، وحمل أخبار الحدود على مورد الاشتباه ؛ لبُعد عدم ترتّب أحكام الحيض شرعاً على ما علم أ نّه حيض واقعاً ، مؤيّداً ببعض الروايات ، كموثّقة سماعة</w:t>
      </w:r>
      <w:r>
        <w:rPr>
          <w:rStyle w:val="FootnoteAnchor"/>
          <w:rtl w:val="true"/>
        </w:rPr>
        <w:footnoteReference w:id="5"/>
      </w:r>
      <w:r>
        <w:rPr>
          <w:rFonts w:ascii="Amiri" w:hAnsi="Amiri" w:eastAsia="Amiri" w:cs="Amiri"/>
          <w:color w:val="111111"/>
          <w:sz w:val="28"/>
          <w:sz w:val="28"/>
          <w:szCs w:val="28"/>
          <w:rtl w:val="true"/>
          <w:lang w:bidi="ar-SA"/>
        </w:rPr>
        <w:t>ورواية إسحاق بن عمّار</w:t>
      </w:r>
      <w:r>
        <w:rPr>
          <w:rStyle w:val="FootnoteAnchor"/>
          <w:rtl w:val="true"/>
        </w:rPr>
        <w:footnoteReference w:id="6"/>
      </w:r>
      <w:r>
        <w:rPr>
          <w:rFonts w:ascii="Amiri" w:hAnsi="Amiri" w:eastAsia="Amiri" w:cs="Amiri"/>
          <w:color w:val="111111"/>
          <w:sz w:val="28"/>
          <w:sz w:val="28"/>
          <w:szCs w:val="28"/>
          <w:rtl w:val="true"/>
          <w:lang w:bidi="ar-SA"/>
        </w:rPr>
        <w:t xml:space="preserve">ومنكراً للإجماع استناداً إلى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تقدّم ذكره ، لا يمكن المساعدة عليه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وليت شعري ، أيّ بُعدٍ في الالتزام بجعل الشارع قسماً خاصّاً من الدم </w:t>
      </w:r>
    </w:p>
    <w:p>
      <w:pPr>
        <w:pStyle w:val="BookText"/>
        <w:rPr/>
      </w:pPr>
      <w:r>
        <w:rPr>
          <w:rFonts w:ascii="Amiri" w:hAnsi="Amiri" w:eastAsia="Amiri" w:cs="Amiri"/>
          <w:color w:val="111111"/>
          <w:sz w:val="28"/>
          <w:sz w:val="28"/>
          <w:szCs w:val="28"/>
          <w:rtl w:val="true"/>
          <w:lang w:bidi="ar-SA"/>
        </w:rPr>
        <w:t xml:space="preserve">موضوعاً لحكمه ؛ على ما قرّبنا وجهه ، وهل هذا إلاّ مثل تحديد السفر بثمانية فراسخ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وغير ذلك من التحديدات الواقعة في الشرع ، وهل يمكن مع هذا الاستبعاد رفع اليد عن الإجماع والأخبار ، بل ضرورة الفقه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استند إليه من عبارة العلاّمة فغير واضح ، فلعلّه ليس بصدد بيان كون</w:t>
      </w:r>
    </w:p>
    <w:p>
      <w:pPr>
        <w:pStyle w:val="BookText"/>
        <w:rPr/>
      </w:pPr>
      <w:r>
        <w:rPr>
          <w:rFonts w:ascii="Amiri" w:hAnsi="Amiri" w:eastAsia="Amiri" w:cs="Amiri"/>
          <w:color w:val="111111"/>
          <w:sz w:val="28"/>
          <w:sz w:val="28"/>
          <w:szCs w:val="28"/>
          <w:rtl w:val="true"/>
          <w:lang w:bidi="ar-SA"/>
        </w:rPr>
        <w:t xml:space="preserve">دم الحيض بعد الخمسين أيضاً موضوعاً لحكمه ، بل مراده أ نّه مع كونه حيضاً لا يترتّب عليه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مراده ذلك ، فلعلّه مبنيّ على أنّ حدّ اليأس زائد على الخمسين ، بل إلى الستّين ، وأمّا بعد اليأس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الستّون على جميع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يلتزم أحد ببقاء حكم الحيض ولو كان الدم مثل ما رأت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 نّه قبل البلوغ لم يذهب أحد منّا إلى ترتّب أحكام الحيض عليه ، وكذا في الدم المرئيّ أقلّ من ثلاثة أو أكثر من عشرة ؛ ممّا نقل الإجماع عليهما كثير من الفقهاء</w:t>
      </w:r>
      <w:r>
        <w:rPr>
          <w:rStyle w:val="FootnoteAnchor"/>
          <w:rtl w:val="true"/>
        </w:rPr>
        <w:footnoteReference w:id="7"/>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نّهما من دين الإمامية الذي يجب الإقرار به</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الروايات التي استند إليها فلا بدّ من توجيهها ، كما لعلّه يأتي من ذي قبل</w:t>
      </w:r>
      <w:r>
        <w:rPr>
          <w:rStyle w:val="FootnoteAnchor"/>
          <w:rtl w:val="true"/>
        </w:rPr>
        <w:footnoteReference w:id="9"/>
      </w:r>
      <w:r>
        <w:rPr>
          <w:rFonts w:ascii="Amiri" w:hAnsi="Amiri" w:eastAsia="Amiri" w:cs="Amiri"/>
          <w:color w:val="111111"/>
          <w:sz w:val="28"/>
          <w:sz w:val="28"/>
          <w:szCs w:val="28"/>
          <w:rtl w:val="true"/>
          <w:lang w:bidi="ar-SA"/>
        </w:rPr>
        <w:t xml:space="preserve">، أو ردّ علمها إلى أهلها ؛ بعد مخالفتها للنصوص الكثيرة والإجماع ، بل ضرورة الفقه ، فالأخذ بالحدود الشرعية الواردة في الروايات لا محيص عنه ، فتدبّر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هاهنا مطالب </w:t>
      </w:r>
      <w:r>
        <w:rPr>
          <w:rFonts w:eastAsia="IRNazanin" w:cs="IRNazanin"/>
          <w:color w:val="111111"/>
          <w:sz w:val="28"/>
          <w:szCs w:val="28"/>
          <w:rtl w:val="true"/>
          <w:lang w:bidi="fa-IR"/>
        </w:rPr>
        <w:t xml:space="preserve">: </w:t>
      </w:r>
      <w:bookmarkStart w:id="37" w:name="pg15019_190525"/>
    </w:p>
    <w:p>
      <w:pPr>
        <w:pStyle w:val="Heading4"/>
        <w:numPr>
          <w:ilvl w:val="3"/>
          <w:numId w:val="1"/>
        </w:numPr>
        <w:rPr/>
      </w:pPr>
      <w:bookmarkStart w:id="38" w:name="__RefHeading___Toc686186_3406789950"/>
      <w:bookmarkStart w:id="39" w:name="_Toc11"/>
      <w:bookmarkEnd w:id="37"/>
      <w:bookmarkEnd w:id="38"/>
      <w:r>
        <w:rPr>
          <w:rtl w:val="true"/>
        </w:rPr>
        <w:t>المطلب الأوّل</w:t>
      </w:r>
      <w:r>
        <w:rPr>
          <w:rtl w:val="true"/>
        </w:rPr>
        <w:t xml:space="preserve">: </w:t>
      </w:r>
      <w:r>
        <w:rPr>
          <w:rtl w:val="true"/>
        </w:rPr>
        <w:t>فيما يميّز به دم الحيض عن غيره</w:t>
      </w:r>
      <w:bookmarkEnd w:id="39"/>
    </w:p>
    <w:p>
      <w:pPr>
        <w:pStyle w:val="Heading5"/>
        <w:numPr>
          <w:ilvl w:val="4"/>
          <w:numId w:val="1"/>
        </w:numPr>
        <w:rPr/>
      </w:pPr>
      <w:bookmarkStart w:id="40" w:name="__RefHeading___Toc686188_3406789950"/>
      <w:bookmarkStart w:id="41" w:name="_Toc12"/>
      <w:bookmarkEnd w:id="40"/>
      <w:r>
        <w:rPr>
          <w:rtl w:val="true"/>
        </w:rPr>
        <w:t>اشارة</w:t>
      </w:r>
      <w:bookmarkEnd w:id="41"/>
    </w:p>
    <w:p>
      <w:pPr>
        <w:pStyle w:val="BookText"/>
        <w:rPr/>
      </w:pPr>
      <w:r>
        <w:rPr>
          <w:rFonts w:ascii="Amiri" w:hAnsi="Amiri" w:eastAsia="Amiri" w:cs="Amiri"/>
          <w:color w:val="111111"/>
          <w:sz w:val="28"/>
          <w:sz w:val="28"/>
          <w:szCs w:val="28"/>
          <w:rtl w:val="true"/>
          <w:lang w:bidi="ar-SA"/>
        </w:rPr>
        <w:t xml:space="preserve">إذا علمت المرأة أنّ دمها من أيّ أقسام الدم تعمل على طبق أحكامه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الاشتباه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يشتبه دم الحيض بدم الاستحاضة ، أو بدم البكارة ، أو بدم القرحة ، أو بغيرها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الاشتباه ثلاثي الأطراف ، أو رباعيها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فيتمّ الكلام فيه برسم مسائل </w:t>
      </w:r>
      <w:r>
        <w:rPr>
          <w:rFonts w:eastAsia="Amiri" w:cs="Amiri" w:ascii="Amiri" w:hAnsi="Amiri"/>
          <w:color w:val="111111"/>
          <w:sz w:val="28"/>
          <w:szCs w:val="28"/>
          <w:rtl w:val="true"/>
          <w:lang w:bidi="ar-SA"/>
        </w:rPr>
        <w:t>:</w:t>
      </w:r>
    </w:p>
    <w:p>
      <w:pPr>
        <w:pStyle w:val="Heading5"/>
        <w:numPr>
          <w:ilvl w:val="4"/>
          <w:numId w:val="1"/>
        </w:numPr>
        <w:rPr/>
      </w:pPr>
      <w:bookmarkStart w:id="42" w:name="__RefHeading___Toc686190_3406789950"/>
      <w:bookmarkStart w:id="43" w:name="_Toc13"/>
      <w:bookmarkEnd w:id="42"/>
      <w:r>
        <w:rPr>
          <w:rtl w:val="true"/>
        </w:rPr>
        <w:t xml:space="preserve">المسألة الاُولى </w:t>
      </w:r>
      <w:r>
        <w:rPr>
          <w:rtl w:val="true"/>
        </w:rPr>
        <w:t xml:space="preserve">: </w:t>
      </w:r>
      <w:r>
        <w:rPr>
          <w:rtl w:val="true"/>
        </w:rPr>
        <w:t>فيما يميّز به دم الحيض عن الاستحاضة</w:t>
      </w:r>
      <w:bookmarkEnd w:id="43"/>
    </w:p>
    <w:p>
      <w:pPr>
        <w:pStyle w:val="Heading6"/>
        <w:numPr>
          <w:ilvl w:val="5"/>
          <w:numId w:val="1"/>
        </w:numPr>
        <w:rPr/>
      </w:pPr>
      <w:bookmarkStart w:id="44" w:name="__RefHeading___Toc686192_3406789950"/>
      <w:bookmarkStart w:id="45" w:name="_Toc14"/>
      <w:bookmarkEnd w:id="44"/>
      <w:r>
        <w:rPr>
          <w:rtl w:val="true"/>
        </w:rPr>
        <w:t>اشارة</w:t>
      </w:r>
      <w:bookmarkEnd w:id="45"/>
    </w:p>
    <w:p>
      <w:pPr>
        <w:pStyle w:val="BookText"/>
        <w:rPr/>
      </w:pPr>
      <w:r>
        <w:rPr>
          <w:rFonts w:ascii="Amiri" w:hAnsi="Amiri" w:eastAsia="Amiri" w:cs="Amiri"/>
          <w:color w:val="111111"/>
          <w:sz w:val="28"/>
          <w:sz w:val="28"/>
          <w:szCs w:val="28"/>
          <w:rtl w:val="true"/>
          <w:lang w:bidi="ar-SA"/>
        </w:rPr>
        <w:t>في أمارية الأوصاف</w:t>
      </w:r>
    </w:p>
    <w:p>
      <w:pPr>
        <w:pStyle w:val="BookText"/>
        <w:rPr/>
      </w:pPr>
      <w:r>
        <w:rPr>
          <w:rFonts w:ascii="Amiri" w:hAnsi="Amiri" w:eastAsia="Amiri" w:cs="Amiri"/>
          <w:color w:val="111111"/>
          <w:sz w:val="28"/>
          <w:sz w:val="28"/>
          <w:szCs w:val="28"/>
          <w:rtl w:val="true"/>
          <w:lang w:bidi="ar-SA"/>
        </w:rPr>
        <w:t xml:space="preserve">وردت روايات بذكر أوصاف يشخّص بها دم الحيض والاستحاضة ، كالحرارة والسواد والخروج بالحُرقة وكونه عبيطاً بَحْرانياً ، وله دفع وإقبال إلى غيرها في أوصاف الحيض ، والصفرة والبرودة والفساد والكدرة والإدبار في الاستحاضة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فيقع الكلام في أنّ تلك الأوصاف هل هي أمارة تعبّدية واحدة ، كالخاصّة </w:t>
      </w:r>
    </w:p>
    <w:p>
      <w:pPr>
        <w:pStyle w:val="BookText"/>
        <w:rPr/>
      </w:pPr>
      <w:r>
        <w:rPr>
          <w:rFonts w:ascii="Amiri" w:hAnsi="Amiri" w:eastAsia="Amiri" w:cs="Amiri"/>
          <w:color w:val="111111"/>
          <w:sz w:val="28"/>
          <w:sz w:val="28"/>
          <w:szCs w:val="28"/>
          <w:rtl w:val="true"/>
          <w:lang w:bidi="ar-SA"/>
        </w:rPr>
        <w:t>المركّبة ، أو أمارات مستقلّة ؟</w:t>
      </w:r>
    </w:p>
    <w:p>
      <w:pPr>
        <w:pStyle w:val="BookText"/>
        <w:rPr/>
      </w:pPr>
      <w:r>
        <w:rPr>
          <w:rFonts w:ascii="Amiri" w:hAnsi="Amiri" w:eastAsia="Amiri" w:cs="Amiri"/>
          <w:color w:val="111111"/>
          <w:sz w:val="28"/>
          <w:sz w:val="28"/>
          <w:szCs w:val="28"/>
          <w:rtl w:val="true"/>
          <w:lang w:bidi="ar-SA"/>
        </w:rPr>
        <w:t xml:space="preserve">أو ليست بأمارات رأساً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الروايات أ نّها بصدد رفع اشتباه الحيض بالاستحاضة ؛ بذكر أوصافها التي تعهدها النساء ، وأ نّه لا مجال معها للاشتباه ؛ لحصول القطع غالباً ، 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الأوصاف وردت لرفع الاشتباه ، لا لجعل الأمارة في موضوع الشبهة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بين الأوصاف تفصيل ؛ ففي غير إقبال الدم وإدباره يكون كما ذكر من عدم الأمارية ، بخلافهما بدعوى ظهور الأخبار في هذا التفصيل ؟</w:t>
      </w:r>
    </w:p>
    <w:p>
      <w:pPr>
        <w:pStyle w:val="BookText"/>
        <w:rPr/>
      </w:pPr>
      <w:r>
        <w:rPr>
          <w:rFonts w:ascii="Amiri" w:hAnsi="Amiri" w:eastAsia="Amiri" w:cs="Amiri"/>
          <w:color w:val="111111"/>
          <w:sz w:val="28"/>
          <w:sz w:val="28"/>
          <w:szCs w:val="28"/>
          <w:rtl w:val="true"/>
          <w:lang w:bidi="ar-SA"/>
        </w:rPr>
        <w:t>وعلى فرض الأمارية ، هل تكون الأمارة لتشخيص الحيض ، أو هو والاستحاضة مطلقاً ، فيجب الأخذ بها في جميع موارد الشبهة إلاّ ما دلّ الدليل على خلافه ، أو تكون لتشخيصه عند اشتباهه بالاستحاضة مطلقاً ، فلو اشتبه دم المبتدئة بينهما تكون الأوصاف أمارة ، أو عند اشتباهه بها في موضوع أخصّ ؛ وهو عند استمرار الدم بها ، ففي المثال المتقدّم لا تكون أمارة ؟</w:t>
      </w:r>
    </w:p>
    <w:p>
      <w:pPr>
        <w:pStyle w:val="BookText"/>
        <w:rPr/>
      </w:pPr>
      <w:r>
        <w:rPr>
          <w:rFonts w:ascii="IRNazanin" w:hAnsi="IRNazanin" w:eastAsia="IRNazanin"/>
          <w:color w:val="111111"/>
          <w:sz w:val="28"/>
          <w:sz w:val="28"/>
          <w:szCs w:val="28"/>
          <w:rtl w:val="true"/>
          <w:lang w:bidi="fa-IR"/>
        </w:rPr>
        <w:t xml:space="preserve">وجوه وأقوال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إنّه يقع كلام آخر في أنّ الأوصاف التي ذكرت للحيض أمارات على الحيضية ، وكذا الأوصاف التي في الاستحاضة أمارات عليها ، فجعل الشارع أمارتين ؛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للحيض ، والاُخرى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للاستحاضة ؟</w:t>
      </w:r>
    </w:p>
    <w:p>
      <w:pPr>
        <w:pStyle w:val="BookText"/>
        <w:rPr/>
      </w:pPr>
      <w:r>
        <w:rPr>
          <w:rFonts w:ascii="Amiri" w:hAnsi="Amiri" w:eastAsia="Amiri" w:cs="Amiri"/>
          <w:color w:val="111111"/>
          <w:sz w:val="28"/>
          <w:sz w:val="28"/>
          <w:szCs w:val="28"/>
          <w:rtl w:val="true"/>
          <w:lang w:bidi="ar-SA"/>
        </w:rPr>
        <w:t>أو تكون أوصاف الحيض أمارة دون الاستحاضة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عند فقد أمارة الحيض ، هل يكون استحاضة من غير جعل أمارة عليها ، أو لا يكون استحاضة أيضاً ، فلا بدّ أن تعمل مع فقد أمارة الحيضية على طبق العلم الإجمالي أو القواعد الاُخر ؟ </w:t>
      </w:r>
      <w:bookmarkStart w:id="46" w:name="pg15019_190527"/>
    </w:p>
    <w:p>
      <w:pPr>
        <w:pStyle w:val="Heading6"/>
        <w:numPr>
          <w:ilvl w:val="5"/>
          <w:numId w:val="1"/>
        </w:numPr>
        <w:rPr/>
      </w:pPr>
      <w:bookmarkStart w:id="47" w:name="__RefHeading___Toc686194_3406789950"/>
      <w:bookmarkStart w:id="48" w:name="_Toc15"/>
      <w:bookmarkEnd w:id="46"/>
      <w:bookmarkEnd w:id="47"/>
      <w:r>
        <w:rPr>
          <w:rtl w:val="true"/>
        </w:rPr>
        <w:t>تفصيل المحقّق الخراساني بين الأوصاف</w:t>
      </w:r>
      <w:bookmarkEnd w:id="48"/>
    </w:p>
    <w:p>
      <w:pPr>
        <w:pStyle w:val="BookText"/>
        <w:rPr/>
      </w:pPr>
      <w:r>
        <w:rPr>
          <w:rFonts w:ascii="Amiri" w:hAnsi="Amiri" w:eastAsia="Amiri" w:cs="Amiri"/>
          <w:color w:val="111111"/>
          <w:sz w:val="28"/>
          <w:sz w:val="28"/>
          <w:szCs w:val="28"/>
          <w:rtl w:val="true"/>
          <w:lang w:bidi="ar-SA"/>
        </w:rPr>
        <w:t xml:space="preserve">ذهب المحقّق الخراساني إلى التفصيل المتقدّم ، فأنكر الأمارية التعبّدية في الأوصاف غير إقبال الدم وإدباره ، وفيهما ذهب إلى الأمارية التعبّدية ،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 ظاهر المرسلة الطويلة</w:t>
      </w:r>
      <w:r>
        <w:rPr>
          <w:rStyle w:val="FootnoteAnchor"/>
          <w:rtl w:val="true"/>
        </w:rPr>
        <w:footnoteReference w:id="10"/>
      </w:r>
      <w:r>
        <w:rPr>
          <w:rFonts w:ascii="Amiri" w:hAnsi="Amiri" w:eastAsia="Amiri" w:cs="Amiri"/>
          <w:color w:val="111111"/>
          <w:sz w:val="28"/>
          <w:sz w:val="28"/>
          <w:szCs w:val="28"/>
          <w:rtl w:val="true"/>
          <w:lang w:bidi="ar-SA"/>
        </w:rPr>
        <w:t>جعل إقبال الدم وإدباره أمارة تعبّدية على الحيض وعدمه ، لكنّ الإقبال والإدبار لا دخل له بالأوصاف ، بل العبرة بتغيّر الصفة التي كان عليها شدّة وضعفاً</w:t>
      </w:r>
      <w:r>
        <w:rPr>
          <w:rFonts w:eastAsia="Amiri" w:cs="Amiri" w:ascii="Amiri" w:hAnsi="Amiri"/>
          <w:color w:val="111111"/>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بدّ أوّلاً من الكلام معه حتّى يتّضح الحال من هذه الجهة ، ثمّ الكلام في سائر الجهات ، فلا محيص من ذكر الروايات والبحث في دلالتها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ففي صحيحة حفص بن البَخْتَري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عبداللّه علیه السلام امرأة ، فسألته عن المرأة يستمرّ بها الدم ، فلا تدري أحيض هو أو غيره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دم الحيض حارّ عبيط أسود ، له دفع وحرارة ، ودم الاستحاضة أصفرُ باردٌ ، فإذا كان للدم حرارة ودفع وسواد فلتدع الصلاة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أن لو كان امرأة ما زاد على هذا </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ظاهرها أنّ من لم تدرِ أنّ دمها حيض أو غيره ، فطريق تشخيصها هو هذه الأوصاف ، وإنّما الكلام في أنّ سوق الرواية بصدد بيان ما يرفع به الشبهة تكويناً ؛ وأ نّه مع هذه الأوصاف تقطع المرأة بأ نّه حيض ، أو أ نّها </w:t>
      </w:r>
    </w:p>
    <w:p>
      <w:pPr>
        <w:pStyle w:val="BookText"/>
        <w:rPr/>
      </w:pPr>
      <w:r>
        <w:rPr>
          <w:rFonts w:ascii="Amiri" w:hAnsi="Amiri" w:eastAsia="Amiri" w:cs="Amiri"/>
          <w:color w:val="111111"/>
          <w:sz w:val="28"/>
          <w:sz w:val="28"/>
          <w:szCs w:val="28"/>
          <w:rtl w:val="true"/>
          <w:lang w:bidi="ar-SA"/>
        </w:rPr>
        <w:t xml:space="preserve">أوصاف غالبية يحصل بها الظنّ النوعي بالموضوع ، وقد جعلها الشارع أمارة عند الاشتباه ؟ 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نّها بصدد رفع الشبهة تكويناً ؛ وإرشادها إلى آثار</w:t>
      </w:r>
    </w:p>
    <w:p>
      <w:pPr>
        <w:pStyle w:val="BookText"/>
        <w:rPr/>
      </w:pPr>
      <w:r>
        <w:rPr>
          <w:rFonts w:ascii="Amiri" w:hAnsi="Amiri" w:eastAsia="Amiri" w:cs="Amiri"/>
          <w:color w:val="111111"/>
          <w:sz w:val="28"/>
          <w:sz w:val="28"/>
          <w:szCs w:val="28"/>
          <w:rtl w:val="true"/>
          <w:lang w:bidi="ar-SA"/>
        </w:rPr>
        <w:t xml:space="preserve">تقطع منها بالواقع ، أو بصدد رفع الشبهة تشريعاً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هو الثاني ؛ لأنّ هذه الأوصاف لا تكون من اللوازم العادية بحيث تقطع النساء غالباً لأجلها بالحيض ، نعم يحصل لهنّ غالباً العلم به ، لكن لا لأجل هذه الأوصاف ، بل للعادة المستمرّة لهنّ ، وعدم اعوجاج طبائعهنّ غالباً ، ففي حال الاستقامة تعلم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بقرائن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تقذفه الرحم حيض ، وأمّا لو</w:t>
      </w:r>
    </w:p>
    <w:p>
      <w:pPr>
        <w:pStyle w:val="BookText"/>
        <w:rPr/>
      </w:pPr>
      <w:r>
        <w:rPr>
          <w:rFonts w:ascii="Amiri" w:hAnsi="Amiri" w:eastAsia="Amiri" w:cs="Amiri"/>
          <w:color w:val="111111"/>
          <w:sz w:val="28"/>
          <w:sz w:val="28"/>
          <w:szCs w:val="28"/>
          <w:rtl w:val="true"/>
          <w:lang w:bidi="ar-SA"/>
        </w:rPr>
        <w:t xml:space="preserve">استمرّ مثلاً بها الدم أو حصلت شبهة اُخرى لها ، فليس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تقطع مع ذلك بالواقع لأجل تلك الصفات ، ومع عدم حصول القطع وجداناً ، لا محيص عن كونها أمارة ظنّية اعتبرها الشارع ، نظير الشهوة والفتور والدفع في المنيّ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w:t>
      </w:r>
    </w:p>
    <w:p>
      <w:pPr>
        <w:pStyle w:val="BookText"/>
        <w:rPr/>
      </w:pPr>
      <w:r>
        <w:rPr>
          <w:rFonts w:ascii="Amiri" w:hAnsi="Amiri" w:eastAsia="Amiri" w:cs="Amiri"/>
          <w:color w:val="111111"/>
          <w:sz w:val="28"/>
          <w:sz w:val="28"/>
          <w:szCs w:val="28"/>
          <w:rtl w:val="true"/>
          <w:lang w:bidi="ar-SA"/>
        </w:rPr>
        <w:t xml:space="preserve">تشخيص المنيّ عادة ، أسهل للرجال من تشخيص الحيض عند الاشتباه للنساء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الرواية بصدد بيان أنّ هذه الأوصاف علامات يحصل بها القطع فلا معنى للسؤال ، في غاية البعد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مرسلة يونس موارد للدلالة على أنّ تغيّر لون الدم أمارة تعبّدية ، ففيها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فاطمة بنت أبي حُبَيش أتت النبي صلی الله علیه و آله وسلم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اُستحاض ولا أطهر ، فقال لها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ذلك بحيض ، إنّما هو عِرق ، فإذا أقبلت الحيضة فدعي الصلاة ، وإذا أدبرت فاغسلي </w:t>
      </w:r>
      <w:r>
        <w:rPr>
          <w:rFonts w:eastAsia="IRNazanin" w:cs="IRNazanin"/>
          <w:color w:val="111111"/>
          <w:sz w:val="28"/>
          <w:szCs w:val="28"/>
          <w:rtl w:val="true"/>
          <w:lang w:bidi="fa-IR"/>
        </w:rPr>
        <w:t>. . .»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فهذا يبيّن أنّ هذه امرأة قد اختلط عليها أيّامها ؛ لم تعرف عددها ولا وقتها ، ألا تسمعها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اُستحاض ولا أطهر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استحيضت سبع سنين ، ففي أقلّ من هذا تكون الريبة والاختلاط ، فلهذا </w:t>
      </w:r>
    </w:p>
    <w:p>
      <w:pPr>
        <w:pStyle w:val="BookText"/>
        <w:rPr/>
      </w:pPr>
      <w:r>
        <w:rPr>
          <w:rFonts w:ascii="Amiri" w:hAnsi="Amiri" w:eastAsia="Amiri" w:cs="Amiri"/>
          <w:color w:val="111111"/>
          <w:sz w:val="28"/>
          <w:sz w:val="28"/>
          <w:szCs w:val="28"/>
          <w:rtl w:val="true"/>
          <w:lang w:bidi="ar-SA"/>
        </w:rPr>
        <w:t xml:space="preserve">احتاجت إلى أن تعرف إقبال الدم من إدباره ، وتغيّر لونه من السواد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 وذلك أنّ دم الحيض أسود يعرف ، ولو كانت تعرف أيّامها ما احتاجت إلى معرفة لون الدم ؛ لأنّ السُنّة في الحيض أن تكون الصُفرة والكُدرة فما فوقها في أيّام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حيضاً كلّه إن كان الدم أسود أو غير ذلك ، فهذا يبيّن لك أنّ قليل الدم وكثيره أيّام الحيض حيض كلّه إذا كانت الأيّام معلومة ، فإذا جهلت الأيّام وعددها احتاجت إلى النظر حينئذٍ إلى إقبال الدم وإدباره وتغيُّر لونه </w:t>
      </w:r>
      <w:r>
        <w:rPr>
          <w:rFonts w:eastAsia="Amiri" w:cs="Amiri" w:ascii="Amiri" w:hAnsi="Amiri"/>
          <w:color w:val="111111"/>
          <w:sz w:val="28"/>
          <w:szCs w:val="28"/>
          <w:rtl w:val="true"/>
          <w:lang w:bidi="ar-SA"/>
        </w:rPr>
        <w:t>. . .»</w:t>
      </w:r>
      <w:r>
        <w:rPr>
          <w:rStyle w:val="FootnoteAnchor"/>
          <w:rtl w:val="true"/>
        </w:rPr>
        <w:footnoteReference w:id="13"/>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الظاهر منها أنّ إقبال الدم وإدباره وتغيّر لونه أمارة تعبّدية لتشخيصه ، وأ نّها إذا اختلط عليها أيّامها ولم تعرف عددها ولا وقتها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هي أمارة تعبّدية</w:t>
      </w:r>
    </w:p>
    <w:p>
      <w:pPr>
        <w:pStyle w:val="BookText"/>
        <w:rPr/>
      </w:pPr>
      <w:r>
        <w:rPr>
          <w:rFonts w:ascii="Amiri" w:hAnsi="Amiri" w:eastAsia="Amiri" w:cs="Amiri"/>
          <w:color w:val="111111"/>
          <w:sz w:val="28"/>
          <w:sz w:val="28"/>
          <w:szCs w:val="28"/>
          <w:rtl w:val="true"/>
          <w:lang w:bidi="ar-SA"/>
        </w:rPr>
        <w:t xml:space="preserve">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احتاجت إلى أمارة دونها في الأمارية ؛ وهي إقبال الدم وإدباره وتغيّر لونه من السواد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 فلا يكون تغيّر لون الدم أمارة قطعية على الحيض ، وإلاّ لم يعقل تأخّرها عن الرجوع إلى العادة المعلومة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أمارية العادة أيضاً لا تكون قطعية ، خصوصاً مع حصولها بمرّتين ، وبالأخصّ في زمان اختلاط الدم والريبة ، كما هو المفروض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دم الحيض أسود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المعروفية</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الوجدانية القطعية ، بل الظنّية التعبّدية ، ولهذا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كانت تعرف أيّامها ما احتاجت إلى معرفة لون الدم ؛ لأنّ السُنّة في الحيض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 فإنّ الرجوع إلى معرفة لونه إذا كان بحسب احتياجها إليه ، وعند فقد ما يوصلها </w:t>
      </w:r>
    </w:p>
    <w:p>
      <w:pPr>
        <w:pStyle w:val="BookText"/>
        <w:rPr/>
      </w:pPr>
      <w:r>
        <w:rPr>
          <w:rFonts w:ascii="Amiri" w:hAnsi="Amiri" w:eastAsia="Amiri" w:cs="Amiri"/>
          <w:color w:val="111111"/>
          <w:sz w:val="28"/>
          <w:sz w:val="28"/>
          <w:szCs w:val="28"/>
          <w:rtl w:val="true"/>
          <w:lang w:bidi="ar-SA"/>
        </w:rPr>
        <w:t xml:space="preserve">إلى معرفة الأيّام ولو تعبّداً ، لا يعقل إلاّ أن يكون أمارة ظنّية ، دون أمارية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ويؤكّد ذلك تعليله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السُنّة في الحيض أن تكون الصفرة في أيّام الحيض حيضاً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يؤكّد ما ذكرنا قوله علیه السلام في المرسلة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فجميع حالات المستحاضة تدور على هذه السنن الثلاث ؛ لا تكاد تخلو من واحدة منهنّ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كانت لها أيّام معلومة من قليل أو كثير ، فهي على أيّامها وخِلقتها التي جرت عليها ؛ ليس فيها عدد معلوم موقّت غير أيّامها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اختلطت الأيّام عليها ، وتقدّمت وتأخّرت ، وتغيّر عليها الدم ألواناً ، فسنّتها إقبال الدم وإدباره وتغيّر حالاته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حيث جعل تغيّر حالات الدم من السنن الثلاث التي سنّها رسول اللّه صلی الله علیه و آله وسلم</w:t>
      </w:r>
    </w:p>
    <w:p>
      <w:pPr>
        <w:pStyle w:val="BookText"/>
        <w:rPr/>
      </w:pPr>
      <w:r>
        <w:rPr>
          <w:rFonts w:ascii="IRNazanin" w:hAnsi="IRNazanin" w:eastAsia="IRNazanin"/>
          <w:color w:val="111111"/>
          <w:sz w:val="28"/>
          <w:sz w:val="28"/>
          <w:szCs w:val="28"/>
          <w:rtl w:val="true"/>
          <w:lang w:bidi="fa-IR"/>
        </w:rPr>
        <w:t xml:space="preserve">قبال السنّتين الاُخريين ، ومعلوم أنّ الأخذ بتغيّر اللون لأجل التبعية للسنّة ، لا للعلم الوجداني بالموضوع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تمسّك في ذيلها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للرجوع إلى تغيّر دمها مع اختلاط الأيّام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دم الحيض أسودُ يعرف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كان يحصل العلم بالحيض من لون الدم ، لم يعقل التشبّث بالتعبّد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يشكّ الناظر في المرسلة في أنّ تغيّر الدم ألواناً ، من الأمارات التعبّدية التي جعلها الشارع أمارة عند فقد أمارة هي أقوى في الأمارية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والعجب من المحقّق الخراساني رحمه الله علیه حيث اعترف بظهور المرسلة في أمارية إقبال الدم وإدباره ، وأنكر الأمارية في تغيّر اللون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الإقبال والإدبار ذكرا</w:t>
      </w:r>
    </w:p>
    <w:p>
      <w:pPr>
        <w:pStyle w:val="BookText"/>
        <w:rPr/>
      </w:pPr>
      <w:r>
        <w:rPr>
          <w:rFonts w:ascii="Amiri" w:hAnsi="Amiri" w:eastAsia="Amiri" w:cs="Amiri"/>
          <w:color w:val="111111"/>
          <w:sz w:val="28"/>
          <w:sz w:val="28"/>
          <w:szCs w:val="28"/>
          <w:rtl w:val="true"/>
          <w:lang w:bidi="ar-SA"/>
        </w:rPr>
        <w:t xml:space="preserve">فيها مع تغيّر اللون بسياق واحد ، ولا يمكن التفكيك بينهما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ذكرنا يظهر الحال في موثّقة</w:t>
      </w:r>
      <w:r>
        <w:rPr>
          <w:rStyle w:val="FootnoteAnchor"/>
          <w:rtl w:val="true"/>
        </w:rPr>
        <w:footnoteReference w:id="14"/>
      </w:r>
      <w:r>
        <w:rPr>
          <w:rFonts w:ascii="Amiri" w:hAnsi="Amiri" w:eastAsia="Amiri" w:cs="Amiri"/>
          <w:color w:val="111111"/>
          <w:sz w:val="28"/>
          <w:sz w:val="28"/>
          <w:szCs w:val="28"/>
          <w:rtl w:val="true"/>
          <w:lang w:bidi="ar-SA"/>
        </w:rPr>
        <w:t xml:space="preserve">إسحاق بن جرير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سألتني امرأة أن </w:t>
      </w:r>
    </w:p>
    <w:p>
      <w:pPr>
        <w:pStyle w:val="BookText"/>
        <w:rPr/>
      </w:pPr>
      <w:r>
        <w:rPr>
          <w:rFonts w:ascii="IRNazanin" w:hAnsi="IRNazanin" w:eastAsia="IRNazanin"/>
          <w:color w:val="111111"/>
          <w:sz w:val="28"/>
          <w:sz w:val="28"/>
          <w:szCs w:val="28"/>
          <w:rtl w:val="true"/>
          <w:lang w:bidi="fa-IR"/>
        </w:rPr>
        <w:t xml:space="preserve">اُدخلها على أبي عبداللّه علیه السلام فاستأذنت لها ، فأَذِنَ لها فدخلتْ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المرأة تحيض فتجوز أيّام حيضها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أيّام حيضها دون عشرة أيّام استظهرت بيوم واحد ، ثمّ هي مستحاضة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الدم يستمرّ بها الشهر والشهرين والثلاثة ، كيف تصنع بالصلاة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تجلس أيّام حيضها ، ثمّ تغتسل لكلّ صلاتين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أيّام حيضها تختلف عليها ، وكان يتقدّم الحيض اليوم واليومين</w:t>
      </w:r>
    </w:p>
    <w:p>
      <w:pPr>
        <w:pStyle w:val="BookText"/>
        <w:rPr/>
      </w:pPr>
      <w:r>
        <w:rPr>
          <w:rFonts w:ascii="Amiri" w:hAnsi="Amiri" w:eastAsia="Amiri" w:cs="Amiri"/>
          <w:color w:val="111111"/>
          <w:sz w:val="28"/>
          <w:sz w:val="28"/>
          <w:szCs w:val="28"/>
          <w:rtl w:val="true"/>
          <w:lang w:bidi="ar-SA"/>
        </w:rPr>
        <w:t xml:space="preserve">والثلاثة ، ويتأخّر مثل ذلك ، فما علمها به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دم الحيض ليس به خفاء ؛ هو دم حارّ تجد له حرقة ، ودم الاستحاضة دم فاسد بارد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فالتفتت إلى مولاتها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أتراه كان امرأة مرّة</w:t>
      </w:r>
      <w:r>
        <w:rPr>
          <w:rStyle w:val="FootnoteAnchor"/>
          <w:rtl w:val="true"/>
        </w:rPr>
        <w:footnoteReference w:id="1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وهذه الموثّقة عمدة ما تشبّث بها لما ادّعى من عدم إمكان كونها بصدد جعل أمارة تعبّدية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المتعيّن فيها أيضاً هو الحمل على جعل الأمارة ، لا إرجاعها إلى ما تقطع بها بالحيض ؛ ضرورة أنّ إرجاعها إلى الأوصاف المذكورة ، يكون بعد فقد أمارة تعبّدية هي أيّام حيضها ، ومعه كيف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تغيّر الأوصاف ممّا تقطع منه بالحيض ، وكيف يمكن الإرجاع أوّلاً إلى أمارة ظنّية ، ثمّ مع فقدها إلى ما يحصل به العلم ؟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التعبير بأ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به خفاء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مشعراً بما ذكره ، لكن مع ما ذكرنا ومع النظر إلى المرسلة المتقدّمة لا ينبغي الشكّ في أنّ المراد أنّ تلك </w:t>
      </w:r>
      <w:bookmarkStart w:id="49" w:name="pg15019_190532"/>
    </w:p>
    <w:p>
      <w:pPr>
        <w:pStyle w:val="BookText"/>
        <w:rPr/>
      </w:pPr>
      <w:bookmarkEnd w:id="49"/>
      <w:r>
        <w:rPr>
          <w:rFonts w:ascii="Amiri" w:hAnsi="Amiri" w:eastAsia="Amiri" w:cs="Amiri"/>
          <w:color w:val="111111"/>
          <w:sz w:val="28"/>
          <w:sz w:val="28"/>
          <w:szCs w:val="28"/>
          <w:rtl w:val="true"/>
          <w:lang w:bidi="ar-SA"/>
        </w:rPr>
        <w:t xml:space="preserve">الأوصاف أمارات له ، ومعها لا خفاء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الموضوع الذي له أمارة من أوصافها وحالاتها ، لا يكون به خفاء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قول المرأة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أتراه كان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إلى آخره ، فلا يدلّ على تصديقها بأنّ دم الحيض وجداناً كذلك ، بل لا يبعد أن يكون تعجّبها من ذكره أوصافاً لا يطلع عليها إلاّ النساء ؛ فإنّ الحرارة والحرقة ممّا لا يطلع عليهما إلاّ صاحبة الدم ، فتعجّبت من ذكر أبي عبداللّه علیه السلام أوصاف الدم الذي يكون من النساء فقط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القول وإن كان ربّما يستشعر منه ما ادّعاه لكن لا يمكن معه رفع اليد عمّا هو كالنصّ في جعل الأمارة ، بل بما ذكرنا يقطع المنصف بأمارية الأوصاف </w:t>
      </w:r>
      <w:r>
        <w:rPr>
          <w:rFonts w:eastAsia="Amiri" w:cs="Amiri" w:ascii="Amiri" w:hAnsi="Amiri"/>
          <w:color w:val="111111"/>
          <w:sz w:val="28"/>
          <w:szCs w:val="28"/>
          <w:rtl w:val="true"/>
          <w:lang w:bidi="ar-SA"/>
        </w:rPr>
        <w:t>.</w:t>
      </w:r>
    </w:p>
    <w:p>
      <w:pPr>
        <w:pStyle w:val="Heading6"/>
        <w:numPr>
          <w:ilvl w:val="5"/>
          <w:numId w:val="1"/>
        </w:numPr>
        <w:rPr/>
      </w:pPr>
      <w:bookmarkStart w:id="50" w:name="__RefHeading___Toc686196_3406789950"/>
      <w:bookmarkStart w:id="51" w:name="_Toc16"/>
      <w:bookmarkEnd w:id="50"/>
      <w:r>
        <w:rPr>
          <w:rtl w:val="true"/>
        </w:rPr>
        <w:t>مقدار أمارية الأوصاف</w:t>
      </w:r>
      <w:bookmarkEnd w:id="51"/>
    </w:p>
    <w:p>
      <w:pPr>
        <w:pStyle w:val="BookText"/>
        <w:rPr/>
      </w:pPr>
      <w:r>
        <w:rPr>
          <w:rFonts w:ascii="Amiri" w:hAnsi="Amiri" w:eastAsia="Amiri" w:cs="Amiri"/>
          <w:color w:val="111111"/>
          <w:sz w:val="28"/>
          <w:sz w:val="28"/>
          <w:szCs w:val="28"/>
          <w:rtl w:val="true"/>
          <w:lang w:bidi="ar-SA"/>
        </w:rPr>
        <w:t xml:space="preserve">ثمّ بعد البناء على الأمارية ، يقع الكلام في أ نّها أمارة مطلقة لتشخيص مطلق الدماء من الحيض ؛ وأنّ الحيض دائر مدار وجودها وعدمها في الثبوت التعبّدي واللاثبوت ، أو أ نّها أمارة لتشخيص الحيض من الاستحاضة مطلقاً ، أو مع استمرار الدم ؟ وجوه وأقوال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أقربها أوسطها ، ثمّ الأخير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نسب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فضعيف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تلك الأوصاف التي ذكرت للحيض لا تكون مختصّة به وجداناً ، خصوصاً مع البناء على استفادة طريقية كلّ واحد منها مستقلاًّ ، كما هو </w:t>
      </w:r>
    </w:p>
    <w:p>
      <w:pPr>
        <w:pStyle w:val="BookText"/>
        <w:rPr/>
      </w:pPr>
      <w:r>
        <w:rPr>
          <w:rFonts w:ascii="Amiri" w:hAnsi="Amiri" w:eastAsia="Amiri" w:cs="Amiri"/>
          <w:color w:val="111111"/>
          <w:sz w:val="28"/>
          <w:sz w:val="28"/>
          <w:szCs w:val="28"/>
          <w:rtl w:val="true"/>
          <w:lang w:bidi="ar-SA"/>
        </w:rPr>
        <w:t xml:space="preserve">الأقوى ؛ ضرورة أنّ نوع الدماء الخارجة من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خلوّ طبيعته عن الانحراف والضعف والمرض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عبيطاً حارّاً أحمر يضرب إلى السواد ، بل كثير منها يكون له دفع ، ويكون بَحْرانياً مقبلاً ، فلا تكون تلك الأوصاف من خواصّ دم الحيض بحيث تميّزه عن سائر الدماء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دم الاستحاضة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مقذوفاً من الطبيعة المنحرفة بواسطة ضعف وفتور ومرض ، لا محالة يكون فاسداً بارداً أصفر مدبراً غير دافع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الأمر الوجداني يساعدنا في الاستفادة من الأخبار ؛ وأنّ المنظور من ذكر الأوصاف ليس تمييز دم الحيض من سائر الدماء مع اشتراكها نوعاً فيها ، بل هذه الأوصاف المشتركة بين الحيض وغير الاستحاضة ، ذكرت فيما دار الأمر بين الحيض والاستحاضة ؛ لامتيازها عنه ، لا امتيازه عن غيرها ، ولهذا لم تذكر هذه الأوصاف في دوران الأمر بينه وبين العذرة وكذا بينه وبين القُرحة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لو دار الأمر بين الحيض وبين جريان الدم من شريان لانقطاعه ، لا تكون تلك الأوصاف معتبرة ؛ فإنّ الضرورة حاكمة بأنّ دم الشريان أيضاً طري عبيط له دفع وحرارة ، ويكون أسود كدم الحيض بحسب النوع ، ومعه كيف يمكن الذهاب إلى ما ذهب إليه الأعلام المتقدّم ذكرهم ؟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سياق الروايات يشهد بأ نّها في مقام تشخيص الحيض عن الاستحاضة لا غير ؛ ألا ترى إلى صحيحة حفص بن البَخْتري</w:t>
      </w:r>
      <w:r>
        <w:rPr>
          <w:rStyle w:val="FootnoteAnchor"/>
          <w:rtl w:val="true"/>
        </w:rPr>
        <w:footnoteReference w:id="17"/>
      </w:r>
      <w:r>
        <w:rPr>
          <w:rFonts w:ascii="Amiri" w:hAnsi="Amiri" w:eastAsia="Amiri" w:cs="Amiri"/>
          <w:color w:val="111111"/>
          <w:sz w:val="28"/>
          <w:sz w:val="28"/>
          <w:szCs w:val="28"/>
          <w:rtl w:val="true"/>
          <w:lang w:bidi="ar-SA"/>
        </w:rPr>
        <w:t xml:space="preserve">مع كون السؤال عن أ نّها لا تدري حيض هو أو غيره ، أجاب عن الحيض والاستحاضة ، وسكت </w:t>
      </w:r>
      <w:bookmarkStart w:id="52" w:name="pg15019_190534"/>
    </w:p>
    <w:p>
      <w:pPr>
        <w:pStyle w:val="BookText"/>
        <w:rPr/>
      </w:pPr>
      <w:bookmarkEnd w:id="52"/>
      <w:r>
        <w:rPr>
          <w:rFonts w:ascii="Amiri" w:hAnsi="Amiri" w:eastAsia="Amiri" w:cs="Amiri"/>
          <w:color w:val="111111"/>
          <w:sz w:val="28"/>
          <w:sz w:val="28"/>
          <w:szCs w:val="28"/>
          <w:rtl w:val="true"/>
          <w:lang w:bidi="ar-SA"/>
        </w:rPr>
        <w:t xml:space="preserve">عن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نوع الاشتباه الحاصل للنساء إنّما هو الاشتباه بين الدمين ، وأمّا سائر الدماء فنادرة الوجود ؛ لا يكون السؤال والجواب محمولين عليها إلاّ بالتنصيص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محطّ الجواب والسؤال هو الاختلاط والاشتباه بين الدمين ، فلا يمكن استفادة الأمارة المطلقة ؛ لا من منطوقها ، ولا من مفهوم مثل رواية حفص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فدعوى دلالة السياق على مدّعاهم في غاية السقوط ، بل دعوى دلالته على تشخيص الدمين قريبة جدّاً </w:t>
      </w:r>
      <w:r>
        <w:rPr>
          <w:rFonts w:eastAsia="Amiri" w:cs="Amiri" w:ascii="Amiri" w:hAnsi="Amiri"/>
          <w:color w:val="111111"/>
          <w:sz w:val="28"/>
          <w:szCs w:val="28"/>
          <w:rtl w:val="true"/>
          <w:lang w:bidi="ar-SA"/>
        </w:rPr>
        <w:t>.</w:t>
      </w:r>
    </w:p>
    <w:p>
      <w:pPr>
        <w:pStyle w:val="Heading6"/>
        <w:numPr>
          <w:ilvl w:val="5"/>
          <w:numId w:val="1"/>
        </w:numPr>
        <w:rPr/>
      </w:pPr>
      <w:bookmarkStart w:id="53" w:name="__RefHeading___Toc686198_3406789950"/>
      <w:bookmarkStart w:id="54" w:name="_Toc17"/>
      <w:bookmarkEnd w:id="53"/>
      <w:r>
        <w:rPr>
          <w:rtl w:val="true"/>
        </w:rPr>
        <w:t>حول اختصاص أمارية الصفات بمستمرّة الدم</w:t>
      </w:r>
      <w:bookmarkEnd w:id="54"/>
    </w:p>
    <w:p>
      <w:pPr>
        <w:pStyle w:val="BookText"/>
        <w:rPr/>
      </w:pPr>
      <w:r>
        <w:rPr>
          <w:rFonts w:ascii="Amiri" w:hAnsi="Amiri" w:eastAsia="Amiri" w:cs="Amiri"/>
          <w:color w:val="111111"/>
          <w:sz w:val="28"/>
          <w:sz w:val="28"/>
          <w:szCs w:val="28"/>
          <w:rtl w:val="true"/>
          <w:lang w:bidi="ar-SA"/>
        </w:rPr>
        <w:t xml:space="preserve">نعم ، حمل الروايات على التشخيص بين الدمين في حال الاستمرار ؛ بحيث يكون التمييز بها لمستمرّة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ذهب إليه الشيخ الأعظم بل نسب إلى المشهور</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وجيه ظاهراً ؛ لأنّ السؤال في صحيحة ابن البَخْتَري مثلاً وإن كان عن مستمرّة الدم ، لكن ظاهر الجواب هو ذكر الأوصاف التي لماهية دم الحيض في مقابل ماهية دم الاستحاضة ؛ لا قسم خاصّ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فقوله علیه السلام بعد السؤال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دم الحيض حارّ عبيط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ودم الاستحاضة</w:t>
      </w:r>
    </w:p>
    <w:p>
      <w:pPr>
        <w:pStyle w:val="BookText"/>
        <w:rPr/>
      </w:pPr>
      <w:r>
        <w:rPr>
          <w:rFonts w:ascii="Amiri" w:hAnsi="Amiri" w:eastAsia="Amiri" w:cs="Amiri"/>
          <w:color w:val="111111"/>
          <w:sz w:val="28"/>
          <w:sz w:val="28"/>
          <w:szCs w:val="28"/>
          <w:rtl w:val="true"/>
          <w:lang w:bidi="ar-SA"/>
        </w:rPr>
        <w:t>أصفر بارد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أنّ هذه الأوصاف لطبيعة الدمين وماهيتهما ، لا لصنف خاصّ منهما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أنّ قوله علیه السلام في موثّقة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 الحيض ليس به خفاء ؛ هو دم </w:t>
      </w:r>
      <w:bookmarkStart w:id="55" w:name="pg15019_190535"/>
    </w:p>
    <w:p>
      <w:pPr>
        <w:pStyle w:val="BookText"/>
        <w:rPr/>
      </w:pPr>
      <w:bookmarkEnd w:id="55"/>
      <w:r>
        <w:rPr>
          <w:rFonts w:ascii="Amiri" w:hAnsi="Amiri" w:eastAsia="Amiri" w:cs="Amiri"/>
          <w:color w:val="111111"/>
          <w:sz w:val="28"/>
          <w:sz w:val="28"/>
          <w:szCs w:val="28"/>
          <w:rtl w:val="true"/>
          <w:lang w:bidi="ar-SA"/>
        </w:rPr>
        <w:t xml:space="preserve">حارّ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ودم الاستحاضة دم فاسد </w:t>
      </w:r>
      <w:r>
        <w:rPr>
          <w:rFonts w:eastAsia="Amiri" w:cs="Amiri" w:ascii="Amiri" w:hAnsi="Amiri"/>
          <w:color w:val="111111"/>
          <w:sz w:val="28"/>
          <w:szCs w:val="28"/>
          <w:rtl w:val="true"/>
          <w:lang w:bidi="ar-SA"/>
        </w:rPr>
        <w:t>. . .»</w:t>
      </w:r>
      <w:r>
        <w:rPr>
          <w:rStyle w:val="FootnoteAnchor"/>
          <w:rtl w:val="true"/>
        </w:rPr>
        <w:footnoteReference w:id="19"/>
      </w:r>
      <w:r>
        <w:rPr>
          <w:rFonts w:ascii="Amiri" w:hAnsi="Amiri" w:eastAsia="Amiri" w:cs="Amiri"/>
          <w:color w:val="111111"/>
          <w:sz w:val="28"/>
          <w:sz w:val="28"/>
          <w:szCs w:val="28"/>
          <w:rtl w:val="true"/>
          <w:lang w:bidi="ar-SA"/>
        </w:rPr>
        <w:t xml:space="preserve">يدلّ على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 على صنف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كون السؤال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 للدم حرارة ودفع وسواد فلتدع الصلاة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متفرّعاً على قوله السابق في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يؤيّد ما ذكرنا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ذلك صحيحة معاوية بن عمّار أو حسنته</w:t>
      </w:r>
      <w:r>
        <w:rPr>
          <w:rStyle w:val="FootnoteAnchor"/>
          <w:rtl w:val="true"/>
        </w:rPr>
        <w:footnoteReference w:id="20"/>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دم الاستحاضة والحيض ليس يخرجان من مكان واحد ؛ إنّ دم الاستحاضة بارد ، وإنّ دم الحيض حارّ</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تكون هذه الرواية مسبوقة بالسؤال حتّى يأتي فيها ما ذُكر في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 عدم الاستفادة ممّا سبق ، فلا مجال لرفع اليد عن ظهورها في أنّ وصف الحرارة لمطلق دم الحيض ، ولا إشكال في كونها بصدد بيان تشخيص الدمين ، ولا معنى للإهمال في هذا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وغاية الأمر في الروايات الاُخر عدم الدلالة ، لا الدلالة على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عدم الدلالة ممنوع </w:t>
      </w:r>
      <w:r>
        <w:rPr>
          <w:rFonts w:eastAsia="Amiri" w:cs="Amiri" w:ascii="Amiri" w:hAnsi="Amiri"/>
          <w:color w:val="111111"/>
          <w:sz w:val="28"/>
          <w:szCs w:val="28"/>
          <w:rtl w:val="true"/>
          <w:lang w:bidi="ar-SA"/>
        </w:rPr>
        <w:t>.</w:t>
      </w:r>
    </w:p>
    <w:p>
      <w:pPr>
        <w:pStyle w:val="Heading6"/>
        <w:numPr>
          <w:ilvl w:val="5"/>
          <w:numId w:val="1"/>
        </w:numPr>
        <w:rPr/>
      </w:pPr>
      <w:bookmarkStart w:id="56" w:name="__RefHeading___Toc686200_3406789950"/>
      <w:bookmarkStart w:id="57" w:name="_Toc18"/>
      <w:bookmarkEnd w:id="56"/>
      <w:r>
        <w:rPr>
          <w:rtl w:val="true"/>
        </w:rPr>
        <w:t>الكلام حول دلالة مرسلة يونس الطويلة</w:t>
      </w:r>
      <w:bookmarkEnd w:id="5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بقيت المرسلة الطويلة ؛ حيث يدّعى دلالتها على أنّ الرجوع إلى </w:t>
      </w:r>
    </w:p>
    <w:p>
      <w:pPr>
        <w:pStyle w:val="BookText"/>
        <w:rPr/>
      </w:pPr>
      <w:r>
        <w:rPr>
          <w:rFonts w:ascii="Amiri" w:hAnsi="Amiri" w:eastAsia="Amiri" w:cs="Amiri"/>
          <w:color w:val="111111"/>
          <w:sz w:val="28"/>
          <w:sz w:val="28"/>
          <w:szCs w:val="28"/>
          <w:rtl w:val="true"/>
          <w:lang w:bidi="ar-SA"/>
        </w:rPr>
        <w:t>الصفات ليس سُنّة المبتدئة ؛ وأ نّه مختصّ بالمضطربة التي لها أيّام متقدّمة مغفول عنها ، وأنّ المبتدئة التي لم تُسبق بدم فسنّتها الرجوع إلى الروايات</w:t>
      </w:r>
      <w:r>
        <w:rPr>
          <w:rStyle w:val="FootnoteAnchor"/>
          <w:rtl w:val="true"/>
        </w:rPr>
        <w:footnoteReference w:id="22"/>
      </w:r>
      <w:r>
        <w:rPr>
          <w:rFonts w:ascii="IRNazanin" w:hAnsi="IRNazanin" w:eastAsia="IRNazanin"/>
          <w:color w:val="111111"/>
          <w:sz w:val="28"/>
          <w:sz w:val="28"/>
          <w:szCs w:val="28"/>
          <w:rtl w:val="true"/>
          <w:lang w:bidi="fa-IR"/>
        </w:rPr>
        <w:t xml:space="preserve">، ففيها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ذكر السنّتين من السنن الثلاث التي سنّها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السُنّة الثالثة فهي التي ليس لها أيّام متقدّمة ، ولم ترَ الدم قطّ ، ورأت أوّل ما أدركت فاستمرّ بها ، فإنّ سنّة هذه غير سنّة الاُولى والثانية ؛ وذلك أنّ امرأة يقال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حَمَنة بنت جحش أتت رسول اللّه صلی الله علیه و آله وسلم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استحضت حيضة شديدة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احتشي كُرْسُفاً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أشدّ من ذلك ؛ إنّي أثجّه ثجّاً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تلجّمي وتحيّضي في كلّ شهر في علم اللّه ستّة أيّام أو سبعة ، ثمّ اغتسلي غسلاً ، وصومي ثلاثة وعشرين يوماً أو أربعة وعشرين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فأراه قد سنّ في هذه غير ما سنّ في الاُولى والثانية ؛ وذلك لأنّ أمرها مخالف لأمر تَيْنك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فهذا بيِّن واضح ؛ إنّ هذه لم يكن لها أيّام قبل ذلك قطّ ، وهذه سنّة التي استمرّ بها الدم أوّل ما تراه ، أقصى وقتها سبع ، وأقصى طهرها ثلاث وعشرون ، حتّى تصير لها أيّام معلومة فتنتقل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فجميع حالات المستحاضة تدور على هذه السنن الثلاث ؛ لا تكاد أبداً تخلو من واحدة منهنّ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كانت لها أيّام معلومة من قليل أو كثير ، فهي على أيّامها وخلقتها التي جرت عليها ؛ ليس فيها عدد معلوم موقّت غير أيّامها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اختلطت الأيّام عليها وتقدّمت وتأخّرت ، وتغيّر عليها الدم ألواناً ، فسنّتها إقبال الدم وإدباره وتغيّر حالاته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تكن لها أيّام قبل ذلك ، واستحاضت أوّل ما رأت ، فوقتها سبع ، وطهرها ثلاث وعشرون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استمرّ بها الدم أشهراً فعلت في كلّ شهر كما قال لها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 xml:space="preserve">إلى أن قال بعد ذكر حصول العادة بمرّتين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اختلط عليها أيّامها ، وزادت ونقصت حتّى لا تقف منها على حدّ ، ولا من الدم على لون ، عملت بإقبال الدم وإدباره ، ليس لها سُنّة غير هذا ؛ لقوله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أقبلت الحيضة فدعي الصلاة ، وإذا أدبرت فاغتسلي ، ولقوله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دم الحيض أسود يعرف ، كقول أبي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رأيت الدم البَحْراني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 xml:space="preserve">وإن لم يكن الأمر كذلك ، ولكنّ الدم أطبق عليها ، فلم تزل الاستحاضة دارّة ، وكان الدم على لون واحد وحالة واحدة ، فسنّتها السبع والثلاث والعشرون ؛ لأنّ قصّتها كقصّة حَمَنة حين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أثجّه ثجّاً</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الطهارة ، أبواب الحيض ، 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الرواية عمدة مستند من ذهب إلى أنّ المبتدئة سنّتها الرجوع إلى السبعة والثلاثة والعشرين ؛ ليس لها سنّة غيرها ، وليس لها الرجوع إلى الصفات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المتأمّل فيها من أوّلها إلى آخرها ، لا يبقى له ريب في أنّ الرجوع إلى التمييز بعد الرجوع إلى العادة مقدّم على الرجوع إلى الروايات ، وأنّ الرجوع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السُنّة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مع فقد الأمارة على الحيض أو الاستحاضة ، وأنّ </w:t>
      </w:r>
    </w:p>
    <w:p>
      <w:pPr>
        <w:pStyle w:val="BookText"/>
        <w:rPr/>
      </w:pPr>
      <w:r>
        <w:rPr>
          <w:rFonts w:ascii="Amiri" w:hAnsi="Amiri" w:eastAsia="Amiri" w:cs="Amiri"/>
          <w:color w:val="111111"/>
          <w:sz w:val="28"/>
          <w:sz w:val="28"/>
          <w:szCs w:val="28"/>
          <w:rtl w:val="true"/>
          <w:lang w:bidi="ar-SA"/>
        </w:rPr>
        <w:t>من كانت لها عادة معلومة يجب عليها الرجوع إليها ؛ لأنّ العادة طريق قويّ إلى</w:t>
      </w:r>
    </w:p>
    <w:p>
      <w:pPr>
        <w:pStyle w:val="BookText"/>
        <w:rPr/>
      </w:pPr>
      <w:r>
        <w:rPr>
          <w:rFonts w:ascii="Amiri" w:hAnsi="Amiri" w:eastAsia="Amiri" w:cs="Amiri"/>
          <w:color w:val="111111"/>
          <w:sz w:val="28"/>
          <w:sz w:val="28"/>
          <w:szCs w:val="28"/>
          <w:rtl w:val="true"/>
          <w:lang w:bidi="ar-SA"/>
        </w:rPr>
        <w:t xml:space="preserve">الحيض ، ومع فقد الأمارة القويّة ترجع إلى الأمارة التي دونها ؛ وهي إقبال الدم وإدباره وتغيّر حالاته وألوانه ، ومع فقد هذه أيضاً يكون المرجع هو السُنّة الثالثة ، وهي التي لفاقدة الأمارة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ومعلوم من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مع قطع النظر عن ذيلها الذي هو كالصريح في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حَمنة بنت جحش كانت فاقدة الأمارة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فقدها للعادة فمعلوم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فقدها للتمييز ؛ فلأنّ الظاهر منها أنّ الدم كان في جميع الأزمنة كثيراً له دفع ؛ حيث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استحضت حيضة 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أشدّ من ذلك ؛ إنّي أثجّه ثجّاً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تلجّمي وتحيّضي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سيلان دم الأضاحي والهدي والدم الذي بهذه الشدّة والكثرة لا ينفكّ عن الحرارة والحمرة ، فله دفع وشدّة وحرارة وكثرة من غير تغيّر حال ، وإنّما جعلت السنّة الرجوع إلى السبع لأجل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فرض إبهام فيها من هذه الجهة ، فلا إشكال في أنّ ذيلها يرفع كلّ إبهام</w:t>
      </w:r>
    </w:p>
    <w:p>
      <w:pPr>
        <w:pStyle w:val="BookText"/>
        <w:rPr/>
      </w:pPr>
      <w:r>
        <w:rPr>
          <w:rFonts w:ascii="Amiri" w:hAnsi="Amiri" w:eastAsia="Amiri" w:cs="Amiri"/>
          <w:color w:val="111111"/>
          <w:sz w:val="28"/>
          <w:sz w:val="28"/>
          <w:szCs w:val="28"/>
          <w:rtl w:val="true"/>
          <w:lang w:bidi="ar-SA"/>
        </w:rPr>
        <w:t xml:space="preserve">متوهّم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لم يكن الأمر كذلك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آخرها ، فيعلم من ذلك أنّ قصّة حَمنة هي كون الدم على حالة واحدة من الحرارة والدفع والكثرة ، وعلى لون واحد لا يكون لها تمييز ، وأنّ الثجّ دليل عليه ، كما ذكرنا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إشكال في أنّ الرواية تدلّ على أنّ الرجوع إلى السبع والثلاث والعشرين ، سنّة التي فقدت الأمارتين المتقدّمتين ، وتكون الاستحاضة دارّة عليها ، ويكون في جميع الأوقات لها دَرّ ودفع ، وعلى لون واحد ، وعلى حالة واحدة ، فمن </w:t>
      </w:r>
      <w:bookmarkStart w:id="58" w:name="pg15019_190539"/>
    </w:p>
    <w:p>
      <w:pPr>
        <w:pStyle w:val="BookText"/>
        <w:rPr/>
      </w:pPr>
      <w:bookmarkEnd w:id="58"/>
      <w:r>
        <w:rPr>
          <w:rFonts w:ascii="Amiri" w:hAnsi="Amiri" w:eastAsia="Amiri" w:cs="Amiri"/>
          <w:color w:val="111111"/>
          <w:sz w:val="28"/>
          <w:sz w:val="28"/>
          <w:szCs w:val="28"/>
          <w:rtl w:val="true"/>
          <w:lang w:bidi="ar-SA"/>
        </w:rPr>
        <w:t xml:space="preserve">كانت قصّتها هذه فلا إشكال في أ نّها ترجع إلى 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يستفاد منها أنّ المبتدئة إذا رأت أوّل ما رأت بصفة الحيض ، لا تكون الصفات أمارة لها 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وصدر الرواية يدلّ على أمارية الصفات مطلقاً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فلهذا احتاجت إلى أن تعرف إقبال الدم من إدباره ، وتغيّر لونه من السواد إلى غيره ؛ وذلك أنّ دم الحيض أسود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فترى كيف علّل رجوعها إلى الصفات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دم الحيض أسود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فيعلم منها أنّ العلّة في الرجوع ، هي كون ماهية دم الحيض بهذه الصفة ، لا أنّ صنفاً منها كذلك ، فتدلّ على أنّ هذه الصفات من مميّزات هذه الماهية عن ماهية الاستحاضة ، ولهذا أرجعها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فيستفاد منها أ نّه كلّما وجدت هذه الصفة ، امتاز الحيض عن الاستحاضة فيما دار الأمر بينهما في غير ذات العادة التي سنّتها الرجوع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المسألة</w:t>
      </w:r>
    </w:p>
    <w:p>
      <w:pPr>
        <w:pStyle w:val="BookText"/>
        <w:rPr/>
      </w:pPr>
      <w:r>
        <w:rPr>
          <w:rFonts w:ascii="Amiri" w:hAnsi="Amiri" w:eastAsia="Amiri" w:cs="Amiri"/>
          <w:color w:val="111111"/>
          <w:sz w:val="28"/>
          <w:sz w:val="28"/>
          <w:szCs w:val="28"/>
          <w:rtl w:val="true"/>
          <w:lang w:bidi="ar-SA"/>
        </w:rPr>
        <w:t xml:space="preserve">لا تحتاج إلى زيادة إطناب </w:t>
      </w:r>
      <w:r>
        <w:rPr>
          <w:rFonts w:eastAsia="Amiri" w:cs="Amiri" w:ascii="Amiri" w:hAnsi="Amiri"/>
          <w:color w:val="111111"/>
          <w:sz w:val="28"/>
          <w:szCs w:val="28"/>
          <w:rtl w:val="true"/>
          <w:lang w:bidi="ar-SA"/>
        </w:rPr>
        <w:t>.</w:t>
      </w:r>
    </w:p>
    <w:p>
      <w:pPr>
        <w:pStyle w:val="Heading6"/>
        <w:numPr>
          <w:ilvl w:val="5"/>
          <w:numId w:val="1"/>
        </w:numPr>
        <w:rPr/>
      </w:pPr>
      <w:bookmarkStart w:id="59" w:name="__RefHeading___Toc686202_3406789950"/>
      <w:bookmarkStart w:id="60" w:name="_Toc19"/>
      <w:bookmarkEnd w:id="59"/>
      <w:r>
        <w:rPr>
          <w:rtl w:val="true"/>
        </w:rPr>
        <w:t>هل الأوصاف خاصّة مركّبة ؟</w:t>
      </w:r>
      <w:bookmarkEnd w:id="60"/>
    </w:p>
    <w:p>
      <w:pPr>
        <w:pStyle w:val="BookText"/>
        <w:rPr/>
      </w:pPr>
      <w:r>
        <w:rPr>
          <w:rFonts w:ascii="Amiri" w:hAnsi="Amiri" w:eastAsia="Amiri" w:cs="Amiri"/>
          <w:color w:val="111111"/>
          <w:sz w:val="28"/>
          <w:sz w:val="28"/>
          <w:szCs w:val="28"/>
          <w:rtl w:val="true"/>
          <w:lang w:bidi="ar-SA"/>
        </w:rPr>
        <w:t xml:space="preserve">ثمّ إنّ 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الأوصاف خاصّة مركّبة ؛ متى اجتمعت في الدم يحكم بأ نّه حيض</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واستدلّ الأوّل منهم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ذلك مقتضى الجمع بين الروايات التي ذكرت بعضها وما ذكر الجميع ؛ بتقييد الإطلاق</w:t>
      </w:r>
      <w:r>
        <w:rPr>
          <w:rFonts w:eastAsia="Amiri" w:cs="Amiri" w:ascii="Amiri" w:hAnsi="Amiri"/>
          <w:color w:val="111111"/>
          <w:sz w:val="28"/>
          <w:szCs w:val="28"/>
          <w:rtl w:val="true"/>
          <w:lang w:bidi="ar-SA"/>
        </w:rPr>
        <w:t>»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في غاية البعد ؛ فإنّه لا توجد في الروايات رواية تستجمع جميع </w:t>
      </w:r>
    </w:p>
    <w:p>
      <w:pPr>
        <w:pStyle w:val="BookText"/>
        <w:rPr/>
      </w:pPr>
      <w:r>
        <w:rPr>
          <w:rFonts w:ascii="Amiri" w:hAnsi="Amiri" w:eastAsia="Amiri" w:cs="Amiri"/>
          <w:color w:val="111111"/>
          <w:sz w:val="28"/>
          <w:sz w:val="28"/>
          <w:szCs w:val="28"/>
          <w:rtl w:val="true"/>
          <w:lang w:bidi="ar-SA"/>
        </w:rPr>
        <w:t xml:space="preserve">الصفات ، وأجمع الروايات في ذلك صحيحة حفص ؛ حيث قال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دم الحيض حارّ عبيط أسود ، له دفع وحرارة ، ودم الاستحاضة أصفر بارد ، فإذا كان للدم حرارة ودفع وسواد فلتدع الصلاة</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 xml:space="preserve">ومع ذلك لم تذكر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ذكرتها صحيحة أبي المغرا </w:t>
      </w:r>
      <w:r>
        <w:rPr>
          <w:rStyle w:val="FootnoteAnchor"/>
          <w:rtl w:val="true"/>
        </w:rPr>
        <w:footnoteReference w:id="26"/>
      </w:r>
      <w:r>
        <w:rPr>
          <w:rFonts w:ascii="Amiri" w:hAnsi="Amiri" w:eastAsia="Amiri" w:cs="Amiri"/>
          <w:color w:val="111111"/>
          <w:sz w:val="28"/>
          <w:sz w:val="28"/>
          <w:szCs w:val="28"/>
          <w:rtl w:val="true"/>
          <w:lang w:bidi="ar-SA"/>
        </w:rPr>
        <w:t>ورواية ابن مسلم</w:t>
      </w:r>
      <w:r>
        <w:rPr>
          <w:rStyle w:val="FootnoteAnchor"/>
          <w:rtl w:val="true"/>
        </w:rPr>
        <w:footnoteReference w:id="27"/>
      </w:r>
      <w:r>
        <w:rPr>
          <w:rFonts w:ascii="Amiri" w:hAnsi="Amiri" w:eastAsia="Amiri" w:cs="Amiri"/>
          <w:color w:val="111111"/>
          <w:sz w:val="28"/>
          <w:sz w:val="28"/>
          <w:szCs w:val="28"/>
          <w:rtl w:val="true"/>
          <w:lang w:bidi="ar-SA"/>
        </w:rPr>
        <w:t xml:space="preserve">في باب جمع الحيض والحمل ، وترك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المذكورة في موثّقة إسحاق بن جرير</w:t>
      </w:r>
      <w:r>
        <w:rPr>
          <w:rStyle w:val="FootnoteAnchor"/>
          <w:rtl w:val="true"/>
        </w:rPr>
        <w:footnoteReference w:id="28"/>
      </w:r>
      <w:r>
        <w:rPr>
          <w:rFonts w:ascii="Amiri" w:hAnsi="Amiri" w:eastAsia="Amiri" w:cs="Amiri"/>
          <w:color w:val="111111"/>
          <w:sz w:val="28"/>
          <w:sz w:val="28"/>
          <w:szCs w:val="28"/>
          <w:rtl w:val="true"/>
          <w:lang w:bidi="ar-SA"/>
        </w:rPr>
        <w:t xml:space="preserve">وترك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ذيلها مع ذكرها في صدرها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ودعوى تقييد إطلاق كلّ رواية برواية اُخرى في غاية البعد ، بل ارتكابه في مرسلة يونس ممتنع ؛ فإنّ أبا عبداللّه علیه السلام نقل قضيّة شخصية عن رسول اللّه صلی الله علیه و آله وسلم أ نّه قال لفاطمة بنت أبي حُبيش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أقبلت الحيضة فدعي الصلاة ، وإذا أدبرت فاغسلي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فترك أبي عبداللّه علیه السلام سائر الصفات لو كانت في كلام رسول اللّه صلی الله علیه و آله وسلم غير ممكن ، وعدم ذكر رسول اللّه صلی الله علیه و 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 كونه في مقام بيان تكليفها وتأثيرها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غير ممكن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المقام مقام ذكر الكلّيات والقواعد والمطلقات وترك القرائن إلى زمان آخر ، كما نقول ذلك في الروايات الملقاة إلى أصحاب الاُصول والكتب ؛ ففي مثل المقام لا يجوز تأخير البيان مع حاجتها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تغيّر الحكم بعد </w:t>
      </w:r>
    </w:p>
    <w:p>
      <w:pPr>
        <w:pStyle w:val="BookText"/>
        <w:rPr/>
      </w:pPr>
      <w:r>
        <w:rPr>
          <w:rFonts w:ascii="IRNazanin" w:hAnsi="IRNazanin" w:eastAsia="IRNazanin"/>
          <w:color w:val="111111"/>
          <w:sz w:val="28"/>
          <w:sz w:val="28"/>
          <w:szCs w:val="28"/>
          <w:rtl w:val="true"/>
          <w:lang w:bidi="fa-IR"/>
        </w:rPr>
        <w:t xml:space="preserve">قضيّة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بُعده في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يدفعه ذكر أبي عبداللّه علیه السلام ذلك في مقام بيان الحكم وإفادة أحكام المستحاضة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روايات الباب على كثرتها لا تشتمل واحدة منها على جميع الصفات ، بل في غالبها اكتفي بخاصّة واحدة ، كصحيحة معاوية بن عمّار</w:t>
      </w:r>
      <w:r>
        <w:rPr>
          <w:rStyle w:val="FootnoteAnchor"/>
          <w:rtl w:val="true"/>
        </w:rPr>
        <w:footnoteReference w:id="29"/>
      </w:r>
      <w:r>
        <w:rPr>
          <w:rFonts w:ascii="IRNazanin" w:hAnsi="IRNazanin" w:eastAsia="IRNazanin"/>
          <w:color w:val="111111"/>
          <w:sz w:val="28"/>
          <w:sz w:val="28"/>
          <w:szCs w:val="28"/>
          <w:rtl w:val="true"/>
          <w:lang w:bidi="fa-IR"/>
        </w:rPr>
        <w:t xml:space="preserve">حيث ذكر فيها الحرارة وفي مقابلها البرودة ، وكمرسلة يونس حيث ذكر إقبال الدم في مقابل الإدبار تارة ، واستشهد بقول النبي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دم الحيض 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وعلّل الحكم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دم الحيض أسود يعرف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صحيحة أبي المغرا اكتفي بذكر الكثرة وفي مقابلها القلّة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موثّقة إسحاق بن عمّار</w:t>
      </w:r>
      <w:r>
        <w:rPr>
          <w:rStyle w:val="FootnoteAnchor"/>
          <w:rtl w:val="true"/>
        </w:rPr>
        <w:footnoteReference w:id="30"/>
      </w:r>
      <w:r>
        <w:rPr>
          <w:rFonts w:ascii="Amiri" w:hAnsi="Amiri" w:eastAsia="Amiri" w:cs="Amiri"/>
          <w:color w:val="111111"/>
          <w:sz w:val="28"/>
          <w:sz w:val="28"/>
          <w:szCs w:val="28"/>
          <w:rtl w:val="true"/>
          <w:lang w:bidi="ar-SA"/>
        </w:rPr>
        <w:t xml:space="preserve">اقتصر على كون الدم عبيطاً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بعضها ذكر الوصفين منها ، كموثّقة إسحاق بن جرير حيث اكتفي فيها بذكر الحرارة والحُرْقة في الحيض ، وذكر الفساد والبرودة في الاستحاضة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مرسلة يونس اكتفي بذكر البَحْراني وفسّره بالكثرة واللون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جمع الحَبْل والحيض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اقتصر على الكثرة والحمرة في مقابل القلّة والصفرة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أجمعها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صدرها أربع صفات ، واقتصر في ذيلها على الثلاث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يمكن أن تكون الأوصاف من قبيل الخاصّة المركّبة التي يكون </w:t>
      </w:r>
      <w:bookmarkStart w:id="61" w:name="pg15019_190542"/>
    </w:p>
    <w:p>
      <w:pPr>
        <w:pStyle w:val="BookText"/>
        <w:rPr/>
      </w:pPr>
      <w:bookmarkEnd w:id="61"/>
      <w:r>
        <w:rPr>
          <w:rFonts w:ascii="Amiri" w:hAnsi="Amiri" w:eastAsia="Amiri" w:cs="Amiri"/>
          <w:color w:val="111111"/>
          <w:sz w:val="28"/>
          <w:sz w:val="28"/>
          <w:szCs w:val="28"/>
          <w:rtl w:val="true"/>
          <w:lang w:bidi="ar-SA"/>
        </w:rPr>
        <w:t xml:space="preserve">لجميعها دَخْل في الموضوع ، ولم يذكر الجميع في رواية مع كثرتها ، ومعه كيف يمكن تقييد الإطلاق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الغضّ عمّا ذكرنا من عدم إمكانه بالنسبة إلى المرسلة الطويلة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فالقول بالخاصّة المركّبة غير صحيح ، إلاّ أن يدّعى أنّ بين الصفات ملازمة عادية غالبية ؛ بحيث يستغني المتكلّم عن ذكر جميعها ، فذكر الواحدة أو الاثنتين بمنزلة ذكر الجميع مع تلك الغلبة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الدعوى غير ثابتة ، فأيّ ملازمة غالبية بين كون الدم عبيطاً وبين كثرته ، أو بين الدفع والسواد ، أو بين الحرقة والعبيطية ؛ فربّما كان الدم أسود غير دافع ، أو حارّاً غير كثير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الدعوى غير ثابتة ، بل خلافها ثابت ، فلا يمكن إلاّ المصير إلى استقلال كلّ صفة في الأمارية </w:t>
      </w:r>
      <w:r>
        <w:rPr>
          <w:rFonts w:eastAsia="Amiri" w:cs="Amiri" w:ascii="Amiri" w:hAnsi="Amiri"/>
          <w:color w:val="111111"/>
          <w:sz w:val="28"/>
          <w:szCs w:val="28"/>
          <w:rtl w:val="true"/>
          <w:lang w:bidi="ar-SA"/>
        </w:rPr>
        <w:t>.</w:t>
      </w:r>
    </w:p>
    <w:p>
      <w:pPr>
        <w:pStyle w:val="Heading6"/>
        <w:numPr>
          <w:ilvl w:val="5"/>
          <w:numId w:val="1"/>
        </w:numPr>
        <w:rPr/>
      </w:pPr>
      <w:bookmarkStart w:id="62" w:name="__RefHeading___Toc686204_3406789950"/>
      <w:bookmarkStart w:id="63" w:name="_Toc20"/>
      <w:bookmarkEnd w:id="62"/>
      <w:r>
        <w:rPr>
          <w:rtl w:val="true"/>
        </w:rPr>
        <w:t>في حجّية مطلق الظنّ بالحيضية</w:t>
      </w:r>
      <w:bookmarkEnd w:id="63"/>
    </w:p>
    <w:p>
      <w:pPr>
        <w:pStyle w:val="BookText"/>
        <w:rPr/>
      </w:pPr>
      <w:r>
        <w:rPr>
          <w:rFonts w:ascii="Amiri" w:hAnsi="Amiri" w:eastAsia="Amiri" w:cs="Amiri"/>
          <w:color w:val="111111"/>
          <w:sz w:val="28"/>
          <w:sz w:val="28"/>
          <w:szCs w:val="28"/>
          <w:rtl w:val="true"/>
          <w:lang w:bidi="ar-SA"/>
        </w:rPr>
        <w:t xml:space="preserve">ثمّ إنّه قد يدّعى كون مطلق الظنّ بالحيضية حجّة ، كما نفى البعد عنه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أو كون الظنّ الحاصل من أيّ صفة من صفات الحيض حجّة ولو لم تذكر في الروايات ، بل ولو كانت مختصّة بمرأة بحسب حالها ، كما نفى البعد عنه المولى الهمداني</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بُعدهما ، خصوصاً الاُولى منهما ؛ فإنّه إن كان المراد أنّ المستفاد من </w:t>
      </w:r>
    </w:p>
    <w:p>
      <w:pPr>
        <w:pStyle w:val="BookText"/>
        <w:rPr/>
      </w:pPr>
      <w:r>
        <w:rPr>
          <w:rFonts w:ascii="Amiri" w:hAnsi="Amiri" w:eastAsia="Amiri" w:cs="Amiri"/>
          <w:color w:val="111111"/>
          <w:sz w:val="28"/>
          <w:sz w:val="28"/>
          <w:szCs w:val="28"/>
          <w:rtl w:val="true"/>
          <w:lang w:bidi="ar-SA"/>
        </w:rPr>
        <w:t xml:space="preserve">الأخبار هو حجّية الظنّ الشخصي ؛ بحيث يدور الحكم بالحيضية مداره ، فإن حصل من غير الصفات المذكورة في الروايات يكون حجّة ، وإن لم يحصل من المذكورات فيها ظنّ لم يحكم بالحيضية ، فهو تخرّض غريب لا يمكن الالتزام به ، خصوصاً في الشقّ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المراد هو حجّية الظنّ الحاصل نوعاً من الصفات الخاصّة بالحيض ولو لم تذكر في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النتن المذكور في بعض الروايات غير المعتبرة</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وجه ؛ بدعوى عدم خصوصية لتلك الصفات إلاّ كونها من الصفات الغالبية ، فلو فرض صفة اُخرى غالبية ، لاستفيد منها بالارتكاز العرفي وإلغاء الخصوصية ، كونها أمارة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غير خالٍ عن الإشكال ، وبعيد عن مساق كلامهما ، فالجمود على الروايات أسدّ وأشبه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الظاهر أنّ المستفاد منها هو جعل الأمارتين للحيض والاستحاضة ، فكما أنّ الصفات المذكورة لدم الحيض أمارة تعبّدية له ، كذلك الصفات المذكورة لدم الاستحاضة ، كالبرودة والفساد والصفرة وغيرها ، فلو وجد في دمٍ بعضُ صفاتهما يكون من قبيل تعارض الأمارتين ، وسيأتي زيادة توضيح للمقام إن شاء اللّه‌</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bookmarkStart w:id="64" w:name="pg15019_190544"/>
    </w:p>
    <w:p>
      <w:pPr>
        <w:pStyle w:val="Heading5"/>
        <w:numPr>
          <w:ilvl w:val="4"/>
          <w:numId w:val="1"/>
        </w:numPr>
        <w:rPr/>
      </w:pPr>
      <w:bookmarkStart w:id="65" w:name="__RefHeading___Toc686206_3406789950"/>
      <w:bookmarkStart w:id="66" w:name="_Toc21"/>
      <w:bookmarkEnd w:id="64"/>
      <w:bookmarkEnd w:id="65"/>
      <w:r>
        <w:rPr>
          <w:rtl w:val="true"/>
        </w:rPr>
        <w:t>المسألة الثانية فيما يميّز به دم الحيض عن دم العذرة</w:t>
      </w:r>
      <w:bookmarkEnd w:id="66"/>
    </w:p>
    <w:p>
      <w:pPr>
        <w:pStyle w:val="Heading6"/>
        <w:numPr>
          <w:ilvl w:val="5"/>
          <w:numId w:val="1"/>
        </w:numPr>
        <w:rPr/>
      </w:pPr>
      <w:bookmarkStart w:id="67" w:name="__RefHeading___Toc686208_3406789950"/>
      <w:bookmarkStart w:id="68" w:name="_Toc22"/>
      <w:bookmarkEnd w:id="67"/>
      <w:r>
        <w:rPr>
          <w:rtl w:val="true"/>
        </w:rPr>
        <w:t>اشارة</w:t>
      </w:r>
      <w:bookmarkEnd w:id="68"/>
    </w:p>
    <w:p>
      <w:pPr>
        <w:pStyle w:val="BookText"/>
        <w:rPr/>
      </w:pPr>
      <w:r>
        <w:rPr>
          <w:rFonts w:ascii="Amiri" w:hAnsi="Amiri" w:eastAsia="Amiri" w:cs="Amiri"/>
          <w:color w:val="111111"/>
          <w:sz w:val="28"/>
          <w:sz w:val="28"/>
          <w:szCs w:val="28"/>
          <w:rtl w:val="true"/>
          <w:lang w:bidi="ar-SA"/>
        </w:rPr>
        <w:t xml:space="preserve">إذا اشتبه دم الحيض بدم العذرة ،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لايحتمل غيرهما ، 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الآخر ؛ من استحاضة أو قُرحة أو غيرهما ، كاحتمال انقطاع عرق في الباطن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زوال البكارة معلوماً ، فيدور الأمر بين كون الدم منها أو من غيرها ، 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 في زوالها ، فيحتمل الزوال والخروج منها أو من غيرها ، ويحتمل عدم الزوال والخروج من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الدم في أيّام العادة ، وقد يكون في غيرها ، وقد تكون له حالة سابقة من حيض أو غيره ، وقد لا تكون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فيقع الكلام في جهات </w:t>
      </w:r>
      <w:r>
        <w:rPr>
          <w:rFonts w:eastAsia="Amiri" w:cs="Amiri" w:ascii="Amiri" w:hAnsi="Amiri"/>
          <w:color w:val="111111"/>
          <w:sz w:val="28"/>
          <w:szCs w:val="28"/>
          <w:rtl w:val="true"/>
          <w:lang w:bidi="ar-SA"/>
        </w:rPr>
        <w:t>:</w:t>
      </w:r>
    </w:p>
    <w:p>
      <w:pPr>
        <w:pStyle w:val="Heading6"/>
        <w:numPr>
          <w:ilvl w:val="5"/>
          <w:numId w:val="1"/>
        </w:numPr>
        <w:rPr/>
      </w:pPr>
      <w:bookmarkStart w:id="69" w:name="__RefHeading___Toc686210_3406789950"/>
      <w:bookmarkStart w:id="70" w:name="_Toc23"/>
      <w:bookmarkEnd w:id="69"/>
      <w:r>
        <w:rPr>
          <w:rtl w:val="true"/>
        </w:rPr>
        <w:t>في أمارية التطوّق للعذرة والانغماس للحيض</w:t>
      </w:r>
      <w:bookmarkEnd w:id="70"/>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المستفاد من روايات الباب ، هل هو جعل أمارة تعبّدية على العذرة ، أو ما ذُكر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تطوّق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لرفع الاشتباه ، ومعه يحصل القطع بكونه دم العذرة ، كما تقدّم من المحقّق الخراساني في أوصاف دم الحيض</w:t>
      </w:r>
      <w:r>
        <w:rPr>
          <w:rStyle w:val="FootnoteAnchor"/>
          <w:rtl w:val="true"/>
        </w:rPr>
        <w:footnoteReference w:id="35"/>
      </w:r>
      <w:r>
        <w:rPr>
          <w:rFonts w:ascii="Amiri" w:hAnsi="Amiri" w:eastAsia="Amiri" w:cs="Amiri"/>
          <w:color w:val="111111"/>
          <w:sz w:val="28"/>
          <w:sz w:val="28"/>
          <w:szCs w:val="28"/>
          <w:rtl w:val="true"/>
          <w:lang w:bidi="ar-SA"/>
        </w:rPr>
        <w:t xml:space="preserve">واحتمل ذلك في المقام أيضاً </w:t>
      </w:r>
      <w:r>
        <w:rPr>
          <w:rStyle w:val="FootnoteAnchor"/>
          <w:rtl w:val="true"/>
        </w:rPr>
        <w:footnoteReference w:id="3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على فرض الأمارية ، هل تكون أمارة مطلقة لتشخيص دم العذرة مطلقاً ، أو فيما إذا دار الأمر بينهما مطلقاً أو فيما إذا كان زوال البكارة معلوماً أيضاً ؟</w:t>
      </w:r>
    </w:p>
    <w:p>
      <w:pPr>
        <w:pStyle w:val="BookText"/>
        <w:rPr/>
      </w:pPr>
      <w:r>
        <w:rPr>
          <w:rFonts w:ascii="Amiri" w:hAnsi="Amiri" w:eastAsia="Amiri" w:cs="Amiri"/>
          <w:color w:val="111111"/>
          <w:sz w:val="28"/>
          <w:sz w:val="28"/>
          <w:szCs w:val="28"/>
          <w:rtl w:val="true"/>
          <w:lang w:bidi="ar-SA"/>
        </w:rPr>
        <w:t>وهل يكون التطوّق أمارة على العذرة ، وعدمُه على عدمها ، أو لا أمارية لعدمه ؟ وهل يكون الاستنقاع أيضاً أمارة على الحيضية ، أو لا ؟</w:t>
      </w:r>
    </w:p>
    <w:p>
      <w:pPr>
        <w:pStyle w:val="BookText"/>
        <w:rPr/>
      </w:pPr>
      <w:r>
        <w:rPr>
          <w:rFonts w:ascii="Amiri" w:hAnsi="Amiri" w:eastAsia="Amiri" w:cs="Amiri"/>
          <w:color w:val="111111"/>
          <w:sz w:val="28"/>
          <w:sz w:val="28"/>
          <w:szCs w:val="28"/>
          <w:rtl w:val="true"/>
          <w:lang w:bidi="ar-SA"/>
        </w:rPr>
        <w:t xml:space="preserve">احتمالات يظهر حالها في خلال الجهات المبحوث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من تقديم ذكر مستند الحكم حتّى يتّضح الحال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ففي صحيحة خلف بن حمّاد الكوفي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الحسن موسى ابن جعفر علیه السلام بمنى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من مواليك تزوّج جارية مُعصِراً لم تطمث ، فلمّا افتضّها سال الدم ، فمكث سائلاً لا ينقطع نحواً من عشرة أيّام ، وإنّ القوابل اختلفن في ذلك ، فقال بعضهنّ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الحيض ، وقال بعضهنّ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العذرة ، فما ينبغي لها أن تصنع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فلتتّق اللّه ، فإن كان من دم الحيض فلتمسك عن الصلاة حتّى ترى الطهر ، وليمسك عنها بعلها ، وإن كان من العذرة فلتتّق اللّه ولتتوضّأ ولتصلّ ، ويأتيها بعلها إن أحبّ ذلك</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لهم أن يعلموا ما هو حتّى يفعلوا ما ينبغي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يميناً وشمالاً في الفسطاط ؛ مخافة أن يسمع كلامه أحد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فنهد إليّ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خلف ، سرّ اللّه ، سرّ اللّه فلا تذيعوه ، ولا تعلّموا هذا الخلق اُصول دين اللّه ، بل ارضوا لهم ما رضي اللّه لهم من ضلال</w:t>
      </w:r>
      <w:r>
        <w:rPr>
          <w:rFonts w:eastAsia="Amiri" w:cs="Amiri" w:ascii="Amiri" w:hAnsi="Amiri"/>
          <w:color w:val="111111"/>
          <w:sz w:val="28"/>
          <w:szCs w:val="28"/>
          <w:rtl w:val="true"/>
          <w:lang w:bidi="ar-SA"/>
        </w:rPr>
        <w:t>»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عقد بيده اليسرى تسعين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تستدخل القطنة ، ثمّ تدعها مليّاً ، ثمّ تخرجها إخراجاً رفيقاً ، فإن كان الدم مطوّقاً في القطنة فهو من العذرة ، وإن كان مستنقعاً في القطنة فهو من الحيض</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قال 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فاستخفّني الفرح فبكيت ، فلمّا سكن بكائي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أبكاك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 من كان يُحسن هذا غيرك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يده إلى السماء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اُخبرك إلاّ عن رسول اللّه صلی الله علیه و آله وسلم عن جبرئيل ، عن اللّه عزّ وجلّ</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أبواب الحيض ، 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وقريب منها غيرها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بعض شرّاح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عقد بيده اليسرى 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من اشتباه الراوي ، أو كان لحساب العقود ترتيب آخر غير مشهور ، وإلاّ فاليد اليسرى للمئات لا العشرات</w:t>
      </w:r>
      <w:r>
        <w:rPr>
          <w:rFonts w:eastAsia="Amiri" w:cs="Amiri" w:ascii="Amiri" w:hAnsi="Amiri"/>
          <w:color w:val="111111"/>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والأمر سهل بعد وضوح أنّ المراد منه وضع رأس ظفر مسبّحة يسراه على المفصل الأسفل من إبهامها ؛ لإفهام كيفية وضع القطنة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إشكال في أنّ ظاهر الرواية هو بيان الأمارة الشرعية التعبّدية لرفع الاشتباه تعبّداً ، لا التنبيه على أمر تكويني لحصول القطع ؛ لعدم الملازمة بين الاستنقاع والحيض ؛ لاحتمال اجتماع دم البكارة في جوف المحلّ وحصول الاستنقاع به ، كاحتمال كون الحيض موجباً للتطوّق أحياناً ، فحصول العلم لأجله ممنوع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الظاهر من صدر الرواية وذيلها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عدّ ذلك من سرّ اللّه الذي لا بدّ من كتمانه وعدم إفشائه للناس ، ومن اُصول دين اللّه ، ومن وحي اللّه إلى </w:t>
      </w:r>
      <w:bookmarkStart w:id="71" w:name="pg15019_190547"/>
    </w:p>
    <w:p>
      <w:pPr>
        <w:pStyle w:val="BookText"/>
        <w:rPr/>
      </w:pPr>
      <w:bookmarkEnd w:id="71"/>
      <w:r>
        <w:rPr>
          <w:rFonts w:ascii="IRNazanin" w:hAnsi="IRNazanin" w:eastAsia="IRNazanin"/>
          <w:color w:val="111111"/>
          <w:sz w:val="28"/>
          <w:sz w:val="28"/>
          <w:szCs w:val="28"/>
          <w:rtl w:val="true"/>
          <w:lang w:bidi="fa-IR"/>
        </w:rPr>
        <w:t xml:space="preserve">رسوله صلی الله علیه و آله وسلم بتوسّط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ذلك من أحكام الشريعة والأمارات التعبّدية ، وإلاّ لم يكن وجه لهذه التعبيرات والتقيّة الشديدة مع حصول العلم به لنوع النساء ؛ وكونه من الاُمور الطبيعية ، فاحتمال عدم الأمارية ضعيف لا يمكن رفع اليد عن ظاهر النصوص به </w:t>
      </w:r>
      <w:r>
        <w:rPr>
          <w:rFonts w:eastAsia="IRNazanin" w:cs="IRNazanin"/>
          <w:color w:val="111111"/>
          <w:sz w:val="28"/>
          <w:szCs w:val="28"/>
          <w:rtl w:val="true"/>
          <w:lang w:bidi="fa-IR"/>
        </w:rPr>
        <w:t>.</w:t>
      </w:r>
    </w:p>
    <w:p>
      <w:pPr>
        <w:pStyle w:val="Heading6"/>
        <w:numPr>
          <w:ilvl w:val="5"/>
          <w:numId w:val="1"/>
        </w:numPr>
        <w:rPr/>
      </w:pPr>
      <w:bookmarkStart w:id="72" w:name="__RefHeading___Toc686212_3406789950"/>
      <w:bookmarkStart w:id="73" w:name="_Toc24"/>
      <w:bookmarkEnd w:id="72"/>
      <w:r>
        <w:rPr>
          <w:rtl w:val="true"/>
        </w:rPr>
        <w:t>دخل العلم بالافتضاض في أمارية التطوّق</w:t>
      </w:r>
      <w:bookmarkEnd w:id="73"/>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المفروض في الروايات وإن كان العلم بالافتضاض ؛ وأ نّه مع فرض العلم به دار الأمر بينه وبين الحيض ، لكنّ المتفاهم منها أنّ التطوّق في هذا الحال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حال الدوران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خواصّ دم العذرة المميّزة إيّاه من دم الحيض ، وأنّ دم الحيض لا يوجب التطوّق ، بل يوجب الاستنقاع والانغماس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يساعد عليه الاعتبار أيضاً ؛ فإنّ دم الحيض من الباطن ، فلا يتطوّق منه القطنة غالباً ، ودم العذرة من زوال غشاء البكارة وخرقه ، فيخرج الدم من الأطراف ، فتصير مطوّقة نوعاً ، فلأجل هذه الغلبة جعل الشارع التطوّق أمارة للعذرة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المتفاهم من الروايات عرفاً أ نّه مع الدوران بين الأمرين يكون التطوّق أمارة للعذرة من غير تأثير للعلم بزوال البكارة وعدمه في ذلك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فحينئذٍ لو شكّت في زوالها ، ودار الأمر بينهما ، فوضعت القطنة على نحو ما في الرواية فاُخرجت وكانت مطوّقة ، يحكم بكون الدم من العذرة ، فيكشف عن تحقّق زوالها ، فيرفع ذلك الشكّ ؛ لحجّية الأمارة بالنسبة إلى لوازمها وملزوماتها </w:t>
      </w:r>
      <w:r>
        <w:rPr>
          <w:rFonts w:eastAsia="Amiri" w:cs="Amiri" w:ascii="Amiri" w:hAnsi="Amiri"/>
          <w:color w:val="111111"/>
          <w:sz w:val="28"/>
          <w:szCs w:val="28"/>
          <w:rtl w:val="true"/>
          <w:lang w:bidi="ar-SA"/>
        </w:rPr>
        <w:t xml:space="preserve">. </w:t>
      </w:r>
      <w:bookmarkStart w:id="74" w:name="pg15019_190548"/>
    </w:p>
    <w:p>
      <w:pPr>
        <w:pStyle w:val="Heading6"/>
        <w:numPr>
          <w:ilvl w:val="5"/>
          <w:numId w:val="1"/>
        </w:numPr>
        <w:rPr/>
      </w:pPr>
      <w:bookmarkStart w:id="75" w:name="__RefHeading___Toc686214_3406789950"/>
      <w:bookmarkStart w:id="76" w:name="_Toc25"/>
      <w:bookmarkEnd w:id="74"/>
      <w:bookmarkEnd w:id="75"/>
      <w:r>
        <w:rPr>
          <w:rtl w:val="true"/>
        </w:rPr>
        <w:t>في مورد أمارية التطوّق والانغماس</w:t>
      </w:r>
      <w:bookmarkEnd w:id="76"/>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من رواية خلف بن حمّاد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المفروض في السؤال والجواب هو دوران الدم بين العذرة والحيض ، ولا ثالث للاحتمالين ؛ فإنّ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القوابل اختلفن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آخره ،</w:t>
      </w:r>
    </w:p>
    <w:p>
      <w:pPr>
        <w:pStyle w:val="BookText"/>
        <w:rPr/>
      </w:pPr>
      <w:r>
        <w:rPr>
          <w:rFonts w:ascii="Amiri" w:hAnsi="Amiri" w:eastAsia="Amiri" w:cs="Amiri"/>
          <w:color w:val="111111"/>
          <w:sz w:val="28"/>
          <w:sz w:val="28"/>
          <w:szCs w:val="28"/>
          <w:rtl w:val="true"/>
          <w:lang w:bidi="ar-SA"/>
        </w:rPr>
        <w:t xml:space="preserve">ظاهر في أ نّهنّ اتّفقن على نفي الثالث ولو لأجل لازم قولهنّ ، فحينئذٍ كان المفروض الاحتمالين ؛ سواء قلنا بأمارية قول القوابل ، وأنّ الأمارتين لدى التعارض لا تسقطان بالنسبة إلى مدلولهما الالتزامي ، أو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الأوّل فظاهر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الثاني ؛ فلأنّ الظاهر أنّ هذا الاختلاف صار سبباً لصرف ذهن السائل عن سائر الدماء واحتمالها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سائر الدماء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دم الاستحاضة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العادة ومن انحرافات الطبيعة ، بخلاف دم الحيض ، فإنّه طبيعي ، فالسؤال والجواب منصرف إليه عن غيره ، ولهذا يفهم ذلك من صحيحة ابن سوقة</w:t>
      </w:r>
      <w:r>
        <w:rPr>
          <w:rStyle w:val="FootnoteAnchor"/>
          <w:rtl w:val="true"/>
        </w:rPr>
        <w:footnoteReference w:id="39"/>
      </w:r>
      <w:r>
        <w:rPr>
          <w:rFonts w:ascii="Amiri" w:hAnsi="Amiri" w:eastAsia="Amiri" w:cs="Amiri"/>
          <w:color w:val="111111"/>
          <w:sz w:val="28"/>
          <w:sz w:val="28"/>
          <w:szCs w:val="28"/>
          <w:rtl w:val="true"/>
          <w:lang w:bidi="ar-SA"/>
        </w:rPr>
        <w:t>أيضاً ، مع أنّ ظاهر السؤال فيها هو السؤال عن تكليفها</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بالنسبة إلى الصلاة ، فجواب 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 نّه مع التطوّق من العذرة ، ومع </w:t>
      </w:r>
    </w:p>
    <w:p>
      <w:pPr>
        <w:pStyle w:val="BookText"/>
        <w:rPr/>
      </w:pPr>
      <w:r>
        <w:rPr>
          <w:rFonts w:ascii="Amiri" w:hAnsi="Amiri" w:eastAsia="Amiri" w:cs="Amiri"/>
          <w:color w:val="111111"/>
          <w:sz w:val="28"/>
          <w:sz w:val="28"/>
          <w:szCs w:val="28"/>
          <w:rtl w:val="true"/>
          <w:lang w:bidi="ar-SA"/>
        </w:rPr>
        <w:t xml:space="preserve">الانغماس من الحيضة ، إنّما هو في الموضوع الخاصّ ؛ لا لأجل كون التطوّق يرفع جميع الاحتمالات إلاّ العذرة ، والانغماس جميعَها إلاّ الحيضة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الاستنقاع والانغماس من مميّزات الحيض عن جميع الدماء ، لكن لا مطلقاً وإلاّ لذكر مع الأوصاف في الروايات المتقدّمة في المسألة السابقة ، بل عند إضافة احتمال العذرة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بمكان من البُعد ، 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لدم الحيض خاصّة مميّزة ، لم يكن معنى لتأثير زوال العذرة أو احتماله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أنّ الوجدان أيضاً غير مساعد على ذلك ؛ فإنّ دم الحيض والاستحاضة كليهما يخرجان من الجوف ، وتصير القطنة بهما مستنقعة منغمسة نوعاً ، من غير افتراق من هذه الجهة بينهما ، فلا يكون الاستنقاع خاصّة مميّزة للحيض عن مطلق الدماء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الظاهر أ نّه من مميّزات سائر الدماء الخارجة من الجوف عن دم العذرة الذي يخرج من غشاء البكارة على نحو التطوّق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إشكال في ذلك أيضاً ؛ فإنّ مقتضى الجمود على الروايات ، هو كون التطوّق أمارة على العذرة والاستنقاع على الحيض ؛ في حال دوران الأمر بينهما لا 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وغاية ما يمكن من دعوى إلغاء الخصوصية والفهم العرفي هو كون الأمارتين مميّزتين لهما في حال الدوران بينهما مطلقاً ولو مع الشكّ في زوال العذرة ، ولو كان هذا خارجاً عن مفادها بدواً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التخطّي عن مورد الدوران بينهما إلى غيره فمشكل بعد خروجه عن مفادها وعدم مساعدة العرف عليه أيضاً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لا إشكال في حصول الظنّ بأنّ التطوّق من العذرة في الدوران بينها وبين </w:t>
      </w:r>
      <w:bookmarkStart w:id="77" w:name="pg15019_190550"/>
    </w:p>
    <w:p>
      <w:pPr>
        <w:pStyle w:val="BookText"/>
        <w:rPr/>
      </w:pPr>
      <w:bookmarkEnd w:id="77"/>
      <w:r>
        <w:rPr>
          <w:rFonts w:ascii="Amiri" w:hAnsi="Amiri" w:eastAsia="Amiri" w:cs="Amiri"/>
          <w:color w:val="111111"/>
          <w:sz w:val="28"/>
          <w:sz w:val="28"/>
          <w:szCs w:val="28"/>
          <w:rtl w:val="true"/>
          <w:lang w:bidi="ar-SA"/>
        </w:rPr>
        <w:t>الاستحاضة ، والاستنقاع من الاستحاضة ، لكن لا</w:t>
      </w:r>
    </w:p>
    <w:p>
      <w:pPr>
        <w:pStyle w:val="BookText"/>
        <w:rPr/>
      </w:pPr>
      <w:r>
        <w:rPr>
          <w:rFonts w:ascii="Amiri" w:hAnsi="Amiri" w:eastAsia="Amiri" w:cs="Amiri"/>
          <w:color w:val="111111"/>
          <w:sz w:val="28"/>
          <w:sz w:val="28"/>
          <w:szCs w:val="28"/>
          <w:rtl w:val="true"/>
          <w:lang w:bidi="ar-SA"/>
        </w:rPr>
        <w:t xml:space="preserve">دليل على اعتبار هذا الظنّ أو الغلبة مع قصور الأدلّة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أنّ التطوّق ليس أمارة على العذرة في الدوران بينها وبين الاستحاضة ، كذلك الاستنقاع ليس أمارة على الاستحاضة ، ولا على عدم العذرة حتّى يؤخذ بلازمها ؛ لعدم الدليل على ذلك ، لأنّ الظاهر من الأدلّة أ نّه في الموضوع الخاصّ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يكون التطوّق أمارة على العذرة ، يكون الاستنقاع أمارة على الحيض ، لا أ نّه أمارة على عدم العذرة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 أماريته على عدمها ، فإنّما هي في مورد الدوران فقط لا مطلقاً </w:t>
      </w:r>
      <w:r>
        <w:rPr>
          <w:rFonts w:eastAsia="Amiri" w:cs="Amiri" w:ascii="Amiri" w:hAnsi="Amiri"/>
          <w:color w:val="111111"/>
          <w:sz w:val="28"/>
          <w:szCs w:val="28"/>
          <w:rtl w:val="true"/>
          <w:lang w:bidi="ar-SA"/>
        </w:rPr>
        <w:t>.</w:t>
      </w:r>
    </w:p>
    <w:p>
      <w:pPr>
        <w:pStyle w:val="Heading6"/>
        <w:numPr>
          <w:ilvl w:val="5"/>
          <w:numId w:val="1"/>
        </w:numPr>
        <w:rPr/>
      </w:pPr>
      <w:bookmarkStart w:id="78" w:name="__RefHeading___Toc686216_3406789950"/>
      <w:bookmarkStart w:id="79" w:name="_Toc26"/>
      <w:bookmarkEnd w:id="78"/>
      <w:r>
        <w:rPr>
          <w:rtl w:val="true"/>
        </w:rPr>
        <w:t>أمارية التطوّق للعذرة مطلقاً</w:t>
      </w:r>
      <w:bookmarkEnd w:id="7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إطلاق صحيحة زياد بن سوقة ورواية خلف بن حمّاد الثانية</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المحتمل كونها صحيحة ؛ لاحتمال كون جعفر بن محمّد الواقع في سندها ، هو جعفر بن محمّد بن يونس الثقة</w:t>
      </w:r>
      <w:r>
        <w:rPr>
          <w:rStyle w:val="FootnoteAnchor"/>
          <w:rtl w:val="true"/>
        </w:rPr>
        <w:footnoteReference w:id="41"/>
      </w:r>
      <w:r>
        <w:rPr>
          <w:rFonts w:ascii="Amiri" w:hAnsi="Amiri" w:eastAsia="Amiri" w:cs="Amiri"/>
          <w:color w:val="111111"/>
          <w:sz w:val="28"/>
          <w:sz w:val="28"/>
          <w:szCs w:val="28"/>
          <w:rtl w:val="true"/>
          <w:lang w:bidi="ar-SA"/>
        </w:rPr>
        <w:t>، وكونها حسنة ؛ لاحتمال كونه جعفر بن محمّد بن عون</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التطوّق أمارة العذرة في حال الدوران مطلقاً </w:t>
      </w:r>
    </w:p>
    <w:p>
      <w:pPr>
        <w:pStyle w:val="BookText"/>
        <w:rPr/>
      </w:pPr>
      <w:r>
        <w:rPr>
          <w:rFonts w:ascii="Amiri" w:hAnsi="Amiri" w:eastAsia="Amiri" w:cs="Amiri"/>
          <w:color w:val="111111"/>
          <w:sz w:val="28"/>
          <w:sz w:val="28"/>
          <w:szCs w:val="28"/>
          <w:rtl w:val="true"/>
          <w:lang w:bidi="ar-SA"/>
        </w:rPr>
        <w:t xml:space="preserve">لذات العادة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مقتضى إطلاق جميع الروايات هو أماريته لها ولو</w:t>
      </w:r>
    </w:p>
    <w:p>
      <w:pPr>
        <w:pStyle w:val="BookText"/>
        <w:rPr/>
      </w:pPr>
      <w:r>
        <w:rPr>
          <w:rFonts w:ascii="Amiri" w:hAnsi="Amiri" w:eastAsia="Amiri" w:cs="Amiri"/>
          <w:color w:val="111111"/>
          <w:sz w:val="28"/>
          <w:sz w:val="28"/>
          <w:szCs w:val="28"/>
          <w:rtl w:val="true"/>
          <w:lang w:bidi="ar-SA"/>
        </w:rPr>
        <w:t xml:space="preserve">كان الدم بصفة الحيض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وقوع الاختلاف في متن رواية خلف بن حمّاد ، يوجب الترديد في جواز التعويل عليها ؛ حيث قال في الرواية الاُولى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من مواليك تزوّج جارية مُعصراً لم تطمث ، فلمّا افتضّها سال الدم ، فمكث سائلاً لا ينقطع نحواً من عشرة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الثانية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الحسن الماضي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 رجل تزوّج جارية أو اشترى جارية طمثت ، أو لم تطمث ، أو في أوّل ما طمثت ، فلمّا افترعها غلب الدم ، فمكث أيّاماً وليالي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إلى آخره ، فترى</w:t>
      </w:r>
    </w:p>
    <w:p>
      <w:pPr>
        <w:pStyle w:val="BookText"/>
        <w:rPr/>
      </w:pPr>
      <w:r>
        <w:rPr>
          <w:rFonts w:ascii="Amiri" w:hAnsi="Amiri" w:eastAsia="Amiri" w:cs="Amiri"/>
          <w:color w:val="111111"/>
          <w:sz w:val="28"/>
          <w:sz w:val="28"/>
          <w:szCs w:val="28"/>
          <w:rtl w:val="true"/>
          <w:lang w:bidi="ar-SA"/>
        </w:rPr>
        <w:t xml:space="preserve">أنّ الظاهر من الاُولى أنّ السؤال كان مقصوراً على مُعصر لم تطمث ، والثانية عن التي طمثت ، أو لم تطمث ، أو في أوّل ما طمثت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ليس من التشويش أو الاختلاف الموجبين للتأمّل فيها ؛ فإنّ ترك بعض الخصوصيات ممّا لا يضرّ بالحكم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الدواعي ، أو لعدم الداعي في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خللاً فيها ، ولا ريب في أنّ اختلافهما إنّما هو لأجل ذلك ؛ ألا ترى أنّ مقدّمات ملاقاته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هي مذكورة في الرواية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w:t>
      </w:r>
    </w:p>
    <w:p>
      <w:pPr>
        <w:pStyle w:val="BookText"/>
        <w:rPr/>
      </w:pPr>
      <w:r>
        <w:rPr>
          <w:rFonts w:ascii="Amiri" w:hAnsi="Amiri" w:eastAsia="Amiri" w:cs="Amiri"/>
          <w:color w:val="111111"/>
          <w:sz w:val="28"/>
          <w:sz w:val="28"/>
          <w:szCs w:val="28"/>
          <w:rtl w:val="true"/>
          <w:lang w:bidi="ar-SA"/>
        </w:rPr>
        <w:t xml:space="preserve">ترك ذكرها في الثانية لبعض الدواعي ، أو عدم الداعي في النقل ، فترك بعض شقوق المسألة أيضاً من هذا القبيل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ظهور للرواية الاُولى في كون السؤال مقصوراً على ما ذكر إلاّ لعدم الذكر والسكوت ، والمذكور فيها أحد الشقوق التي ذكرت في الرواية الثانية ؛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في أوّل ما طمثت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أوّل زمان طمثها ، وهو بمنزلة قوله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المراد منه كونها في عصر الطمث وزمانه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طمثت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زمان طمثها ، في مقابل التي طمثت ؛ أي كانت امرأة ليس أوّل طمثها ، بل طمثت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تطمث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مقابلهما ؛ أي التي في سنّ الطمث ولمّا تطمث ؛ أي مضى منها أوقات كان من شأنها أن تطمث فيها ولم تطمث ، فلا إشكال من هذه الجهة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إطلاقها عدم الفرق بين ذات العادة وغيرها ، والدم الموصوف بصفات الحيض 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ينافيها ما دلّ على اعتبار العادة والصفة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اعتبار الصفات ؛ فلأنّ الظاهر من أدلّتها هو أنّ تلك الصفات مميّزات الحيض عن الاستحاضة ، لا عن مطلق الدماء كما مرّ</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اعتبار العادة فكذلك أيضاً ؛ فإنّ أقوى ما دلّ عليه هو مرسلة يونس القصيرة ، حيث قال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ما رأت المرأة في أيّام حيضها من صفرة أو حمرة فهو من الحيض ، وكلّ ما رأته بعد أيّام حيضها فليس من الحيض</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الغضّ عن الإشكالات الآتية فيها سنداً ومتناً </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نّها ناظرة إلى أنّ الصفات المميّزة بين الحيض والاستحاضة إنّما هي لغير ذات </w:t>
      </w:r>
      <w:bookmarkStart w:id="80" w:name="pg15019_190553"/>
    </w:p>
    <w:p>
      <w:pPr>
        <w:pStyle w:val="BookText"/>
        <w:rPr/>
      </w:pPr>
      <w:bookmarkEnd w:id="80"/>
      <w:r>
        <w:rPr>
          <w:rFonts w:ascii="Amiri" w:hAnsi="Amiri" w:eastAsia="Amiri" w:cs="Amiri"/>
          <w:color w:val="111111"/>
          <w:sz w:val="28"/>
          <w:sz w:val="28"/>
          <w:szCs w:val="28"/>
          <w:rtl w:val="true"/>
          <w:lang w:bidi="ar-SA"/>
        </w:rPr>
        <w:t>العادة ، وأمّا هي فعلى عادتها ؛ رأت حمرة أو صفرة ، وليست ناظرة إلى مثل ما</w:t>
      </w:r>
    </w:p>
    <w:p>
      <w:pPr>
        <w:pStyle w:val="BookText"/>
        <w:rPr/>
      </w:pPr>
      <w:r>
        <w:rPr>
          <w:rFonts w:ascii="Amiri" w:hAnsi="Amiri" w:eastAsia="Amiri" w:cs="Amiri"/>
          <w:color w:val="111111"/>
          <w:sz w:val="28"/>
          <w:sz w:val="28"/>
          <w:szCs w:val="28"/>
          <w:rtl w:val="true"/>
          <w:lang w:bidi="ar-SA"/>
        </w:rPr>
        <w:t xml:space="preserve">نحن فيه ، وليست الكلّية إلاّ في مورد الصفات ، لا مطلق الدم ، فالجمع العرفي يقتضي اختصاص الرجوع إلى العادة بمورد الدوران بين الحيض والاستحاضة ، دون الحيض والعذرة ممّا ذكر له طريق خاصّ وأمارة مستقلّة </w:t>
      </w:r>
      <w:r>
        <w:rPr>
          <w:rFonts w:eastAsia="Amiri" w:cs="Amiri" w:ascii="Amiri" w:hAnsi="Amiri"/>
          <w:color w:val="111111"/>
          <w:sz w:val="28"/>
          <w:szCs w:val="28"/>
          <w:rtl w:val="true"/>
          <w:lang w:bidi="ar-SA"/>
        </w:rPr>
        <w:t>.</w:t>
      </w:r>
    </w:p>
    <w:p>
      <w:pPr>
        <w:pStyle w:val="Heading6"/>
        <w:numPr>
          <w:ilvl w:val="5"/>
          <w:numId w:val="1"/>
        </w:numPr>
        <w:rPr/>
      </w:pPr>
      <w:bookmarkStart w:id="81" w:name="__RefHeading___Toc686218_3406789950"/>
      <w:bookmarkStart w:id="82" w:name="_Toc27"/>
      <w:bookmarkEnd w:id="81"/>
      <w:r>
        <w:rPr>
          <w:rtl w:val="true"/>
        </w:rPr>
        <w:t>أمارية التطوّق والانغماس في جميع صور الشكّ</w:t>
      </w:r>
      <w:bookmarkEnd w:id="82"/>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المرأة التي اشتبه دم حيضها بالعذرة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حال سابقها ، 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تعلم ، بل حال حدوث الدم تشكّ في أ نّه منه ، أو منها ، أو مختلط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الأوّل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الحالة السابقة هي الحيض ، ثمّ تشكّ في عروض دم العذرة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هي دم العذرة ، ثمّ يحدث الشكّ في عروض الحيض ، فتحتمل بقاء دم العذرة وعدم كون الدم من الحيض ، وانقطاع دم العذرة وكونَه من الحيض ، واختلاطَهما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الحالة السابقة هما معاً ، ثمّ تشكّ في بقاء أحدهما وانقطاع الآخر ، أو بقائهما وامتزاجهما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الشكّ سارياً ، ويأتي فيه الفروض المتقدّمة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يقع الكلام في أنّ المستفاد من روايات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التطوّق أمارة للعذرة والانغماس للحيض في جميع صور الشكّ أو لا ، وعلى الأوّل هل يجب الاختبار في جميعها أو لا ؟ </w:t>
      </w:r>
    </w:p>
    <w:p>
      <w:pPr>
        <w:pStyle w:val="BookText"/>
        <w:rPr/>
      </w:pPr>
      <w:r>
        <w:rPr>
          <w:rFonts w:ascii="Amiri" w:hAnsi="Amiri" w:eastAsia="Amiri" w:cs="Amiri"/>
          <w:color w:val="111111"/>
          <w:sz w:val="28"/>
          <w:sz w:val="28"/>
          <w:szCs w:val="28"/>
          <w:rtl w:val="true"/>
          <w:lang w:bidi="ar-SA"/>
        </w:rPr>
        <w:t xml:space="preserve">لا يبعد استفادة جميع الصور ما عدا الشكّ في زوال البكارة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غير صورة كون الحالة السابقة هي الحيض فلإطلاقها ؛ فإنّه بعد سيلان الدم وعدم انقطاعه يمكن أن يكون الشكّ سارياً ، فتشكّ في أنّ الدم من أوّل الأمر من أيّهما كان ، ويمكن أن تكون عالمة بكونه من العذرة ، وتشكّ في حدوث الحيض ، ويمكن أن تكون عالمة بكونه منهما ، ثمّ تشكّ ؛ لأجل الشكّ في انقطاع أحدهما ، فترك الاستفصال دليل على إطلاق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الصورة المذكورة فلاستفادتها من رواية خلف الثانية ؛ فإنّ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جارية طمثت ، أو لم تطمث ، أو في أوّل ما طمثت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وجوهاً ، أقربها أن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طمثت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المرأة التي كانت تحيض ،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لم تطمث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لم تحض سواء كانت معصراً أو لا ، فحينئذٍ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في أوّل ما طمثت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بقرينة المقابلة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طمثت فعلاً ، وكان طمثها ذلك أوّلَ طمث لها ، فلمّا افترعها غلب الدم وصار كثيراً ، لا أ نّه حدث الدم ، وعليه فالصورة المذكورة تكون مسؤولاً عنها بالخصوص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الغضّ عنه يكون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جارية طمثت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بإطلاقه شاملاً لهذه الصورة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غلبة الدم حدوثاً وغلبته بعد وجود أصله ؛ لو لم نقل بظهوره في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يبعد استفادة جميع الصور من الرواية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صورة الشكّ في زوال العذرة وإن كانت خارجة منها ، لكن يفهم حكمها منها عرفاً ؛ فإنّ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التطوّق أمارة لماهية دم </w:t>
      </w:r>
      <w:bookmarkStart w:id="83" w:name="pg15019_190555"/>
    </w:p>
    <w:p>
      <w:pPr>
        <w:pStyle w:val="BookText"/>
        <w:rPr/>
      </w:pPr>
      <w:bookmarkEnd w:id="83"/>
      <w:r>
        <w:rPr>
          <w:rFonts w:ascii="Amiri" w:hAnsi="Amiri" w:eastAsia="Amiri" w:cs="Amiri"/>
          <w:color w:val="111111"/>
          <w:sz w:val="28"/>
          <w:sz w:val="28"/>
          <w:szCs w:val="28"/>
          <w:rtl w:val="true"/>
          <w:lang w:bidi="ar-SA"/>
        </w:rPr>
        <w:t xml:space="preserve">العذرة من غير تأثير للعلم والشكّ فيه ، فمع الشكّ في حصوله لو اختبرت فخرجت القطنة مطوّقة ، يحكم بزوال البكارة ، كما يحكم بكون الدم من العذرة </w:t>
      </w:r>
      <w:r>
        <w:rPr>
          <w:rFonts w:eastAsia="Amiri" w:cs="Amiri" w:ascii="Amiri" w:hAnsi="Amiri"/>
          <w:color w:val="111111"/>
          <w:sz w:val="28"/>
          <w:szCs w:val="28"/>
          <w:rtl w:val="true"/>
          <w:lang w:bidi="ar-SA"/>
        </w:rPr>
        <w:t>.</w:t>
      </w:r>
    </w:p>
    <w:p>
      <w:pPr>
        <w:pStyle w:val="Heading6"/>
        <w:numPr>
          <w:ilvl w:val="5"/>
          <w:numId w:val="1"/>
        </w:numPr>
        <w:rPr/>
      </w:pPr>
      <w:bookmarkStart w:id="84" w:name="__RefHeading___Toc686220_3406789950"/>
      <w:bookmarkStart w:id="85" w:name="_Toc28"/>
      <w:bookmarkEnd w:id="84"/>
      <w:r>
        <w:rPr>
          <w:rtl w:val="true"/>
        </w:rPr>
        <w:t>حول وجوب الاختبار في جميع صور الشكّ</w:t>
      </w:r>
      <w:bookmarkEnd w:id="85"/>
    </w:p>
    <w:p>
      <w:pPr>
        <w:pStyle w:val="BookText"/>
        <w:rPr/>
      </w:pPr>
      <w:r>
        <w:rPr>
          <w:rFonts w:ascii="Amiri" w:hAnsi="Amiri" w:eastAsia="Amiri" w:cs="Amiri"/>
          <w:color w:val="111111"/>
          <w:sz w:val="28"/>
          <w:sz w:val="28"/>
          <w:szCs w:val="28"/>
          <w:rtl w:val="true"/>
          <w:lang w:bidi="ar-SA"/>
        </w:rPr>
        <w:t xml:space="preserve">ثمّ بعد كون التطوّق أمارة مطلقة في حال الدوران بينهما ، وكذا الاستنقاع على الظاهر ، فالظاهر وجوب الاختبار في جميع الصور حتّى صورة الشكّ في زوال البكارة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غير هذه الصورة ، فظاهر بعد دخولها في مفاد الروايات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في هذه الصورة ، فلأنّ الظاهر منها أ نّه مع إمكان تحصيل الأمارة على أحدهما يسقط الأصل ؛ فإنّ صورة عدم المسبوقية بالحيض هي المتيقّنة من الصور في شمول الروايات لها ، ومع ذلك لم يعوّل عليها أبو الحسن علیه السلام</w:t>
      </w:r>
    </w:p>
    <w:p>
      <w:pPr>
        <w:pStyle w:val="BookText"/>
        <w:rPr/>
      </w:pPr>
      <w:r>
        <w:rPr>
          <w:rFonts w:ascii="Amiri" w:hAnsi="Amiri" w:eastAsia="Amiri" w:cs="Amiri"/>
          <w:color w:val="111111"/>
          <w:sz w:val="28"/>
          <w:sz w:val="28"/>
          <w:szCs w:val="28"/>
          <w:rtl w:val="true"/>
          <w:lang w:bidi="ar-SA"/>
        </w:rPr>
        <w:t xml:space="preserve">مؤكّداً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فلتتّقِ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فيفهم منه أنّ الأصل في مثل ما يمكن تحصيل الأمارة الشرعية ، غير معوّل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العرف أيضاً لا يساعد على الرجوع إلى الأصل مع وجود الأمارة الحاكمة ؛ وإمكانِ الاطّلاع عليها بالاختبار ، تأمّل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فوجوب الاختبار مطلقاً أحوط ، بل أوجه وأقوى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وجوبه ليس نفسياً ولا شرطياً بل طريقي كوجوب العمل بخبر الواحد ، فإذا تركته وصلّت ، فإن كانت حائضاً تستحقّ العقوبة ؛ لأجل الصلاة في حال الحيض ، وإن كانت طاهرة تصحّ صلاتها مع حصول قصد القربة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وليس في الروايات لإدخال القطنة كيفية خاصّة غير ما في رواية خلف</w:t>
      </w:r>
      <w:r>
        <w:rPr>
          <w:rStyle w:val="FootnoteAnchor"/>
          <w:rtl w:val="true"/>
        </w:rPr>
        <w:footnoteReference w:id="48"/>
      </w:r>
      <w:r>
        <w:rPr>
          <w:rFonts w:ascii="Amiri" w:hAnsi="Amiri" w:eastAsia="Amiri" w:cs="Amiri"/>
          <w:color w:val="111111"/>
          <w:sz w:val="28"/>
          <w:sz w:val="28"/>
          <w:szCs w:val="28"/>
          <w:rtl w:val="true"/>
          <w:lang w:bidi="ar-SA"/>
        </w:rPr>
        <w:t xml:space="preserve">فهل الوَدْع مليّاً والإخراج رفيقاً واجبان ، أو لا ؟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مقتضى الجمع بينها وبين إطلاق صحيحة زياد</w:t>
      </w:r>
      <w:r>
        <w:rPr>
          <w:rStyle w:val="FootnoteAnchor"/>
          <w:rtl w:val="true"/>
        </w:rPr>
        <w:footnoteReference w:id="49"/>
      </w:r>
      <w:r>
        <w:rPr>
          <w:rFonts w:ascii="Amiri" w:hAnsi="Amiri" w:eastAsia="Amiri" w:cs="Amiri"/>
          <w:color w:val="111111"/>
          <w:sz w:val="28"/>
          <w:sz w:val="28"/>
          <w:szCs w:val="28"/>
          <w:rtl w:val="true"/>
          <w:lang w:bidi="ar-SA"/>
        </w:rPr>
        <w:t xml:space="preserve">تقييد إطلاقها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إمكان الحمل على الأولوية والاستحباب ؛ أخذاً بإطلاقها الذي في مقام البيان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أحوط لو لم يكن 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واختلاف روايتي خلف من هذه الجهة لا يضرّ ؛ بعد تقدّم أصالة عدم الزيادة على أصالة عدم النقيصة عند العقلاء ، خصوصاً مثل تلك الزيادة التي لا يحتمل فيها الخطأ والاشتباه ، فعدم الذكر في الرواية الثانية لجهة من الجهات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إذا تعذّر عليها الاختبار ، ترجع إلى سائر القواعد المقرّرة للشاكّ </w:t>
      </w:r>
      <w:r>
        <w:rPr>
          <w:rFonts w:eastAsia="Amiri" w:cs="Amiri" w:ascii="Amiri" w:hAnsi="Amiri"/>
          <w:color w:val="111111"/>
          <w:sz w:val="28"/>
          <w:szCs w:val="28"/>
          <w:rtl w:val="true"/>
          <w:lang w:bidi="ar-SA"/>
        </w:rPr>
        <w:t xml:space="preserve">. </w:t>
      </w:r>
      <w:bookmarkStart w:id="86" w:name="pg15019_190557"/>
    </w:p>
    <w:p>
      <w:pPr>
        <w:pStyle w:val="Heading5"/>
        <w:numPr>
          <w:ilvl w:val="4"/>
          <w:numId w:val="1"/>
        </w:numPr>
        <w:rPr/>
      </w:pPr>
      <w:bookmarkStart w:id="87" w:name="__RefHeading___Toc686222_3406789950"/>
      <w:bookmarkStart w:id="88" w:name="_Toc29"/>
      <w:bookmarkEnd w:id="86"/>
      <w:bookmarkEnd w:id="87"/>
      <w:r>
        <w:rPr>
          <w:rtl w:val="true"/>
        </w:rPr>
        <w:t>المسألة الثالثة فيما يميّز به دم الحيض عن دم القرحة</w:t>
      </w:r>
      <w:bookmarkEnd w:id="88"/>
    </w:p>
    <w:p>
      <w:pPr>
        <w:pStyle w:val="Heading6"/>
        <w:numPr>
          <w:ilvl w:val="5"/>
          <w:numId w:val="1"/>
        </w:numPr>
        <w:rPr/>
      </w:pPr>
      <w:bookmarkStart w:id="89" w:name="__RefHeading___Toc686224_3406789950"/>
      <w:bookmarkStart w:id="90" w:name="_Toc30"/>
      <w:bookmarkEnd w:id="89"/>
      <w:r>
        <w:rPr>
          <w:rtl w:val="true"/>
        </w:rPr>
        <w:t>اشارة</w:t>
      </w:r>
      <w:bookmarkEnd w:id="90"/>
    </w:p>
    <w:p>
      <w:pPr>
        <w:pStyle w:val="BookText"/>
        <w:rPr/>
      </w:pPr>
      <w:r>
        <w:rPr>
          <w:rFonts w:ascii="Amiri" w:hAnsi="Amiri" w:eastAsia="Amiri" w:cs="Amiri"/>
          <w:color w:val="111111"/>
          <w:sz w:val="28"/>
          <w:sz w:val="28"/>
          <w:szCs w:val="28"/>
          <w:rtl w:val="true"/>
          <w:lang w:bidi="ar-SA"/>
        </w:rPr>
        <w:t>إذا اشتبه دم الحيض بدم القرحة ، فعن المشهور وجوب الاختبار وملاحظة خروج الدم من الأيسر أو الأيمن ، فإن كان من الأيسر فهو من الحيض ، وإن كان من الأيمن فهو من القرحة</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الاعتبار بالاختبار</w:t>
      </w:r>
      <w:r>
        <w:rPr>
          <w:rStyle w:val="FootnoteAnchor"/>
          <w:rtl w:val="true"/>
        </w:rPr>
        <w:footnoteReference w:id="51"/>
      </w:r>
      <w:r>
        <w:rPr>
          <w:rFonts w:ascii="Amiri" w:hAnsi="Amiri" w:eastAsia="Amiri" w:cs="Amiri"/>
          <w:color w:val="111111"/>
          <w:sz w:val="28"/>
          <w:sz w:val="28"/>
          <w:szCs w:val="28"/>
          <w:rtl w:val="true"/>
          <w:lang w:bidi="ar-SA"/>
        </w:rPr>
        <w:t xml:space="preserve">، وتبعه الأردبيلي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المشهور</w:t>
      </w:r>
      <w:r>
        <w:rPr>
          <w:rStyle w:val="FootnoteAnchor"/>
          <w:rtl w:val="true"/>
        </w:rPr>
        <w:footnoteReference w:id="53"/>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إليه</w:t>
      </w:r>
      <w:r>
        <w:rPr>
          <w:rStyle w:val="FootnoteAnchor"/>
          <w:rtl w:val="true"/>
        </w:rPr>
        <w:footnoteReference w:id="54"/>
      </w:r>
      <w:r>
        <w:rPr>
          <w:rFonts w:ascii="Amiri" w:hAnsi="Amiri" w:eastAsia="Amiri" w:cs="Amiri"/>
          <w:color w:val="111111"/>
          <w:sz w:val="28"/>
          <w:sz w:val="28"/>
          <w:szCs w:val="28"/>
          <w:rtl w:val="true"/>
          <w:lang w:bidi="ar-SA"/>
        </w:rPr>
        <w:t xml:space="preserve">، لكنّه أفتى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موافقاً للمشهور</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1" w:name="__RefHeading___Toc686226_3406789950"/>
      <w:bookmarkStart w:id="92" w:name="_Toc31"/>
      <w:bookmarkEnd w:id="91"/>
      <w:r>
        <w:rPr>
          <w:rtl w:val="true"/>
        </w:rPr>
        <w:t>استفادة أمارية خروج الدم من الأيسر أو الأيمن من رواية أبان</w:t>
      </w:r>
      <w:bookmarkEnd w:id="92"/>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ومبنى ذلك هو الاختلاف الواقع في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المرفوعة التي هي الأصل في هذا الحكم ، ففي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يحيى رفعه عن أبان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فتاة منّا بها قرحة في جوفها ، والدم </w:t>
      </w:r>
    </w:p>
    <w:p>
      <w:pPr>
        <w:pStyle w:val="BookText"/>
        <w:rPr/>
      </w:pPr>
      <w:r>
        <w:rPr>
          <w:rFonts w:ascii="Amiri" w:hAnsi="Amiri" w:eastAsia="Amiri" w:cs="Amiri"/>
          <w:color w:val="111111"/>
          <w:sz w:val="28"/>
          <w:sz w:val="28"/>
          <w:szCs w:val="28"/>
          <w:rtl w:val="true"/>
          <w:lang w:bidi="ar-SA"/>
        </w:rPr>
        <w:t xml:space="preserve">سائل لا تدري من دم الحيض أو من دم القرحة ،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مُرها فلتستلقِ على ظهرها ، ثمّ ترفع رجليها ، ثمّ تستدخل إصبعها الوسطى ، فإن خرج الدم من الجانب الأيمن فهو من الحيض ، وإن خرج من الجانب الأيسر فهو من القرحة</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روايتها ، لكن فيها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خرج الدم من الجانب الأيسر فهو من الحيض ، وإن خرج من الجانب الأيمن فهو من القرحة</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الظاهر ترجيح نسخة الشيخ على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للشهرة المنقولة</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الفتوى بمضمونها قديماً وحديثاً ،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نسبتها إلى فتوى الأصحاب</w:t>
      </w:r>
      <w:r>
        <w:rPr>
          <w:rStyle w:val="FootnoteAnchor"/>
          <w:rtl w:val="true"/>
        </w:rPr>
        <w:footnoteReference w:id="58"/>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اتّفاق المتقدّمين والمتأخّرين من المحدّثين على موافقة المشهور</w:t>
      </w:r>
      <w:r>
        <w:rPr>
          <w:rStyle w:val="FootnoteAnchor"/>
          <w:rtl w:val="true"/>
        </w:rPr>
        <w:footnoteReference w:id="59"/>
      </w:r>
      <w:r>
        <w:rPr>
          <w:rFonts w:ascii="Amiri" w:hAnsi="Amiri" w:eastAsia="Amiri" w:cs="Amiri"/>
          <w:color w:val="111111"/>
          <w:sz w:val="28"/>
          <w:sz w:val="28"/>
          <w:szCs w:val="28"/>
          <w:rtl w:val="true"/>
          <w:lang w:bidi="ar-SA"/>
        </w:rPr>
        <w:t>، وهو الموافق لرسالة علي بن بابويه إلى الصدوق</w:t>
      </w:r>
      <w:r>
        <w:rPr>
          <w:rStyle w:val="FootnoteAnchor"/>
          <w:rtl w:val="true"/>
        </w:rPr>
        <w:footnoteReference w:id="60"/>
      </w:r>
      <w:r>
        <w:rPr>
          <w:rFonts w:ascii="Amiri" w:hAnsi="Amiri" w:eastAsia="Amiri" w:cs="Amiri"/>
          <w:color w:val="111111"/>
          <w:sz w:val="28"/>
          <w:sz w:val="28"/>
          <w:szCs w:val="28"/>
          <w:rtl w:val="true"/>
          <w:lang w:bidi="ar-SA"/>
        </w:rPr>
        <w:t xml:space="preserve">التي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كانت المرجع عند إعواز النصوص</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 xml:space="preserve">والموافق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للفقه الرضوي</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وأفتى به المفيد</w:t>
      </w:r>
      <w:r>
        <w:rPr>
          <w:rStyle w:val="FootnoteAnchor"/>
          <w:rtl w:val="true"/>
        </w:rPr>
        <w:footnoteReference w:id="63"/>
      </w:r>
      <w:r>
        <w:rPr>
          <w:rFonts w:ascii="Amiri" w:hAnsi="Amiri" w:eastAsia="Amiri" w:cs="Amiri"/>
          <w:color w:val="111111"/>
          <w:sz w:val="28"/>
          <w:sz w:val="28"/>
          <w:szCs w:val="28"/>
          <w:rtl w:val="true"/>
          <w:lang w:bidi="ar-SA"/>
        </w:rPr>
        <w:t>وغيره</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فلا إشكال في اشتهار الحكم بين الأصحاب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مقابله فتوى ابن الجنيد</w:t>
      </w:r>
      <w:r>
        <w:rPr>
          <w:rStyle w:val="FootnoteAnchor"/>
          <w:rtl w:val="true"/>
        </w:rPr>
        <w:footnoteReference w:id="65"/>
      </w:r>
      <w:r>
        <w:rPr>
          <w:rFonts w:ascii="Amiri" w:hAnsi="Amiri" w:eastAsia="Amiri" w:cs="Amiri"/>
          <w:color w:val="111111"/>
          <w:sz w:val="28"/>
          <w:sz w:val="28"/>
          <w:szCs w:val="28"/>
          <w:rtl w:val="true"/>
          <w:lang w:bidi="ar-SA"/>
        </w:rPr>
        <w:t xml:space="preserve">لكن مفروض كلامه دوران الأمر بين الحيض والاستحاضة ؛ فإنّ المحكيّ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دم الحيض أسود عبيط تعلوه حمرة ، يخرج من الجانب الأيمن ، وتحسّ المرأة بخروجه ، ودم الاستحاضة بارد رقيق يخرج من الجانب 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 نّه من الصفات المميّزة بين الحيض والاستحاضة ، كسائر الصفات المذكورة ، فلا يعلم فتواه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طاوس والشهيد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أنّ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في النسخ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وقطعا بأ نّه تدليس ، وكانت النسخ القديمة موافقة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للكافي</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هذا الاعتقاد ظاهراً ؛ لفتواه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متأخّر في التصنيف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موافقاً للمشهور</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المفاتيح</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 ابن طاوس لم ينقل عنه مخالفة المشهور</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حديث التدليس في النسخ الجديدة ، فيردّه فتوى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وفق المشهور</w:t>
      </w:r>
      <w:r>
        <w:rPr>
          <w:rStyle w:val="FootnoteAnchor"/>
          <w:rtl w:val="true"/>
        </w:rPr>
        <w:footnoteReference w:id="70"/>
      </w:r>
      <w:r>
        <w:rPr>
          <w:rFonts w:ascii="Amiri" w:hAnsi="Amiri" w:eastAsia="Amiri" w:cs="Amiri"/>
          <w:color w:val="111111"/>
          <w:sz w:val="28"/>
          <w:sz w:val="28"/>
          <w:szCs w:val="28"/>
          <w:rtl w:val="true"/>
          <w:lang w:bidi="ar-SA"/>
        </w:rPr>
        <w:t xml:space="preserve">، ولا إشكال في أنّ مستنده هذه الرواية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أنّ اختلاف النسخ لم ينقل إلاّ من ابن طاوس والشهيد ، فعن ابن طاوس نسبة كون الحيض من الأيسر إلى بعض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الجديدة ،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كثيراً من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لرواية الكليني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الاشتباه من النسّاخ ، لما أفتى الشيخ في كتبه الفتوائية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خصوصاً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بخلافها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كانت النسخ الموافقة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الكثرة لما خفي على غيرهما ، مع بناء محشّي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ما قيل</w:t>
      </w:r>
      <w:r>
        <w:rPr>
          <w:rStyle w:val="FootnoteAnchor"/>
          <w:rtl w:val="true"/>
        </w:rPr>
        <w:footnoteReference w:id="71"/>
      </w:r>
      <w:r>
        <w:rPr>
          <w:rFonts w:ascii="Amiri" w:hAnsi="Amiri" w:eastAsia="Amiri" w:cs="Amiri"/>
          <w:color w:val="111111"/>
          <w:sz w:val="28"/>
          <w:sz w:val="28"/>
          <w:szCs w:val="28"/>
          <w:rtl w:val="true"/>
          <w:lang w:bidi="ar-SA"/>
        </w:rPr>
        <w:t xml:space="preserve">على نقل النسخ المختلفة ، ولم ينقلوا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المفاتيح</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 نّه اعترف جميع المحقّقين باتّفاق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وجدناه</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فاتّضح أ نّه لم يكن خلاف في المسألة بين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كالصدوقين والمفيد</w:t>
      </w:r>
    </w:p>
    <w:p>
      <w:pPr>
        <w:pStyle w:val="BookText"/>
        <w:rPr/>
      </w:pPr>
      <w:r>
        <w:rPr>
          <w:rFonts w:ascii="Amiri" w:hAnsi="Amiri" w:eastAsia="Amiri" w:cs="Amiri"/>
          <w:color w:val="111111"/>
          <w:sz w:val="28"/>
          <w:sz w:val="28"/>
          <w:szCs w:val="28"/>
          <w:rtl w:val="true"/>
          <w:lang w:bidi="ar-SA"/>
        </w:rPr>
        <w:t>والشيخ ومن تأخّر</w:t>
      </w:r>
      <w:r>
        <w:rPr>
          <w:rStyle w:val="FootnoteAnchor"/>
          <w:rtl w:val="true"/>
        </w:rPr>
        <w:footnoteReference w:id="73"/>
      </w:r>
      <w:r>
        <w:rPr>
          <w:rFonts w:ascii="Amiri" w:hAnsi="Amiri" w:eastAsia="Amiri" w:cs="Amiri"/>
          <w:color w:val="111111"/>
          <w:sz w:val="28"/>
          <w:sz w:val="28"/>
          <w:szCs w:val="28"/>
          <w:rtl w:val="true"/>
          <w:lang w:bidi="ar-SA"/>
        </w:rPr>
        <w:t xml:space="preserve">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عنه ، وقد 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أنّ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من وَهْم الناسخ</w:t>
      </w:r>
      <w:r>
        <w:rPr>
          <w:rFonts w:eastAsia="Amiri" w:cs="Amiri" w:ascii="Amiri" w:hAnsi="Amiri"/>
          <w:color w:val="111111"/>
          <w:sz w:val="28"/>
          <w:szCs w:val="28"/>
          <w:rtl w:val="true"/>
          <w:lang w:bidi="ar-SA"/>
        </w:rPr>
        <w:t>»</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الأردبيلي فطريقته المناقشة وعدم الاعتناء بالشهرات ، وكذا متابعوه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كلّه يقع الترديد فيما نقل عن ابن طاوس والشهيد وليس عندي كتابهما حتّى أتأمّل في عبارتهما ، فمن المحتمل أن يكون قطعهما بالتدليس كان </w:t>
      </w:r>
    </w:p>
    <w:p>
      <w:pPr>
        <w:pStyle w:val="BookText"/>
        <w:rPr/>
      </w:pPr>
      <w:r>
        <w:rPr>
          <w:rFonts w:ascii="Amiri" w:hAnsi="Amiri" w:eastAsia="Amiri" w:cs="Amiri"/>
          <w:color w:val="111111"/>
          <w:sz w:val="28"/>
          <w:sz w:val="28"/>
          <w:szCs w:val="28"/>
          <w:rtl w:val="true"/>
          <w:lang w:bidi="ar-SA"/>
        </w:rPr>
        <w:t xml:space="preserve">لأمر غير ما ذكر ، كالاعتماد التامّ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فالمسألة مشهورة فتوى ، والخلاف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شاذّ نادر ، وقد ذكرنا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الشهرة الفتوائية ليست من المرجّحات</w:t>
      </w:r>
      <w:r>
        <w:rPr>
          <w:rStyle w:val="FootnoteAnchor"/>
          <w:rtl w:val="true"/>
        </w:rPr>
        <w:footnoteReference w:id="75"/>
      </w:r>
      <w:r>
        <w:rPr>
          <w:rFonts w:ascii="Amiri" w:hAnsi="Amiri" w:eastAsia="Amiri" w:cs="Amiri"/>
          <w:color w:val="111111"/>
          <w:sz w:val="28"/>
          <w:sz w:val="28"/>
          <w:szCs w:val="28"/>
          <w:rtl w:val="true"/>
          <w:lang w:bidi="ar-SA"/>
        </w:rPr>
        <w:t>حتّى يناقش بأنّ ما نحن فيه ليس من الروايتين المتعارضتين ؛ بل بقيامها تمتاز الحجّة عن غيرها وأنّ المشتهرَ بين الأصحاب فتوى بيّنٌ رشده فيتّبع ، والشاذَّ النادرَ بيّنٌ</w:t>
      </w:r>
    </w:p>
    <w:p>
      <w:pPr>
        <w:pStyle w:val="BookText"/>
        <w:rPr/>
      </w:pPr>
      <w:r>
        <w:rPr>
          <w:rFonts w:ascii="Amiri" w:hAnsi="Amiri" w:eastAsia="Amiri" w:cs="Amiri"/>
          <w:color w:val="111111"/>
          <w:sz w:val="28"/>
          <w:sz w:val="28"/>
          <w:szCs w:val="28"/>
          <w:rtl w:val="true"/>
          <w:lang w:bidi="ar-SA"/>
        </w:rPr>
        <w:t xml:space="preserve">غيّه فيجتنب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الشهرة في مثل هذا الحكم المخالف للاعتبار والقواعد والتعبّدي المحض ، حجّة معتبرة في نفسها مع قطع النظر عن الرواية ، فضلاً عن المقام الذي يمكن حصول الاطمئنان باتّكالهم على رواية أبان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فالمسألة من هذه الجهة خالية من الإشكال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الحكم على خلاف الاعتبار ، وأنّ القرحة قد تكون في</w:t>
      </w:r>
    </w:p>
    <w:p>
      <w:pPr>
        <w:pStyle w:val="BookText"/>
        <w:rPr/>
      </w:pPr>
      <w:r>
        <w:rPr>
          <w:rFonts w:ascii="Amiri" w:hAnsi="Amiri" w:eastAsia="Amiri" w:cs="Amiri"/>
          <w:color w:val="111111"/>
          <w:sz w:val="28"/>
          <w:sz w:val="28"/>
          <w:szCs w:val="28"/>
          <w:rtl w:val="true"/>
          <w:lang w:bidi="ar-SA"/>
        </w:rPr>
        <w:t>الطرف الأيسر ، وقد تكون محيطة بالمحلّ</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 xml:space="preserve">فلا ينبغي الإصغاء إليه في الأحكام التعبّدية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كيفية خروج الدم غير معلومة لنا ، فلعلّ الغالب في خروج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المرأة مستلقية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رفع اليد عن الدليل المعتبر بمثل ذلك ، مع دعوى شهادة النساء بما يوافق المشهور</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bookmarkStart w:id="93" w:name="pg15019_190562"/>
    </w:p>
    <w:p>
      <w:pPr>
        <w:pStyle w:val="Heading6"/>
        <w:numPr>
          <w:ilvl w:val="5"/>
          <w:numId w:val="1"/>
        </w:numPr>
        <w:rPr/>
      </w:pPr>
      <w:bookmarkStart w:id="94" w:name="__RefHeading___Toc686228_3406789950"/>
      <w:bookmarkStart w:id="95" w:name="_Toc32"/>
      <w:bookmarkEnd w:id="93"/>
      <w:bookmarkEnd w:id="94"/>
      <w:r>
        <w:rPr>
          <w:rtl w:val="true"/>
        </w:rPr>
        <w:t>الإشكال في مقتضى إطلاق رواية أبان</w:t>
      </w:r>
      <w:bookmarkEnd w:id="95"/>
    </w:p>
    <w:p>
      <w:pPr>
        <w:pStyle w:val="BookText"/>
        <w:rPr/>
      </w:pPr>
      <w:r>
        <w:rPr>
          <w:rFonts w:ascii="Amiri" w:hAnsi="Amiri" w:eastAsia="Amiri" w:cs="Amiri"/>
          <w:color w:val="111111"/>
          <w:sz w:val="28"/>
          <w:sz w:val="28"/>
          <w:szCs w:val="28"/>
          <w:rtl w:val="true"/>
          <w:lang w:bidi="ar-SA"/>
        </w:rPr>
        <w:t xml:space="preserve">ثمّ إنّ إطلاق الرواية وترك الاستفصال فيها وإن اقتضى عدم الفرق بين الجهل بمحلّ القرحة والعلم به ؛ سواء كانت في الأيمن أو الأيسر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جهل المرأة بمحلّها غالباً ، مع كون القرحة ذات ألم غالباً ، في غير محلّها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الالتزام به مع العلم بكون القرحة في الطرف الأيسر ، في غاية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إحراز فتوى الأصحاب في مثل تلك المسألة التي تكون على خلاف الاعتبار ، فالاتّكال على مثل ترك الاستفصال في القضيّة التي لا يبعد أن تكون شخصية مشكلٌ ، تأمّل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الظاهر أنّ تلك الأمارة خاصّة بدوران الأمر بين الحيض والقرحة ، لا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 الجانب إن كان له مدخل في الحيض وجب اطّراده ، وإلاّ فلا</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 xml:space="preserve">فهو كما ترى </w:t>
      </w:r>
      <w:r>
        <w:rPr>
          <w:rFonts w:eastAsia="Amiri" w:cs="Amiri" w:ascii="Amiri" w:hAnsi="Amiri"/>
          <w:color w:val="111111"/>
          <w:sz w:val="28"/>
          <w:szCs w:val="28"/>
          <w:rtl w:val="true"/>
          <w:lang w:bidi="ar-SA"/>
        </w:rPr>
        <w:t xml:space="preserve">. </w:t>
      </w:r>
      <w:bookmarkStart w:id="96" w:name="pg15019_190563"/>
    </w:p>
    <w:p>
      <w:pPr>
        <w:pStyle w:val="Heading5"/>
        <w:numPr>
          <w:ilvl w:val="4"/>
          <w:numId w:val="1"/>
        </w:numPr>
        <w:rPr/>
      </w:pPr>
      <w:bookmarkStart w:id="97" w:name="__RefHeading___Toc686230_3406789950"/>
      <w:bookmarkStart w:id="98" w:name="_Toc33"/>
      <w:bookmarkEnd w:id="96"/>
      <w:bookmarkEnd w:id="97"/>
      <w:r>
        <w:rPr>
          <w:rtl w:val="true"/>
        </w:rPr>
        <w:t>المسألة الرابعة في سائر الاشتباهات بين دم الحيض وغيره</w:t>
      </w:r>
      <w:bookmarkEnd w:id="98"/>
    </w:p>
    <w:p>
      <w:pPr>
        <w:pStyle w:val="Heading6"/>
        <w:numPr>
          <w:ilvl w:val="5"/>
          <w:numId w:val="1"/>
        </w:numPr>
        <w:rPr/>
      </w:pPr>
      <w:bookmarkStart w:id="99" w:name="__RefHeading___Toc686232_3406789950"/>
      <w:bookmarkStart w:id="100" w:name="_Toc34"/>
      <w:bookmarkEnd w:id="99"/>
      <w:r>
        <w:rPr>
          <w:rtl w:val="true"/>
        </w:rPr>
        <w:t>اشارة</w:t>
      </w:r>
      <w:bookmarkEnd w:id="100"/>
    </w:p>
    <w:p>
      <w:pPr>
        <w:pStyle w:val="BookText"/>
        <w:rPr/>
      </w:pPr>
      <w:r>
        <w:rPr>
          <w:rFonts w:ascii="Amiri" w:hAnsi="Amiri" w:eastAsia="Amiri" w:cs="Amiri"/>
          <w:color w:val="111111"/>
          <w:sz w:val="28"/>
          <w:sz w:val="28"/>
          <w:szCs w:val="28"/>
          <w:rtl w:val="true"/>
          <w:lang w:bidi="ar-SA"/>
        </w:rPr>
        <w:t xml:space="preserve">فإنّ منشأ الشكّ في دم الحيض قد يكون فقدان الأمارة ، كما لو اشتبه بدم الجرح مثلاً ممّا لم يرد فيه نصّ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تعارض الأمارتين ، كما لو رأت دماً فيه بعض صفات الحيض وبعض صفات الاستحاضة ؛ إن قلنا بأمارية الصفات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قصور اليد عن الوصول إلى الأمارة المحقّقة ، كما لو علمت بتحقّق التطوّق أو الانغماس ، لكن اشتبه عليها حاله لأجل مانع من ظلمة أو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عدم التمكّن من استعمال الأمارة ، كما لو غلب الدم ، أو ضاق المجرى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فقدان الأمارة ما إذا كان الاشتباه ثلاثي الأطراف أو أكثر ، كما لو دار الأمر بين الحيض والاستحاضة والقرحة ، أو هي والجرح أو العذرة ؛ ممّا قصرت النصوص عن شمولها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الشكّ لأجل الشكّ في المكلّف ، كما لو شكّت الخنثى في ذكورتها واُنوثتها ، فصار منشأً للشكّ في كون الدم حيضاً ، أو شكّت في بلوغها أو يأسها ، فصار منشأً لشكّها في كونه حيضاً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يكون الشكّ لأجل الشكّ في تحقّق شرط أو مانع ، كما لو شكّت في كون الدم بعد العشرة أو لا ، أو قبل الثلاثة أو لا ، أو شكّت في تحقّق الفصل المعتبر بين الدمين </w:t>
      </w:r>
      <w:r>
        <w:rPr>
          <w:rFonts w:eastAsia="Amiri" w:cs="Amiri" w:ascii="Amiri" w:hAnsi="Amiri"/>
          <w:color w:val="111111"/>
          <w:sz w:val="28"/>
          <w:szCs w:val="28"/>
          <w:rtl w:val="true"/>
          <w:lang w:bidi="ar-SA"/>
        </w:rPr>
        <w:t xml:space="preserve">. </w:t>
      </w:r>
      <w:bookmarkStart w:id="101" w:name="pg15019_190564"/>
    </w:p>
    <w:p>
      <w:pPr>
        <w:pStyle w:val="BookText"/>
        <w:rPr/>
      </w:pPr>
      <w:bookmarkEnd w:id="101"/>
      <w:r>
        <w:rPr>
          <w:rFonts w:ascii="Amiri" w:hAnsi="Amiri" w:eastAsia="Amiri" w:cs="Amiri"/>
          <w:color w:val="111111"/>
          <w:sz w:val="28"/>
          <w:sz w:val="28"/>
          <w:szCs w:val="28"/>
          <w:rtl w:val="true"/>
          <w:lang w:bidi="ar-SA"/>
        </w:rPr>
        <w:t xml:space="preserve">وقد يكون لأجل الشكّ في شرطية شيء ، كالتوالي ثلاثة أيّام ، أو مانعية شيء ، كالفترات اليسيرة بين ثلاثة أيّام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لأجل الشكّ في تحقّق شرطه بعدُ ، كالمبتدئة التي تشكّ في استمرار دمها إلى ثلاثة أيّام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 كالشكّ في كونه حيضاً مع وجدان الشرائط وفقدان الموانع بحسب الأدلّة الشرعية ، ومع تحقّق ما تحتمل شرطيته وفقدان ما تحتمل مانعيته بحسب الشبهات الحكمية ، لكن مع ذلك تشكّ في الحيضية لأجل بعض الاحتمالات الشخصية الجزئية التي تختلف بحسب اختلاف الحالات والأمزجة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نوع الشكوك الواقعة أو ممكنة الوقوع للنساء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فيقع الكلام في أ نّه مع فقدان الأمارات أو تعارضها أو عدم إمكان التعويل عليها ، هل تكون قاعدة شرعية أو عقلائية ممضاة ترفع الشكّ شرعاً وتكون معوّلاً عليها لدى الشبهة ، أو لا ؟ وعلى فرض وجودها ، فما حدّها سعةً وضيقاً ؛ وهل يمكن رفع جميع الشكوك المتقدّمة بها ، أو تختصّ ببعضها ؟</w:t>
      </w:r>
    </w:p>
    <w:p>
      <w:pPr>
        <w:pStyle w:val="Heading6"/>
        <w:numPr>
          <w:ilvl w:val="5"/>
          <w:numId w:val="1"/>
        </w:numPr>
        <w:rPr/>
      </w:pPr>
      <w:bookmarkStart w:id="102" w:name="__RefHeading___Toc686234_3406789950"/>
      <w:bookmarkStart w:id="103" w:name="_Toc35"/>
      <w:bookmarkEnd w:id="102"/>
      <w:r>
        <w:rPr>
          <w:rtl w:val="true"/>
        </w:rPr>
        <w:t>الكلام في قاعدة الإمكان</w:t>
      </w:r>
      <w:bookmarkEnd w:id="103"/>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هو الدائر في الألسن والمشتهر بين الأصحاب في المقام هو قاعدة الإمكان ، وهي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كلّ دم يمكن أن يكون حيضاً فهو 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تكرّر نقل الإجماع عليها ، وأرسلوها إرسال المسلّمات</w:t>
      </w:r>
      <w:r>
        <w:rPr>
          <w:rStyle w:val="FootnoteAnchor"/>
          <w:rtl w:val="true"/>
        </w:rPr>
        <w:footnoteReference w:id="79"/>
      </w:r>
      <w:r>
        <w:rPr>
          <w:rFonts w:ascii="Amiri" w:hAnsi="Amiri" w:eastAsia="Amiri" w:cs="Amiri"/>
          <w:color w:val="111111"/>
          <w:sz w:val="28"/>
          <w:sz w:val="28"/>
          <w:szCs w:val="28"/>
          <w:rtl w:val="true"/>
          <w:lang w:bidi="ar-SA"/>
        </w:rPr>
        <w:t xml:space="preserve">، فلا بدّ من بسط الكلام فيها موضوعاً ومدركاً ومورداً </w:t>
      </w:r>
      <w:r>
        <w:rPr>
          <w:rFonts w:eastAsia="Amiri" w:cs="Amiri" w:ascii="Amiri" w:hAnsi="Amiri"/>
          <w:color w:val="111111"/>
          <w:sz w:val="28"/>
          <w:szCs w:val="28"/>
          <w:rtl w:val="true"/>
          <w:lang w:bidi="ar-SA"/>
        </w:rPr>
        <w:t xml:space="preserve">: </w:t>
      </w:r>
      <w:bookmarkStart w:id="104" w:name="pg15019_190565"/>
    </w:p>
    <w:p>
      <w:pPr>
        <w:pStyle w:val="Heading6"/>
        <w:numPr>
          <w:ilvl w:val="5"/>
          <w:numId w:val="1"/>
        </w:numPr>
        <w:rPr/>
      </w:pPr>
      <w:bookmarkStart w:id="105" w:name="__RefHeading___Toc686236_3406789950"/>
      <w:bookmarkStart w:id="106" w:name="_Toc36"/>
      <w:bookmarkEnd w:id="104"/>
      <w:bookmarkEnd w:id="105"/>
      <w:r>
        <w:rPr>
          <w:rtl w:val="true"/>
        </w:rPr>
        <w:t>موضوع قاعدة الإمكان</w:t>
      </w:r>
      <w:bookmarkEnd w:id="106"/>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فيحتمل في بادئ الأمر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الاحتمال بقول مطلق ، فيشمل جميع الصور من الشكوك المتصوّرة ؛ لمساوقة الشكّ للاحتمال ، أو أعمّيته من 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يكون بمعنى عدم الامتناع بحسب القواعد الشرعية ؛ أي إذا لم يرد دليل شرعي على عدم حيضيته بحسب نفس الأمر ؛ وصل إلينا أو لم يصل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يكون بمعنى عدم الامتناع بحسب ما وصل إلينا من القواعد الشرعية ؛ أي إذا لم يدلّ دليل شرعي على عدم حيضيته ، واُحرز عدم امتناعه كذلك ، لا بمعنى الإمكان العامّ حتّى يشمل مورد قيام الأمارة على الحيضية ، بل بمعنى أ نّه إذا لم يقم أمارة ودليل شرعي على الطرفين تكون القاعدة معوّلاً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مراد 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الإمكان هو الاحتمالي ، لكن الاحتمال المستقرّ</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يكون بمعنى الإمكان الذاتي وعدم الامتناع ذاتاً ؛ أي سلب الضرورة عن الجانب المخالف للحكم بالحيضية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لكنّ الاحتمال الأخير غير صحيح ؛ لأنّ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الدم الخارجي الموجود ، لا ماهية الدم ، والدم الموجود إمّا واجب الحيضية ، أو ممتنعها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الاحتمال الثاني ؛ فإنّ العلم بالواقعيات غير حاصل للمكلّفين ، فتقييد الموضوع بأمر غير محقّق موجب للغوية القاعدة </w:t>
      </w:r>
      <w:r>
        <w:rPr>
          <w:rFonts w:eastAsia="Amiri" w:cs="Amiri" w:ascii="Amiri" w:hAnsi="Amiri"/>
          <w:color w:val="111111"/>
          <w:sz w:val="28"/>
          <w:szCs w:val="28"/>
          <w:rtl w:val="true"/>
          <w:lang w:bidi="ar-SA"/>
        </w:rPr>
        <w:t xml:space="preserve">. </w:t>
      </w:r>
      <w:bookmarkStart w:id="107" w:name="pg15019_190566"/>
    </w:p>
    <w:p>
      <w:pPr>
        <w:pStyle w:val="BookText"/>
        <w:rPr/>
      </w:pPr>
      <w:bookmarkEnd w:id="107"/>
      <w:r>
        <w:rPr>
          <w:rFonts w:ascii="Amiri" w:hAnsi="Amiri" w:eastAsia="Amiri" w:cs="Amiri"/>
          <w:color w:val="111111"/>
          <w:sz w:val="28"/>
          <w:sz w:val="28"/>
          <w:szCs w:val="28"/>
          <w:rtl w:val="true"/>
          <w:lang w:bidi="ar-SA"/>
        </w:rPr>
        <w:t xml:space="preserve">فيبقى الاحتمال الأوّل والثالث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ولازم الاحتمال الأوّل هو الحكم بحيضية كلّ محتمل إلاّ ما قام دليل على خلافها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المعوّل عليه هو القاعدة في موارد الشبهات المصداقية لأدلّة جعل الأمارات ، فلو شكّت في تحقّق أمارة العذرة أو الاستحاضة مثلاً ، فلا يجوز التمسّك بدليلهما ، ومعه ينسلك في موضوع القاعدة ؛ لأنّ موضوعها هو الاحتمال ، ومع عدم إحراز الأمارة يتحقّق الاحتمال الذي هو موضوعها ، وكذا في تعارض الأمارتين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ولازم الثاني هو الحكم بحيضية ما اُحرز استجماعه للشرائط المقرّرة له ، فقبل استمرار الدم إلى ثلاثة أيّام لا يحكم بالحيضية إلاّ إذا اُحرز الشرط بالأصل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مع الشبهة المصداقية للقواعد المقرّرة الشرعية ؛ لعدم إحراز الإمكان بحسب القواعد المقرّرة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مع الشكّ في قيام الأمارة بعد إحراز أماريتها ، كما لو اشتبهت الأمارتان لأجل الظلمة مثلاً ؛ لعدم إحراز موضوع القاعدة ؛ وهو الإمكان الواقعي بالنظر إلى المقرّرات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إثباتُ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موضوع القاعدة بأيّ معنى يكون ، تابعٌ للدليل الدالّ عليه </w:t>
      </w:r>
      <w:r>
        <w:rPr>
          <w:rFonts w:eastAsia="Amiri" w:cs="Amiri" w:ascii="Amiri" w:hAnsi="Amiri"/>
          <w:color w:val="111111"/>
          <w:sz w:val="28"/>
          <w:szCs w:val="28"/>
          <w:rtl w:val="true"/>
          <w:lang w:bidi="ar-SA"/>
        </w:rPr>
        <w:t>.</w:t>
      </w:r>
    </w:p>
    <w:p>
      <w:pPr>
        <w:pStyle w:val="Heading6"/>
        <w:numPr>
          <w:ilvl w:val="5"/>
          <w:numId w:val="1"/>
        </w:numPr>
        <w:rPr/>
      </w:pPr>
      <w:bookmarkStart w:id="108" w:name="__RefHeading___Toc686238_3406789950"/>
      <w:bookmarkStart w:id="109" w:name="_Toc37"/>
      <w:bookmarkEnd w:id="108"/>
      <w:r>
        <w:rPr>
          <w:rtl w:val="true"/>
        </w:rPr>
        <w:t>دليل قاعدة الإمكان</w:t>
      </w:r>
      <w:bookmarkEnd w:id="109"/>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استدلّ عليها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السلامة ، وقد عوّل عليها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 xml:space="preserve">وقرّبها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لا مزيد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أصل السلامة أصل معتبر معتمد </w:t>
      </w:r>
    </w:p>
    <w:p>
      <w:pPr>
        <w:pStyle w:val="BookText"/>
        <w:rPr/>
      </w:pPr>
      <w:r>
        <w:rPr>
          <w:rFonts w:ascii="Amiri" w:hAnsi="Amiri" w:eastAsia="Amiri" w:cs="Amiri"/>
          <w:color w:val="111111"/>
          <w:sz w:val="28"/>
          <w:sz w:val="28"/>
          <w:szCs w:val="28"/>
          <w:rtl w:val="true"/>
          <w:lang w:bidi="ar-SA"/>
        </w:rPr>
        <w:t xml:space="preserve">عليه عند العقلاء كافّةً في جميع اُمورهم معاشاً ومعاداً ، ويشهد به تتبّع الأخبار وسيرة العقلاء ؛ وأنّ دم الحيض تقذفه الرحم بمقتضى طبعها ومع عدم انحرافها عن حالتها الطبيعية ، وأمّا سائر الدماء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دم الاستحاضة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فدماء غير طبيعية</w:t>
      </w:r>
    </w:p>
    <w:p>
      <w:pPr>
        <w:pStyle w:val="BookText"/>
        <w:rPr/>
      </w:pPr>
      <w:r>
        <w:rPr>
          <w:rFonts w:ascii="Amiri" w:hAnsi="Amiri" w:eastAsia="Amiri" w:cs="Amiri"/>
          <w:color w:val="111111"/>
          <w:sz w:val="28"/>
          <w:sz w:val="28"/>
          <w:szCs w:val="28"/>
          <w:rtl w:val="true"/>
          <w:lang w:bidi="ar-SA"/>
        </w:rPr>
        <w:t xml:space="preserve">منشؤها خلل في المزاج أو آفة ، فلا يعتني العقلاء باحتمال ينافي أصالة السلامة ، فعند الاشتباه بين دم الحيض وغيره ، لا بدّ من البناء على الحيضية عملاً بأصل السلامة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بالغ في التأييد والاستشهاد بطوائف من الأخبار يأتي الكلام فيها إن شاء اللّه‌</w:t>
      </w:r>
      <w:r>
        <w:rPr>
          <w:rStyle w:val="FootnoteAnchor"/>
          <w:rtl w:val="true"/>
        </w:rPr>
        <w:footnoteReference w:id="82"/>
      </w:r>
      <w:r>
        <w:rPr>
          <w:rFonts w:ascii="Amiri" w:hAnsi="Amiri" w:eastAsia="Amiri" w:cs="Amiri"/>
          <w:color w:val="111111"/>
          <w:sz w:val="28"/>
          <w:sz w:val="28"/>
          <w:szCs w:val="28"/>
          <w:rtl w:val="true"/>
          <w:lang w:bidi="ar-SA"/>
        </w:rPr>
        <w:t xml:space="preserve">وجعل جميعها دليلاً على كون الأصل في دم النساء هو الحيضية ، وأنّ ملاحظة سيرة النساء والأسئلة والأجوبة الواردة في الأخبار ، تكاد تُلحق المسألة بالبديهيات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آخر ما فصّل وقرّر</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المناقشة فيه بوجوه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بناء النساء على أنّ الدم المقذوف حيض لو سلّم ، فكونه لأجل الاتّكال على أصل السلامة غير مسلّم ، خصوصاً مع هذه الحدود التي قرّرها الشارع ، فلو علمت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الدم بأيّ صفة وفي أيّ وقت خرج إذا لم يبلغ ثلاثة أيّام ونقص منها ولو ساعة واحدة ، ليس بحيض شرعاً ، وكذلك الدم المتجاوز عن العشرة ولو قليلاً ، والدم الخارج قبل تمام عشرة أيّام من الحيضة السابقة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وهكذا ، فهل تبني على الحيضية بمجرّد رؤية الدم اتّكالاً على أصالة الصحّة ، فتحكم باستمراره إلى ثلاثة أيّام ، وهل ترى أنّ العقلاء يحكمون بأنّ </w:t>
      </w:r>
    </w:p>
    <w:p>
      <w:pPr>
        <w:pStyle w:val="BookText"/>
        <w:rPr/>
      </w:pPr>
      <w:r>
        <w:rPr>
          <w:rFonts w:ascii="Amiri" w:hAnsi="Amiri" w:eastAsia="Amiri" w:cs="Amiri"/>
          <w:color w:val="111111"/>
          <w:sz w:val="28"/>
          <w:sz w:val="28"/>
          <w:szCs w:val="28"/>
          <w:rtl w:val="true"/>
          <w:lang w:bidi="ar-SA"/>
        </w:rPr>
        <w:t xml:space="preserve">الدم مع انقطاعه قبل ثلاثة أيّام بساعة من انحراف المزاج ، بخلافه إذا استمرّ إلى تمام الثلاثة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بناء النساء على حيضية الدم غالباً غير قابل للإنكار ، لكن لا لأجل الاتّكال على أصالة الصحّة ، بل معهودية الدم ، والحالات التي تعرضهنّ في حال خروج الدم أو قبله ، والأوصافُ والخصوصيات التي للدم المعهود ، وغيرُ ذلك من الغلبة وغيرها ، صارت موجبة لقطعهنّ أو اطمئنانهنّ بكون الدم هو المعهود من النساء ، وأمّا الاتّكال على مجرّد أصالة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عدم وجود الغلبة والقرائن والعلائم التي للدم وللمرأة في قرب رؤيته أو حينها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 معلوم ، لو لم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معلوم العدم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بعد تسليم جريانِ أصالة الصحّة وكونِ اتّكالهنّ عليها ، لا يمكن أن تكون دليلاً على قاعدة الإمكان ؛ سواء فسّرناها بالمعنى الأوّل من المعاني المتقدّمة ، أو بالثالث ؛ ضرورة أنّ أصالة السلامة ليست من الاُصول التعبّدية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مضافاً إلى عدم ثبوت التعبّد في الاُمور العقلائية ، لازمه أن لا نحكم على الدم بالحيضية ؛ لأنّ الحيضية من لوازم صحّة المزاج وسلامته ، فأصالة السلامة مجراها المزاج ، ولازم صحّة الرحم أن يكون قذفها طبيعياً ، ولازم ذلك كون الدم حيضاً وكون المرأة حائضاً ، فلا محيص لإثبات المدّعى ، إلاّ أن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أصالة السلامة طريق عقلائي لإثبات متعلّقه ، وأنّ الظنّ 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الغلبة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إلى السلامة ، ومع ثبوتها تثبت لوازمها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فمع تسليم هذه الأمارة العقلائية والغضّ عن المناقشة فيها ، لا يمكن أن تكون مبنى القاعدة ؛ لأنّ مفاد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يمكن أن يكون حيضاً فهو حيض ، بمجرّد احتمال الحيضية على المعنى الأوّل ، أو إمكانها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الدليل على خلافها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المعنى الثاني ، ومع قيام الأمارة على الحيضية يخرج المورد عن موضوع القاعدة ، وكيف يمكن أن يكون دليل الشيء مُعدِماً لموضوعه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موضوع القاعدة هو إمكان الحيضية ، فوجوب الحيضية وامتناعها خارجان عن مصبّها ، إلاّ أن يفسّر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بالإمكان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سلب الضرورة عن الجانب المخالف بالنظر إلى القواعد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ينافي الوجوب ، وهو كما ترى ؛ فإنّ مرجعها في كثير من الموارد أو جميعها أنّ كلّ ما يجب أن يكون حيضاً فهو حيض ، وأنّ كلّ ما دلّت الأدلّة الشرعية والأمارات المعتبرة على حيضيته فهو حيض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محيص عن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قاعدة الإمكان قاعدة برأسها ، مؤسّسة للحكم بالحيضية فيما لم يدلّ دليل على أحد الطرفين ، وكانت المرأة فاقدة الأمارة ، فتأسيس القاعدة لرفع الشكّ عند فقد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والالتزام بكونها منتزعة من موارد قيام الأدلّة على الحيضية إنكار لأصل القاعدة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على فرض تسليم ذلك ، لا تفي أصالة السلامة بجميع موارد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قاعدة الإمكان ، ففي مورد تعارض الأمارتين ، أو الجهل بالأمارة القائمة ، أو كون المرأة في معرض اختلال المزاج وانحرافه ، لا مصير إلى أصالة الصحّة ، مع أنّ موضوع القاعدة يشملها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الاستدلال بأصالة السلامة لإثبات المدّعى ممّا لا مجال 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بطوائف من الأخبار ؛ إمّا مستقلاًّ ، أو مؤيّداً بها لأصالة السلامة</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وردت في تحيّض الحامل معلّلة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الحبلى ربّما قذفت بالدم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كصحيحة عبداللّه بن سنان عن 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سئل عن الحبلى ترى الدم ، أتترك الصلاة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 إنّ الحبلى ربّما قذفت بالدم</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منها مرسلة حَريز</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تدلّ على أنّ احتمال قذف الدم موضوع للتحيّض ، وهذا هو قاعدة الإمكان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لمّا كان محلّ خلاف بين العامّة وكان أبو حنيفة منكراً لاجتماع الحيض مع الحبل</w:t>
      </w:r>
      <w:r>
        <w:rPr>
          <w:rStyle w:val="FootnoteAnchor"/>
          <w:rtl w:val="true"/>
        </w:rPr>
        <w:footnoteReference w:id="87"/>
      </w:r>
      <w:r>
        <w:rPr>
          <w:rFonts w:ascii="IRNazanin" w:hAnsi="IRNazanin" w:eastAsia="IRNazanin"/>
          <w:color w:val="111111"/>
          <w:sz w:val="28"/>
          <w:sz w:val="28"/>
          <w:szCs w:val="28"/>
          <w:rtl w:val="true"/>
          <w:lang w:bidi="fa-IR"/>
        </w:rPr>
        <w:t xml:space="preserve">، وردت هذه الروايات لرفع استبعاد اجتماعهما ، ولهذا ترى في بعضها ذكر وجه خروج دم الحيض ، كصحيحة سليمان بن خالد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 الحبلى ربّما طمثت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 وذلك أنّ الولد في بطن اُمّه غذاؤه الدم ، فربّما كثر ففضل عنه ، فإذا فضل دفقته ، فإذا دفقته حرمت عليها الصلاة</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الحبلى ربّما قذفت بالدم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 عن الواقع لرفع الاستبعاد ، لا للتعبّد بجعل الدم حيضاً بمجرّد الاحتمال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ترى أنّ ما في صحيحة أبي بصير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الحبلى ، ترى الدم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 إنّه ربّما قذفت المرأة الدم وهي حبلى</w:t>
      </w:r>
      <w:r>
        <w:rPr>
          <w:rFonts w:eastAsia="IRNazanin" w:cs="IRNazanin"/>
          <w:color w:val="111111"/>
          <w:sz w:val="28"/>
          <w:szCs w:val="28"/>
          <w:rtl w:val="true"/>
          <w:lang w:bidi="fa-IR"/>
        </w:rPr>
        <w:t>»</w:t>
      </w:r>
      <w:r>
        <w:rPr>
          <w:rStyle w:val="FootnoteAnchor"/>
          <w:rtl w:val="true"/>
        </w:rPr>
        <w:footnoteReference w:id="89"/>
      </w:r>
      <w:r>
        <w:rPr>
          <w:rFonts w:ascii="Amiri" w:hAnsi="Amiri" w:eastAsia="Amiri" w:cs="Amiri"/>
          <w:color w:val="111111"/>
          <w:sz w:val="28"/>
          <w:sz w:val="28"/>
          <w:szCs w:val="28"/>
          <w:rtl w:val="true"/>
          <w:lang w:bidi="ar-SA"/>
        </w:rPr>
        <w:t xml:space="preserve">كالصريح فيما ذكرنا ؛ فإنّ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سؤاله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الحبلى ترى الدم أو لا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ربّما قذفت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إخبار عن واقع محفوظ ، ولا معنى للتعبّد في هذا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مضمون الروايات التي ذكر فيها هذه الجملة واحد ، فقوله في صحيحة عبداللّه المتقدّمة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الحبلى ترى الدم ، أتترك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مراده أ نّها</w:t>
      </w:r>
    </w:p>
    <w:p>
      <w:pPr>
        <w:pStyle w:val="BookText"/>
        <w:rPr/>
      </w:pPr>
      <w:r>
        <w:rPr>
          <w:rFonts w:ascii="Amiri" w:hAnsi="Amiri" w:eastAsia="Amiri" w:cs="Amiri"/>
          <w:color w:val="111111"/>
          <w:sz w:val="28"/>
          <w:sz w:val="28"/>
          <w:szCs w:val="28"/>
          <w:rtl w:val="true"/>
          <w:lang w:bidi="ar-SA"/>
        </w:rPr>
        <w:t>ترى الدم المعهود مثل سائر النساء ، فهل عليها أن تترك الصلاة أو لا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ولهذا 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الروايات باللام ، كما ترى في صحيحة عبد الرحمان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الحبلى ، ترى الدم وهي حامل كما كانت ترى قبل ذلك في كلّ شهر ، هل تترك الصلاة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تترك الصلاة إذا دام</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 xml:space="preserve">وفي صحيحة ابن مسلم عن أحدهما 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الحبلى ، ترى الدم كما كانت ترى أيّام حيضها مستقيماً في كلّ شهر </w:t>
      </w:r>
      <w:r>
        <w:rPr>
          <w:rFonts w:eastAsia="IRNazanin" w:cs="IRNazanin"/>
          <w:color w:val="111111"/>
          <w:sz w:val="28"/>
          <w:szCs w:val="28"/>
          <w:rtl w:val="true"/>
          <w:lang w:bidi="fa-IR"/>
        </w:rPr>
        <w:t>. . .</w:t>
      </w:r>
      <w:r>
        <w:rPr>
          <w:rStyle w:val="FootnoteAnchor"/>
          <w:rtl w:val="true"/>
        </w:rPr>
        <w:footnoteReference w:id="91"/>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السؤال عن ترك </w:t>
      </w:r>
    </w:p>
    <w:p>
      <w:pPr>
        <w:pStyle w:val="BookText"/>
        <w:rPr/>
      </w:pPr>
      <w:r>
        <w:rPr>
          <w:rFonts w:ascii="Amiri" w:hAnsi="Amiri" w:eastAsia="Amiri" w:cs="Amiri"/>
          <w:color w:val="111111"/>
          <w:sz w:val="28"/>
          <w:sz w:val="28"/>
          <w:szCs w:val="28"/>
          <w:rtl w:val="true"/>
          <w:lang w:bidi="ar-SA"/>
        </w:rPr>
        <w:t xml:space="preserve">الصلاة بعد الفراغ عن كون الدم في أيّام العادة أو بصفات الحيض ؛ لاحتمال أن لا يجتمع الحيض والحبل ، كما قال أبو حنيفة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فالتأمّل في الروايات يورث القطع بعدم كونها في مقام إفادة القاعدة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أن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أخبار جواز اجتماع الحمل والحيض ما يشهد بعدم اعتبار قاعدة الإمكان ؛ للإرجاع إلى الصفات ، ففي صحيحة أبي المغرا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دماً كثيراً فلا تصلّينّ ، وإن كان قليلاً فلتغتسل عند كلّ صلاتين</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موثّقة إسحاق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دماً عبيطاً فلا تصلّي ذينك اليومين ، وإن كان صفرة فلتغتسل عند كلِّ صلاتين</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محمّد بن مسلم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دماً أحمر كثيراً فلا تصلّي ، وإن كان دماً قليلاً أصفر فليس عليها إلاّ الوضوء</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الاستدلال بهذه الروايات للقاعدة في غير محلّه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يظهر حال ما دلّ على التحيّض قبل وقت حيضها معلّلاً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ربّما تعجّل بها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موثّقة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المرأة ترى الدم قبل وقت حيضها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رأت الدم قبل وقت حيضها فلتدع </w:t>
      </w:r>
    </w:p>
    <w:p>
      <w:pPr>
        <w:pStyle w:val="BookText"/>
        <w:rPr/>
      </w:pPr>
      <w:r>
        <w:rPr>
          <w:rFonts w:ascii="Amiri" w:hAnsi="Amiri" w:eastAsia="Amiri" w:cs="Amiri"/>
          <w:color w:val="111111"/>
          <w:sz w:val="28"/>
          <w:sz w:val="28"/>
          <w:szCs w:val="28"/>
          <w:rtl w:val="true"/>
          <w:lang w:bidi="ar-SA"/>
        </w:rPr>
        <w:t>الصلاة ؛ فإنّه ربّما تعجّل بها الوقت</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الظاهر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تعجّل بها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بصدد بيان أنّ مجرّد احتمال التعجّل موضوع للحكم بالحيضية ، بل بصدد أنّ الدم المعهود للنساء إذا جرى قبل العادة فهو من الحيض ، ويكون من تعجّل الوقت ؛ فإنّ العادة في النساء ليست مضبوطة بالدقّة بحيث لا تتقدّم يوماً أو يومين ، بل كثيراً ما يتعجّل الوقت فيكون من العادة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دعوى إشعارها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دلالتها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اعتبار قاعدة الإمكان ؛ فإنّها لو كانت معتبرة ، وكان كلّ دم يمكن أن يكون حيضاً محكوماً بالحيضية ، لم يكن وجه لتخصيص الحكم بما يصدق عليه عرفاً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تعجّل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حدّده في بعض الروايات بيوم أو يومين ، فالتقييد بذلك لأجل أمارية العادة للحيض ، لكن لا بمعنى أ نّها منضبطة بحيث لا تتقدّم قليلاً أو لا تتأخّر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يستفاد من مثل تلك الرواية قاعدة الإمكان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استدلّ به لها ما دلّ على أنّ ما رأت قبل عشرة أيّام فهو من الحيضة</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الاُولى كصحيحة محمّد بن مسلم عن أبي جعفر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رأت المرأة الدم قبل عشرة أيّام فهو من الحيضة الاُولى ، وإن كان بعد العشرة فهو من الحيضة المستقبلة</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وروايته عن أبي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أقلّ ما يكون الحيض ثلاثة ، وإذا رأت الدم قبل عشرة أيّام فهو من الحيضة الاُولى ؛ وإذا رأته بعد عشرة أيّام فهو من حيضة اُخرى مستقبلة</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ورواية عبدالرحمان بن أبي عبداللّه في أبواب العدد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المرأة إذا طلّقها زوجها ، متى تكون هي أملك بنفسها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رأت الدم من الحيضة الثالثة فهي أملك بنفسها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عجّل الدم عليها قبل أيّام قُرْئها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الدم قبل عشرة أيّام فهو أملك بها ، وهو من الحيضة التي طهرت منها ، وإن كان الدم بعد العشرة أيّام فهو من الحيضة الثالثة ، وهي أملك بنفسها</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دلّت هذه الأخبار على أنّ الدم بمجرّد رؤيته محكوم بالحيضية ، لكن إذا كان قبل العشرة فهو من الاُولى ، وإذا كان بعدها فهو من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الظاهر من الروايات مفروغية كون الدم حيضاً ، وأنّ محلّ البحث كونه من الاُولى أو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نّها في مقام بيان أنّ أيّ دم من الحيضة الاُولى ، وأيّ دم من الحيضة الثانية ، لا في مقام بيان أنّ كلّ ما رأته فهو من الحيض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يوضح ذلك قوله في رواية ابن مسلم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 ما يكون الحيض ثلاثة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رأت الدم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عقيب ذلك يؤكّد أنّ المراد منه هو دم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قوله في الرواية الأخيرة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عجّل الدم عليها قبل أيّام قُرْئها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كالصريح في</w:t>
      </w:r>
    </w:p>
    <w:p>
      <w:pPr>
        <w:pStyle w:val="BookText"/>
        <w:rPr/>
      </w:pPr>
      <w:r>
        <w:rPr>
          <w:rFonts w:ascii="Amiri" w:hAnsi="Amiri" w:eastAsia="Amiri" w:cs="Amiri"/>
          <w:color w:val="111111"/>
          <w:sz w:val="28"/>
          <w:sz w:val="28"/>
          <w:szCs w:val="28"/>
          <w:rtl w:val="true"/>
          <w:lang w:bidi="ar-SA"/>
        </w:rPr>
        <w:t xml:space="preserve">تعجّل دم الحيض ، 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الدم قبل عشرة أيّام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جواباً عن ذلك ، ظاهر في أنّ الكلام بعد فرض حيضية الدم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عدم علمها بالحيضية لو لا القاعدة مدفوع بأنّ النساء كثيراً ما علمن بها بواسطة القرائن والأمارات التي عندهنّ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الشارع جعل للحيض طريقاً إذا اشتبه بالاستحاضة ، والاشتباه قلّما يتّفق في 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استفادة مثل تلك القاعدة من مثل تلك الروايات غير ممكن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عبداللّه بن المغيرة عن أبي الحسن الأوّل في امرأة نفست ، فتركت الصلاة ثلاثين يوماً ، ثمّ طهرت ، ثمّ رأت الدم بعد ذلك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تدع الصلاة ؛ لأنّ أيّامها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الطهر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جازت مع أيّام النفاس</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حيث حكم بالحيضية بمجرّد عدم الامتناع وخروج أيّام الطهر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تلك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عداد سائر الروايات التي دلّت على أنّ أيّام النفاس يمكن أن تكون ثلاثين يوماً أو أزيد</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أعرض أصحابنا عنها </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ظاهرها أنّ أيّام النفاس تجتمع مع أيّام الطهر ، وهو أيضاً يوجب الاضطراب في المتن ؛ وإن أمكن تأويله بالحمل على أيّام النفاس </w:t>
      </w:r>
    </w:p>
    <w:p>
      <w:pPr>
        <w:pStyle w:val="BookText"/>
        <w:rPr/>
      </w:pPr>
      <w:r>
        <w:rPr>
          <w:rFonts w:ascii="Amiri" w:hAnsi="Amiri" w:eastAsia="Amiri" w:cs="Amiri"/>
          <w:color w:val="111111"/>
          <w:sz w:val="28"/>
          <w:sz w:val="28"/>
          <w:szCs w:val="28"/>
          <w:rtl w:val="true"/>
          <w:lang w:bidi="ar-SA"/>
        </w:rPr>
        <w:t>عرفاً وإن لم يكن واقعاً وشرعاً ، لكنّه تأويل بعيد ينافي تقريره ترك الصلاة</w:t>
      </w:r>
    </w:p>
    <w:p>
      <w:pPr>
        <w:pStyle w:val="BookText"/>
        <w:rPr/>
      </w:pPr>
      <w:r>
        <w:rPr>
          <w:rFonts w:ascii="Amiri" w:hAnsi="Amiri" w:eastAsia="Amiri" w:cs="Amiri"/>
          <w:color w:val="111111"/>
          <w:sz w:val="28"/>
          <w:sz w:val="28"/>
          <w:szCs w:val="28"/>
          <w:rtl w:val="true"/>
          <w:lang w:bidi="ar-SA"/>
        </w:rPr>
        <w:t xml:space="preserve">ثلاثين يوماً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أيّامها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الطهر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جازت مع أيّام النفاس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الردع عن ترك الصلاة ؛ فإنّ أيّام النفاس ليست أيّام الطهر عيناً ، فيحمل على أنّ الثلاثين ليست أيّام النفاس جميعاً ، بل بعضها أيّام النفاس ، وبعضها أيّام</w:t>
      </w:r>
    </w:p>
    <w:p>
      <w:pPr>
        <w:pStyle w:val="BookText"/>
        <w:rPr/>
      </w:pPr>
      <w:r>
        <w:rPr>
          <w:rFonts w:ascii="Amiri" w:hAnsi="Amiri" w:eastAsia="Amiri" w:cs="Amiri"/>
          <w:color w:val="111111"/>
          <w:sz w:val="28"/>
          <w:sz w:val="28"/>
          <w:szCs w:val="28"/>
          <w:rtl w:val="true"/>
          <w:lang w:bidi="ar-SA"/>
        </w:rPr>
        <w:t xml:space="preserve">الطهر ، فيكون قد أظهر الحكم الواقعي تحت حجاب التقيّة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دم الحيض مقابل الصفرة ، وهو أمارة الحيض عند دوران الأمر بينه وبين الاستحاضة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والشاهد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الروايات ذُكر في مقابل الصفرة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عبدالرحمان بن الحجّاج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إبراهيم علیه السلام عن امرأة نفست ، فمكثت ثلاثين يوماً أو أكثر ، ثمّ طهرت وصلّت ، ثمّ رأت دماً أو صفرة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صفرة فلتغتسل ولتصلّ ، ولا تمسك عن الصلاة</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مثلها ، إلاّ أ 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فمكثت ثلاثين ليلة أو أكثر ، وزاد في آخرها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دماً ليس بصفرة فلتمسك عن الصلاة أيّام قرئها ، ثمّ لتغتسل ولتصلّ</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 xml:space="preserve">فتدلّ على أنّ مرجعها الصفات ، لا قاعدة الإمكان ، والإنصاف أ نّها على خلاف المطلوب أدلّ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يونس بن يعقوب أو موثّقته</w:t>
      </w:r>
      <w:r>
        <w:rPr>
          <w:rStyle w:val="FootnoteAnchor"/>
          <w:rtl w:val="true"/>
        </w:rPr>
        <w:footnoteReference w:id="104"/>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ترى الدم ثلاثة أيّام أو أربعة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تدع الصلاة ؛ تصنع ما بينها وبين شهر ، فإن انقطع عنها الدم ، وإلاّ فهي بمنزلة المستحاضة</w:t>
      </w:r>
      <w:r>
        <w:rPr>
          <w:rFonts w:eastAsia="IRNazanin" w:cs="IRNazanin"/>
          <w:color w:val="111111"/>
          <w:sz w:val="28"/>
          <w:szCs w:val="28"/>
          <w:rtl w:val="true"/>
          <w:lang w:bidi="fa-IR"/>
        </w:rPr>
        <w:t>»</w:t>
      </w:r>
      <w:r>
        <w:rPr>
          <w:rStyle w:val="FootnoteAnchor"/>
          <w:rtl w:val="true"/>
        </w:rPr>
        <w:footnoteReference w:id="105"/>
      </w:r>
      <w:r>
        <w:rPr>
          <w:rFonts w:ascii="Amiri" w:hAnsi="Amiri" w:eastAsia="Amiri" w:cs="Amiri"/>
          <w:color w:val="111111"/>
          <w:sz w:val="28"/>
          <w:sz w:val="28"/>
          <w:szCs w:val="28"/>
          <w:rtl w:val="true"/>
          <w:lang w:bidi="ar-SA"/>
        </w:rPr>
        <w:t>وقريب منها رواية أبي بصير</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التمسّك بمثلهما لا يجوز ؛ للزوم كون الحيض أكثر من عشرة أيّام ، أو كون الطهر أقلّ منها ، وكلاهما خلاف الواقع ، فلا بدّ من طرحهما أو توجيههما ، وقد وجّههما الشيخ والمحقّق بما لا بأس به</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ترى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 الطهر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ترى الحيض والدم المعهود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الرواية في مقام بيان حكم آخر ، ولا يمكن أن يتمسّك بها للمقام ، كما لا يخفى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الصائمة تفطر بمجرّد رؤية الدم</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يخفى ما فيه بعد الرجوع إليها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لا يخفى ما في التمسّك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والصفرة والكدرة في أيّام الحيض حيض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كصحيحة ابن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المرأة ترى</w:t>
      </w:r>
    </w:p>
    <w:p>
      <w:pPr>
        <w:pStyle w:val="BookText"/>
        <w:rPr/>
      </w:pPr>
      <w:r>
        <w:rPr>
          <w:rFonts w:ascii="Amiri" w:hAnsi="Amiri" w:eastAsia="Amiri" w:cs="Amiri"/>
          <w:color w:val="111111"/>
          <w:sz w:val="28"/>
          <w:sz w:val="28"/>
          <w:szCs w:val="28"/>
          <w:rtl w:val="true"/>
          <w:lang w:bidi="ar-SA"/>
        </w:rPr>
        <w:t xml:space="preserve">الصفرة في أيّامها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تصلّي حتّى تنقضي أيّامها ، وإن رأت الصفرة في غير أيّامها توضّأت وصلّت</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 xml:space="preserve">إذ لا إشكال في أنّ 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خصوصاً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أيّامها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أيّام العادة ، دون أيّام الإمكان كما قيل</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العيص بن القاسم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امرأة ذهب طمثها سنين ، ثمّ عاد إليها شيء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تترك الصلاة حتّى تطهر</w:t>
      </w:r>
      <w:r>
        <w:rPr>
          <w:rFonts w:eastAsia="IRNazanin" w:cs="IRNazanin"/>
          <w:color w:val="111111"/>
          <w:sz w:val="28"/>
          <w:szCs w:val="28"/>
          <w:rtl w:val="true"/>
          <w:lang w:bidi="fa-IR"/>
        </w:rPr>
        <w:t>»</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عود شيء أعمّ من الموصوف بصفات الحيض وغيره ، وفي زمان العادة 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العود مجيء الطمث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الأخذ بإطلاق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معنى له ، فلا بدّ من تقدير ، والظاهر أنّ 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عاد إليها شيء من الطمث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ذهب فعاد ، ولا أقلّ من احتماله ، ومعه لا يجوز التمسّك به للقاعدة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من تأخّر عنهما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وهن دعوى الإجماع في مثل هذه المسألة التي</w:t>
      </w:r>
    </w:p>
    <w:p>
      <w:pPr>
        <w:pStyle w:val="BookText"/>
        <w:rPr/>
      </w:pPr>
      <w:r>
        <w:rPr>
          <w:rFonts w:ascii="Amiri" w:hAnsi="Amiri" w:eastAsia="Amiri" w:cs="Amiri"/>
          <w:color w:val="111111"/>
          <w:sz w:val="28"/>
          <w:sz w:val="28"/>
          <w:szCs w:val="28"/>
          <w:rtl w:val="true"/>
          <w:lang w:bidi="ar-SA"/>
        </w:rPr>
        <w:t xml:space="preserve">كثرت الأخبار والقواعد فيها ؛ بحيث يمكن اتّكال القوم عليها ، فكيف يمكن حصول العلم أو الاطمئنان بوجود شيء آخر غير تلك الأدلّة كان هو منشأ الإجماع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في أصل الدعوى تأمّلاً وإشكالاً ، فلا بدّ من نقل عباراتهم حتّى</w:t>
      </w:r>
    </w:p>
    <w:p>
      <w:pPr>
        <w:pStyle w:val="BookText"/>
        <w:rPr/>
      </w:pPr>
      <w:r>
        <w:rPr>
          <w:rFonts w:ascii="Amiri" w:hAnsi="Amiri" w:eastAsia="Amiri" w:cs="Amiri"/>
          <w:color w:val="111111"/>
          <w:sz w:val="28"/>
          <w:sz w:val="28"/>
          <w:szCs w:val="28"/>
          <w:rtl w:val="true"/>
          <w:lang w:bidi="ar-SA"/>
        </w:rPr>
        <w:t xml:space="preserve">يتّضح الحال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الصفرة والكدرة في أيّام الحيض حيض ، وفي أيّام</w:t>
      </w:r>
    </w:p>
    <w:p>
      <w:pPr>
        <w:pStyle w:val="BookText"/>
        <w:rPr/>
      </w:pPr>
      <w:r>
        <w:rPr>
          <w:rFonts w:ascii="Amiri" w:hAnsi="Amiri" w:eastAsia="Amiri" w:cs="Amiri"/>
          <w:color w:val="111111"/>
          <w:sz w:val="28"/>
          <w:sz w:val="28"/>
          <w:szCs w:val="28"/>
          <w:rtl w:val="true"/>
          <w:lang w:bidi="ar-SA"/>
        </w:rPr>
        <w:t>الطهر طهر ؛ سواء كانت أيّام العادة ، أو الأيّام التي يمكن أن تكون حائضاً فيها ، وعلى هذا أكثر أصحاب الشافعي</w:t>
      </w:r>
      <w:r>
        <w:rPr>
          <w:rStyle w:val="FootnoteAnchor"/>
          <w:rtl w:val="true"/>
        </w:rPr>
        <w:footnoteReference w:id="113"/>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دليلنا على صحّة ما ذهبنا إليه إجماع الفرقة ، وقد بيّنّا أنّ إجماعها حجّة ، وأيضاً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المرأة ترى الصفرة في أيّامها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تصلّي حتّى تنقضي أيّامها ، وإن رأت الصفرة في غير أيّامها توضّأت وصلّت</w:t>
      </w:r>
      <w:r>
        <w:rPr>
          <w:rFonts w:eastAsia="IRNazanin" w:cs="IRNazanin"/>
          <w:color w:val="111111"/>
          <w:sz w:val="28"/>
          <w:szCs w:val="28"/>
          <w:rtl w:val="true"/>
          <w:lang w:bidi="fa-IR"/>
        </w:rPr>
        <w:t>»</w:t>
      </w:r>
      <w:r>
        <w:rPr>
          <w:rStyle w:val="FootnoteAnchor"/>
          <w:rtl w:val="true"/>
        </w:rPr>
        <w:footnoteReference w:id="114"/>
      </w:r>
      <w:r>
        <w:rPr>
          <w:rFonts w:ascii="Amiri" w:hAnsi="Amiri" w:eastAsia="Amiri" w:cs="Amiri"/>
          <w:color w:val="111111"/>
          <w:sz w:val="28"/>
          <w:sz w:val="28"/>
          <w:szCs w:val="28"/>
          <w:rtl w:val="true"/>
          <w:lang w:bidi="ar-SA"/>
        </w:rPr>
        <w:t>ثمّ تمسّك برواية أبي بصير</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نقل</w:t>
      </w:r>
      <w:r>
        <w:rPr>
          <w:rStyle w:val="FootnoteAnchor"/>
          <w:rtl w:val="true"/>
        </w:rPr>
        <w:footnoteReference w:id="116"/>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والصفرة والكدرة في أيّام الحيض 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بأيّام الإمكان</w:t>
      </w:r>
      <w:r>
        <w:rPr>
          <w:rStyle w:val="FootnoteAnchor"/>
          <w:rtl w:val="true"/>
        </w:rPr>
        <w:footnoteReference w:id="117"/>
      </w:r>
      <w:r>
        <w:rPr>
          <w:rFonts w:ascii="Amiri" w:hAnsi="Amiri" w:eastAsia="Amiri" w:cs="Amiri"/>
          <w:color w:val="111111"/>
          <w:sz w:val="28"/>
          <w:sz w:val="28"/>
          <w:szCs w:val="28"/>
          <w:rtl w:val="true"/>
          <w:lang w:bidi="ar-SA"/>
        </w:rPr>
        <w:t xml:space="preserve">، فكأنّ الشيخ فهم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 الحيض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أيّامَ الإمكان ، فحينئذٍ من الممكن مطابقة عبارات الأصحاب أو جملة منهم لهذا</w:t>
      </w:r>
    </w:p>
    <w:p>
      <w:pPr>
        <w:pStyle w:val="BookText"/>
        <w:rPr/>
      </w:pPr>
      <w:r>
        <w:rPr>
          <w:rFonts w:ascii="Amiri" w:hAnsi="Amiri" w:eastAsia="Amiri" w:cs="Amiri"/>
          <w:color w:val="111111"/>
          <w:sz w:val="28"/>
          <w:sz w:val="28"/>
          <w:szCs w:val="28"/>
          <w:rtl w:val="true"/>
          <w:lang w:bidi="ar-SA"/>
        </w:rPr>
        <w:t>النصّ الذي استند إليه ، وقد فهم الشيخ منها ما فهم ، وأسند إليهم الحكم باجتهاده ،</w:t>
      </w:r>
    </w:p>
    <w:p>
      <w:pPr>
        <w:pStyle w:val="BookText"/>
        <w:rPr/>
      </w:pPr>
      <w:r>
        <w:rPr>
          <w:rFonts w:ascii="Amiri" w:hAnsi="Amiri" w:eastAsia="Amiri" w:cs="Amiri"/>
          <w:color w:val="111111"/>
          <w:sz w:val="28"/>
          <w:sz w:val="28"/>
          <w:szCs w:val="28"/>
          <w:rtl w:val="true"/>
          <w:lang w:bidi="ar-SA"/>
        </w:rPr>
        <w:t xml:space="preserve">فصارت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بتخلّل اجتهاده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استظهار الشيخ أيّامَ الإمكان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رواية ابن مسلم لا يبقى وثوق بنقل إجماعه ؛ لإمكان استظهاره ذلك من عبارات الفقهاء أيضاً ، خصوصاً مع دعواه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الفقهاء كان بناؤهم على عدم التخطّي عن النصوص ، بل عن عباراتها أيضاً</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مع أنّ في مطلق إجماعات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كلاماً على نحو الكلام الذي في إجماعات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وما تراه المرأة بين الثلاثة إلى العشرة حيض إذا انقطع ، ولا عبرة بلونه ما لم يعلم أ نّه لقرح أو لعذرة ، وهو 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 نّه زمان يمكن أن يكون حيضاً ، فيجب أن يكون الدم فيه حيضاً</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دم تراه المرأة ما بين الثلاثة إلى العشرة ثمّ ينقطع عليها ،</w:t>
      </w:r>
    </w:p>
    <w:p>
      <w:pPr>
        <w:pStyle w:val="BookText"/>
        <w:rPr/>
      </w:pPr>
      <w:r>
        <w:rPr>
          <w:rFonts w:ascii="Amiri" w:hAnsi="Amiri" w:eastAsia="Amiri" w:cs="Amiri"/>
          <w:color w:val="111111"/>
          <w:sz w:val="28"/>
          <w:sz w:val="28"/>
          <w:szCs w:val="28"/>
          <w:rtl w:val="true"/>
          <w:lang w:bidi="ar-SA"/>
        </w:rPr>
        <w:t>فهو حيض ما لم يعلم أ نّه لعذرة أو قرح ، ولا اعتبار باللون ، وهو مذهب علمائنا أجمع، ولا نعرف مخالفاً؛ لأ نّه في زمان يمكن أن يكون حيضاً، فيكون حيضاً</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كلّ دم يمكن أن يكون حيضاً وينقطع على العشرة فإنّه </w:t>
      </w:r>
    </w:p>
    <w:p>
      <w:pPr>
        <w:pStyle w:val="BookText"/>
        <w:rPr/>
      </w:pPr>
      <w:r>
        <w:rPr>
          <w:rFonts w:ascii="Amiri" w:hAnsi="Amiri" w:eastAsia="Amiri" w:cs="Amiri"/>
          <w:color w:val="111111"/>
          <w:sz w:val="28"/>
          <w:sz w:val="28"/>
          <w:szCs w:val="28"/>
          <w:rtl w:val="true"/>
          <w:lang w:bidi="ar-SA"/>
        </w:rPr>
        <w:t xml:space="preserve">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اتّفق لونه أو اختلف ، قوي أو 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استدلّ بأ نّه دم في زمان يمكن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آخره</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وأنت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شيئاً من تلك الكلمات ، لا يدلّ على دعوى الإجماع على القاعدة ، بل يكون محلّ كلامهما هو المسألة الفرعية ؛ وهي ما ترى المرأة بين الثلاثة إلى العشرة ، فادّعيا الإجماع على هذه المسألة الفرعية ، وأضافا التمسّك بالقاعدة من غير دعوى الإجماع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كون موضوع كلام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الإمكان ، فاسد جدّاً ؛ للزوم المصادرة والاستدلال على القاعدة بنفسها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مفروض كلامهما بعد مفروغية كون الثلاثة حيضاً ، ويكون مستندهما في حيضية الزائد إلى العشرة هو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إمكان حيضية الدم لتنقيح موضوع الاستصحاب ، لا التمسّك بالقاعدة ،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12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ما بين الأقلّ والأكثر حيض مع إمكانه وإن اختلف لونه ؛ لاستصحاب الحيض ، ولخبر سماعة</w:t>
      </w:r>
      <w:r>
        <w:rPr>
          <w:rStyle w:val="FootnoteAnchor"/>
          <w:rtl w:val="true"/>
        </w:rPr>
        <w:footnoteReference w:id="12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ومعلوم أنّ التمسّك بالاستصحاب بعد مفروغية كون الدم في الثلاثة حيضاً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يتّضح حال دعوى عدم الخلاف والإجماع والشهرة من المتأخّرين والمقاربين لعصرنا </w:t>
      </w:r>
      <w:r>
        <w:rPr>
          <w:rStyle w:val="FootnoteAnchor"/>
          <w:rtl w:val="true"/>
        </w:rPr>
        <w:footnoteReference w:id="125"/>
      </w:r>
      <w:r>
        <w:rPr>
          <w:rFonts w:ascii="Amiri" w:hAnsi="Amiri" w:eastAsia="Amiri" w:cs="Amiri"/>
          <w:color w:val="111111"/>
          <w:sz w:val="28"/>
          <w:sz w:val="28"/>
          <w:szCs w:val="28"/>
          <w:rtl w:val="true"/>
          <w:lang w:bidi="ar-SA"/>
        </w:rPr>
        <w:t xml:space="preserve">؛ لعدم الوثوق بها في هذه المسألة التي </w:t>
      </w:r>
      <w:bookmarkStart w:id="110" w:name="pg15019_190582"/>
    </w:p>
    <w:p>
      <w:pPr>
        <w:pStyle w:val="BookText"/>
        <w:rPr/>
      </w:pPr>
      <w:bookmarkEnd w:id="110"/>
      <w:r>
        <w:rPr>
          <w:rFonts w:ascii="Amiri" w:hAnsi="Amiri" w:eastAsia="Amiri" w:cs="Amiri"/>
          <w:color w:val="111111"/>
          <w:sz w:val="28"/>
          <w:sz w:val="28"/>
          <w:szCs w:val="28"/>
          <w:rtl w:val="true"/>
          <w:lang w:bidi="ar-SA"/>
        </w:rPr>
        <w:t xml:space="preserve">مرّ حالها من ترامي الأدلّة والاستدلالات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وطريق الاحتياط واضح ، وهو سبيل النجاة </w:t>
      </w:r>
      <w:r>
        <w:rPr>
          <w:rFonts w:eastAsia="Amiri" w:cs="Amiri" w:ascii="Amiri" w:hAnsi="Amiri"/>
          <w:color w:val="111111"/>
          <w:sz w:val="28"/>
          <w:szCs w:val="28"/>
          <w:rtl w:val="true"/>
          <w:lang w:bidi="ar-SA"/>
        </w:rPr>
        <w:t>.</w:t>
      </w:r>
    </w:p>
    <w:p>
      <w:pPr>
        <w:pStyle w:val="Heading6"/>
        <w:numPr>
          <w:ilvl w:val="5"/>
          <w:numId w:val="1"/>
        </w:numPr>
        <w:rPr/>
      </w:pPr>
      <w:bookmarkStart w:id="111" w:name="__RefHeading___Toc686240_3406789950"/>
      <w:bookmarkStart w:id="112" w:name="_Toc38"/>
      <w:bookmarkEnd w:id="111"/>
      <w:r>
        <w:rPr>
          <w:rtl w:val="true"/>
        </w:rPr>
        <w:t>في مقدار سعة قاعدة الإمكان</w:t>
      </w:r>
      <w:bookmarkEnd w:id="112"/>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بيان موردها ومقدار سعة نطاقها ، فهو تابع لمدرك القاعدة ، فيختلف باختلافه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مثل أصالة السلامة ، فيلاحظ بناء العقلاء في الإجراء والاستناد ، ولا إشكال في عدم مورد لجريانها إلاّ فيما شكّ موضوعاً في أنّ الدم الخارج منها هو الدم الطبيعي المقذوف من الرحم السالم أو لا ، وكان منشأ الشكّ فيها هو الشكّ في السلامة والانحراف ، دون سائر الموارد من الشبهات الحكمية ، أو الشكّ في تحقّق ما يعتبره الشارع ، أو الشبهة الحاصلة من تعارض الأمارات ، أو عدم إمكان العلم بالأمارة الموجودة ، أو عدم إمكان استعمال الأمارة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وغير ذلك من الشبهات المتقدّمة</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المستند هو الروايات ، فلا بدّ من ملاحظة مفاد المستند ، وأشملها دلالةً على الفرض هو روايات اجتماع الحمل والحيض وما دلّ على أنّ الوقت ربّما يعجّل بها ورواية النفاس</w:t>
      </w:r>
      <w:r>
        <w:rPr>
          <w:rStyle w:val="FootnoteAnchor"/>
          <w:rtl w:val="true"/>
        </w:rPr>
        <w:footnoteReference w:id="127"/>
      </w:r>
      <w:r>
        <w:rPr>
          <w:rFonts w:ascii="Amiri" w:hAnsi="Amiri" w:eastAsia="Amiri" w:cs="Amiri"/>
          <w:color w:val="111111"/>
          <w:sz w:val="28"/>
          <w:sz w:val="28"/>
          <w:szCs w:val="28"/>
          <w:rtl w:val="true"/>
          <w:lang w:bidi="ar-SA"/>
        </w:rPr>
        <w:t xml:space="preserve">وشيء منها لا يدلّ إلاّ على البناء على الحيض في الشبهة الموضوعية والشكّ في أنّ الدم الخارج حيض أو لا ؛ فإنّ الظاهر من الروايات الواردة في الحمل ، أنّ الشبهة كانت في أنّ الحامل تقذف الحيض ، أو </w:t>
      </w:r>
      <w:bookmarkStart w:id="113" w:name="pg15019_190583"/>
    </w:p>
    <w:p>
      <w:pPr>
        <w:pStyle w:val="BookText"/>
        <w:rPr/>
      </w:pPr>
      <w:bookmarkEnd w:id="113"/>
      <w:r>
        <w:rPr>
          <w:rFonts w:ascii="Amiri" w:hAnsi="Amiri" w:eastAsia="Amiri" w:cs="Amiri"/>
          <w:color w:val="111111"/>
          <w:sz w:val="28"/>
          <w:sz w:val="28"/>
          <w:szCs w:val="28"/>
          <w:rtl w:val="true"/>
          <w:lang w:bidi="ar-SA"/>
        </w:rPr>
        <w:t>لا تقذف ؛ لكون الدم غذاء ولدها ، فدلّت الروايات على أنّ الغذاء قد يزيد عن</w:t>
      </w:r>
    </w:p>
    <w:p>
      <w:pPr>
        <w:pStyle w:val="BookText"/>
        <w:rPr/>
      </w:pPr>
      <w:r>
        <w:rPr>
          <w:rFonts w:ascii="IRNazanin" w:hAnsi="IRNazanin" w:eastAsia="IRNazanin"/>
          <w:color w:val="111111"/>
          <w:sz w:val="28"/>
          <w:sz w:val="28"/>
          <w:szCs w:val="28"/>
          <w:rtl w:val="true"/>
          <w:lang w:bidi="fa-IR"/>
        </w:rPr>
        <w:t xml:space="preserve">الطفل ، فتقذفه الرحم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سائر الشكوك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كالشكّ في اعتبار الشارع أمراً في لزوم ترتّب الآثار ، أو الشكّ في تحقّق ما اعتبره الشارع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دلالة فيها بالبناء عليها</w:t>
      </w:r>
    </w:p>
    <w:p>
      <w:pPr>
        <w:pStyle w:val="BookText"/>
        <w:rPr/>
      </w:pPr>
      <w:r>
        <w:rPr>
          <w:rFonts w:ascii="Amiri" w:hAnsi="Amiri" w:eastAsia="Amiri" w:cs="Amiri"/>
          <w:color w:val="111111"/>
          <w:sz w:val="28"/>
          <w:sz w:val="28"/>
          <w:szCs w:val="28"/>
          <w:rtl w:val="true"/>
          <w:lang w:bidi="ar-SA"/>
        </w:rPr>
        <w:t xml:space="preserve">بوجه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حال سائر 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الإجماع ، فالقدر المتيقّن منه الشبهة الموضوعية ؛ بعد إحراز ما له مدخل في الحكم بالحيضية ، كالبلوغ وعدم اليأس والاستمرار إلى ثلاثة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مع الشبهة الحكمية في دخل شيء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كالشكّ في شرطية التوالي مثلاً ، أو مانعية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يشكل التمسّك بالقاعدة ؛ لعدم ثبوت الإجماع في مثله أيضاً على فرضه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القاعدة بنفسها غير ثابتة ، وبعض الفروع التي ادّعي الإجماع</w:t>
      </w:r>
    </w:p>
    <w:p>
      <w:pPr>
        <w:pStyle w:val="BookText"/>
        <w:rPr/>
      </w:pP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ثبت قيامه عليها ، كالفرع المتقدّم الذي سيأتي الكلام فيه</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نلتزم به ؛ لا لأجل القاعدة ، بل للإجماع في المسألة الفرعية </w:t>
      </w:r>
      <w:r>
        <w:rPr>
          <w:rFonts w:eastAsia="Amiri" w:cs="Amiri" w:ascii="Amiri" w:hAnsi="Amiri"/>
          <w:color w:val="111111"/>
          <w:sz w:val="28"/>
          <w:szCs w:val="28"/>
          <w:rtl w:val="true"/>
          <w:lang w:bidi="ar-SA"/>
        </w:rPr>
        <w:t>.</w:t>
      </w:r>
    </w:p>
    <w:p>
      <w:pPr>
        <w:pStyle w:val="Heading6"/>
        <w:numPr>
          <w:ilvl w:val="5"/>
          <w:numId w:val="1"/>
        </w:numPr>
        <w:rPr/>
      </w:pPr>
      <w:bookmarkStart w:id="114" w:name="__RefHeading___Toc686242_3406789950"/>
      <w:bookmarkStart w:id="115" w:name="_Toc39"/>
      <w:bookmarkEnd w:id="114"/>
      <w:r>
        <w:rPr>
          <w:rtl w:val="true"/>
        </w:rPr>
        <w:t>حول أمارية القاعدة وأصليتها وبيان نسبتها مع غيرها</w:t>
      </w:r>
      <w:bookmarkEnd w:id="115"/>
    </w:p>
    <w:p>
      <w:pPr>
        <w:pStyle w:val="BookText"/>
        <w:rPr/>
      </w:pPr>
      <w:r>
        <w:rPr>
          <w:rFonts w:ascii="Amiri" w:hAnsi="Amiri" w:eastAsia="Amiri" w:cs="Amiri"/>
          <w:color w:val="111111"/>
          <w:sz w:val="28"/>
          <w:sz w:val="28"/>
          <w:szCs w:val="28"/>
          <w:rtl w:val="true"/>
          <w:lang w:bidi="ar-SA"/>
        </w:rPr>
        <w:t xml:space="preserve">ثمّ إنّ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تماميتها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كونها أصلاً أو أمارة ، تابعة لمدركها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المدرك لها هو أصالة السلامة ، وقلنا بأماريتها أو الظنّ الحاصل لأجل الغلبة ، فتكون أمارة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كان المدرك لها الإجماع والأخبار ، فلا تكون إلاّ أصلاً معوّلاً عليه لدى الشبهة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تقديمها على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أماريتها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أصلاً وكيفيةً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أصليتها فمقدّمة عليه أيضاً ؛ للزوم لغويتها لو عملنا بالاستصحاب ؛</w:t>
      </w:r>
    </w:p>
    <w:p>
      <w:pPr>
        <w:pStyle w:val="BookText"/>
        <w:rPr/>
      </w:pPr>
      <w:r>
        <w:rPr>
          <w:rFonts w:ascii="Amiri" w:hAnsi="Amiri" w:eastAsia="Amiri" w:cs="Amiri"/>
          <w:color w:val="111111"/>
          <w:sz w:val="28"/>
          <w:sz w:val="28"/>
          <w:szCs w:val="28"/>
          <w:rtl w:val="true"/>
          <w:lang w:bidi="ar-SA"/>
        </w:rPr>
        <w:t xml:space="preserve">لنُدرة مورد لا يكون فيه 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وتأخّرها عن سائر الأمارات الشرعية على الأصلية ،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الأمارية فلأنّ جعل الأمارات الشرعية لغير الحيض رادع عن بناء العقلاء ، فلو دار الأمر بين الحيض والاستحاضة في المبتدئة مثلاً ، وقلنا بأمارية البرودة والصفرة والفتور للاستحاضة ، فلا مجال للتمسّك بالقاعدة حتّى على الأمارية ؛ لعدم اعتبار بناء العقلاء مع قيام الأمارة على خلافه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في قاعدة الإمكان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تحصّل عدم اعتبارها ، فمع الشكّ في كون دمٍ حيضاً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لم تقم أمارة أو دليل على رفع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يرجع الأمر إلى الاُصول الشرعية ؛ موضوعية أو حكمية ، واللّه العالم </w:t>
      </w:r>
      <w:r>
        <w:rPr>
          <w:rFonts w:eastAsia="Amiri" w:cs="Amiri" w:ascii="Amiri" w:hAnsi="Amiri"/>
          <w:color w:val="111111"/>
          <w:sz w:val="28"/>
          <w:szCs w:val="28"/>
          <w:rtl w:val="true"/>
          <w:lang w:bidi="ar-SA"/>
        </w:rPr>
        <w:t xml:space="preserve">. </w:t>
      </w:r>
      <w:bookmarkStart w:id="116" w:name="pg15019_190585"/>
    </w:p>
    <w:p>
      <w:pPr>
        <w:pStyle w:val="Heading4"/>
        <w:numPr>
          <w:ilvl w:val="3"/>
          <w:numId w:val="1"/>
        </w:numPr>
        <w:rPr/>
      </w:pPr>
      <w:bookmarkStart w:id="117" w:name="__RefHeading___Toc686244_3406789950"/>
      <w:bookmarkStart w:id="118" w:name="_Toc40"/>
      <w:bookmarkEnd w:id="116"/>
      <w:bookmarkEnd w:id="117"/>
      <w:r>
        <w:rPr>
          <w:rtl w:val="true"/>
        </w:rPr>
        <w:t>المطلب الثاني</w:t>
      </w:r>
      <w:r>
        <w:rPr>
          <w:rtl w:val="true"/>
        </w:rPr>
        <w:t xml:space="preserve">: </w:t>
      </w:r>
      <w:r>
        <w:rPr>
          <w:rtl w:val="true"/>
        </w:rPr>
        <w:t>في حدود الحيض وقيوده وشرائطه</w:t>
      </w:r>
      <w:bookmarkEnd w:id="118"/>
    </w:p>
    <w:p>
      <w:pPr>
        <w:pStyle w:val="Heading5"/>
        <w:numPr>
          <w:ilvl w:val="4"/>
          <w:numId w:val="1"/>
        </w:numPr>
        <w:rPr/>
      </w:pPr>
      <w:bookmarkStart w:id="119" w:name="__RefHeading___Toc686246_3406789950"/>
      <w:bookmarkStart w:id="120" w:name="_Toc41"/>
      <w:bookmarkEnd w:id="119"/>
      <w:r>
        <w:rPr>
          <w:rtl w:val="true"/>
        </w:rPr>
        <w:t>اشارة</w:t>
      </w:r>
      <w:bookmarkEnd w:id="120"/>
    </w:p>
    <w:p>
      <w:pPr>
        <w:pStyle w:val="BookText"/>
        <w:rPr/>
      </w:pPr>
      <w:r>
        <w:rPr>
          <w:rFonts w:ascii="Amiri" w:hAnsi="Amiri" w:eastAsia="Amiri" w:cs="Amiri"/>
          <w:color w:val="111111"/>
          <w:sz w:val="28"/>
          <w:sz w:val="28"/>
          <w:szCs w:val="28"/>
          <w:rtl w:val="true"/>
          <w:lang w:bidi="ar-SA"/>
        </w:rPr>
        <w:t xml:space="preserve">وهي اُمور </w:t>
      </w:r>
      <w:r>
        <w:rPr>
          <w:rFonts w:eastAsia="Amiri" w:cs="Amiri" w:ascii="Amiri" w:hAnsi="Amiri"/>
          <w:color w:val="111111"/>
          <w:sz w:val="28"/>
          <w:szCs w:val="28"/>
          <w:rtl w:val="true"/>
          <w:lang w:bidi="ar-SA"/>
        </w:rPr>
        <w:t>:</w:t>
      </w:r>
    </w:p>
    <w:p>
      <w:pPr>
        <w:pStyle w:val="Heading5"/>
        <w:numPr>
          <w:ilvl w:val="4"/>
          <w:numId w:val="1"/>
        </w:numPr>
        <w:rPr/>
      </w:pPr>
      <w:bookmarkStart w:id="121" w:name="__RefHeading___Toc686248_3406789950"/>
      <w:bookmarkStart w:id="122" w:name="_Toc42"/>
      <w:bookmarkEnd w:id="121"/>
      <w:r>
        <w:rPr>
          <w:rtl w:val="true"/>
        </w:rPr>
        <w:t xml:space="preserve">الأمر الأوّل </w:t>
      </w:r>
      <w:r>
        <w:rPr>
          <w:rtl w:val="true"/>
        </w:rPr>
        <w:t xml:space="preserve">: </w:t>
      </w:r>
      <w:r>
        <w:rPr>
          <w:rtl w:val="true"/>
        </w:rPr>
        <w:t>فيما تراه الصبيّة قبل البلوغ</w:t>
      </w:r>
      <w:bookmarkEnd w:id="122"/>
    </w:p>
    <w:p>
      <w:pPr>
        <w:pStyle w:val="Heading6"/>
        <w:numPr>
          <w:ilvl w:val="5"/>
          <w:numId w:val="1"/>
        </w:numPr>
        <w:rPr/>
      </w:pPr>
      <w:bookmarkStart w:id="123" w:name="__RefHeading___Toc686250_3406789950"/>
      <w:bookmarkStart w:id="124" w:name="_Toc43"/>
      <w:bookmarkEnd w:id="123"/>
      <w:r>
        <w:rPr>
          <w:rtl w:val="true"/>
        </w:rPr>
        <w:t>اشارة</w:t>
      </w:r>
      <w:bookmarkEnd w:id="124"/>
    </w:p>
    <w:p>
      <w:pPr>
        <w:pStyle w:val="BookText"/>
        <w:rPr/>
      </w:pPr>
      <w:r>
        <w:rPr>
          <w:rFonts w:ascii="Amiri" w:hAnsi="Amiri" w:eastAsia="Amiri" w:cs="Amiri"/>
          <w:color w:val="111111"/>
          <w:sz w:val="28"/>
          <w:sz w:val="28"/>
          <w:szCs w:val="28"/>
          <w:rtl w:val="true"/>
          <w:lang w:bidi="ar-SA"/>
        </w:rPr>
        <w:t>لا إشكال نصّاً وفتوى في أنّ ما تراه الصبيّة قبل بلوغها تسعاً ، ليس بحيض وإن كان مع الصفات والمميّزات ، وقد تكرّر دعوى الإجماع عليه</w:t>
      </w:r>
      <w:r>
        <w:rPr>
          <w:rStyle w:val="FootnoteAnchor"/>
          <w:rtl w:val="true"/>
        </w:rPr>
        <w:footnoteReference w:id="129"/>
      </w:r>
      <w:r>
        <w:rPr>
          <w:rFonts w:ascii="IRNazanin" w:hAnsi="IRNazanin" w:eastAsia="IRNazanin"/>
          <w:color w:val="111111"/>
          <w:sz w:val="28"/>
          <w:sz w:val="28"/>
          <w:szCs w:val="28"/>
          <w:rtl w:val="true"/>
          <w:lang w:bidi="fa-IR"/>
        </w:rPr>
        <w:t xml:space="preserve">، وتدلّ عليه بعده صحيحة عبدالرحمان بن الحجّاج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ثلاث يتزوّجن على كلّ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لم تحض ومثلها لا تحيض</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حدّها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أتى لها أقلّ من تسع سنين </w:t>
      </w:r>
      <w:r>
        <w:rPr>
          <w:rFonts w:eastAsia="Amiri" w:cs="Amiri" w:ascii="Amiri" w:hAnsi="Amiri"/>
          <w:color w:val="111111"/>
          <w:sz w:val="28"/>
          <w:szCs w:val="28"/>
          <w:rtl w:val="true"/>
          <w:lang w:bidi="ar-SA"/>
        </w:rPr>
        <w:t>. .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في سندها من يمكن التوقّف فيه إلاّ سهل بن زياد وهو مورد وثوق على الأصحّ</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ورواها الشيخ بسند فيه الزبيري</w:t>
      </w:r>
      <w:r>
        <w:rPr>
          <w:rStyle w:val="FootnoteAnchor"/>
          <w:rtl w:val="true"/>
        </w:rPr>
        <w:footnoteReference w:id="132"/>
      </w:r>
      <w:r>
        <w:rPr>
          <w:rFonts w:ascii="Amiri" w:hAnsi="Amiri" w:eastAsia="Amiri" w:cs="Amiri"/>
          <w:color w:val="111111"/>
          <w:sz w:val="28"/>
          <w:sz w:val="28"/>
          <w:szCs w:val="28"/>
          <w:rtl w:val="true"/>
          <w:lang w:bidi="ar-SA"/>
        </w:rPr>
        <w:t xml:space="preserve">وفيه توقّف وإن لم يبعد وثاقته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منها أنّ الحدّ هو تمام التسع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تصدق إلاّ من حين الولادة إلى آخر التسعة ، فإتيان تسع سنين لا يكون إلاّ بتمامها ؛ للفرق بين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لها تسع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لها السنة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ورودها في التاسعة أتى لها السنة التاسعة ، ولكن أتى لها أقلّ من تسع سنين ، كما أ نّها لم تبلغ</w:t>
      </w:r>
    </w:p>
    <w:p>
      <w:pPr>
        <w:pStyle w:val="BookText"/>
        <w:rPr/>
      </w:pPr>
      <w:r>
        <w:rPr>
          <w:rFonts w:ascii="Amiri" w:hAnsi="Amiri" w:eastAsia="Amiri" w:cs="Amiri"/>
          <w:color w:val="111111"/>
          <w:sz w:val="28"/>
          <w:sz w:val="28"/>
          <w:szCs w:val="28"/>
          <w:rtl w:val="true"/>
          <w:lang w:bidi="ar-SA"/>
        </w:rPr>
        <w:t xml:space="preserve">تسع سنين ، كما في روايته الاُخرى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المراد منه التحقيق لا التقريب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لما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الظاهر من مقام التحديد هو ذلك</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 xml:space="preserve">وإن لم يخلُ من وجه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لما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تطبيق المفاهيم على المصاديق يكون بالدقّة العقلية ، لا بتشخيص العرف</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 xml:space="preserve">فإنّه ضعيف ؛ لأنّ مبنى مخاطبات الشرع معنا كمخاطبات بعضنا مع بعض ، ولا شبهة في أنّ المخاطبات العرفية لا تكون مبنيّة على الدقّة العقلية ؛ لا مفهوماً ولا في تشخيص المصاديق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 ثوبك من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مفهومه يؤخذ من العرف ، كذلك المعوّل عليه في تشخيص المصداق هو العرف ، فلون الدم دم عقلاً ، لكن لا يجب غسله ؛ لعدم كونه دماً عرفاً ، بل هو لون الدم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لأنّ الميزان في تشخيص المفاهيم والمصاديق نظر العرف بحسب فهمه ودقّته ، لا مع التسامح العرفي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للمفهوم مثلاً ثلاثة مصاديق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مصداق برهاني عقلي ؛ بحيث لا سبيل للعرف إلى تشخيصه ولو مع الدقّة وعدم التسامح ، كلون الدم ؛ فإنّ العرف لا يدرك استحالة انتقال العرض ؛ وأنّ المنتقل أجزاء صغار جوهرية ، فلا يكون اللون دماً في أدقّ نظر العرف ، ولا يتسامح في سلب الدمية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مصداق عرفي من غير تسامحٍ عرفي ، بل يكون مصداقاً بدقّته العرفية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مصداق تسامحي لدى العرف ، كإطلاق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عدد ناقص منه بواحد أو اثنين ، وإطلاق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نقص بمثقال أو درهم ، ولا إشكال في أنّ هذا الإطلاق مسامحي مجازي يحتاج إلى التأوّل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فميزان تشخيص موضوعات الأحكام هو الثاني لا الأوّل ، وهو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الثالث ، إلاّ مع قيام 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 أو مقالاً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تسامح المتكلّم ، وإلاّ فأصالة الحقيقة محكّمة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من غير فرق بين الموضوعات ، ولا بين مقام التحديد وغيره ،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لهذا المائع المعروف ، وتسامح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إطلاقه على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متّبعاً </w:t>
      </w:r>
      <w:r>
        <w:rPr>
          <w:rFonts w:eastAsia="Amiri" w:cs="Amiri" w:ascii="Amiri" w:hAnsi="Amiri"/>
          <w:color w:val="111111"/>
          <w:sz w:val="28"/>
          <w:szCs w:val="28"/>
          <w:rtl w:val="true"/>
          <w:lang w:bidi="ar-SA"/>
        </w:rPr>
        <w:t xml:space="preserve">. </w:t>
      </w:r>
      <w:bookmarkStart w:id="125" w:name="pg15019_190588"/>
    </w:p>
    <w:p>
      <w:pPr>
        <w:pStyle w:val="BookText"/>
        <w:rPr/>
      </w:pPr>
      <w:bookmarkEnd w:id="125"/>
      <w:r>
        <w:rPr>
          <w:rFonts w:ascii="Amiri" w:hAnsi="Amiri" w:eastAsia="Amiri" w:cs="Amiri"/>
          <w:color w:val="111111"/>
          <w:sz w:val="28"/>
          <w:sz w:val="28"/>
          <w:szCs w:val="28"/>
          <w:rtl w:val="true"/>
          <w:lang w:bidi="ar-SA"/>
        </w:rPr>
        <w:t xml:space="preserve">فإطلاق العرف بلوغ التسع على من بلغت التسع إلاّ عدّة أيّام ، مسامحي مجازي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لو سئلوا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بلغت تمام التسع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لأجابوا بالنفي ، واعترفوا بالتسامح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فبلوغ التسع لا يكون إلاّ بتمام الدورة التاسعة من السنة القمرية التي هي المنصرف إليها عند العرف العامّ ، والشمسية يحتاج معرفتها إلى مبانٍ علمية ونجومية لا يعرفها عامّة الناس ، خصوصاً الأعراب وفي تلك الأزمنة ، إلاّ أن تكون قرينة موجبة للتعيّن ، كما قد تدّعى في باب سنة الخمس</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لا إشكال في التلفيق وحساب المنكسر ؛ لقضاء العرف به </w:t>
      </w:r>
      <w:r>
        <w:rPr>
          <w:rFonts w:eastAsia="Amiri" w:cs="Amiri" w:ascii="Amiri" w:hAnsi="Amiri"/>
          <w:color w:val="111111"/>
          <w:sz w:val="28"/>
          <w:szCs w:val="28"/>
          <w:rtl w:val="true"/>
          <w:lang w:bidi="ar-SA"/>
        </w:rPr>
        <w:t>.</w:t>
      </w:r>
    </w:p>
    <w:p>
      <w:pPr>
        <w:pStyle w:val="Heading6"/>
        <w:numPr>
          <w:ilvl w:val="5"/>
          <w:numId w:val="1"/>
        </w:numPr>
        <w:rPr/>
      </w:pPr>
      <w:bookmarkStart w:id="126" w:name="__RefHeading___Toc686252_3406789950"/>
      <w:bookmarkStart w:id="127" w:name="_Toc44"/>
      <w:bookmarkEnd w:id="126"/>
      <w:r>
        <w:rPr>
          <w:rtl w:val="true"/>
        </w:rPr>
        <w:t>في التنافي بين كون الحيض دليل البلوغ وعدم حيضية ما تراه الصبيّة</w:t>
      </w:r>
      <w:bookmarkEnd w:id="127"/>
    </w:p>
    <w:p>
      <w:pPr>
        <w:pStyle w:val="BookText"/>
        <w:rPr/>
      </w:pPr>
      <w:r>
        <w:rPr>
          <w:rFonts w:ascii="Amiri" w:hAnsi="Amiri" w:eastAsia="Amiri" w:cs="Amiri"/>
          <w:color w:val="111111"/>
          <w:sz w:val="28"/>
          <w:sz w:val="28"/>
          <w:szCs w:val="28"/>
          <w:rtl w:val="true"/>
          <w:lang w:bidi="ar-SA"/>
        </w:rPr>
        <w:t xml:space="preserve">ثمّ إنّ هاهنا إشكالاً مشهوراً ، بل إشكالين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المصنّف وغيره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الحيض للمرأة دليل على بلوغها وإن لم يجامعه السنّ ، وحكموا هنا بأنّ الدم الذي قبل التسع ليس بحيض</w:t>
      </w:r>
      <w:r>
        <w:rPr>
          <w:rStyle w:val="FootnoteAnchor"/>
          <w:rtl w:val="true"/>
        </w:rPr>
        <w:footnoteReference w:id="136"/>
      </w:r>
      <w:r>
        <w:rPr>
          <w:rFonts w:ascii="Amiri" w:hAnsi="Amiri" w:eastAsia="Amiri" w:cs="Amiri"/>
          <w:color w:val="111111"/>
          <w:sz w:val="28"/>
          <w:sz w:val="28"/>
          <w:szCs w:val="28"/>
          <w:rtl w:val="true"/>
          <w:lang w:bidi="ar-SA"/>
        </w:rPr>
        <w:t xml:space="preserve">، فما الدم المحكوم بكونه حيضاً ؟ </w:t>
      </w:r>
      <w:r>
        <w:rPr>
          <w:rFonts w:eastAsia="Amiri" w:cs="Amiri" w:ascii="Amiri" w:hAnsi="Amiri"/>
          <w:color w:val="111111"/>
          <w:sz w:val="28"/>
          <w:szCs w:val="28"/>
          <w:rtl w:val="true"/>
          <w:lang w:bidi="ar-SA"/>
        </w:rPr>
        <w:t>!»</w:t>
      </w:r>
      <w:r>
        <w:rPr>
          <w:rStyle w:val="FootnoteAnchor"/>
          <w:rtl w:val="true"/>
        </w:rPr>
        <w:footnoteReference w:id="137"/>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إشكال الدور ، بل إشكال التناقض في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لازم القول الأوّل أنّ الحيض قبل التسع دليل البلوغ ، فيمكن تحقّقه قبله ، وصريح القول الثاني عدم كون الحيض إلاّ بعد التسع ، فلا يمكن أن يتحقّق قبله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القوم جعلوا الحيض والحمل دليلين على البلوغ ، وقالوا في المقام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دم تراه المرأة قبل التسع ليس بحيض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فإحراز الحيضية يتوقّف على إحراز التسع ، ولو كان إحراز التسع متوقّفاً على إحراز الحيضية ، لدار الأمر على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أجاب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الإشكال الأوّل بما يناسب الإشكال الثاني</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أن يجاب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 نّه لا تنافي بين كونِ الحيض دليلاً على البلوغ مستقلاًّ ، وعدمِ كون الدم قبل التسع حيضاً إذا اُريد بالثاني عدم ترتّب آثار الحيضية على الدم قبل التسع ، لا عدم تحقّق الحيض تكويناً ، فالحيض الذي لا يترتّب عليه أحكام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كترك الصلاة وحرمة مسّ الكتاب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البلوغ ، فيجب على الحائض قبل التسع الصلاة لبلوغها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الالتزام بذلك بعيد ، بل ممنوع وإن شهد به بعض الأخبار</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رجوع الشهيد إلى الجواب المذكور لأجل ما ذكر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المصنّف وغيره ، لم يلتزموا بكون الحيض بلوغاً مستقلاًّ ولو قبل التسع ، بل ادّعي الإجماع أو عدم الخلاف على أنّ الحيض لا يكون بلوغاً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bookmarkStart w:id="128" w:name="pg15019_190590"/>
    </w:p>
    <w:p>
      <w:pPr>
        <w:pStyle w:val="BookText"/>
        <w:rPr/>
      </w:pPr>
      <w:bookmarkEnd w:id="128"/>
      <w:r>
        <w:rPr>
          <w:rFonts w:ascii="Amiri" w:hAnsi="Amiri" w:eastAsia="Amiri" w:cs="Amiri"/>
          <w:color w:val="111111"/>
          <w:sz w:val="28"/>
          <w:sz w:val="28"/>
          <w:szCs w:val="28"/>
          <w:rtl w:val="true"/>
          <w:lang w:bidi="ar-SA"/>
        </w:rPr>
        <w:t xml:space="preserve">فبقي الإشكال الثاني ، فاُجيب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 نّه مع العلم بالسنّ ، لا اعتبار بالدم قبله وإن جمع الصفات ، ومع اشتباهه ووجود الدم في وقت إمكان البلوغ ، يحكم بالبلوغ ، ولا إشكال حينئذٍ</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هذا الجواب مبنيّ على أنّ الدم المعهود المقذوف 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دم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يتحقّق قبل التسع ، ويكون السنّ دخيلاً في تحقّقه تكويناً ؛ حتّى تكون الأمارة على الحيضية أمارة على السنّ ، أو كان القذف قبل التسع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 من الندرة يعدّ معه قذف الدم المتّصف بالصفات المعهودة من الأمارات العقلائية على السنّ ، وكلاهما محلّ تأمّل وإشكال ؛ وإن كان الثاني لا يخلو من قرب </w:t>
      </w:r>
      <w:r>
        <w:rPr>
          <w:rFonts w:eastAsia="Amiri" w:cs="Amiri" w:ascii="Amiri" w:hAnsi="Amiri"/>
          <w:color w:val="111111"/>
          <w:sz w:val="28"/>
          <w:szCs w:val="28"/>
          <w:rtl w:val="true"/>
          <w:lang w:bidi="ar-SA"/>
        </w:rPr>
        <w:t>.</w:t>
      </w:r>
    </w:p>
    <w:p>
      <w:pPr>
        <w:pStyle w:val="Heading6"/>
        <w:numPr>
          <w:ilvl w:val="5"/>
          <w:numId w:val="1"/>
        </w:numPr>
        <w:rPr/>
      </w:pPr>
      <w:bookmarkStart w:id="129" w:name="__RefHeading___Toc686254_3406789950"/>
      <w:bookmarkStart w:id="130" w:name="_Toc45"/>
      <w:bookmarkEnd w:id="129"/>
      <w:r>
        <w:rPr>
          <w:rtl w:val="true"/>
        </w:rPr>
        <w:t>عدم صحّة التمسّك بروايات الصفات للحكم بالحيضية والسنّ</w:t>
      </w:r>
      <w:bookmarkEnd w:id="130"/>
    </w:p>
    <w:p>
      <w:pPr>
        <w:pStyle w:val="BookText"/>
        <w:rPr/>
      </w:pPr>
      <w:r>
        <w:rPr>
          <w:rFonts w:ascii="Amiri" w:hAnsi="Amiri" w:eastAsia="Amiri" w:cs="Amiri"/>
          <w:color w:val="111111"/>
          <w:sz w:val="28"/>
          <w:sz w:val="28"/>
          <w:szCs w:val="28"/>
          <w:rtl w:val="true"/>
          <w:lang w:bidi="ar-SA"/>
        </w:rPr>
        <w:t xml:space="preserve">ثمّ إنّه لا مجال للتمسّك بروايات الصفات للحكم بالحيضية والسنّ ؛ لأنّ الصفات أمارات في مقام الدوران بين الحيض والاستحاضة ، والدم الخارج قبل التسع لا يكون أمره دائراً بينهما ، ومع الشكّ في السنّ يشكّ في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مقتضى النصّ والفتوى أنّ الدم الخارج ممّن لم تبلغ التسع ، ليس بحيض ولو كان على صفاته ، ومع استصحاب عدم كونها بالغة يحرز موضوع المخصّص ، فلا مجال معه للتمسّك بأدلّة الصفات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مع العلم أو الاطمئنان بكون الدم المقذوف حيضاً ، لا يبعد الحكم ببلوغ التسع وترتيب آثار البلوغ والحيضية ، على إشكال </w:t>
      </w:r>
      <w:r>
        <w:rPr>
          <w:rFonts w:eastAsia="Amiri" w:cs="Amiri" w:ascii="Amiri" w:hAnsi="Amiri"/>
          <w:color w:val="111111"/>
          <w:sz w:val="28"/>
          <w:szCs w:val="28"/>
          <w:rtl w:val="true"/>
          <w:lang w:bidi="ar-SA"/>
        </w:rPr>
        <w:t xml:space="preserve">. </w:t>
      </w:r>
      <w:bookmarkStart w:id="131" w:name="pg15019_190591"/>
    </w:p>
    <w:p>
      <w:pPr>
        <w:pStyle w:val="Heading5"/>
        <w:numPr>
          <w:ilvl w:val="4"/>
          <w:numId w:val="1"/>
        </w:numPr>
        <w:rPr/>
      </w:pPr>
      <w:bookmarkStart w:id="132" w:name="__RefHeading___Toc686256_3406789950"/>
      <w:bookmarkStart w:id="133" w:name="_Toc46"/>
      <w:bookmarkEnd w:id="131"/>
      <w:bookmarkEnd w:id="132"/>
      <w:r>
        <w:rPr>
          <w:rtl w:val="true"/>
        </w:rPr>
        <w:t>الأمر الثاني في بيان حدّ اليأس</w:t>
      </w:r>
      <w:bookmarkEnd w:id="133"/>
    </w:p>
    <w:p>
      <w:pPr>
        <w:pStyle w:val="Heading6"/>
        <w:numPr>
          <w:ilvl w:val="5"/>
          <w:numId w:val="1"/>
        </w:numPr>
        <w:rPr/>
      </w:pPr>
      <w:bookmarkStart w:id="134" w:name="__RefHeading___Toc686258_3406789950"/>
      <w:bookmarkStart w:id="135" w:name="_Toc47"/>
      <w:bookmarkEnd w:id="134"/>
      <w:r>
        <w:rPr>
          <w:rtl w:val="true"/>
        </w:rPr>
        <w:t>اشارة</w:t>
      </w:r>
      <w:bookmarkEnd w:id="135"/>
    </w:p>
    <w:p>
      <w:pPr>
        <w:pStyle w:val="BookText"/>
        <w:rPr/>
      </w:pPr>
      <w:r>
        <w:rPr>
          <w:rFonts w:ascii="Amiri" w:hAnsi="Amiri" w:eastAsia="Amiri" w:cs="Amiri"/>
          <w:color w:val="111111"/>
          <w:sz w:val="28"/>
          <w:sz w:val="28"/>
          <w:szCs w:val="28"/>
          <w:rtl w:val="true"/>
          <w:lang w:bidi="ar-SA"/>
        </w:rPr>
        <w:t xml:space="preserve">ما تراه المرأة بعد يأسها ليس بحيض ولو كان بصفاته ؛ بلا إشكال نصّاً </w:t>
      </w:r>
      <w:r>
        <w:rPr>
          <w:rStyle w:val="FootnoteAnchor"/>
          <w:rtl w:val="true"/>
        </w:rPr>
        <w:footnoteReference w:id="142"/>
      </w:r>
      <w:r>
        <w:rPr>
          <w:rFonts w:ascii="IRNazanin" w:hAnsi="IRNazanin" w:eastAsia="IRNazanin"/>
          <w:color w:val="111111"/>
          <w:sz w:val="28"/>
          <w:sz w:val="28"/>
          <w:szCs w:val="28"/>
          <w:rtl w:val="true"/>
          <w:lang w:bidi="fa-IR"/>
        </w:rPr>
        <w:t>وفتوى</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الإشكال في حدّ اليأس هل هو ستّون مطلقاً </w:t>
      </w:r>
      <w:r>
        <w:rPr>
          <w:rStyle w:val="FootnoteAnchor"/>
          <w:rtl w:val="true"/>
        </w:rPr>
        <w:footnoteReference w:id="144"/>
      </w:r>
      <w:r>
        <w:rPr>
          <w:rFonts w:ascii="Amiri" w:hAnsi="Amiri" w:eastAsia="Amiri" w:cs="Amiri"/>
          <w:color w:val="111111"/>
          <w:sz w:val="28"/>
          <w:sz w:val="28"/>
          <w:szCs w:val="28"/>
          <w:rtl w:val="true"/>
          <w:lang w:bidi="ar-SA"/>
        </w:rPr>
        <w:t>أو خمسون كذلك</w:t>
      </w:r>
      <w:r>
        <w:rPr>
          <w:rStyle w:val="FootnoteAnchor"/>
          <w:rtl w:val="true"/>
        </w:rPr>
        <w:footnoteReference w:id="145"/>
      </w:r>
      <w:r>
        <w:rPr>
          <w:rFonts w:ascii="Amiri" w:hAnsi="Amiri" w:eastAsia="Amiri" w:cs="Amiri"/>
          <w:color w:val="111111"/>
          <w:sz w:val="28"/>
          <w:sz w:val="28"/>
          <w:szCs w:val="28"/>
          <w:rtl w:val="true"/>
          <w:lang w:bidi="ar-SA"/>
        </w:rPr>
        <w:t xml:space="preserve">أو تفصيل بين القرشية وبين غيرها </w:t>
      </w:r>
      <w:r>
        <w:rPr>
          <w:rStyle w:val="FootnoteAnchor"/>
          <w:rtl w:val="true"/>
        </w:rPr>
        <w:footnoteReference w:id="146"/>
      </w:r>
      <w:r>
        <w:rPr>
          <w:rFonts w:ascii="Amiri" w:hAnsi="Amiri" w:eastAsia="Amiri" w:cs="Amiri"/>
          <w:color w:val="111111"/>
          <w:sz w:val="28"/>
          <w:sz w:val="28"/>
          <w:szCs w:val="28"/>
          <w:rtl w:val="true"/>
          <w:lang w:bidi="ar-SA"/>
        </w:rPr>
        <w:t xml:space="preserve">أو بين القرشية والنبطية وبين غيرهما </w:t>
      </w:r>
      <w:r>
        <w:rPr>
          <w:rStyle w:val="FootnoteAnchor"/>
          <w:rtl w:val="true"/>
        </w:rPr>
        <w:footnoteReference w:id="14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وجوه وأقوال منشؤها اختلاف الأخبار ، ففي صحيحة عبدالرحمان ابن الحجّاج عن أبي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التي قد يئست من المحيض خمسون سنة</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في طريقها من يتأمّل فيه إلاّ محمّد بن إسماعيل النيسابوري الذي لم يرد فيه توثيق ، وإنّما هو راوية الفضل بن شاذان ، لكن من تفحّص رواياته </w:t>
      </w:r>
    </w:p>
    <w:p>
      <w:pPr>
        <w:pStyle w:val="BookText"/>
        <w:rPr/>
      </w:pPr>
      <w:r>
        <w:rPr>
          <w:rFonts w:ascii="Amiri" w:hAnsi="Amiri" w:eastAsia="Amiri" w:cs="Amiri"/>
          <w:color w:val="111111"/>
          <w:sz w:val="28"/>
          <w:sz w:val="28"/>
          <w:szCs w:val="28"/>
          <w:rtl w:val="true"/>
          <w:lang w:bidi="ar-SA"/>
        </w:rPr>
        <w:t xml:space="preserve">اطمأنّ بوثاقته وإتقانه ؛ فإنّ كثيراً من رواياته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نقل أغلبها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منقولة بطريق آخر صحيح أو موثّق أو معتبر طابق النعل بالنعل ، والوثوق والاطمئنان الحاصل من ذلك ، أكثر من الوثوق الذي يحصل بتوثيق الشيخ أو النجاشي أو غيرهما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صحيحته الاُخرى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ثلاث يتزوّجن على كلّ حال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والتي قد يئست من المحيض ومثلها لا تحيض</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حدّها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لها خمسون سنة</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طريقها سهل بن زياد الآدمي وأمره سهل بعد اشتراكه في إتقان الرواية وكثرتها مع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أكثر رواية منه ، وله قدم راسخ في جميع أبواب الفقه ، كما يتّضح للمتتبّع ، مع قرائن كثيرة توجب الاطمئنان بوثاقته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مرسلة البزنطي عن بعض أصحابنا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التي قد يئست من المحيض حدّها خمسون سنة</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 روى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عبدالرحمان 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المتقدّمة مع اختلاف يسير من التقديم والتأخير في العبارة ، وفيها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بلغت ستّين سنة فقد يئست من المحيض ، ومثلها لا تحيض</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 سندها تأمّل ؛ فإنّ في طريق الشيخ إلى علي بن الحسن ، علي بن </w:t>
      </w:r>
    </w:p>
    <w:p>
      <w:pPr>
        <w:pStyle w:val="BookText"/>
        <w:rPr/>
      </w:pPr>
      <w:r>
        <w:rPr>
          <w:rFonts w:ascii="Amiri" w:hAnsi="Amiri" w:eastAsia="Amiri" w:cs="Amiri"/>
          <w:color w:val="111111"/>
          <w:sz w:val="28"/>
          <w:sz w:val="28"/>
          <w:szCs w:val="28"/>
          <w:rtl w:val="true"/>
          <w:lang w:bidi="ar-SA"/>
        </w:rPr>
        <w:t>محمّد بن الزبير القرشي</w:t>
      </w:r>
      <w:r>
        <w:rPr>
          <w:rStyle w:val="FootnoteAnchor"/>
          <w:rtl w:val="true"/>
        </w:rPr>
        <w:footnoteReference w:id="152"/>
      </w:r>
      <w:r>
        <w:rPr>
          <w:rFonts w:ascii="Amiri" w:hAnsi="Amiri" w:eastAsia="Amiri" w:cs="Amiri"/>
          <w:color w:val="111111"/>
          <w:sz w:val="28"/>
          <w:sz w:val="28"/>
          <w:szCs w:val="28"/>
          <w:rtl w:val="true"/>
          <w:lang w:bidi="ar-SA"/>
        </w:rPr>
        <w:t xml:space="preserve">، ولم يرد فيه توثيق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قال النجاشي في ترجمة أحمد بن عبد الواحد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قد لقي أبا الحسن علي بن محمّد القرشي المعروف بابن الزبير ، وكان عُلوّاً في الوقت</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 xml:space="preserve">، وقد جعل بعض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كالمحقّق الداماد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الأخيرة وصفاً له ، ففهم منه التوثيق أو قريباً منه</w:t>
      </w:r>
      <w:r>
        <w:rPr>
          <w:rStyle w:val="FootnoteAnchor"/>
          <w:rtl w:val="true"/>
        </w:rPr>
        <w:footnoteReference w:id="154"/>
      </w:r>
      <w:r>
        <w:rPr>
          <w:rFonts w:ascii="Amiri" w:hAnsi="Amiri" w:eastAsia="Amiri" w:cs="Amiri"/>
          <w:color w:val="111111"/>
          <w:sz w:val="28"/>
          <w:sz w:val="28"/>
          <w:szCs w:val="28"/>
          <w:rtl w:val="true"/>
          <w:lang w:bidi="ar-SA"/>
        </w:rPr>
        <w:t xml:space="preserve">، مع أنّ قول النجاشي لا يبعد أن يكون مربوطاً بأحمد بن عبدون ؛ لأ نّه في مقام ترجمته ، لا ترجمة ابن الزبير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علوّاً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قريباً جريه على الاصطلاح ؛ من كونه علوّاً في السند من حيث كثرة عمره أو عمر واسطته ؛ فإنّ ابن الزبير عمّر مائة سنة على ما ذكروا </w:t>
      </w:r>
      <w:r>
        <w:rPr>
          <w:rStyle w:val="FootnoteAnchor"/>
          <w:rtl w:val="true"/>
        </w:rPr>
        <w:footnoteReference w:id="155"/>
      </w: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الوسائط ، فقول النجاشي</w:t>
      </w:r>
    </w:p>
    <w:p>
      <w:pPr>
        <w:pStyle w:val="BookText"/>
        <w:rPr/>
      </w:pPr>
      <w:r>
        <w:rPr>
          <w:rFonts w:ascii="Amiri" w:hAnsi="Amiri" w:eastAsia="Amiri" w:cs="Amiri"/>
          <w:color w:val="111111"/>
          <w:sz w:val="28"/>
          <w:sz w:val="28"/>
          <w:szCs w:val="28"/>
          <w:rtl w:val="true"/>
          <w:lang w:bidi="ar-SA"/>
        </w:rPr>
        <w:t xml:space="preserve">مربوط ظاهراً بابن عبدون ، وأ نّه لأجل لقائه القرشي كان عالي السند في رواياته في ذلك الزمان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الإشكال في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الأرجح عندي قبول رواياته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قريباً وقوع اشتباه في الرواية ؛ إمّا من الرواة ، أو من النسّاخ ؛ لبُعد كونها</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رواية اُخرى مستقلّة غير الصحيحة ، وبُعد الاشتباه في الصحيحة لتأيّدها </w:t>
      </w:r>
      <w:bookmarkStart w:id="136" w:name="pg15019_190594"/>
    </w:p>
    <w:p>
      <w:pPr>
        <w:pStyle w:val="BookText"/>
        <w:rPr/>
      </w:pPr>
      <w:bookmarkEnd w:id="136"/>
      <w:r>
        <w:rPr>
          <w:rFonts w:ascii="Amiri" w:hAnsi="Amiri" w:eastAsia="Amiri" w:cs="Amiri"/>
          <w:color w:val="111111"/>
          <w:sz w:val="28"/>
          <w:sz w:val="28"/>
          <w:szCs w:val="28"/>
          <w:rtl w:val="true"/>
          <w:lang w:bidi="ar-SA"/>
        </w:rPr>
        <w:t>بالصحيحة الاُولى ومرسلة البَزَنْطي بل ومرسلات ابن أبي عمير والصدوق والمفيد والشيخ</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لا يبعد أن يكون الاشتباه من النسّاخ في النسخ الأوّلية من كتاب الشيخ ؛</w:t>
      </w:r>
    </w:p>
    <w:p>
      <w:pPr>
        <w:pStyle w:val="BookText"/>
        <w:rPr/>
      </w:pPr>
      <w:r>
        <w:rPr>
          <w:rFonts w:ascii="Amiri" w:hAnsi="Amiri" w:eastAsia="Amiri" w:cs="Amiri"/>
          <w:color w:val="111111"/>
          <w:sz w:val="28"/>
          <w:sz w:val="28"/>
          <w:szCs w:val="28"/>
          <w:rtl w:val="true"/>
          <w:lang w:bidi="ar-SA"/>
        </w:rPr>
        <w:t>لأنّ الفتوى بهذه الرواية حدثت بعد زمان الشيخ في عصر المحقّق</w:t>
      </w:r>
      <w:r>
        <w:rPr>
          <w:rStyle w:val="FootnoteAnchor"/>
          <w:rtl w:val="true"/>
        </w:rPr>
        <w:footnoteReference w:id="157"/>
      </w:r>
      <w:r>
        <w:rPr>
          <w:rFonts w:ascii="Amiri" w:hAnsi="Amiri" w:eastAsia="Amiri" w:cs="Amiri"/>
          <w:color w:val="111111"/>
          <w:sz w:val="28"/>
          <w:sz w:val="28"/>
          <w:szCs w:val="28"/>
          <w:rtl w:val="true"/>
          <w:lang w:bidi="ar-SA"/>
        </w:rPr>
        <w:t>والعلاّمة</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مبسوطه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وتيأس المرأة إذا بلغت خمسين سنة ، إلاّ أن تكون امرأة من قريش ، فإنّه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نّها ترى دم الحيض إلى ستّين سنة</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 xml:space="preserve">ولم يُشر إلى رواية الستّين مع إشارته إلى المرسلة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مع ما ذكرنا وثوق بالرواية ، وليست حجّية الخبر الواحد</w:t>
      </w:r>
    </w:p>
    <w:p>
      <w:pPr>
        <w:pStyle w:val="BookText"/>
        <w:rPr/>
      </w:pPr>
      <w:r>
        <w:rPr>
          <w:rFonts w:ascii="Amiri" w:hAnsi="Amiri" w:eastAsia="Amiri" w:cs="Amiri"/>
          <w:color w:val="111111"/>
          <w:sz w:val="28"/>
          <w:sz w:val="28"/>
          <w:szCs w:val="28"/>
          <w:rtl w:val="true"/>
          <w:lang w:bidi="ar-SA"/>
        </w:rPr>
        <w:t>تعبّدية محضة بل لأجل عدم ردع بناء العقلاء أو تنفيذه</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إشكال في أنّ العقلاء لا يعملون بمثل هذه الرواية ، ولا أقلّ من عدم إحراز بنائهم على العمل بمثلها ، فلا إشكال في ضعف القول بالستّين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والأقوى هو التفصيل بين القرشية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والبحث عن النبطية لا يجدي بعد عدم معروفية هذه الطائفة </w:t>
      </w:r>
      <w:r>
        <w:rPr>
          <w:rFonts w:eastAsia="Amiri" w:cs="Amiri" w:ascii="Amiri" w:hAnsi="Amiri"/>
          <w:color w:val="111111"/>
          <w:sz w:val="28"/>
          <w:szCs w:val="28"/>
          <w:rtl w:val="true"/>
          <w:lang w:bidi="ar-SA"/>
        </w:rPr>
        <w:t>.</w:t>
      </w:r>
    </w:p>
    <w:p>
      <w:pPr>
        <w:pStyle w:val="Heading6"/>
        <w:numPr>
          <w:ilvl w:val="5"/>
          <w:numId w:val="1"/>
        </w:numPr>
        <w:rPr/>
      </w:pPr>
      <w:bookmarkStart w:id="137" w:name="__RefHeading___Toc686260_3406789950"/>
      <w:bookmarkStart w:id="138" w:name="_Toc48"/>
      <w:bookmarkEnd w:id="137"/>
      <w:r>
        <w:rPr>
          <w:rtl w:val="true"/>
        </w:rPr>
        <w:t>أدلّة التفصيل بين القرشية وغيرها</w:t>
      </w:r>
      <w:bookmarkEnd w:id="13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القرشية ، فقد دلّت على التفصيل بينها وبين غيرها ، مرسلة </w:t>
      </w:r>
    </w:p>
    <w:p>
      <w:pPr>
        <w:pStyle w:val="BookText"/>
        <w:rPr/>
      </w:pPr>
      <w:r>
        <w:rPr>
          <w:rFonts w:ascii="Amiri" w:hAnsi="Amiri" w:eastAsia="Amiri" w:cs="Amiri"/>
          <w:color w:val="111111"/>
          <w:sz w:val="28"/>
          <w:sz w:val="28"/>
          <w:szCs w:val="28"/>
          <w:rtl w:val="true"/>
          <w:lang w:bidi="ar-SA"/>
        </w:rPr>
        <w:t>ابن أبي عمير</w:t>
      </w:r>
      <w:r>
        <w:rPr>
          <w:rStyle w:val="FootnoteAnchor"/>
          <w:rtl w:val="true"/>
        </w:rPr>
        <w:footnoteReference w:id="161"/>
      </w:r>
      <w:r>
        <w:rPr>
          <w:rFonts w:ascii="Amiri" w:hAnsi="Amiri" w:eastAsia="Amiri" w:cs="Amiri"/>
          <w:color w:val="111111"/>
          <w:sz w:val="28"/>
          <w:sz w:val="28"/>
          <w:szCs w:val="28"/>
          <w:rtl w:val="true"/>
          <w:lang w:bidi="ar-SA"/>
        </w:rPr>
        <w:t>التي هي في حكم الصحيحة عندهم</w:t>
      </w:r>
      <w:r>
        <w:rPr>
          <w:rStyle w:val="FootnoteAnchor"/>
          <w:rtl w:val="true"/>
        </w:rPr>
        <w:footnoteReference w:id="162"/>
      </w:r>
      <w:r>
        <w:rPr>
          <w:rFonts w:ascii="IRNazanin" w:hAnsi="IRNazanin" w:eastAsia="IRNazanin"/>
          <w:color w:val="111111"/>
          <w:sz w:val="28"/>
          <w:sz w:val="28"/>
          <w:szCs w:val="28"/>
          <w:rtl w:val="true"/>
          <w:lang w:bidi="fa-IR"/>
        </w:rPr>
        <w:t>حتّى أنّ المجلسي رحمه الله علیه</w:t>
      </w:r>
    </w:p>
    <w:p>
      <w:pPr>
        <w:pStyle w:val="BookText"/>
        <w:rPr/>
      </w:pPr>
      <w:r>
        <w:rPr>
          <w:rFonts w:ascii="Amiri" w:hAnsi="Amiri" w:eastAsia="Amiri" w:cs="Amiri"/>
          <w:color w:val="111111"/>
          <w:sz w:val="28"/>
          <w:sz w:val="28"/>
          <w:szCs w:val="28"/>
          <w:rtl w:val="true"/>
          <w:lang w:bidi="ar-SA"/>
        </w:rPr>
        <w:t xml:space="preserve">وصف هذه المرسلة بالصحيحة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مرآته</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تقصر عنها مرسلة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إذا بلغت خمسين لم ترَ حمرة ، إلاّ أن تكون امرأة من قريش ، وهو حدّ المرأة التي تيأس من الحيض</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هذا النحو من الإرسال والنسبة إلى الصادق علیه السلام على نحو الجزم من مثل الصدوق ، لا يصحّ إلاّ مع علمه بصدور الرواية ، ومعلوم من طريقته أنّ النسبة ليست من الاجتهاد ، فهو إمّا اتّكل على مرسلة ابن أبي عمير ، فحكمه على نحو الجزم يوجب الوثوق بها ، وإمّا جزم بصدورها مستقلاًّ ، وهو لا يقصر عن توثيق الوسائط بالنظر إلى طريقته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ومثلها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القرشية من النساء والنبطية ، تريان الدم إلى ستّين سنة</w:t>
      </w:r>
      <w:r>
        <w:rPr>
          <w:rFonts w:eastAsia="Amiri" w:cs="Amiri" w:ascii="Amiri" w:hAnsi="Amiri"/>
          <w:color w:val="111111"/>
          <w:sz w:val="28"/>
          <w:szCs w:val="28"/>
          <w:rtl w:val="true"/>
          <w:lang w:bidi="ar-SA"/>
        </w:rPr>
        <w:t>»</w:t>
      </w:r>
      <w:r>
        <w:rPr>
          <w:rStyle w:val="FootnoteAnchor"/>
          <w:rtl w:val="true"/>
        </w:rPr>
        <w:footnoteReference w:id="165"/>
      </w: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تيأس المرأة إذا بلغت</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خمسين سنة ، إلاّ أن تكون امرأة من قريش ، فإنّه 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نّها ترى دم الحيض </w:t>
      </w:r>
    </w:p>
    <w:p>
      <w:pPr>
        <w:pStyle w:val="BookText"/>
        <w:rPr/>
      </w:pPr>
      <w:r>
        <w:rPr>
          <w:rFonts w:ascii="Amiri" w:hAnsi="Amiri" w:eastAsia="Amiri" w:cs="Amiri"/>
          <w:color w:val="111111"/>
          <w:sz w:val="28"/>
          <w:sz w:val="28"/>
          <w:szCs w:val="28"/>
          <w:rtl w:val="true"/>
          <w:lang w:bidi="ar-SA"/>
        </w:rPr>
        <w:t>إلى ستّين سنة</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 xml:space="preserve">وهما مرسلتان مستقلّتان غير السابقتين ؛ لافتراقهما عنهما مضموناً كافتراق أنفسهما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اشتهار الحكم بين الأصحاب قديماً وحديثاً ، وقد نقل الشهرة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التفصيل بين القرشية والنبطية وغيرهما </w:t>
      </w:r>
      <w:r>
        <w:rPr>
          <w:rStyle w:val="FootnoteAnchor"/>
          <w:rtl w:val="true"/>
        </w:rPr>
        <w:footnoteReference w:id="167"/>
      </w:r>
      <w:r>
        <w:rPr>
          <w:rFonts w:ascii="Amiri" w:hAnsi="Amiri" w:eastAsia="Amiri" w:cs="Amiri"/>
          <w:color w:val="111111"/>
          <w:sz w:val="28"/>
          <w:sz w:val="28"/>
          <w:szCs w:val="28"/>
          <w:rtl w:val="true"/>
          <w:lang w:bidi="ar-SA"/>
        </w:rPr>
        <w:t xml:space="preserve">، وادّعاها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168"/>
      </w:r>
      <w:r>
        <w:rPr>
          <w:rFonts w:ascii="Amiri" w:hAnsi="Amiri" w:eastAsia="Amiri" w:cs="Amiri"/>
          <w:color w:val="111111"/>
          <w:sz w:val="28"/>
          <w:sz w:val="28"/>
          <w:szCs w:val="28"/>
          <w:rtl w:val="true"/>
          <w:lang w:bidi="ar-SA"/>
        </w:rPr>
        <w:t xml:space="preserve">وادّعى الشهرة في التفصيل بين القرشية وغيرها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ذلك إلى الأصحاب</w:t>
      </w:r>
      <w:r>
        <w:rPr>
          <w:rStyle w:val="FootnoteAnchor"/>
          <w:rtl w:val="true"/>
        </w:rPr>
        <w:footnoteReference w:id="170"/>
      </w:r>
      <w:r>
        <w:rPr>
          <w:rFonts w:ascii="Amiri" w:hAnsi="Amiri" w:eastAsia="Amiri" w:cs="Amiri"/>
          <w:color w:val="111111"/>
          <w:sz w:val="28"/>
          <w:sz w:val="28"/>
          <w:szCs w:val="28"/>
          <w:rtl w:val="true"/>
          <w:lang w:bidi="ar-SA"/>
        </w:rPr>
        <w:t>، بل هو مقتضى الجمع بين الروايات على فرض استقلال</w:t>
      </w:r>
    </w:p>
    <w:p>
      <w:pPr>
        <w:pStyle w:val="BookText"/>
        <w:rPr/>
      </w:pPr>
      <w:r>
        <w:rPr>
          <w:rFonts w:ascii="Amiri" w:hAnsi="Amiri" w:eastAsia="Amiri" w:cs="Amiri"/>
          <w:color w:val="111111"/>
          <w:sz w:val="28"/>
          <w:sz w:val="28"/>
          <w:szCs w:val="28"/>
          <w:rtl w:val="true"/>
          <w:lang w:bidi="ar-SA"/>
        </w:rPr>
        <w:t>رواية ابن الحجّاج</w:t>
      </w:r>
      <w:r>
        <w:rPr>
          <w:rStyle w:val="FootnoteAnchor"/>
          <w:rtl w:val="true"/>
        </w:rPr>
        <w:footnoteReference w:id="171"/>
      </w:r>
      <w:r>
        <w:rPr>
          <w:rFonts w:ascii="Amiri" w:hAnsi="Amiri" w:eastAsia="Amiri" w:cs="Amiri"/>
          <w:color w:val="111111"/>
          <w:sz w:val="28"/>
          <w:sz w:val="28"/>
          <w:szCs w:val="28"/>
          <w:rtl w:val="true"/>
          <w:lang w:bidi="ar-SA"/>
        </w:rPr>
        <w:t>ومرسلة الكليني</w:t>
      </w:r>
      <w:r>
        <w:rPr>
          <w:rStyle w:val="FootnoteAnchor"/>
          <w:rtl w:val="true"/>
        </w:rPr>
        <w:footnoteReference w:id="172"/>
      </w:r>
      <w:r>
        <w:rPr>
          <w:rFonts w:ascii="Amiri" w:hAnsi="Amiri" w:eastAsia="Amiri" w:cs="Amiri"/>
          <w:color w:val="111111"/>
          <w:sz w:val="28"/>
          <w:sz w:val="28"/>
          <w:szCs w:val="28"/>
          <w:rtl w:val="true"/>
          <w:lang w:bidi="ar-SA"/>
        </w:rPr>
        <w:t xml:space="preserve">على تأمّل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ينبغي الإشكال بعدم صراحة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الحيض ، كما في مرسلتي ابن أبي عمير والصدوق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 كما في مرسلة المفيد وعدم ذكر الستّين للقرشية فيهما ، ولعلّ فتوى المشهور كان لأجل الجمع بين روايتي ابن الحجّاج ومرسلة ابن أبي عمير ، وبعد ترجيح تصحيف الستّين ، لا يبقى دليل </w:t>
      </w:r>
      <w:bookmarkStart w:id="139" w:name="pg15019_190597"/>
    </w:p>
    <w:p>
      <w:pPr>
        <w:pStyle w:val="BookText"/>
        <w:rPr/>
      </w:pPr>
      <w:bookmarkEnd w:id="139"/>
      <w:r>
        <w:rPr>
          <w:rFonts w:ascii="Amiri" w:hAnsi="Amiri" w:eastAsia="Amiri" w:cs="Amiri"/>
          <w:color w:val="111111"/>
          <w:sz w:val="28"/>
          <w:sz w:val="28"/>
          <w:szCs w:val="28"/>
          <w:rtl w:val="true"/>
          <w:lang w:bidi="ar-SA"/>
        </w:rPr>
        <w:t xml:space="preserve">على التفصيل إلاّ مرسلة الشيخ والمفيد وهما غير كافيتين للاحتجاج بعد احتمال أنّ إرسالهما لأجل الجمع وتخلّل الاجتهاد ؛ ضرورة أنّ مثل هذه الاحتمالات العقلية تأتي في جميع الفقه ، وهي ليست معتدّاً بها ومعياراً لفهم الأحكام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نسبة هذا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الغير المقبول لدى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الفقهاء ، وأنّ</w:t>
      </w:r>
    </w:p>
    <w:p>
      <w:pPr>
        <w:pStyle w:val="BookText"/>
        <w:rPr/>
      </w:pPr>
      <w:r>
        <w:rPr>
          <w:rFonts w:ascii="IRNazanin" w:hAnsi="IRNazanin" w:eastAsia="IRNazanin"/>
          <w:color w:val="111111"/>
          <w:sz w:val="28"/>
          <w:sz w:val="28"/>
          <w:szCs w:val="28"/>
          <w:rtl w:val="true"/>
          <w:lang w:bidi="fa-IR"/>
        </w:rPr>
        <w:t xml:space="preserve">مبنى اشتهار الفتوى هذا الجمع البعيد الغير الوجيه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عدم ذكر الستّين في المرسلتين يؤكّد كون الحكم كذلك كان مشهوراً لدى الإمامية ومعروفاً من لدن زمن الأئمّة علیهم السلام من غير احتياج إلى الاستناد إلى رواية ، والشهرة في مثل هذا الحكم التعبّدي المخالف للقواعد حجّة مستقلّة ؛ لو لم نقل بكفاية مرسلتي المفيد والشيخ مع انجبارهما بفتوى الطبقة المتقدّمة والمتأخّرة </w:t>
      </w:r>
      <w:r>
        <w:rPr>
          <w:rFonts w:eastAsia="IRNazanin" w:cs="IRNazanin"/>
          <w:color w:val="111111"/>
          <w:sz w:val="28"/>
          <w:szCs w:val="28"/>
          <w:rtl w:val="true"/>
          <w:lang w:bidi="fa-IR"/>
        </w:rPr>
        <w:t>.</w:t>
      </w:r>
    </w:p>
    <w:p>
      <w:pPr>
        <w:pStyle w:val="Heading6"/>
        <w:numPr>
          <w:ilvl w:val="5"/>
          <w:numId w:val="1"/>
        </w:numPr>
        <w:rPr/>
      </w:pPr>
      <w:bookmarkStart w:id="140" w:name="__RefHeading___Toc686262_3406789950"/>
      <w:bookmarkStart w:id="141" w:name="_Toc49"/>
      <w:bookmarkEnd w:id="140"/>
      <w:r>
        <w:rPr>
          <w:rtl w:val="true"/>
        </w:rPr>
        <w:t>مقتضى الأصل عند الشكّ في القرشية والنبطية</w:t>
      </w:r>
      <w:bookmarkEnd w:id="141"/>
    </w:p>
    <w:p>
      <w:pPr>
        <w:pStyle w:val="BookText"/>
        <w:rPr/>
      </w:pPr>
      <w:r>
        <w:rPr>
          <w:rFonts w:ascii="Amiri" w:hAnsi="Amiri" w:eastAsia="Amiri" w:cs="Amiri"/>
          <w:color w:val="111111"/>
          <w:sz w:val="28"/>
          <w:sz w:val="28"/>
          <w:szCs w:val="28"/>
          <w:rtl w:val="true"/>
          <w:lang w:bidi="ar-SA"/>
        </w:rPr>
        <w:t>ثمّ مع الشكّ في كون امرأة قرشيةً ، لا تجري أصالة عدم القرشية أو عدم الانتساب إلى قريش لو كان المراد بها الاستصحاب ؛ لما حقّق في محلّه</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كان المراد بها الأصل العقلائي المستند إلى الغلبة وندرة الطائفة بين سائر الطوائف ، فلها وجه ، وإن لم يخلُ من إشكال منشؤه عدم ثبوت هذا الأصل ، وعدم ندرة هذه الطائفة بحدّ يتّكل العقلاء على الأصل لدى الشبهة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لا بأس بها مع الشكّ في النبطية ؛ لاحتمال الانقراض رأساً ، فاحتمال النبطية ضعيف إلى حدّ لا يعتني به العقلاء </w:t>
      </w:r>
      <w:r>
        <w:rPr>
          <w:rFonts w:eastAsia="Amiri" w:cs="Amiri" w:ascii="Amiri" w:hAnsi="Amiri"/>
          <w:color w:val="111111"/>
          <w:sz w:val="28"/>
          <w:szCs w:val="28"/>
          <w:rtl w:val="true"/>
          <w:lang w:bidi="ar-SA"/>
        </w:rPr>
        <w:t xml:space="preserve">. </w:t>
      </w:r>
      <w:bookmarkStart w:id="142" w:name="pg15019_190598"/>
    </w:p>
    <w:p>
      <w:pPr>
        <w:pStyle w:val="Heading5"/>
        <w:numPr>
          <w:ilvl w:val="4"/>
          <w:numId w:val="1"/>
        </w:numPr>
        <w:rPr/>
      </w:pPr>
      <w:bookmarkStart w:id="143" w:name="__RefHeading___Toc686264_3406789950"/>
      <w:bookmarkStart w:id="144" w:name="_Toc50"/>
      <w:bookmarkEnd w:id="142"/>
      <w:bookmarkEnd w:id="143"/>
      <w:r>
        <w:rPr>
          <w:rtl w:val="true"/>
        </w:rPr>
        <w:t>الأمر الثالث في أنّ أقلّ الحيض ثلاثة أيّام</w:t>
      </w:r>
      <w:bookmarkEnd w:id="144"/>
    </w:p>
    <w:p>
      <w:pPr>
        <w:pStyle w:val="Heading6"/>
        <w:numPr>
          <w:ilvl w:val="5"/>
          <w:numId w:val="1"/>
        </w:numPr>
        <w:rPr/>
      </w:pPr>
      <w:bookmarkStart w:id="145" w:name="__RefHeading___Toc686266_3406789950"/>
      <w:bookmarkStart w:id="146" w:name="_Toc51"/>
      <w:bookmarkEnd w:id="145"/>
      <w:r>
        <w:rPr>
          <w:rtl w:val="true"/>
        </w:rPr>
        <w:t>اشارة</w:t>
      </w:r>
      <w:bookmarkEnd w:id="146"/>
    </w:p>
    <w:p>
      <w:pPr>
        <w:pStyle w:val="BookText"/>
        <w:rPr/>
      </w:pPr>
      <w:r>
        <w:rPr>
          <w:rFonts w:ascii="Amiri" w:hAnsi="Amiri" w:eastAsia="Amiri" w:cs="Amiri"/>
          <w:color w:val="111111"/>
          <w:sz w:val="28"/>
          <w:sz w:val="28"/>
          <w:szCs w:val="28"/>
          <w:rtl w:val="true"/>
          <w:lang w:bidi="ar-SA"/>
        </w:rPr>
        <w:t xml:space="preserve">لا إشكال نصّاً </w:t>
      </w:r>
      <w:r>
        <w:rPr>
          <w:rStyle w:val="FootnoteAnchor"/>
          <w:rtl w:val="true"/>
        </w:rPr>
        <w:footnoteReference w:id="174"/>
      </w:r>
      <w:r>
        <w:rPr>
          <w:rFonts w:ascii="IRNazanin" w:hAnsi="IRNazanin" w:eastAsia="IRNazanin"/>
          <w:color w:val="111111"/>
          <w:sz w:val="28"/>
          <w:sz w:val="28"/>
          <w:szCs w:val="28"/>
          <w:rtl w:val="true"/>
          <w:lang w:bidi="fa-IR"/>
        </w:rPr>
        <w:t>وفتوى</w:t>
      </w:r>
      <w:r>
        <w:rPr>
          <w:rStyle w:val="FootnoteAnchor"/>
          <w:rtl w:val="true"/>
        </w:rPr>
        <w:footnoteReference w:id="175"/>
      </w:r>
      <w:r>
        <w:rPr>
          <w:rFonts w:ascii="Amiri" w:hAnsi="Amiri" w:eastAsia="Amiri" w:cs="Amiri"/>
          <w:color w:val="111111"/>
          <w:sz w:val="28"/>
          <w:sz w:val="28"/>
          <w:szCs w:val="28"/>
          <w:rtl w:val="true"/>
          <w:lang w:bidi="ar-SA"/>
        </w:rPr>
        <w:t>في عدم كون ما رأت المرأة أقلّ من ثلاثة أيّام حيضاً ، ونقل الإجماع عليه مستفيض</w:t>
      </w:r>
      <w:r>
        <w:rPr>
          <w:rStyle w:val="FootnoteAnchor"/>
          <w:rtl w:val="true"/>
        </w:rPr>
        <w:footnoteReference w:id="176"/>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 نّه من دين الإمامية الذي يجب الإقرار به</w:t>
      </w:r>
      <w:r>
        <w:rPr>
          <w:rFonts w:eastAsia="Amiri" w:cs="Amiri" w:ascii="Amiri" w:hAnsi="Amiri"/>
          <w:color w:val="111111"/>
          <w:sz w:val="28"/>
          <w:szCs w:val="28"/>
          <w:rtl w:val="true"/>
          <w:lang w:bidi="ar-SA"/>
        </w:rPr>
        <w:t>»</w:t>
      </w:r>
      <w:r>
        <w:rPr>
          <w:rStyle w:val="FootnoteAnchor"/>
          <w:rtl w:val="true"/>
        </w:rPr>
        <w:footnoteReference w:id="177"/>
      </w: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هو مذهب فقهاء أهل البيت علیهم السلام </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 يقع الكلام هاهنا في جهتين </w:t>
      </w:r>
      <w:r>
        <w:rPr>
          <w:rFonts w:eastAsia="Amiri" w:cs="Amiri" w:ascii="Amiri" w:hAnsi="Amiri"/>
          <w:color w:val="111111"/>
          <w:sz w:val="28"/>
          <w:szCs w:val="28"/>
          <w:rtl w:val="true"/>
          <w:lang w:bidi="ar-SA"/>
        </w:rPr>
        <w:t>:</w:t>
      </w:r>
    </w:p>
    <w:p>
      <w:pPr>
        <w:pStyle w:val="Heading6"/>
        <w:numPr>
          <w:ilvl w:val="5"/>
          <w:numId w:val="1"/>
        </w:numPr>
        <w:rPr/>
      </w:pPr>
      <w:bookmarkStart w:id="147" w:name="__RefHeading___Toc686268_3406789950"/>
      <w:bookmarkStart w:id="148" w:name="_Toc52"/>
      <w:bookmarkEnd w:id="147"/>
      <w:r>
        <w:rPr>
          <w:rtl w:val="true"/>
        </w:rPr>
        <w:t>حول الروايات الواردة في حدود الحيض</w:t>
      </w:r>
      <w:bookmarkEnd w:id="148"/>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الاُولى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وهي التي لا تختصّ بالمقام ، وقد مرّ فيها بعض الكلام</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الروايات الواردة في حدود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كعدم كونه قبل التسع وبعد اليأس وعدم كونه أقلّ من ثلاثة أيّام وأكثر من عشرة أيّام</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هي في مقام تحديد واقع الحيض ؛ وأنّ ما خرج على خلاف تلك الحدود ليس من الحيض تكويناً ، بل من </w:t>
      </w:r>
    </w:p>
    <w:p>
      <w:pPr>
        <w:pStyle w:val="BookText"/>
        <w:rPr/>
      </w:pPr>
      <w:r>
        <w:rPr>
          <w:rFonts w:ascii="Amiri" w:hAnsi="Amiri" w:eastAsia="Amiri" w:cs="Amiri"/>
          <w:color w:val="111111"/>
          <w:sz w:val="28"/>
          <w:sz w:val="28"/>
          <w:szCs w:val="28"/>
          <w:rtl w:val="true"/>
          <w:lang w:bidi="ar-SA"/>
        </w:rPr>
        <w:t>مبدأ آخر ؛ إمّا من عرق العاذل أو من القرحة في الجوف ، أو غير ذلك ؟</w:t>
      </w:r>
    </w:p>
    <w:p>
      <w:pPr>
        <w:pStyle w:val="BookText"/>
        <w:rPr/>
      </w:pPr>
      <w:r>
        <w:rPr>
          <w:rFonts w:ascii="Amiri" w:hAnsi="Amiri" w:eastAsia="Amiri" w:cs="Amiri"/>
          <w:color w:val="111111"/>
          <w:sz w:val="28"/>
          <w:sz w:val="28"/>
          <w:szCs w:val="28"/>
          <w:rtl w:val="true"/>
          <w:lang w:bidi="ar-SA"/>
        </w:rPr>
        <w:t xml:space="preserve">أو في مقام التحديد الشرعي ؛ بمعنى جعل الشارع موضوع الأحكام صنفاً خاصّاً من دم الحيض لا مطلقَه ، كما جعل موضوع القصر صنفاً خاصّاً من السفر ، فقبل ثمانية فراسخ وإن كان سفراً واقعاً لكن لا يترتّب عليه الأحكام ، وكذا سفر المعصية والصيد ، فكذا لو فرض تحقّق دم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الدم الطبيعي المعهود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التسع أو بعد الخمسين أو أقلّ من ثلاثة أو أكثر من عشرة ، لم يكن موضوعاً للحكم الشرعي ؟</w:t>
      </w:r>
    </w:p>
    <w:p>
      <w:pPr>
        <w:pStyle w:val="BookText"/>
        <w:rPr/>
      </w:pPr>
      <w:r>
        <w:rPr>
          <w:rFonts w:ascii="Amiri" w:hAnsi="Amiri" w:eastAsia="Amiri" w:cs="Amiri"/>
          <w:color w:val="111111"/>
          <w:sz w:val="28"/>
          <w:sz w:val="28"/>
          <w:szCs w:val="28"/>
          <w:rtl w:val="true"/>
          <w:lang w:bidi="ar-SA"/>
        </w:rPr>
        <w:t>أو في مقام بيان جعل الشارع أمارات للحيض عند الاشتباه ، وكانت الأحكام مترتّبة على واقع الحيض ونفس طبيعة الدم المعهود ، لكن لمّا كان الموضوع غالباً مورد الاشتباه ، جعل أمارات له أو لعدمه ، فكون الدم أقلّ من ثلاثة أو أكثر من عشرة أو قبل البلوغ وبعد اليأس ، محكوم بعدم الحيضية ظاهراً ، فلو علمت بحيضية ما خرج قبل البلوغ أو بعد اليأس يجب عليها التحيّض والعمل بالوظائف ؛ لكونها حائضاً ، وهي موضوع للأحكام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يقال بالأخير</w:t>
      </w:r>
      <w:r>
        <w:rPr>
          <w:rStyle w:val="FootnoteAnchor"/>
          <w:rtl w:val="true"/>
        </w:rPr>
        <w:footnoteReference w:id="181"/>
      </w:r>
      <w:r>
        <w:rPr>
          <w:rFonts w:ascii="IRNazanin" w:hAnsi="IRNazanin" w:eastAsia="IRNazanin"/>
          <w:color w:val="111111"/>
          <w:sz w:val="28"/>
          <w:sz w:val="28"/>
          <w:szCs w:val="28"/>
          <w:rtl w:val="true"/>
          <w:lang w:bidi="fa-IR"/>
        </w:rPr>
        <w:t xml:space="preserve">؛ جمعاً بين أدلّة أحكام الحيض الظاهرة في كون الحكم لنفس ماهية الدم ، وبين موثّقة إسحاق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المرأة الحُبلى ترى الدم اليوم واليومين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الدم عبيطاً فلا تصلِّ ذينك اليومين ، وإن كان صفرة فلتغتسل عند كلّ صلاتين</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وكذا موثّقة سماعة الظاهرة في وجوب الجلوس إذا رأت الدم يومين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الجارية البكر أوّل ما تحيض ، فتقعد في الشهر يومين ، وفي الشهر ثلاثة أيّام ، يختلف عليها ، لا يكون طمثها في الشهر عدّة أيّام سواء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فلها أن تجلس وتدع الصلاة ما دامت ترى الدم ؛ ما لم يَجُز العشرة ، فإذا اتّفق الشهران عدّة أيّام سواء فتلك أيّامها</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الروايتين محمولتان على صورة عدم الشبهة والعلم بكون الدم حيضاً ، وسائر الروايات محمولة على صورة الشبهة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مخالفته للإجماع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الجمع المقبول ؛ فإنّ الظاهر من الروايتين صورة الاشتباه وعدم العلم ، ولهذا أرجعها إلى الأمارة وكونه عبيطاً أو صفرة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كون الرواية بصدد رفع الاشتباه والتنبيه على عدم كون المورد من موارد الاشتباه ، لا لجعل الأمارة لدى الشبهة ، كما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رواية سماعة لا</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تدلّ على ما ذكر إلاّ من حيث تقرير الإمام قعودها في الشهر يومين ، وهو لا يقاوم الأدلّة الناصّة على أنّ أقلّ الحيض ثلاثة أيّام</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في ذيلها من أ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اتّفق الشهران عدّة أيّام سواء فتلك أيّامها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ظهوره في أكثر من يومين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فلها أن تجلس وتدع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فحكم ظاهري لمن رأت الدم ، كما في رؤية الدم في أيّام العادة </w:t>
      </w:r>
      <w:r>
        <w:rPr>
          <w:rFonts w:eastAsia="Amiri" w:cs="Amiri" w:ascii="Amiri" w:hAnsi="Amiri"/>
          <w:color w:val="111111"/>
          <w:sz w:val="28"/>
          <w:szCs w:val="28"/>
          <w:rtl w:val="true"/>
          <w:lang w:bidi="ar-SA"/>
        </w:rPr>
        <w:t xml:space="preserve">. </w:t>
      </w:r>
      <w:bookmarkStart w:id="149" w:name="pg15019_190601"/>
    </w:p>
    <w:p>
      <w:pPr>
        <w:pStyle w:val="BookText"/>
        <w:rPr/>
      </w:pPr>
      <w:bookmarkEnd w:id="149"/>
      <w:r>
        <w:rPr>
          <w:rFonts w:ascii="Amiri" w:hAnsi="Amiri" w:eastAsia="Amiri" w:cs="Amiri"/>
          <w:color w:val="111111"/>
          <w:sz w:val="28"/>
          <w:sz w:val="28"/>
          <w:szCs w:val="28"/>
          <w:rtl w:val="true"/>
          <w:lang w:bidi="ar-SA"/>
        </w:rPr>
        <w:t xml:space="preserve">وإن أبيت عن جميع ذلك ، فلا بدّ من ردّ علمهما إلى قائلهما مع إعراض الأصحاب عنهما ، فالاحتمال الأخير أضعف الاحتمالات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يبعد أن يكون أقربها ثانيَها ؛ لما مرّ من بُعد كونها تحديداً للواقع ، فإنّ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الدم المعهود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أكثر من عشرة أو أقلّ من ثلاثة ، ولا يمكن الالتزام بأنّ الدم إلى الساعة الأخيرة من اليوم العاشر حيض تكويناً وله مجرى ، وإذا بلغ آخر العشرة انسدّ الطريق المخصوص بالحيض ، وانفتح طريق آخر ؛ وإن كان ظاهر بعض الروايات تحديد الواقع كمرسلة يونس القصيرة</w:t>
      </w:r>
      <w:r>
        <w:rPr>
          <w:rStyle w:val="FootnoteAnchor"/>
          <w:rtl w:val="true"/>
        </w:rPr>
        <w:footnoteReference w:id="185"/>
      </w:r>
      <w:r>
        <w:rPr>
          <w:rFonts w:ascii="Amiri" w:hAnsi="Amiri" w:eastAsia="Amiri" w:cs="Amiri"/>
          <w:color w:val="111111"/>
          <w:sz w:val="28"/>
          <w:sz w:val="28"/>
          <w:szCs w:val="28"/>
          <w:rtl w:val="true"/>
          <w:lang w:bidi="ar-SA"/>
        </w:rPr>
        <w:t xml:space="preserve">وغيرها </w:t>
      </w:r>
      <w:r>
        <w:rPr>
          <w:rStyle w:val="FootnoteAnchor"/>
          <w:rtl w:val="true"/>
        </w:rPr>
        <w:footnoteReference w:id="186"/>
      </w:r>
      <w:r>
        <w:rPr>
          <w:rFonts w:ascii="Amiri" w:hAnsi="Amiri" w:eastAsia="Amiri" w:cs="Amiri"/>
          <w:color w:val="111111"/>
          <w:sz w:val="28"/>
          <w:sz w:val="28"/>
          <w:szCs w:val="28"/>
          <w:rtl w:val="true"/>
          <w:lang w:bidi="ar-SA"/>
        </w:rPr>
        <w:t xml:space="preserve">، لكن ورود التحديد في لسان الشارع محمول على التحديد التعبّدي لا التكويني ؛ لعدم اهتمام الشارع في مقام بيان الأحكام وموضوعاتها ببيان حال التكوين ، بل همّه بيان موضوع أحكامه </w:t>
      </w:r>
      <w:r>
        <w:rPr>
          <w:rFonts w:eastAsia="Amiri" w:cs="Amiri" w:ascii="Amiri" w:hAnsi="Amiri"/>
          <w:color w:val="111111"/>
          <w:sz w:val="28"/>
          <w:szCs w:val="28"/>
          <w:rtl w:val="true"/>
          <w:lang w:bidi="ar-SA"/>
        </w:rPr>
        <w:t>.</w:t>
      </w:r>
    </w:p>
    <w:p>
      <w:pPr>
        <w:pStyle w:val="Heading6"/>
        <w:numPr>
          <w:ilvl w:val="5"/>
          <w:numId w:val="1"/>
        </w:numPr>
        <w:rPr/>
      </w:pPr>
      <w:bookmarkStart w:id="150" w:name="__RefHeading___Toc686270_3406789950"/>
      <w:bookmarkStart w:id="151" w:name="_Toc53"/>
      <w:bookmarkEnd w:id="150"/>
      <w:r>
        <w:rPr>
          <w:rtl w:val="true"/>
        </w:rPr>
        <w:t>اعتبار التوالي في الأيّام الثلاثة</w:t>
      </w:r>
      <w:bookmarkEnd w:id="15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يشترط التوالي في رؤية الدم ثلاثة أيّام ، فلا يحكم بحيضية ما تراه ثلاثة متفرّقة ولو بين العشرة ، أو يكفي كونها في جملة العشرة أو يكفي كونها متفرّقة ؛ بحيث لا يتخلّل بين أبعاضها عشرة أيّام ، أو يفصّل بين الحامل وغيرها ؟ </w:t>
      </w:r>
      <w:bookmarkStart w:id="152" w:name="pg15019_190602"/>
    </w:p>
    <w:p>
      <w:pPr>
        <w:pStyle w:val="BookText"/>
        <w:rPr/>
      </w:pPr>
      <w:bookmarkEnd w:id="152"/>
      <w:r>
        <w:rPr>
          <w:rFonts w:ascii="Amiri" w:hAnsi="Amiri" w:eastAsia="Amiri" w:cs="Amiri"/>
          <w:color w:val="111111"/>
          <w:sz w:val="28"/>
          <w:sz w:val="28"/>
          <w:szCs w:val="28"/>
          <w:rtl w:val="true"/>
          <w:lang w:bidi="ar-SA"/>
        </w:rPr>
        <w:t xml:space="preserve">والمشهور هو الأوّل ،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طهارة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المفاتيح</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3" w:name="__RefHeading___Toc686272_3406789950"/>
      <w:bookmarkStart w:id="154" w:name="_Toc54"/>
      <w:bookmarkEnd w:id="153"/>
      <w:r>
        <w:rPr>
          <w:rtl w:val="true"/>
        </w:rPr>
        <w:t>الروايات الدالّة على اعتبار التوالي</w:t>
      </w:r>
      <w:bookmarkEnd w:id="154"/>
    </w:p>
    <w:p>
      <w:pPr>
        <w:pStyle w:val="BookText"/>
        <w:rPr/>
      </w:pPr>
      <w:r>
        <w:rPr>
          <w:rFonts w:ascii="Amiri" w:hAnsi="Amiri" w:eastAsia="Amiri" w:cs="Amiri"/>
          <w:color w:val="111111"/>
          <w:sz w:val="28"/>
          <w:sz w:val="28"/>
          <w:szCs w:val="28"/>
          <w:rtl w:val="true"/>
          <w:lang w:bidi="ar-SA"/>
        </w:rPr>
        <w:t xml:space="preserve">وتدلّ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الاُصول التي يأتي البحث عنها </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الكثيرة الدالّة على أنّ أقلّ الحيض ثلاثة أيّام ، ففي صحيحة معاوية بن عمّار عن أبي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أقلّ ما يكون الحيض ثلاثة أيّام ، وأكثر ما يكون عشرة أيّام</w:t>
      </w:r>
      <w:r>
        <w:rPr>
          <w:rFonts w:eastAsia="IRNazanin" w:cs="IRNazanin"/>
          <w:color w:val="111111"/>
          <w:sz w:val="28"/>
          <w:szCs w:val="28"/>
          <w:rtl w:val="true"/>
          <w:lang w:bidi="fa-IR"/>
        </w:rPr>
        <w:t>»</w:t>
      </w:r>
      <w:r>
        <w:rPr>
          <w:rStyle w:val="FootnoteAnchor"/>
          <w:rtl w:val="true"/>
        </w:rPr>
        <w:footnoteReference w:id="189"/>
      </w:r>
      <w:r>
        <w:rPr>
          <w:rFonts w:ascii="Amiri" w:hAnsi="Amiri" w:eastAsia="Amiri" w:cs="Amiri"/>
          <w:color w:val="111111"/>
          <w:sz w:val="28"/>
          <w:sz w:val="28"/>
          <w:szCs w:val="28"/>
          <w:rtl w:val="true"/>
          <w:lang w:bidi="ar-SA"/>
        </w:rPr>
        <w:t xml:space="preserve">ومثلها أو قريب منها غيرها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تقريب الاستدلال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الحيض إمّا الدم المعهود ، أو سيلانه ، أو أمر معنوي محصّل به ، وعلى أيّ حال لا يصدق كون أقلّه ثلاثة أيّام إلاّ مع الاستمرار ؛ فإنّ الدم إذا جرى يوماً ، وانقطع يوماً ، ثمّ جرى يوماً ، وانقطع يوماً ، ثمّ جرى يوماً ، وقلنا بأنّ هذه الدماء حيض ، يكون أقلّ الحيض يوماً واحداً ؛ ضرورة أنّ الدم في اليوم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تعقّبه بالثاني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دماً مستقلاًّ منقطعاً عن الدمين</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المتأخّرين ، وهو حيض حسب الفرض ، فيكون أقلّ الحيض يوماً واحداً ، </w:t>
      </w:r>
    </w:p>
    <w:p>
      <w:pPr>
        <w:pStyle w:val="BookText"/>
        <w:rPr/>
      </w:pPr>
      <w:r>
        <w:rPr>
          <w:rFonts w:ascii="Amiri" w:hAnsi="Amiri" w:eastAsia="Amiri" w:cs="Amiri"/>
          <w:color w:val="111111"/>
          <w:sz w:val="28"/>
          <w:sz w:val="28"/>
          <w:szCs w:val="28"/>
          <w:rtl w:val="true"/>
          <w:lang w:bidi="ar-SA"/>
        </w:rPr>
        <w:t>لا ثلاثة أيّام ، إلاّ بتأويل وتوجيه يأتي الكلام فيه</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كلّ أمر تدريجي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كونه سائلاً ، يعدّ مصداقاً واحداً للطبيعة ، وإذا انقطع وتخلّل بينه وبين قطعة اُخرى نقاء أو طهر ، تكون القطعتان مصداقين للطبيعة ، لا مصداقاً واحداً ، فالدماء المتفرّقة في عشرة أيّام إذا كان عدد مجموعها ثلاثة أيّام ، تكون مصاديق متعدّدة مستقلّة للدم ولسيلانه أيضاً وجداناً ، ومع كونها حيضاً تكون ثلاثة مصاديق لدم الحيض ، فيكون أقلّ دم الحيض يوماً واحداً ، وكذا أقلّ سيلانه ، إلاّ بالتأويل وارتكاب التجوّز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الحيض عبارة عن أمر معنوي حاصل بالدم إذا بلغ ثلاثة أيّام في العشرة ، فإنّ هذا الأمر المعنوي يحصل بالدم المتعقّب بثلاثة أيّام ، فإذا</w:t>
      </w:r>
    </w:p>
    <w:p>
      <w:pPr>
        <w:pStyle w:val="BookText"/>
        <w:rPr/>
      </w:pPr>
      <w:r>
        <w:rPr>
          <w:rFonts w:ascii="Amiri" w:hAnsi="Amiri" w:eastAsia="Amiri" w:cs="Amiri"/>
          <w:color w:val="111111"/>
          <w:sz w:val="28"/>
          <w:sz w:val="28"/>
          <w:szCs w:val="28"/>
          <w:rtl w:val="true"/>
          <w:lang w:bidi="ar-SA"/>
        </w:rPr>
        <w:t xml:space="preserve">قيل بكفاية التفرّق لا يمكن أن يكون الأقلّ ثلاثة ؛ لأ نّه إذا قلنا بأنّ الفترات طهر ، يكون الحيض في زمان جريان الدم مصداقاً مستقلاًّ ، ومع تخلّل الطهر بينه وبين مصداق آخر ، لا يمكن أن يكون المصداقان واحداً إلاّ بالتأوّل والتجوّز والاعتبار ، فيكون أقلّ الحيض يوماً ، لا ثلاثة أيّام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الفترات أيضاً حيض ، يكون أقلّ الحيض في الفرض أكثر من ثلاثة أيّام ؛ لأ نّه إذا فرض جريان الدم يومين ، ثمّ انقطع يوماً وجرى يوماً ، يكون</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الأمر المعنوي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أيّام ، فكون أقلّ الحيض ثلاثة أيّام حقيقة ، لا يمكن إلاّ بتوالي الأيّام الثلاثة على جميع الاحتمالات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وبما ذكرنا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لا وقع للاعتراض عليه</w:t>
      </w:r>
      <w:r>
        <w:rPr>
          <w:rStyle w:val="FootnoteAnchor"/>
          <w:rtl w:val="true"/>
        </w:rPr>
        <w:footnoteReference w:id="192"/>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بمقايسة المقام بنذر الصوم وهو واضح ، 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بالنقض بالعشرة المقابلة للثلاثة لقيام الإجماع على عدم لزوم التوالي ، فإنّ كون أكثر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الدم أو سيلانه أو الأمر المعنوي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أيّام ، لا ينافي الإجماع المذكور ؛ ضرورة أ نّه مع هذا الإجماع تكون العشرة مع تفرّق أيّام الدم بعد توالي ثلاثة أيّام حيضاً ، لا دم الحيض وسيلانه ، فإذا كان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الروايات دم الحيض أو سيلانه ، يكون أكثر الحيض عشرة أيّام متوالية ، وتكون العشرة المذكورة حيضاً حكماً لا 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الدم الذي بعد النقاء الحاصل بعد الثلاثة المتوالية ، حيض حكماً ؛ لدلالة الأدلّة على أنّ الحيض لا يكون أقلّ من ثلاثة أيّام ، ولو كان الدم</w:t>
      </w:r>
    </w:p>
    <w:p>
      <w:pPr>
        <w:pStyle w:val="BookText"/>
        <w:rPr/>
      </w:pPr>
      <w:r>
        <w:rPr>
          <w:rFonts w:ascii="Amiri" w:hAnsi="Amiri" w:eastAsia="Amiri" w:cs="Amiri"/>
          <w:color w:val="111111"/>
          <w:sz w:val="28"/>
          <w:sz w:val="28"/>
          <w:szCs w:val="28"/>
          <w:rtl w:val="true"/>
          <w:lang w:bidi="ar-SA"/>
        </w:rPr>
        <w:t xml:space="preserve">المرئي يوماً حيضاً ، لكان منافياً للروايات المتقدّمة ،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الحيض أمر معنوي يكون أكثر الحيض عشرة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استمرّ الدم في العشرة ، أو رأت الدم بعد الثلاثة متفرّقاً إلى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يرد النقض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قلنا ذلك لم يرد علينا النقض ؛ بأنّ رؤية الدم يوماً واحداً بعد الثلاثة</w:t>
      </w:r>
    </w:p>
    <w:p>
      <w:pPr>
        <w:pStyle w:val="BookText"/>
        <w:rPr/>
      </w:pPr>
      <w:r>
        <w:rPr>
          <w:rFonts w:ascii="Amiri" w:hAnsi="Amiri" w:eastAsia="Amiri" w:cs="Amiri"/>
          <w:color w:val="111111"/>
          <w:sz w:val="28"/>
          <w:sz w:val="28"/>
          <w:szCs w:val="28"/>
          <w:rtl w:val="true"/>
          <w:lang w:bidi="ar-SA"/>
        </w:rPr>
        <w:t xml:space="preserve">المتوالية قبل تمام العشرة ، مصداق من الدم ، وهو حيض ، فيكون الحيض أقلّ من ثلاثة أيّام ، ضرورة أنّ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ثلاثة أيّام ؛ لأنّ أيّام</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النقاء أيضاً حيض ، كما يأتي الكلام فيه</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bookmarkStart w:id="155" w:name="pg15019_190605"/>
    </w:p>
    <w:p>
      <w:pPr>
        <w:pStyle w:val="BookText"/>
        <w:rPr/>
      </w:pPr>
      <w:bookmarkEnd w:id="155"/>
      <w:r>
        <w:rPr>
          <w:rFonts w:ascii="Amiri" w:hAnsi="Amiri" w:eastAsia="Amiri" w:cs="Amiri"/>
          <w:color w:val="111111"/>
          <w:sz w:val="28"/>
          <w:sz w:val="28"/>
          <w:szCs w:val="28"/>
          <w:rtl w:val="true"/>
          <w:lang w:bidi="ar-SA"/>
        </w:rPr>
        <w:t xml:space="preserve">نعم ، بناءً على كون النقاء طهراً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يراه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هذا النقض ، لكنّ المبنى غير تامّ </w:t>
      </w:r>
      <w:r>
        <w:rPr>
          <w:rFonts w:eastAsia="Amiri" w:cs="Amiri" w:ascii="Amiri" w:hAnsi="Amiri"/>
          <w:color w:val="111111"/>
          <w:sz w:val="28"/>
          <w:szCs w:val="28"/>
          <w:rtl w:val="true"/>
          <w:lang w:bidi="ar-SA"/>
        </w:rPr>
        <w:t>.</w:t>
      </w:r>
    </w:p>
    <w:p>
      <w:pPr>
        <w:pStyle w:val="Heading6"/>
        <w:numPr>
          <w:ilvl w:val="5"/>
          <w:numId w:val="1"/>
        </w:numPr>
        <w:rPr/>
      </w:pPr>
      <w:bookmarkStart w:id="156" w:name="__RefHeading___Toc686274_3406789950"/>
      <w:bookmarkStart w:id="157" w:name="_Toc55"/>
      <w:bookmarkEnd w:id="156"/>
      <w:r>
        <w:rPr>
          <w:rtl w:val="true"/>
        </w:rPr>
        <w:t>التمسّك بمرسلة يونس القصيرة على عدم اعتبار التوالي</w:t>
      </w:r>
      <w:bookmarkEnd w:id="157"/>
    </w:p>
    <w:p>
      <w:pPr>
        <w:pStyle w:val="BookText"/>
        <w:rPr/>
      </w:pPr>
      <w:r>
        <w:rPr>
          <w:rFonts w:ascii="IRNazanin" w:hAnsi="IRNazanin" w:eastAsia="IRNazanin"/>
          <w:color w:val="111111"/>
          <w:sz w:val="28"/>
          <w:sz w:val="28"/>
          <w:szCs w:val="28"/>
          <w:rtl w:val="true"/>
          <w:lang w:bidi="fa-IR"/>
        </w:rPr>
        <w:t xml:space="preserve">ثمّ إنّ في مقابل هذه الروايات روايات ، عمدتها مرسلة يونس القصيرة التي رواها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إبراهيم ، عن أبيه ، عن إسماعيل بن مرار ، عن يونس ، عن بعض رجاله ، عن أبي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أدنى الطهر عشرة أيّام ؛ وذلك أنّ المرأة أوّل ما تحيض ربّما كانت كثيرة الدم ، فيكون حيضها عشرة أيّام ، فلا تزال كلّما كبرت نقصت حتّى ترجع إلى ثلاثة أيّام ، فإذا رجعت إلى ثلاثة أيّام ارتفع حيضها ، ولا يكون أقلّ من ثلاثة أيّام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رأت المرأة الدم في أيّام حيضها تركت الصلاة ، فإن استمرّ بها الدم ثلاثة أيّام فهي حائض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انقطع الدم بعد ما رأته يوماً أو يومين ، اغتسلت وصلّت ، وانتظرت من يوم رأت الدم إلى عشرة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رأت في تلك العشرة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يوم رأت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أو يومين حتّى يتمّ لها ثلاثة أيّام ، فذلك الذي رأته في أوّل الأمر مع هذا الذي رأته بعد ذلك في عشرة ، فهو من الحيض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مرّ بها من يوم رأت الدم عشرة أيّام ولم تَرَ الدم ، فذلك اليوم واليومان الذي رأته لم يكن من الحيض ، إنّما كان من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قرحة في جوفها ، وإمّا من الجوف ، فعليها أن تعيد الصلاة تلك اليومين التي تركتها ؛ لأ نّها لم تكن حائضاً ، فيجب أن تقضي ما تركت من الصلاة في اليوم واليومين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تمّ لها ثلاثة أيّام فهو من الحيض ، وهو أدنى الحيض ، ولم يجب عليها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الطهر أقلّ من عشرة أيّام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حاضت المرأة ، وكان حيضها خمسة أيّام ، ثمّ انقطع الدم ، اغتسلت وصلّت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رأت بعد ذلك الدم ، ولم يتمّ لها من يوم طهرت عشرةُ أيّام ، فذلك من الحيض ؛ تدع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رأت الدم من أوّل ما رأت الثاني الذي رأته تمام العشرة أيّام ودام عليها ، 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 ما رأت الدم الأوّل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أيّام ، ثمّ هي مستحاضة ؛ تعمل ما تعمله المستحاضة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ما رأت المرأة في أيّام حيضها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صفرة أو حمرة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الحيض ، وكلّ ما رأته بعد أيّام حيضها فليس من الحيض</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المرسلة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 الثلاثة لا يلزم أن تكون متّصلة</w:t>
      </w:r>
    </w:p>
    <w:p>
      <w:pPr>
        <w:pStyle w:val="BookText"/>
        <w:rPr/>
      </w:pPr>
      <w:r>
        <w:rPr>
          <w:rFonts w:ascii="Amiri" w:hAnsi="Amiri" w:eastAsia="Amiri" w:cs="Amiri"/>
          <w:color w:val="111111"/>
          <w:sz w:val="28"/>
          <w:sz w:val="28"/>
          <w:szCs w:val="28"/>
          <w:rtl w:val="true"/>
          <w:lang w:bidi="ar-SA"/>
        </w:rPr>
        <w:t xml:space="preserve">متوالية ، فتفسّر ما في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الدم لا يكون أقلّ من ثلاثة أيّام ، فلو لا الإشكالات الآتية ، لكان الجمع بينها وبين تلك الروايات عقلائياً ؛ لحكومتها عليها ، وتكون نتيجته هو القول المخالف للمشهور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العمل بمثل تلك المرسلة في غاية الإشكال ، لا</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لكون الحكم على خلاف المشهور وإن كان له وجه وجيه ، واحتمال تخلّل الاجتهاد في البين ، أو إعمال المعارضة وترجيح الروايات المقابلة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الإعراض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 بل فاسد مع ما ترى من الجمع الوجيه العقلائي بين الطائفتين ؛ بحيث لا يبقى معه شبهة </w:t>
      </w:r>
    </w:p>
    <w:p>
      <w:pPr>
        <w:pStyle w:val="BookText"/>
        <w:rPr/>
      </w:pPr>
      <w:r>
        <w:rPr>
          <w:rFonts w:ascii="Amiri" w:hAnsi="Amiri" w:eastAsia="Amiri" w:cs="Amiri"/>
          <w:color w:val="111111"/>
          <w:sz w:val="28"/>
          <w:sz w:val="28"/>
          <w:szCs w:val="28"/>
          <w:rtl w:val="true"/>
          <w:lang w:bidi="ar-SA"/>
        </w:rPr>
        <w:t xml:space="preserve">المعارضة ، فكيف يمكن نسبة عدم فهم هذا النحو من الجمع المقبول العرفي إلى مشهور العلماء وأرباب اللسان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لأنّ في المرسلة اضطرابات ومناقضات ومخالفات للمشهور ، ربّما تبلغ المناقشات فيها إلى عشر أو أكثر ، مع الغضّ عن التأمّل في سندها بإسماعيل بن مرار الذي لم يرد فيه توثيق وأكثر ما ورد فيه عدم استثناء ابن الوليد إيّاه من رجال يونس</w:t>
      </w:r>
      <w:r>
        <w:rPr>
          <w:rStyle w:val="FootnoteAnchor"/>
          <w:rtl w:val="true"/>
        </w:rPr>
        <w:footnoteReference w:id="196"/>
      </w:r>
      <w:r>
        <w:rPr>
          <w:rFonts w:ascii="Amiri" w:hAnsi="Amiri" w:eastAsia="Amiri" w:cs="Amiri"/>
          <w:color w:val="111111"/>
          <w:sz w:val="28"/>
          <w:sz w:val="28"/>
          <w:szCs w:val="28"/>
          <w:rtl w:val="true"/>
          <w:lang w:bidi="ar-SA"/>
        </w:rPr>
        <w:t>، وفي كفايته تأمّل وإن كانت غير بعيدة ، خصوصاً مع قول الصدوق في شأن ابن الوليد</w:t>
      </w:r>
      <w:r>
        <w:rPr>
          <w:rStyle w:val="FootnoteAnchor"/>
          <w:rtl w:val="true"/>
        </w:rPr>
        <w:footnoteReference w:id="197"/>
      </w:r>
      <w:r>
        <w:rPr>
          <w:rFonts w:ascii="Amiri" w:hAnsi="Amiri" w:eastAsia="Amiri" w:cs="Amiri"/>
          <w:color w:val="111111"/>
          <w:sz w:val="28"/>
          <w:sz w:val="28"/>
          <w:szCs w:val="28"/>
          <w:rtl w:val="true"/>
          <w:lang w:bidi="ar-SA"/>
        </w:rPr>
        <w:t xml:space="preserve">، وعن إرسالها وإن كان المرسل يونس ؛ لعدم ثبوت كون مرسلاته حجّة ، بل عدم ثبوت ذلك في سائر أصحاب الإجماع أيضاً ؛ لأنّ استفادة ذلك من إجماع الكشّي وعباراته الواردة في شأن الطوائف الثلاث محلّ إشكال ، والشهرة المتأخّرة عنه غير معتمدة ، مع قرب احتمال كون الاشتهار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فهم تلك العبارة الواردة من الكشّي ، فراجع عباراته</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الاضطرابات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التعليل الواقع فيها لكون أدنى الطهر عشرة أيّام ، لعدم التناسب بينهما ؛ فإنّ كون المرأة في أوّل حيضها كثيرة الدم في بعض الأحيان ، ليس علّة لكون أقلّ الطهر عشرة ، ولا مناسباً له أصلاً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الصفحة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والتوجيه بأنّ المناسبة المصحّحة للعلّية ، هي معلومية عدم تحيّض النساء </w:t>
      </w:r>
    </w:p>
    <w:p>
      <w:pPr>
        <w:pStyle w:val="BookText"/>
        <w:rPr/>
      </w:pPr>
      <w:r>
        <w:rPr>
          <w:rFonts w:ascii="Amiri" w:hAnsi="Amiri" w:eastAsia="Amiri" w:cs="Amiri"/>
          <w:color w:val="111111"/>
          <w:sz w:val="28"/>
          <w:sz w:val="28"/>
          <w:szCs w:val="28"/>
          <w:rtl w:val="true"/>
          <w:lang w:bidi="ar-SA"/>
        </w:rPr>
        <w:t>عادة في كلّ شهر إلاّ مرّة ؛ وإن كان ربّما يعجّل بها الوقت بيوم أو يومين ، لكن ليس التحيّض في شهر مرّتين تامّتين عادة لهنّ ، فإذا كان المتعارف بينهنّ ذلك فيحسن التعليل ؛ لأ نّه إذا كان حيض كثيرة الدم عشرة أيّام ولم يتعدّ عنها ، فكيف يكون الطهر أقلّ من عشرة مع أ نّها لا تحيض إلاّ مرّة واحدة في كلّ شهر</w:t>
      </w:r>
      <w:r>
        <w:rPr>
          <w:rStyle w:val="FootnoteAnchor"/>
          <w:rtl w:val="true"/>
        </w:rPr>
        <w:footnoteReference w:id="20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غير وجيه ؛ لأ نّه إذا كان المتكلّم بصدد بيان عادة نوع النساء ، فمع هذا التوجيه لا بدّ وأن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أقلّ من 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عشرة ، وذكر العشرة إنّما</w:t>
      </w:r>
    </w:p>
    <w:p>
      <w:pPr>
        <w:pStyle w:val="BookText"/>
        <w:rPr/>
      </w:pPr>
      <w:r>
        <w:rPr>
          <w:rFonts w:ascii="Amiri" w:hAnsi="Amiri" w:eastAsia="Amiri" w:cs="Amiri"/>
          <w:color w:val="111111"/>
          <w:sz w:val="28"/>
          <w:sz w:val="28"/>
          <w:szCs w:val="28"/>
          <w:rtl w:val="true"/>
          <w:lang w:bidi="ar-SA"/>
        </w:rPr>
        <w:t xml:space="preserve">يحسن إذا علّلها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المرأة لا تحيض زائداً عن مرّتين في الشهر كلّ مرّة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يكون أقلّ الطهر عشرة أيّام ، فتعليل كون أقلّ الطهر عشرة أيّام وعدم كونه أقلّ من ذلك بزيادة دم النساء في أوّل الحيض ، لا يكون له وجه صحّة ، فضلاً عن 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اغتسلت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الغسل مع الشكّ في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الاستحاضة ، واحتمال دم ثالث ، كما أبداه في نفس الرواية ؛ حيث قال مع عدم رؤية اليوم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بحيض ، بل من قرحة في الجوف أو من الجوف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وجه مع جريان الاستصحاب ؛ وأ نّه لا ينبغي لها أن تنقض اليقين بالشكّ ، وإيجاب الاحتياط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يناسب الاحتياط الغير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يبعد دعوى عدم ملاءمة أدلّة الاستصحاب لحسن الاحتياط بالعمل على خلافها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بالانتظار إلى عشرة أيّام من يوم رأت الدم ، مع أنّ الانتظار إلى العشرة إنّما يجب في بعض الأحيان لا مطلقاً ؛ فإنّها إذا رأت يوماً وانقطع ، ولم تَرَ </w:t>
      </w:r>
    </w:p>
    <w:p>
      <w:pPr>
        <w:pStyle w:val="BookText"/>
        <w:rPr/>
      </w:pPr>
      <w:r>
        <w:rPr>
          <w:rFonts w:ascii="Amiri" w:hAnsi="Amiri" w:eastAsia="Amiri" w:cs="Amiri"/>
          <w:color w:val="111111"/>
          <w:sz w:val="28"/>
          <w:sz w:val="28"/>
          <w:szCs w:val="28"/>
          <w:rtl w:val="true"/>
          <w:lang w:bidi="ar-SA"/>
        </w:rPr>
        <w:t xml:space="preserve">إلى اليوم التاسع ، انقطع انتظارها ، فإنّ رؤيته في أثناء اليوم التاسع توجب أن لا تكون الثلاثة في أثناء العشرة ، ومعه لا يكون الدم حيضاً بحكم المرسلة ، وإنّما دم الحيض ما إذا تمّت الثلاثة في العشرة ، وكذا سائر الفروض المشابهة لما ذكرنا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صريحها في موضعين منها أنّ الطهر لا يكون أقلّ من عشرة أيّام ، وظاهر بعض فقراتها أنّ الطهر أقلّ من عشرة ، كما اتّكل عليه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الأوّل على ما بين الحيضتين المستقلّتين ، والآخر على ما بين الحيض الواحد</w:t>
      </w:r>
      <w:r>
        <w:rPr>
          <w:rStyle w:val="FootnoteAnchor"/>
          <w:rtl w:val="true"/>
        </w:rPr>
        <w:footnoteReference w:id="201"/>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عن طريق المحاورة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المناسب على زعم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يذكر في الرواية الطهر بين الحيضة الواحدة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الطهر قد يكون أقلّ من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الطهر لا يكون أقلّ من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يردفه بما يثبت الأقلّية ، ثمّ يعقّب ذلك بأنّ الطهر لا يكون أقلّ من عشرة أيّام ، فإنّ كلّ ذلك اضطراب واغتشاش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حساب العشرة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 ما رأت الدم الأوّل ، 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 يوم طهرت ، فالدم فيما بعد العشرة من أوّل رؤية الدم ، ليس بحيض على الحساب الأوّل ، وحيض على الحساب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طمثت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نقل عن نسخة مصحّحة مقروءة على الشيخ العاملي</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اغتشاش واضطراب آخر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ميزان الحساب ثالثاً نفس الدم الأوّل والثاني ، وجعل </w:t>
      </w:r>
      <w:bookmarkStart w:id="158" w:name="pg15019_190610"/>
    </w:p>
    <w:p>
      <w:pPr>
        <w:pStyle w:val="BookText"/>
        <w:rPr/>
      </w:pPr>
      <w:bookmarkEnd w:id="158"/>
      <w:r>
        <w:rPr>
          <w:rFonts w:ascii="Amiri" w:hAnsi="Amiri" w:eastAsia="Amiri" w:cs="Amiri"/>
          <w:color w:val="111111"/>
          <w:sz w:val="28"/>
          <w:sz w:val="28"/>
          <w:szCs w:val="28"/>
          <w:rtl w:val="true"/>
          <w:lang w:bidi="ar-SA"/>
        </w:rPr>
        <w:t>الاستحاضة بعد العشرة من الدمين ، فلو فرض أ نّها رأت الدم خمسة أيّام ، ورأت</w:t>
      </w:r>
    </w:p>
    <w:p>
      <w:pPr>
        <w:pStyle w:val="BookText"/>
        <w:rPr/>
      </w:pPr>
      <w:r>
        <w:rPr>
          <w:rFonts w:ascii="Amiri" w:hAnsi="Amiri" w:eastAsia="Amiri" w:cs="Amiri"/>
          <w:color w:val="111111"/>
          <w:sz w:val="28"/>
          <w:sz w:val="28"/>
          <w:szCs w:val="28"/>
          <w:rtl w:val="true"/>
          <w:lang w:bidi="ar-SA"/>
        </w:rPr>
        <w:t>الطهر ثلاثة أيّام ، ثمّ الدمَ عشرة أيّام ، فالدم في اليوم الحادي عشر من مبدأ اليوم</w:t>
      </w:r>
    </w:p>
    <w:p>
      <w:pPr>
        <w:pStyle w:val="BookText"/>
        <w:rPr/>
      </w:pPr>
      <w:r>
        <w:rPr>
          <w:rFonts w:ascii="Amiri" w:hAnsi="Amiri" w:eastAsia="Amiri" w:cs="Amiri"/>
          <w:color w:val="111111"/>
          <w:sz w:val="28"/>
          <w:sz w:val="28"/>
          <w:szCs w:val="28"/>
          <w:rtl w:val="true"/>
          <w:lang w:bidi="ar-SA"/>
        </w:rPr>
        <w:t xml:space="preserve">الأوّل ليس بحيض ؛ بناءً على مفاد أوّل الرواية ، وحيض بناءً على الثاني والثالث ، وأمّا الدم في الخامس عشر فليس بحيض بناءً على الأوّل والثاني ، دون الثالث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بحيضية الدم المتجاوز عن العشرة في ذات العادة ، كما هو ظاهرها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مثل تلك المرسلة مع هذا التشويش ومخالفات 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الإجماع 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والوهنِ في بعض تعابيرها ، غير صالحة للاتّكال عليها والاحتجاج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العمل بالروايات ليس لتعبّد صِرف ، بل العمدة هو بناء العقلاء وعدم الردع أو الإمضاء</w:t>
      </w:r>
      <w:r>
        <w:rPr>
          <w:rStyle w:val="FootnoteAnchor"/>
          <w:rtl w:val="true"/>
        </w:rPr>
        <w:footnoteReference w:id="203"/>
      </w:r>
      <w:r>
        <w:rPr>
          <w:rFonts w:ascii="Amiri" w:hAnsi="Amiri" w:eastAsia="Amiri" w:cs="Amiri"/>
          <w:color w:val="111111"/>
          <w:sz w:val="28"/>
          <w:sz w:val="28"/>
          <w:szCs w:val="28"/>
          <w:rtl w:val="true"/>
          <w:lang w:bidi="ar-SA"/>
        </w:rPr>
        <w:t xml:space="preserve">وهم لا يعملون بمثل تلك الروايات مع ما عرفت </w:t>
      </w:r>
      <w:r>
        <w:rPr>
          <w:rFonts w:eastAsia="Amiri" w:cs="Amiri" w:ascii="Amiri" w:hAnsi="Amiri"/>
          <w:color w:val="111111"/>
          <w:sz w:val="28"/>
          <w:szCs w:val="28"/>
          <w:rtl w:val="true"/>
          <w:lang w:bidi="ar-SA"/>
        </w:rPr>
        <w:t>.</w:t>
      </w:r>
    </w:p>
    <w:p>
      <w:pPr>
        <w:pStyle w:val="Heading6"/>
        <w:numPr>
          <w:ilvl w:val="5"/>
          <w:numId w:val="1"/>
        </w:numPr>
        <w:rPr/>
      </w:pPr>
      <w:bookmarkStart w:id="159" w:name="__RefHeading___Toc686276_3406789950"/>
      <w:bookmarkStart w:id="160" w:name="_Toc56"/>
      <w:bookmarkEnd w:id="159"/>
      <w:r>
        <w:rPr>
          <w:rtl w:val="true"/>
        </w:rPr>
        <w:t>التمسّك بصحيحة ابن مسلم وروايته على عدم اعتبار التوالي</w:t>
      </w:r>
      <w:bookmarkEnd w:id="160"/>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يستدلّ لعدم اشتراط التوالي بصحيحة محمّد بن مسلم عن أبي جعفر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رأت المرأة الدم قبل عشرة فهو من الحيضة الاُولى ، وإن كان بعد العشرة فهو من الحيضة المستقبلة</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وروايته عن أبي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أقلّ ما يكون الحيض ثلاثة ، وإذا رأت الدم قبل عشرة أيّام فهو من الحيضة الاُولى ، وإذا رأته بعد عشرة أيّام فهو من حيضة اُخرى مستقبلة</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بدعوى إطلاقهما لرؤية الدم أوّلاً يوماً أو يومين ،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التقريب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نّهما ظاهرتان في أ نّه إذا رأت المرأة الدم بعد ما رأته أوّلاً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سواء كان يوماً أو أزيد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بعد توسّط عشرة أيّام خالية من الدم ، كان الدم الثاني حيضة مستقلّة ، وإن كان قبل ذلك كان من الحيضة الاُولى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وأنت خبير بما فيها ؛ فإنّ الرواية الاُولى مع إجمال صدرها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رأت الدم قبل عشرة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يفهم منها شيء ، فلا محالة إمّا أ نّها كانت مسبوقة بكلام آخر أسقطه الرواة لبعض الدواعي ، أو كان المعهود أمراً رافعاً للإجمال ، وإلاّ فلا يفهم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مبهمة شيء ، ولا يعلم ما كان معهوداً ذهناً أو ذِكْراً ، فكيف يستدلّ بها ، وبأيّ إطلاق يكون الاستدلال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إمكان أن يستكشف المعهود من نفس الرواية ؛ أي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الحيضة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 الكلام بتلك القرينة ، كان مسبوقاً بأ نّه إذا حاضت المرأة ، وانقطع حيضها ، ورأت الدم قبل عشرة ، فهو كذلك ، فكأ 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رأت المرأة الدم بعد حيضها قبل عشرة أيّام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الحيضة كانت مفروضة الوجود ، بل الدم الثاني أيضاً كان </w:t>
      </w:r>
      <w:bookmarkStart w:id="161" w:name="pg15019_190612"/>
    </w:p>
    <w:p>
      <w:pPr>
        <w:pStyle w:val="BookText"/>
        <w:rPr/>
      </w:pPr>
      <w:bookmarkEnd w:id="161"/>
      <w:r>
        <w:rPr>
          <w:rFonts w:ascii="Amiri" w:hAnsi="Amiri" w:eastAsia="Amiri" w:cs="Amiri"/>
          <w:color w:val="111111"/>
          <w:sz w:val="28"/>
          <w:sz w:val="28"/>
          <w:szCs w:val="28"/>
          <w:rtl w:val="true"/>
          <w:lang w:bidi="ar-SA"/>
        </w:rPr>
        <w:t xml:space="preserve">مفروض الحيضية ، ووقع الكلام في إلحاق الحيض المفروض بالحيض المفروض المتقدّم أوّلاً ، أو كونه بنفسه حيضاً مستقلاًّ ، وهذا هو المتفاهم منها ، ومعه لا دلالة لها على دعوى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لها إشعار أو دلالة على خلافها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الكلام في الرواية الثانية ، بل هي أظهر فيما ذكرنا ؛ لكونها مسبوقةً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 ما يكون الحيض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يفهم منه الاستمرار بالتبادر أو بما قرّرناه سابقاً </w:t>
      </w:r>
      <w:r>
        <w:rPr>
          <w:rStyle w:val="FootnoteAnchor"/>
          <w:rtl w:val="true"/>
        </w:rPr>
        <w:footnoteReference w:id="206"/>
      </w:r>
      <w:r>
        <w:rPr>
          <w:rFonts w:ascii="Amiri" w:hAnsi="Amiri" w:eastAsia="Amiri" w:cs="Amiri"/>
          <w:color w:val="111111"/>
          <w:sz w:val="28"/>
          <w:sz w:val="28"/>
          <w:szCs w:val="28"/>
          <w:rtl w:val="true"/>
          <w:lang w:bidi="ar-SA"/>
        </w:rPr>
        <w:t xml:space="preserve">، ومتعقّبةً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رأت الدم قبل عشرة أيّام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 وظاهرها أنّ المرأة بعد أن تحيّضت بثلاثة أيّام ، إذا طهرت ورأت الدم قبل عشرة أيّام ، فهو من الحيض المفروض التحقّق بتحقّق ثلاثة أيّام متوالية ، فتدلّ على خلاف مقصود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 تنزّلنا عن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الروايتين ليستا في مقام بيان كون الدم حيضاً حتّى يتمسّك بإطلاقها ، بل في مقام بيان أمر آخر ؛ وهو استقلال الحيض وعدمه </w:t>
      </w:r>
      <w:r>
        <w:rPr>
          <w:rFonts w:eastAsia="Amiri" w:cs="Amiri" w:ascii="Amiri" w:hAnsi="Amiri"/>
          <w:color w:val="111111"/>
          <w:sz w:val="28"/>
          <w:szCs w:val="28"/>
          <w:rtl w:val="true"/>
          <w:lang w:bidi="ar-SA"/>
        </w:rPr>
        <w:t>.</w:t>
      </w:r>
    </w:p>
    <w:p>
      <w:pPr>
        <w:pStyle w:val="Heading6"/>
        <w:numPr>
          <w:ilvl w:val="5"/>
          <w:numId w:val="1"/>
        </w:numPr>
        <w:rPr/>
      </w:pPr>
      <w:bookmarkStart w:id="162" w:name="__RefHeading___Toc686278_3406789950"/>
      <w:bookmarkStart w:id="163" w:name="_Toc57"/>
      <w:bookmarkEnd w:id="162"/>
      <w:r>
        <w:rPr>
          <w:rtl w:val="true"/>
        </w:rPr>
        <w:t>التمسّك برواية عبد الرحمان على عدم اعتبار التوالي</w:t>
      </w:r>
      <w:bookmarkEnd w:id="163"/>
    </w:p>
    <w:p>
      <w:pPr>
        <w:pStyle w:val="BookText"/>
        <w:rPr/>
      </w:pPr>
      <w:r>
        <w:rPr>
          <w:rFonts w:ascii="IRNazanin" w:hAnsi="IRNazanin" w:eastAsia="IRNazanin"/>
          <w:color w:val="111111"/>
          <w:sz w:val="28"/>
          <w:sz w:val="28"/>
          <w:szCs w:val="28"/>
          <w:rtl w:val="true"/>
          <w:lang w:bidi="fa-IR"/>
        </w:rPr>
        <w:t xml:space="preserve">ومنه يظهر الكلام في رواية عبدالرحمان بن أبي عبداللّه المنقولة في أبواب العدد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المرأة إذا طلّقها زوجها ، متى تكون أملك بنفسها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رأت الدم من الحيضة الثالثة فهي أملك بنفسها</w:t>
      </w:r>
      <w:r>
        <w:rPr>
          <w:rFonts w:eastAsia="IRNazanin" w:cs="IRNazanin"/>
          <w:color w:val="111111"/>
          <w:sz w:val="28"/>
          <w:szCs w:val="28"/>
          <w:rtl w:val="true"/>
          <w:lang w:bidi="fa-IR"/>
        </w:rPr>
        <w:t>»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عجّل الدم عليها قبل أيّام قرئها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الدم قبل عشرة </w:t>
      </w:r>
      <w:bookmarkStart w:id="164" w:name="pg15019_190613"/>
    </w:p>
    <w:p>
      <w:pPr>
        <w:pStyle w:val="BookText"/>
        <w:rPr/>
      </w:pPr>
      <w:bookmarkEnd w:id="164"/>
      <w:r>
        <w:rPr>
          <w:rFonts w:ascii="Amiri" w:hAnsi="Amiri" w:eastAsia="Amiri" w:cs="Amiri"/>
          <w:color w:val="111111"/>
          <w:sz w:val="28"/>
          <w:sz w:val="28"/>
          <w:szCs w:val="28"/>
          <w:rtl w:val="true"/>
          <w:lang w:bidi="ar-SA"/>
        </w:rPr>
        <w:t>أيّام فهو أملك بها ، وهو من الحيضة التي طهرت منها ، وإن كان الدم بعد العشرة أيّام فهو من الحيضة الثالثة ، وهي أملك بنفسها</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ضرورة أنّ المفروض رؤيتها الحيضتين ، ووقع الكلام في الدم الذي عجّل عليها ، وكانت الشبهة لأجل التعجيل بعد فرض حيضية الثاني ، بل حيضية الدم الذي رأته بعد الثانية ، وإنّما شبهته كانت في أنّ الدم إذا عجّل عليها ، هل يوجب الخروج عن العدّة أم لا ؟ فأجاب بما أجاب ، ففرض الحيضة الثانية ممّا لا إشكال فيه ، فلا وجه للتمسّك بإطلاقها لمدّعاه</w:t>
      </w:r>
      <w:r>
        <w:rPr>
          <w:rStyle w:val="FootnoteAnchor"/>
          <w:rtl w:val="true"/>
        </w:rPr>
        <w:footnoteReference w:id="208"/>
      </w:r>
      <w:r>
        <w:rPr>
          <w:rFonts w:ascii="Amiri" w:hAnsi="Amiri" w:eastAsia="Amiri" w:cs="Amiri"/>
          <w:color w:val="111111"/>
          <w:sz w:val="28"/>
          <w:sz w:val="28"/>
          <w:szCs w:val="28"/>
          <w:rtl w:val="true"/>
          <w:lang w:bidi="ar-SA"/>
        </w:rPr>
        <w:t xml:space="preserve">، كما مرّ الوجه فيه </w:t>
      </w:r>
      <w:r>
        <w:rPr>
          <w:rFonts w:eastAsia="Amiri" w:cs="Amiri" w:ascii="Amiri" w:hAnsi="Amiri"/>
          <w:color w:val="111111"/>
          <w:sz w:val="28"/>
          <w:szCs w:val="28"/>
          <w:rtl w:val="true"/>
          <w:lang w:bidi="ar-SA"/>
        </w:rPr>
        <w:t>.</w:t>
      </w:r>
    </w:p>
    <w:p>
      <w:pPr>
        <w:pStyle w:val="Heading6"/>
        <w:numPr>
          <w:ilvl w:val="5"/>
          <w:numId w:val="1"/>
        </w:numPr>
        <w:rPr/>
      </w:pPr>
      <w:bookmarkStart w:id="165" w:name="__RefHeading___Toc686280_3406789950"/>
      <w:bookmarkStart w:id="166" w:name="_Toc58"/>
      <w:bookmarkEnd w:id="165"/>
      <w:r>
        <w:rPr>
          <w:rtl w:val="true"/>
        </w:rPr>
        <w:t>بطلان التمسّك بقاعدة الإمكان على عدم اعتبار التوالي</w:t>
      </w:r>
      <w:bookmarkEnd w:id="166"/>
    </w:p>
    <w:p>
      <w:pPr>
        <w:pStyle w:val="BookText"/>
        <w:rPr/>
      </w:pPr>
      <w:r>
        <w:rPr>
          <w:rFonts w:ascii="Amiri" w:hAnsi="Amiri" w:eastAsia="Amiri" w:cs="Amiri"/>
          <w:color w:val="111111"/>
          <w:sz w:val="28"/>
          <w:sz w:val="28"/>
          <w:szCs w:val="28"/>
          <w:rtl w:val="true"/>
          <w:lang w:bidi="ar-SA"/>
        </w:rPr>
        <w:t>هذا ، وأمّا التمسّك بقاعدة الإمكان وأدلّة الأوصاف</w:t>
      </w:r>
      <w:r>
        <w:rPr>
          <w:rStyle w:val="FootnoteAnchor"/>
          <w:rtl w:val="true"/>
        </w:rPr>
        <w:footnoteReference w:id="209"/>
      </w:r>
      <w:r>
        <w:rPr>
          <w:rFonts w:ascii="Amiri" w:hAnsi="Amiri" w:eastAsia="Amiri" w:cs="Amiri"/>
          <w:color w:val="111111"/>
          <w:sz w:val="28"/>
          <w:sz w:val="28"/>
          <w:szCs w:val="28"/>
          <w:rtl w:val="true"/>
          <w:lang w:bidi="ar-SA"/>
        </w:rPr>
        <w:t xml:space="preserve">فضعيف ؛ لما مرّ من عدم الدليل على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فرض تماميتها لا ترفع بها الشبهة الحكمية ، بل مصبّها الشبهة الموضوعية ، كما أنّ مصبّ الإرجاع للأوصاف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الدوران بين الحيض والاستحاضة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الشبهة الموضوعية لا الحكمية </w:t>
      </w:r>
      <w:r>
        <w:rPr>
          <w:rFonts w:eastAsia="Amiri" w:cs="Amiri" w:ascii="Amiri" w:hAnsi="Amiri"/>
          <w:color w:val="111111"/>
          <w:sz w:val="28"/>
          <w:szCs w:val="28"/>
          <w:rtl w:val="true"/>
          <w:lang w:bidi="ar-SA"/>
        </w:rPr>
        <w:t>.</w:t>
      </w:r>
    </w:p>
    <w:p>
      <w:pPr>
        <w:pStyle w:val="Heading6"/>
        <w:numPr>
          <w:ilvl w:val="5"/>
          <w:numId w:val="1"/>
        </w:numPr>
        <w:rPr/>
      </w:pPr>
      <w:bookmarkStart w:id="167" w:name="__RefHeading___Toc686282_3406789950"/>
      <w:bookmarkStart w:id="168" w:name="_Toc59"/>
      <w:bookmarkEnd w:id="167"/>
      <w:r>
        <w:rPr>
          <w:rtl w:val="true"/>
        </w:rPr>
        <w:t>حول الاُصول الموضوعية والحكمية الدالّة على اعتبار التوالي</w:t>
      </w:r>
      <w:bookmarkEnd w:id="168"/>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هاهنا اُصولاً موضوعية وحكمية مع الغضّ عن الأدلّة ، كأصالة عدم </w:t>
      </w:r>
    </w:p>
    <w:p>
      <w:pPr>
        <w:pStyle w:val="BookText"/>
        <w:rPr/>
      </w:pPr>
      <w:r>
        <w:rPr>
          <w:rFonts w:ascii="Amiri" w:hAnsi="Amiri" w:eastAsia="Amiri" w:cs="Amiri"/>
          <w:color w:val="111111"/>
          <w:sz w:val="28"/>
          <w:sz w:val="28"/>
          <w:szCs w:val="28"/>
          <w:rtl w:val="true"/>
          <w:lang w:bidi="ar-SA"/>
        </w:rPr>
        <w:t>كون المرأة حائضاً ، وأصالة عدم تحقّق حيضها ، وأصالة عدم كون الدم حيضاً ،</w:t>
      </w:r>
    </w:p>
    <w:p>
      <w:pPr>
        <w:pStyle w:val="BookText"/>
        <w:rPr/>
      </w:pPr>
      <w:r>
        <w:rPr>
          <w:rFonts w:ascii="Amiri" w:hAnsi="Amiri" w:eastAsia="Amiri" w:cs="Amiri"/>
          <w:color w:val="111111"/>
          <w:sz w:val="28"/>
          <w:sz w:val="28"/>
          <w:szCs w:val="28"/>
          <w:rtl w:val="true"/>
          <w:lang w:bidi="ar-SA"/>
        </w:rPr>
        <w:t xml:space="preserve">وأصالة عدم حيضية الدم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بينها لا يكاد يخفى على المتأمّل ؛ فإنّ القضيّة المتيقّنة في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المرأة ليست بحائض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الليس الرابط ، فيتحقّق بها موضوع الأدلّة الاجتهادية التي رتّب الحكم بها على من لم تكن حائضاً ، فمن لم تكن حائضاً يجب عليها الصلاة ، ويجوز لها اللبث في المسجد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 والاستصحاب محقّق موضوعها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الثانية تكون القضيّة المتيقّنة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تحقّق حيضها ، وعدم كون حيضها موجوداً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العدم المحمولي ، ولا يترتّب على هذا الاستصحاب ما تقدّم من الآثار إلاّ على الأصل المثبت ؛ فإنّ عدم كونها حائضاً من لوازم عدم تحقّق حيضها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لعدم تحقّق الحيض أثر ، لترتّب عليه بالأصل المذكور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الثالثة تكون القضيّة المتيقّنة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الدم ليس بحيض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الليس الناقص ، وبالاستصحاب يترتّب عليه حكم عدم كون الدم حيضاً إذا كان له حكم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الأحكام السابقة فلا تترتّب عليه إلاّ على الأصل المثبت ؛ فإنّ عدم كون المرأة حائضاً لازم عدم كون الدم حيضاً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يترتّب عليه حكم عدم حيضتها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الرابعة تكون القضيّة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تحقّق حيضية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الليس التامّ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يترتّب عليه شيء من الأحكام المتقدّمة المترتّبة على موضوعات سائر القضايا ؛ لعين ما ذكرنا من المثبتية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ذكرنا مخالف لصحيحتي زرارة ؛ حيث قال في الاُولى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على يقين من وضوئه ، ولا</w:t>
      </w:r>
    </w:p>
    <w:p>
      <w:pPr>
        <w:pStyle w:val="BookText"/>
        <w:rPr/>
      </w:pPr>
      <w:r>
        <w:rPr>
          <w:rFonts w:ascii="Amiri" w:hAnsi="Amiri" w:eastAsia="Amiri" w:cs="Amiri"/>
          <w:color w:val="111111"/>
          <w:sz w:val="28"/>
          <w:sz w:val="28"/>
          <w:szCs w:val="28"/>
          <w:rtl w:val="true"/>
          <w:lang w:bidi="ar-SA"/>
        </w:rPr>
        <w:t>ينقض اليقين أبداً بالشكّ</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الثانية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 نّك كنت على يقين من طهارتك ، ثمّ شككت</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وظاهرهما جريان الأصل في الوجود المحمولي ، وترتّب أثر الرابط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مدفوع بمنع الظهور ، بل الظاهر منهما الكون الرابط ؛ فإنّ المتفاهم العرفي</w:t>
      </w:r>
    </w:p>
    <w:p>
      <w:pPr>
        <w:pStyle w:val="BookText"/>
        <w:rPr/>
      </w:pP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كنت على يقين من طهارتك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بإضافتها إلى الضمير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نّك كنت على يقين من كونك طاهراً ، أو كونك على وضوء ؛ على نحو ربط الصفة بموصوفها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جريان أصالة عدم كون الدم حيضاً موقوف على أحد الأمرين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كون الدم في الباطن غير حيض، وتكون الحيضية من صفات الدم الخارج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جريان الأصل في الأعدام الأزلية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وكلاهما ممنوعان ؛ ضرورة أنّ دم الحيض هو الدم المعهود المختزن في الرحم المقذوف في أوقات معيّنة ، كما يظهر من روايات باب اجتماع الحمل والحيض</w:t>
      </w: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يترتّب عليه حكم إلاّ بعد القذف وتحقّق سائر شرائطه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الحيض عبارة عن سيلان الدم ، لم يجرِ الأصل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فرغنا عن عدم </w:t>
      </w:r>
    </w:p>
    <w:p>
      <w:pPr>
        <w:pStyle w:val="BookText"/>
        <w:rPr/>
      </w:pPr>
      <w:r>
        <w:rPr>
          <w:rFonts w:ascii="Amiri" w:hAnsi="Amiri" w:eastAsia="Amiri" w:cs="Amiri"/>
          <w:color w:val="111111"/>
          <w:sz w:val="28"/>
          <w:sz w:val="28"/>
          <w:szCs w:val="28"/>
          <w:rtl w:val="true"/>
          <w:lang w:bidi="ar-SA"/>
        </w:rPr>
        <w:t xml:space="preserve">جريان الأصل في الأعدام الأزلية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كأصالة عدم القرشية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الاُصول</w:t>
      </w:r>
      <w:r>
        <w:rPr>
          <w:rStyle w:val="FootnoteAnchor"/>
          <w:rtl w:val="true"/>
        </w:rPr>
        <w:footnoteReference w:id="213"/>
      </w:r>
      <w:r>
        <w:rPr>
          <w:rFonts w:ascii="Amiri" w:hAnsi="Amiri" w:eastAsia="Amiri" w:cs="Amiri"/>
          <w:color w:val="111111"/>
          <w:sz w:val="28"/>
          <w:sz w:val="28"/>
          <w:szCs w:val="28"/>
          <w:rtl w:val="true"/>
          <w:lang w:bidi="ar-SA"/>
        </w:rPr>
        <w:t xml:space="preserve">فلا نطيل بالبحث حولها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 ظهر النظر في كلام الشيخ الأعظم خصوصاً في إجراء أصالة عدم كون الدم حيضاً لإثبات كون المرأة مستحاضة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قلنا بعدم الواسطة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دم الحيض ودم الاستحاضة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دم لم يعلم أ نّه نفاس أو قُرحة أو عُذرة ، فأصالة عدم الحيض حاكمة على أصالة عدم الاستحاضة أيضاً ؛ لأنّ المستفاد من الفتاوى بل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دم لم يحكم عليه بالحيضية شرعاً ، ولم يعلم أ نّه لقرحة أو عذرة أو نفاس ، فهو محكوم عليه بأحكام الاستحاضة ، وحينئذٍ فإذا انتفى كونه حيضاً بحكم الأصل ، تعيّن كونه استحاضة ، فتأمّل</w:t>
      </w:r>
      <w:r>
        <w:rPr>
          <w:rFonts w:eastAsia="Amiri" w:cs="Amiri" w:ascii="Amiri" w:hAnsi="Amiri"/>
          <w:color w:val="111111"/>
          <w:sz w:val="28"/>
          <w:szCs w:val="28"/>
          <w:rtl w:val="true"/>
          <w:lang w:bidi="ar-SA"/>
        </w:rPr>
        <w:t>»</w:t>
      </w:r>
      <w:r>
        <w:rPr>
          <w:rStyle w:val="FootnoteAnchor"/>
          <w:rtl w:val="true"/>
        </w:rPr>
        <w:footnoteReference w:id="214"/>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وسيأتي الكلام إن شاء اللّه في النصّ والفتوى المدّعيين</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تسليم ما ذكر لا يجري استصحاب عدم كون الدم حيضاً ،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الجريان لا يترتّب على المرأة أحكام المستحاضة بمجرّد جريان أصالة عدم كون الدم حيضاً ، كما يظهر منه ذلك ، إلاّ أن يدّعى كشف التلازم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ببركة النصّ والفتوى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عدم كون الدم حيضاً وكون المرأة مستحاضة ، وعلى المدّعي إثبات ذلك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على فرض عدم جريان الاُصول الموضوعية تجري الحكمية ، وهي مختلفة ، ولا داعي إلى البحث عنها بعد قلّة الجدوى </w:t>
      </w:r>
      <w:r>
        <w:rPr>
          <w:rFonts w:eastAsia="Amiri" w:cs="Amiri" w:ascii="Amiri" w:hAnsi="Amiri"/>
          <w:color w:val="111111"/>
          <w:sz w:val="28"/>
          <w:szCs w:val="28"/>
          <w:rtl w:val="true"/>
          <w:lang w:bidi="ar-SA"/>
        </w:rPr>
        <w:t xml:space="preserve">. </w:t>
      </w:r>
      <w:bookmarkStart w:id="169" w:name="pg15019_190617"/>
    </w:p>
    <w:p>
      <w:pPr>
        <w:pStyle w:val="Heading6"/>
        <w:numPr>
          <w:ilvl w:val="5"/>
          <w:numId w:val="1"/>
        </w:numPr>
        <w:rPr/>
      </w:pPr>
      <w:bookmarkStart w:id="170" w:name="__RefHeading___Toc686284_3406789950"/>
      <w:bookmarkStart w:id="171" w:name="_Toc60"/>
      <w:bookmarkEnd w:id="169"/>
      <w:bookmarkEnd w:id="170"/>
      <w:r>
        <w:rPr>
          <w:rtl w:val="true"/>
        </w:rPr>
        <w:t>في اعتبار الاستمرار في الأيّام الثلاثة</w:t>
      </w:r>
      <w:bookmarkEnd w:id="171"/>
    </w:p>
    <w:p>
      <w:pPr>
        <w:pStyle w:val="BookText"/>
        <w:rPr/>
      </w:pPr>
      <w:r>
        <w:rPr>
          <w:rFonts w:ascii="Amiri" w:hAnsi="Amiri" w:eastAsia="Amiri" w:cs="Amiri"/>
          <w:color w:val="111111"/>
          <w:sz w:val="28"/>
          <w:sz w:val="28"/>
          <w:szCs w:val="28"/>
          <w:rtl w:val="true"/>
          <w:lang w:bidi="ar-SA"/>
        </w:rPr>
        <w:t>وهل المراد من التوالي هو توالي الأيّام وإن لم يستمرّ الدم فيها ؛ بأن ترى في كلّ يوم في الجملة ، لكن تكون أيّام الرؤية متواليات</w:t>
      </w:r>
      <w:r>
        <w:rPr>
          <w:rStyle w:val="FootnoteAnchor"/>
          <w:rtl w:val="true"/>
        </w:rPr>
        <w:footnoteReference w:id="216"/>
      </w:r>
      <w:r>
        <w:rPr>
          <w:rFonts w:ascii="Amiri" w:hAnsi="Amiri" w:eastAsia="Amiri" w:cs="Amiri"/>
          <w:color w:val="111111"/>
          <w:sz w:val="28"/>
          <w:sz w:val="28"/>
          <w:szCs w:val="28"/>
          <w:rtl w:val="true"/>
          <w:lang w:bidi="ar-SA"/>
        </w:rPr>
        <w:t xml:space="preserve">فيحمل عليه قوله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الرضوي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فإن رأت الدم يوماً أو يومين ، فليس ذلك من الحيض ما لم تَرَ الدم ثلاثة أيّام متواليات</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لصدق رؤية الدم في كلّ يوم من الثلاثة المتواليات على ما لو رأت في كلّ يوم منها في الجملة ، خصوصاً إذا كان مقداراً معتدّاً به ؟</w:t>
      </w:r>
    </w:p>
    <w:p>
      <w:pPr>
        <w:pStyle w:val="BookText"/>
        <w:rPr/>
      </w:pPr>
      <w:r>
        <w:rPr>
          <w:rFonts w:ascii="Amiri" w:hAnsi="Amiri" w:eastAsia="Amiri" w:cs="Amiri"/>
          <w:color w:val="111111"/>
          <w:sz w:val="28"/>
          <w:sz w:val="28"/>
          <w:szCs w:val="28"/>
          <w:rtl w:val="true"/>
          <w:lang w:bidi="ar-SA"/>
        </w:rPr>
        <w:t xml:space="preserve">وعليه تحمل الروايات الكثيرة الدالّة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أدنى الحيض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أدنى ما يكون من الحيض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ما يكون الحيض ثلاثة أيّام</w:t>
      </w:r>
      <w:r>
        <w:rPr>
          <w:rFonts w:eastAsia="Amiri" w:cs="Amiri" w:ascii="Amiri" w:hAnsi="Amiri"/>
          <w:color w:val="111111"/>
          <w:sz w:val="28"/>
          <w:szCs w:val="28"/>
          <w:rtl w:val="true"/>
          <w:lang w:bidi="ar-SA"/>
        </w:rPr>
        <w:t>»</w:t>
      </w:r>
      <w:r>
        <w:rPr>
          <w:rStyle w:val="FootnoteAnchor"/>
          <w:rtl w:val="true"/>
        </w:rPr>
        <w:footnoteReference w:id="218"/>
      </w:r>
      <w:r>
        <w:rPr>
          <w:rFonts w:ascii="Amiri" w:hAnsi="Amiri" w:eastAsia="Amiri" w:cs="Amiri"/>
          <w:color w:val="111111"/>
          <w:sz w:val="28"/>
          <w:sz w:val="28"/>
          <w:szCs w:val="28"/>
          <w:rtl w:val="true"/>
          <w:lang w:bidi="ar-SA"/>
        </w:rPr>
        <w:t xml:space="preserve">على اختلاف التعابير ،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تكون محمولة حقيقة على الحيض وأدناه وأقلّه ، بل تكون ظرفاً له ؛ ذُكر حرف الجرّ أو لم يُذكر ، فيكون المراد أنّ</w:t>
      </w:r>
    </w:p>
    <w:p>
      <w:pPr>
        <w:pStyle w:val="BookText"/>
        <w:rPr/>
      </w:pPr>
      <w:r>
        <w:rPr>
          <w:rFonts w:ascii="Amiri" w:hAnsi="Amiri" w:eastAsia="Amiri" w:cs="Amiri"/>
          <w:color w:val="111111"/>
          <w:sz w:val="28"/>
          <w:sz w:val="28"/>
          <w:szCs w:val="28"/>
          <w:rtl w:val="true"/>
          <w:lang w:bidi="ar-SA"/>
        </w:rPr>
        <w:t xml:space="preserve">أدنى تحقّق الدم في ثلاثة أيّام ، وهو يصدق مع رؤيتها فيها في الجملة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وتشهد له موثّقة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الجارية البكر أوّل ما تحيض ، فتقعد في الشهر يومين ، وفي الشهر ثلاثة أيّام ؛ يختلف عليها ، لا يكون طَمثها في الشهر عدّة أيّام سواء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فلها أن تجلس وتدع الصلاة ما دامت ترى الدم ؛ </w:t>
      </w:r>
    </w:p>
    <w:p>
      <w:pPr>
        <w:pStyle w:val="BookText"/>
        <w:rPr/>
      </w:pPr>
      <w:r>
        <w:rPr>
          <w:rFonts w:ascii="Amiri" w:hAnsi="Amiri" w:eastAsia="Amiri" w:cs="Amiri"/>
          <w:color w:val="111111"/>
          <w:sz w:val="28"/>
          <w:sz w:val="28"/>
          <w:szCs w:val="28"/>
          <w:rtl w:val="true"/>
          <w:lang w:bidi="ar-SA"/>
        </w:rPr>
        <w:t>ما لم يُجز العشرة ، فإذا اتّفق الشهران عدّة أيّام سواء فتلك أيّامها</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الطهارة ، أبواب الحيض ، الباب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حملاً للقعود يومين على يومين تامّين مع رؤية الدم في ثلاثة أيّام غير مستمرّ إلى تمام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سلّم دلالة الروايات المتقدّمة على الثلاثة المستمرّة ، تكون هذه الرواية شاهدة على عدم لزوم استمراره إلى آخر اليوم ، فيكون لها نحو حكومة وتفسير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ظهور مرسلة يونس المتقدّمة</w:t>
      </w:r>
      <w:r>
        <w:rPr>
          <w:rStyle w:val="FootnoteAnchor"/>
          <w:rtl w:val="true"/>
        </w:rPr>
        <w:footnoteReference w:id="220"/>
      </w:r>
      <w:r>
        <w:rPr>
          <w:rFonts w:ascii="Amiri" w:hAnsi="Amiri" w:eastAsia="Amiri" w:cs="Amiri"/>
          <w:color w:val="111111"/>
          <w:sz w:val="28"/>
          <w:sz w:val="28"/>
          <w:szCs w:val="28"/>
          <w:rtl w:val="true"/>
          <w:lang w:bidi="ar-SA"/>
        </w:rPr>
        <w:t xml:space="preserve">في رؤية الدم في الثلاثة في الجملة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المراد استمرار الدم في الثلاثة ؛ بحيث متى وضعت الكُرْسُفة تلوّثت به ، كما نسب إلى المشهور</w:t>
      </w:r>
      <w:r>
        <w:rPr>
          <w:rStyle w:val="FootnoteAnchor"/>
          <w:rtl w:val="true"/>
        </w:rPr>
        <w:footnoteReference w:id="22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 المتبادر إلى الأفهام من كون الدم ثلاثة أيّام ،</w:t>
      </w:r>
    </w:p>
    <w:p>
      <w:pPr>
        <w:pStyle w:val="BookText"/>
        <w:rPr/>
      </w:pPr>
      <w:r>
        <w:rPr>
          <w:rFonts w:ascii="Amiri" w:hAnsi="Amiri" w:eastAsia="Amiri" w:cs="Amiri"/>
          <w:color w:val="111111"/>
          <w:sz w:val="28"/>
          <w:sz w:val="28"/>
          <w:szCs w:val="28"/>
          <w:rtl w:val="true"/>
          <w:lang w:bidi="ar-SA"/>
        </w:rPr>
        <w:t xml:space="preserve">حصوله فيها على الاتّصال ؛ بحيث متى وضعت الكرسف تلوّث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يوجد في بعض الحواشي الاكتفاء بحصوله فيها في الجملة ، وهو رجوع إلى ما ليس له مرجع</w:t>
      </w:r>
      <w:r>
        <w:rPr>
          <w:rFonts w:eastAsia="Amiri" w:cs="Amiri" w:ascii="Amiri" w:hAnsi="Amiri"/>
          <w:color w:val="111111"/>
          <w:sz w:val="28"/>
          <w:szCs w:val="28"/>
          <w:rtl w:val="true"/>
          <w:lang w:bidi="ar-SA"/>
        </w:rPr>
        <w:t>»</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 ، ويظهر منه ندرة القائل بخلافه</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لو رأت يومين ونصفاً وانقطع لم يكن حيضاً ؛ لأ نّه لم يستمرّ ؛ بلا خلاف من أصحابنا</w:t>
      </w:r>
      <w:r>
        <w:rPr>
          <w:rFonts w:eastAsia="Amiri" w:cs="Amiri" w:ascii="Amiri" w:hAnsi="Amiri"/>
          <w:color w:val="111111"/>
          <w:sz w:val="28"/>
          <w:szCs w:val="28"/>
          <w:rtl w:val="true"/>
          <w:lang w:bidi="ar-SA"/>
        </w:rPr>
        <w:t>»</w:t>
      </w:r>
      <w:r>
        <w:rPr>
          <w:rStyle w:val="FootnoteAnchor"/>
          <w:rtl w:val="true"/>
        </w:rPr>
        <w:footnoteReference w:id="224"/>
      </w:r>
      <w:r>
        <w:rPr>
          <w:rFonts w:ascii="Amiri" w:hAnsi="Amiri" w:eastAsia="Amiri" w:cs="Amiri"/>
          <w:color w:val="111111"/>
          <w:sz w:val="28"/>
          <w:sz w:val="28"/>
          <w:szCs w:val="28"/>
          <w:rtl w:val="true"/>
          <w:lang w:bidi="ar-SA"/>
        </w:rPr>
        <w:t xml:space="preserve">ويظهر منه أنّ اعتبار الاستمرار </w:t>
      </w:r>
    </w:p>
    <w:p>
      <w:pPr>
        <w:pStyle w:val="BookText"/>
        <w:rPr/>
      </w:pPr>
      <w:r>
        <w:rPr>
          <w:rFonts w:ascii="Amiri" w:hAnsi="Amiri" w:eastAsia="Amiri" w:cs="Amiri"/>
          <w:color w:val="111111"/>
          <w:sz w:val="28"/>
          <w:sz w:val="28"/>
          <w:szCs w:val="28"/>
          <w:rtl w:val="true"/>
          <w:lang w:bidi="ar-SA"/>
        </w:rPr>
        <w:t xml:space="preserve">غير مختلف فيه لدى الأصحاب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 أقلّ الحيض ثلاثة أيّام بلياليها ؛ بلا خلاف بين فقهاء أهل البيت</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 xml:space="preserve">وظاهره الاستمرار بقرينة ذكر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دعوى الإجماع على عدم إخلال الفترات المعهودة في استمرار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اعتبارهم الاستمرار ؛ وإن لم يخلّ به بعض الفترات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 الأقوى ؛ لما ذكرنا سابقاً من أنّ الظاهر من روايات أقلّ الدم ، أنّ ثلاثة أيّام أقلّ مصداق يتحقّق لدم الحيض ، وهو لا يمكن إلاّ باستمراره ، وإلاّ فلو رأت في يوم ساعة وانقطع بحصول النقاء ، ورأت في اليوم الثاني ساعة اُخرى وانقطع ، ورأت في الثالثة ، فهذه الدماء في الساعات المزبورة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مصداقاً واحداً لدم الحيض عرفاً وعقلاً ، بل ثلاثة مصاديق ؛ ضرورة أنّ استقلال كلّ مصداق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 نظر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مصداق آخر إنّما هو بتخلّل الطهر ، وإذا كانت هذه الدماء حيضاً لا يكون أقلّ دم الحيض ثلاثة أيّام ، بل أقلّه ساعة ، فإنّ كلّ ساعة دم حيض مستقلّ في التحقّق والوجود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فرض كون الحيض أمراً معنوياً محصّلاً من الدم ، لم يكن الأقلّ ثلاثة أيّام أيضاً ؛ سواء جعل النقاء في البين طهراً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 فإنّها لو رأت</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الدم في اليوم الثالث في أوّل النهار وطهرت ، ولم تر الدم إلى عشرة أيّام ، كان </w:t>
      </w:r>
    </w:p>
    <w:p>
      <w:pPr>
        <w:pStyle w:val="BookText"/>
        <w:rPr/>
      </w:pPr>
      <w:r>
        <w:rPr>
          <w:rFonts w:ascii="Amiri" w:hAnsi="Amiri" w:eastAsia="Amiri" w:cs="Amiri"/>
          <w:color w:val="111111"/>
          <w:sz w:val="28"/>
          <w:sz w:val="28"/>
          <w:szCs w:val="28"/>
          <w:rtl w:val="true"/>
          <w:lang w:bidi="ar-SA"/>
        </w:rPr>
        <w:t xml:space="preserve">هذا النقاء من أوّله طهراً ، فيكون أقلّ الحيض يومين وساعة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يحمل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 الحيض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التسامح حتّى يصدق على الثلاثة الناقصة ، وهو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حمل الروايات على كونه أمراً معنوياً ، أيضاً بعيد مع ظهورها في كونه نفس الدم أو سيلانه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فحملها على عدم الاستمرار والرؤية في الجملة ، يحتاج إلى تكلّف واعتبار وارتكاب تجوُّز محتاج إلى القرينة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يرد على ما ذكرنا من التقريب ما يرد على دعوى التبادر العرفي</w:t>
      </w:r>
      <w:r>
        <w:rPr>
          <w:rStyle w:val="FootnoteAnchor"/>
          <w:rtl w:val="true"/>
        </w:rPr>
        <w:footnoteReference w:id="228"/>
      </w:r>
      <w:r>
        <w:rPr>
          <w:rFonts w:ascii="Amiri" w:hAnsi="Amiri" w:eastAsia="Amiri" w:cs="Amiri"/>
          <w:color w:val="111111"/>
          <w:sz w:val="28"/>
          <w:sz w:val="28"/>
          <w:szCs w:val="28"/>
          <w:rtl w:val="true"/>
          <w:lang w:bidi="ar-SA"/>
        </w:rPr>
        <w:t xml:space="preserve">، وهو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 الحيض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ممكن الحمل على ظاهره ، فلا بدّ وأن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ظرفاً ، فهي إن كانت ظرفاً لأصل تحقّق الدم ، فلا</w:t>
      </w:r>
    </w:p>
    <w:p>
      <w:pPr>
        <w:pStyle w:val="BookText"/>
        <w:rPr/>
      </w:pPr>
      <w:r>
        <w:rPr>
          <w:rFonts w:ascii="Amiri" w:hAnsi="Amiri" w:eastAsia="Amiri" w:cs="Amiri"/>
          <w:color w:val="111111"/>
          <w:sz w:val="28"/>
          <w:sz w:val="28"/>
          <w:szCs w:val="28"/>
          <w:rtl w:val="true"/>
          <w:lang w:bidi="ar-SA"/>
        </w:rPr>
        <w:t xml:space="preserve">يدلّ على الاستمرار ، وإن كانت ظرفاً لاستمراره أو سيلانه ، فلا يبعد ظهوره في الاستمرار في تمام اليوم ، ولم يعلم أ نّه اُريد به في الروايات نفسه أو سيلانه واستمراره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وحذف حرف الجرّ لا يفيد شيئاً ؛ ضرورة أنّ الظرفية باقية معه على حالها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 حذفه يكون الحمل لتأوّل ، ومع الاستمرار يكون التأويل أقرب ، بخلافه مع 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مع تسليمه لا يوجب ظهوراً حجّة يتمسّك به لدى الشكّ مع إمكان التأويل بغير ذلك ، خصوصاً إذا كان الدم في كلّ يوم مقداراً معتدّاً به ، أو أكثر من النقاء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فالعمدة ما ذكرناه ، ومعه لا مجال للتمسّك بموثّقة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الظاهر منها </w:t>
      </w:r>
      <w:bookmarkStart w:id="172" w:name="pg15019_190621"/>
    </w:p>
    <w:p>
      <w:pPr>
        <w:pStyle w:val="BookText"/>
        <w:rPr/>
      </w:pPr>
      <w:bookmarkEnd w:id="172"/>
      <w:r>
        <w:rPr>
          <w:rFonts w:ascii="Amiri" w:hAnsi="Amiri" w:eastAsia="Amiri" w:cs="Amiri"/>
          <w:color w:val="111111"/>
          <w:sz w:val="28"/>
          <w:sz w:val="28"/>
          <w:szCs w:val="28"/>
          <w:rtl w:val="true"/>
          <w:lang w:bidi="ar-SA"/>
        </w:rPr>
        <w:t xml:space="preserve">أنّ القعود في الشهر يومين وفي الشهر ثلاثة ، كناية عن رؤية الدم يومين وثلاثة ، كما يشهد به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يختلف عليها ؛ لا يكون طَمْثها في الشهر عدّة أيّام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دلالة فيها على ما ادّعي حتّى نحتاج إلى جواب الشيخ الأعظم</w:t>
      </w:r>
      <w:r>
        <w:rPr>
          <w:rStyle w:val="FootnoteAnchor"/>
          <w:rtl w:val="true"/>
        </w:rPr>
        <w:footnoteReference w:id="229"/>
      </w:r>
      <w:r>
        <w:rPr>
          <w:rFonts w:ascii="Amiri" w:hAnsi="Amiri" w:eastAsia="Amiri" w:cs="Amiri"/>
          <w:color w:val="111111"/>
          <w:sz w:val="28"/>
          <w:sz w:val="28"/>
          <w:szCs w:val="28"/>
          <w:rtl w:val="true"/>
          <w:lang w:bidi="ar-SA"/>
        </w:rPr>
        <w:t xml:space="preserve">بما لا يخلو من تكلّف ، فلا بدّ من حمل الرواية على لزوم ترك الصلاة إذا رأت الدم ؛ استظهاراً حتّى يتّضح حالها ، أو ردّ علمها إلى أهله مع مخالفتها للأخبار والإجماع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ومرسلة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عرفت من حالها </w:t>
      </w:r>
      <w:r>
        <w:rPr>
          <w:rStyle w:val="FootnoteAnchor"/>
          <w:rtl w:val="true"/>
        </w:rPr>
        <w:footnoteReference w:id="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تدلّ على ما ادّعي ؛ لو لم تدلّ على خلافه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يظهر حال الاحتمال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نفى البُعدَ عنه شيخنا البهائي</w:t>
      </w:r>
      <w:r>
        <w:rPr>
          <w:rStyle w:val="FootnoteAnchor"/>
          <w:rtl w:val="true"/>
        </w:rPr>
        <w:footnoteReference w:id="231"/>
      </w:r>
      <w:r>
        <w:rPr>
          <w:rFonts w:ascii="Amiri" w:hAnsi="Amiri" w:eastAsia="Amiri" w:cs="Amiri"/>
          <w:color w:val="111111"/>
          <w:sz w:val="28"/>
          <w:sz w:val="28"/>
          <w:szCs w:val="28"/>
          <w:rtl w:val="true"/>
          <w:lang w:bidi="ar-SA"/>
        </w:rPr>
        <w:t>على ما نقل عنه ونسب إلى بعض معاصري شيخنا الشهيد الثاني</w:t>
      </w: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اشتراط رؤيته أوّل الأوّل ، وآخرَ الثالث ، وأيَّ وقت من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بنينا على أنّ الحيض أمر معنوي ، يكون هذا القول أسلم من الإشكال من القول الأوّل </w:t>
      </w:r>
      <w:r>
        <w:rPr>
          <w:rFonts w:eastAsia="Amiri" w:cs="Amiri" w:ascii="Amiri" w:hAnsi="Amiri"/>
          <w:color w:val="111111"/>
          <w:sz w:val="28"/>
          <w:szCs w:val="28"/>
          <w:rtl w:val="true"/>
          <w:lang w:bidi="ar-SA"/>
        </w:rPr>
        <w:t>.</w:t>
      </w:r>
    </w:p>
    <w:p>
      <w:pPr>
        <w:pStyle w:val="Heading6"/>
        <w:numPr>
          <w:ilvl w:val="5"/>
          <w:numId w:val="1"/>
        </w:numPr>
        <w:rPr/>
      </w:pPr>
      <w:bookmarkStart w:id="173" w:name="__RefHeading___Toc686286_3406789950"/>
      <w:bookmarkStart w:id="174" w:name="_Toc61"/>
      <w:bookmarkEnd w:id="173"/>
      <w:r>
        <w:rPr>
          <w:rtl w:val="true"/>
        </w:rPr>
        <w:t>عدم إضرار الفترات اليسيرة المعهودة بين النساء</w:t>
      </w:r>
      <w:bookmarkEnd w:id="174"/>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يبعد عدم مضرّية الفترات اليسيرة المعهودة للنساء ؛ إذا كانت بحيث لا تضرّ بالاستمرار العرفي ورؤية الدم ثلاثة أيّام ، كما نقل عن العلاّمة دعوى الإجماع عليه</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مراد القائلين بالاستمرار ليس إلاّ هذا النحو ، </w:t>
      </w:r>
      <w:bookmarkStart w:id="175" w:name="pg15019_190622"/>
    </w:p>
    <w:p>
      <w:pPr>
        <w:pStyle w:val="BookText"/>
        <w:rPr/>
      </w:pPr>
      <w:bookmarkEnd w:id="175"/>
      <w:r>
        <w:rPr>
          <w:rFonts w:ascii="Amiri" w:hAnsi="Amiri" w:eastAsia="Amiri" w:cs="Amiri"/>
          <w:color w:val="111111"/>
          <w:sz w:val="28"/>
          <w:sz w:val="28"/>
          <w:szCs w:val="28"/>
          <w:rtl w:val="true"/>
          <w:lang w:bidi="ar-SA"/>
        </w:rPr>
        <w:t xml:space="preserve">فقول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متى وضعت الكُرْسُف تلوّث به</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 xml:space="preserve">لعلّه لا ينافي ذلك ، 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يخلو من قوّة إذا ثبتت المعهودية ، وإلاّ فمحلّ إشكال وتأمّل </w:t>
      </w:r>
      <w:r>
        <w:rPr>
          <w:rFonts w:eastAsia="Amiri" w:cs="Amiri" w:ascii="Amiri" w:hAnsi="Amiri"/>
          <w:color w:val="111111"/>
          <w:sz w:val="28"/>
          <w:szCs w:val="28"/>
          <w:rtl w:val="true"/>
          <w:lang w:bidi="ar-SA"/>
        </w:rPr>
        <w:t>.</w:t>
      </w:r>
    </w:p>
    <w:p>
      <w:pPr>
        <w:pStyle w:val="Heading6"/>
        <w:numPr>
          <w:ilvl w:val="5"/>
          <w:numId w:val="1"/>
        </w:numPr>
        <w:rPr/>
      </w:pPr>
      <w:bookmarkStart w:id="176" w:name="__RefHeading___Toc686288_3406789950"/>
      <w:bookmarkStart w:id="177" w:name="_Toc62"/>
      <w:bookmarkEnd w:id="176"/>
      <w:r>
        <w:rPr>
          <w:rtl w:val="true"/>
        </w:rPr>
        <w:t>في دخول الليالي في الأيّام الثلاثة</w:t>
      </w:r>
      <w:bookmarkEnd w:id="177"/>
    </w:p>
    <w:p>
      <w:pPr>
        <w:pStyle w:val="BookText"/>
        <w:rPr/>
      </w:pPr>
      <w:r>
        <w:rPr>
          <w:rFonts w:ascii="Amiri" w:hAnsi="Amiri" w:eastAsia="Amiri" w:cs="Amiri"/>
          <w:color w:val="111111"/>
          <w:sz w:val="28"/>
          <w:sz w:val="28"/>
          <w:szCs w:val="28"/>
          <w:rtl w:val="true"/>
          <w:lang w:bidi="ar-SA"/>
        </w:rPr>
        <w:t xml:space="preserve">وهل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مع لياليها أو هي مع الليلتين المتوسّطتين أو نفس الأيّام بلا لياليها ، أو تختلف بحسب الموارد ؛ فإن رأت في أوّل الليل لا بدّ من دخول الليالي الثلاث ، وكذا لو رأت وسط النهار ، بخلاف ما لو رأت أوّل النهار ، فلا يدخل فيها الليلة الأخيرة ، أو يختلف الأمر بحسب المبنى المشهور فيدخل فيها الليلتان المتوسّطتان في بعض الفروض ، والليالي الثلاث في آخر ، وبحسب مبنى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الحدائق</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فلا تدخل فيها الليالي مطلقاً ؟</w:t>
      </w:r>
    </w:p>
    <w:p>
      <w:pPr>
        <w:pStyle w:val="BookText"/>
        <w:rPr/>
      </w:pPr>
      <w:r>
        <w:rPr>
          <w:rFonts w:ascii="Amiri" w:hAnsi="Amiri" w:eastAsia="Amiri" w:cs="Amiri"/>
          <w:color w:val="111111"/>
          <w:sz w:val="28"/>
          <w:sz w:val="28"/>
          <w:szCs w:val="28"/>
          <w:rtl w:val="true"/>
          <w:lang w:bidi="ar-SA"/>
        </w:rPr>
        <w:t xml:space="preserve">يمكن أن يبتني الحكم على أنّ المراد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الحيض أقلّ من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أدنى الحيض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نفس الثلاثة ؛ بحيث يكون النهار دخيلاً في الموضوع ومقوّماً له ، كتقوّم الصوم بالنهار ، والصلاة بالأوقات المخصوصة ، أو أنّ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لمجرّد التقدير ، فتكون آلة محضاً لتقدير مقدار الدم ؛ وأ نّه إذا سال بهذا المقدار يكون حيضاً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ويأتي هذا الكلام في كثير من المواضع ، كالنزح يوماً إلى الليل متراوحاً لموت الكلب مع غلبة الماء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إشكال في أ نّه قد يفهم العرف والعقلاء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بمناسبات مغروسة في أذهانهم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ذكر الأيّام وأمثالها لمجرّد التقدير ؛ من غير دخالة لذات اليوم في الموضوع والحكم ، مثل أن يؤمر بوضع شيء في الماء يوماً ، أو وضع المشمّع على الجرح يوماً ، فإنّ العرف لا يفهم منه إلاّ وضعهما مقدار يوم ، ولا يرى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w:t>
      </w:r>
    </w:p>
    <w:p>
      <w:pPr>
        <w:pStyle w:val="BookText"/>
        <w:rPr/>
      </w:pPr>
      <w:r>
        <w:rPr>
          <w:rFonts w:ascii="Amiri" w:hAnsi="Amiri" w:eastAsia="Amiri" w:cs="Amiri"/>
          <w:color w:val="111111"/>
          <w:sz w:val="28"/>
          <w:sz w:val="28"/>
          <w:szCs w:val="28"/>
          <w:rtl w:val="true"/>
          <w:lang w:bidi="ar-SA"/>
        </w:rPr>
        <w:t xml:space="preserve">لمحض التقدير ، فإذا وضعهما بمقدار يوم في الليل أو ملفّقاً ، يرى نفسه عاملاً بالخطاب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يرى لليوم دخلاً تقويمياً للحكم وموضوعه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يبعد أن يكون النزح متراوحاً من قبيل الأوّل ؛ فإنّ العرف يرى أنّ تمام الموضوع لتطهير البئر أو تنظيفه ، هو إخراج الماء بهذا المقدار من الزمان متراوحاً ، ولا يرى لليوم دخلاً في الحكم ، بل يكون ذكره لمجرّد التقدير ، فالنزح في الليل بمقدار يوم إلى الليل ، عمل بالنصّ عرفاً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يقع الكلام في أنّ المقام من قبيل ذلك ؛ وإنّما جيء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لمجرّد تقدير مقدار خروج الدم من غير مدخل لليوم فيه ؛ بحيث لو رأت مقدار ثلاثة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ستّ وثلاثين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 الليل مثلاً إلى مضيّ هذا المقدار مستمرّاً ، كان ذلك كافياً في جعله حيضاً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كانت المرأة في أقطار تكون لياليها شهرين ، وأيّامها كذلك أو أكثر ، فرأت بمقدار ذلك ، كان حيضاً ، ووجب عليها التحيّض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العرف لا يرى لطلوع الشمس وغروبها ، دخلاً في حيضية الدم ، كما لا يرى لهما تأثيراً في تطهير البئر بالنزح ، ووضع المشمّع على الجرح وأمثالهما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يكون المقام من قبيل الأوّل</w:t>
      </w:r>
      <w:r>
        <w:rPr>
          <w:rStyle w:val="FootnoteAnchor"/>
          <w:rtl w:val="true"/>
        </w:rPr>
        <w:footnoteReference w:id="236"/>
      </w:r>
      <w:r>
        <w:rPr>
          <w:rFonts w:ascii="Amiri" w:hAnsi="Amiri" w:eastAsia="Amiri" w:cs="Amiri"/>
          <w:color w:val="111111"/>
          <w:sz w:val="28"/>
          <w:sz w:val="28"/>
          <w:szCs w:val="28"/>
          <w:rtl w:val="true"/>
          <w:lang w:bidi="ar-SA"/>
        </w:rPr>
        <w:t xml:space="preserve">؛ بأن يكون للأيّام الثلاثة دخل في الموضوع ، فليس الموضوع إلاّ رؤية الدم واستمراره ثلاثة أيّام ، ومع رؤية يوم وليلتين أو بالعكس ، لا يصدق أ نّها رأت ثلاثة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للمقدار اسم ولفظ حتّى يستفاد منه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وإلغاء خصوصية الثلاثة غير ممكن ؛ لأ نّه لا بدّ فيه من حكم العرف بذلك ، وهو غير معلوم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لو لا مخالفة ما ذكرنا للقوم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أرَ احتماله في كلام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للذهاب إليه وجه ،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الأوجه هو اعتبار الليالي ؛ لأنّ الظاهر من الأدلّة هو اعتبار الاستمرار ، وأنّ المراد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يكون دم الحيض أقلّ من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حين رؤيته ، فيفهم منه الاستمرار ، ومن الاستمرار دخول الليالي ، فكأ 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رأت الدم من حين ما رأت ثلاثة أيّام ، يكون حيضاً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ففهم دخول الليالي لذلك ، لا لدخل بياض النهار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مثل التراوح أيضاً يفهم ذلك 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يتراوح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لفهم تأثير اليوم فيه ، ولذا نقول بالتلفيق ، بل لفهم الاستمرار من التراوح من حين الاشتغال ، ويفهم دخول الليالي لفهم الاستمرار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فالأقوى هو الجمود على مقتضى النصوص ، مؤيّداً بما قلنا سابقاً </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التحديدات الشرعية الواردة لدم الحيض ، ليست تحديدات للحيض الواقعي ؛ أي للدم المعهود المقذوف من الرحم في أوقات خاصّة ، بل هي لمعرّفية الموضوع الشرعي الذي هو صنف من الدم المعهود ، فلهذا لو علمنا بأنّ الدم الأقلّ من </w:t>
      </w:r>
      <w:bookmarkStart w:id="178" w:name="pg15019_190625"/>
    </w:p>
    <w:p>
      <w:pPr>
        <w:pStyle w:val="BookText"/>
        <w:rPr/>
      </w:pPr>
      <w:bookmarkEnd w:id="178"/>
      <w:r>
        <w:rPr>
          <w:rFonts w:ascii="Amiri" w:hAnsi="Amiri" w:eastAsia="Amiri" w:cs="Amiri"/>
          <w:color w:val="111111"/>
          <w:sz w:val="28"/>
          <w:sz w:val="28"/>
          <w:szCs w:val="28"/>
          <w:rtl w:val="true"/>
          <w:lang w:bidi="ar-SA"/>
        </w:rPr>
        <w:t xml:space="preserve">ثلاثة أيّام هو الدم المعهود ، لم نحكم عليها بالتحيّض ، ولا تكون حائضاً محكوماً عليها بالأحكام الخاصّة ، ومعه لا مجال للعرف لإلغاء الخصوصية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حال ثلاثة أيّام الحيض حال التراوح ؛ ممّا يمكن فيه إلغاء الخصوصية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 نّك قد عرفت في التراوح 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كان التحديد لواقع دم الحيض ، لكان لما ذكر وجه ، لكنّه ضعيف مخالف للاعتبار والوجدان ، فلا يمكن رفع اليد عن ظواهر الأدلّة المتظافرة الدالّة على كون أقلّ الحيض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ما ذكرنا يرفع الاستبعاد عن اختلاف أقلّ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وكثرةً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وقت الرؤية من أوّل الليل أو أوّل النهار </w:t>
      </w:r>
      <w:r>
        <w:rPr>
          <w:rFonts w:eastAsia="Amiri" w:cs="Amiri" w:ascii="Amiri" w:hAnsi="Amiri"/>
          <w:color w:val="111111"/>
          <w:sz w:val="28"/>
          <w:szCs w:val="28"/>
          <w:rtl w:val="true"/>
          <w:lang w:bidi="ar-SA"/>
        </w:rPr>
        <w:t>.</w:t>
      </w:r>
    </w:p>
    <w:p>
      <w:pPr>
        <w:pStyle w:val="Heading6"/>
        <w:numPr>
          <w:ilvl w:val="5"/>
          <w:numId w:val="1"/>
        </w:numPr>
        <w:rPr/>
      </w:pPr>
      <w:bookmarkStart w:id="179" w:name="__RefHeading___Toc686290_3406789950"/>
      <w:bookmarkStart w:id="180" w:name="_Toc63"/>
      <w:bookmarkEnd w:id="179"/>
      <w:r>
        <w:rPr>
          <w:rtl w:val="true"/>
        </w:rPr>
        <w:t>دخول الليلتين المتوسّطتين والاُولى</w:t>
      </w:r>
      <w:bookmarkEnd w:id="180"/>
    </w:p>
    <w:p>
      <w:pPr>
        <w:pStyle w:val="BookText"/>
        <w:rPr/>
      </w:pPr>
      <w:r>
        <w:rPr>
          <w:rFonts w:ascii="Amiri" w:hAnsi="Amiri" w:eastAsia="Amiri" w:cs="Amiri"/>
          <w:color w:val="111111"/>
          <w:sz w:val="28"/>
          <w:sz w:val="28"/>
          <w:szCs w:val="28"/>
          <w:rtl w:val="true"/>
          <w:lang w:bidi="ar-SA"/>
        </w:rPr>
        <w:t xml:space="preserve">ثمّ إنّه على ما ذكرنا ، لا إشكال في دخول الليلتين المتوسّطتين إذا رأت في أوّل النهار ، والليلة الاُولى أيضاً إذا رأت أوّل الليل والتلفيق إذا رأت بين النهار ؛ بحكم العرف وفهمه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الدم أقلّ من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فإنّها إذا رأت أوّل الزوال إلى أوّل زوال اليوم الرابع ، يصدق عرفاً أ نّها رأت ثلاثة أيّام ، كما أنّ الأمر كذلك في أشباهه ونظائره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بناءً على مذهب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238"/>
      </w:r>
      <w:r>
        <w:rPr>
          <w:rFonts w:ascii="Amiri" w:hAnsi="Amiri" w:eastAsia="Amiri" w:cs="Amiri"/>
          <w:color w:val="111111"/>
          <w:sz w:val="28"/>
          <w:sz w:val="28"/>
          <w:szCs w:val="28"/>
          <w:rtl w:val="true"/>
          <w:lang w:bidi="ar-SA"/>
        </w:rPr>
        <w:t>فالظاهر عدم دخول الليل مطلقاً ؛ لأنّ عمدة مستنده المرسلة</w:t>
      </w:r>
      <w:r>
        <w:rPr>
          <w:rStyle w:val="FootnoteAnchor"/>
          <w:rtl w:val="true"/>
        </w:rPr>
        <w:footnoteReference w:id="239"/>
      </w:r>
      <w:r>
        <w:rPr>
          <w:rFonts w:ascii="Amiri" w:hAnsi="Amiri" w:eastAsia="Amiri" w:cs="Amiri"/>
          <w:color w:val="111111"/>
          <w:sz w:val="28"/>
          <w:sz w:val="28"/>
          <w:szCs w:val="28"/>
          <w:rtl w:val="true"/>
          <w:lang w:bidi="ar-SA"/>
        </w:rPr>
        <w:t xml:space="preserve">وظاهرها أ نّها لو رأت يوماً ، ثمّ رأت بعد </w:t>
      </w:r>
    </w:p>
    <w:p>
      <w:pPr>
        <w:pStyle w:val="BookText"/>
        <w:rPr/>
      </w:pPr>
      <w:r>
        <w:rPr>
          <w:rFonts w:ascii="Amiri" w:hAnsi="Amiri" w:eastAsia="Amiri" w:cs="Amiri"/>
          <w:color w:val="111111"/>
          <w:sz w:val="28"/>
          <w:sz w:val="28"/>
          <w:szCs w:val="28"/>
          <w:rtl w:val="true"/>
          <w:lang w:bidi="ar-SA"/>
        </w:rPr>
        <w:t xml:space="preserve">الانقطاع ما يتمّ به ثلاثة أيّام ، يكون الدمان حيضاً ، ولا شبهة في صدق ثلاثة أيّام متفرّقة بين العشرة على الأيّام بغير لياليها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اليوم والليلة</w:t>
      </w:r>
      <w:r>
        <w:rPr>
          <w:rStyle w:val="FootnoteAnchor"/>
          <w:rtl w:val="true"/>
        </w:rPr>
        <w:footnoteReference w:id="240"/>
      </w:r>
      <w:r>
        <w:rPr>
          <w:rFonts w:ascii="Amiri" w:hAnsi="Amiri" w:eastAsia="Amiri" w:cs="Amiri"/>
          <w:color w:val="111111"/>
          <w:sz w:val="28"/>
          <w:sz w:val="28"/>
          <w:szCs w:val="28"/>
          <w:rtl w:val="true"/>
          <w:lang w:bidi="ar-SA"/>
        </w:rPr>
        <w:t>، ضعيفة مخالفة للعرف واللغة</w:t>
      </w:r>
      <w:r>
        <w:rPr>
          <w:rStyle w:val="FootnoteAnchor"/>
          <w:rtl w:val="true"/>
        </w:rPr>
        <w:footnoteReference w:id="241"/>
      </w:r>
      <w:r>
        <w:rPr>
          <w:rFonts w:ascii="Amiri" w:hAnsi="Amiri" w:eastAsia="Amiri" w:cs="Amiri"/>
          <w:color w:val="111111"/>
          <w:sz w:val="28"/>
          <w:sz w:val="28"/>
          <w:szCs w:val="28"/>
          <w:rtl w:val="true"/>
          <w:lang w:bidi="ar-SA"/>
        </w:rPr>
        <w:t xml:space="preserve">وإنّما فهمنا دخول الليالي من ظهور الأدلّة في الاستمرار ، أو من الوجه الذي سبق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 نّه على فرض 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مقدارها ، يكون المقدار المفروض هو مقدار بياض الأيّام ؛ لأ نّه اليوم عرفاً ولغة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قد يطلق على مطلق الوقت ، لكنّ إطلاقه على اليوم والليلة ليس على نحو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التسليم لا ريب في انصرافه إلى بياض النهار فقط ، وهذا أيضاً أحد وجوه المناقشة في مرسلة يونس القصيرة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التلفيق من الساعات ، خلاف ظواهر الأدلّة ولو على مبنى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بالنظر في المرسلة </w:t>
      </w:r>
      <w:r>
        <w:rPr>
          <w:rFonts w:eastAsia="Amiri" w:cs="Amiri" w:ascii="Amiri" w:hAnsi="Amiri"/>
          <w:color w:val="111111"/>
          <w:sz w:val="28"/>
          <w:szCs w:val="28"/>
          <w:rtl w:val="true"/>
          <w:lang w:bidi="ar-SA"/>
        </w:rPr>
        <w:t xml:space="preserve">. </w:t>
      </w:r>
      <w:bookmarkStart w:id="181" w:name="pg15019_190627"/>
    </w:p>
    <w:p>
      <w:pPr>
        <w:pStyle w:val="Heading5"/>
        <w:numPr>
          <w:ilvl w:val="4"/>
          <w:numId w:val="1"/>
        </w:numPr>
        <w:rPr/>
      </w:pPr>
      <w:bookmarkStart w:id="182" w:name="__RefHeading___Toc686292_3406789950"/>
      <w:bookmarkStart w:id="183" w:name="_Toc64"/>
      <w:bookmarkEnd w:id="181"/>
      <w:bookmarkEnd w:id="182"/>
      <w:r>
        <w:rPr>
          <w:rtl w:val="true"/>
        </w:rPr>
        <w:t>الأمر الرابع في أنّ أكثر الحيض عشرة أيّام</w:t>
      </w:r>
      <w:bookmarkEnd w:id="183"/>
    </w:p>
    <w:p>
      <w:pPr>
        <w:pStyle w:val="Heading6"/>
        <w:numPr>
          <w:ilvl w:val="5"/>
          <w:numId w:val="1"/>
        </w:numPr>
        <w:rPr/>
      </w:pPr>
      <w:bookmarkStart w:id="184" w:name="__RefHeading___Toc686294_3406789950"/>
      <w:bookmarkStart w:id="185" w:name="_Toc65"/>
      <w:bookmarkEnd w:id="184"/>
      <w:r>
        <w:rPr>
          <w:rtl w:val="true"/>
        </w:rPr>
        <w:t>اشارة</w:t>
      </w:r>
      <w:bookmarkEnd w:id="185"/>
    </w:p>
    <w:p>
      <w:pPr>
        <w:pStyle w:val="BookText"/>
        <w:rPr/>
      </w:pPr>
      <w:r>
        <w:rPr>
          <w:rFonts w:ascii="Amiri" w:hAnsi="Amiri" w:eastAsia="Amiri" w:cs="Amiri"/>
          <w:color w:val="111111"/>
          <w:sz w:val="28"/>
          <w:sz w:val="28"/>
          <w:szCs w:val="28"/>
          <w:rtl w:val="true"/>
          <w:lang w:bidi="ar-SA"/>
        </w:rPr>
        <w:t xml:space="preserve">لا إشكال في كون أكثر الحيض عشرة أيّام ،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هذا من دين الإمامية الذي يجب الإقرار به</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 مذهب فقهاء أهل البيت</w:t>
      </w:r>
      <w:r>
        <w:rPr>
          <w:rFonts w:eastAsia="Amiri" w:cs="Amiri" w:ascii="Amiri" w:hAnsi="Amiri"/>
          <w:color w:val="111111"/>
          <w:sz w:val="28"/>
          <w:szCs w:val="28"/>
          <w:rtl w:val="true"/>
          <w:lang w:bidi="ar-SA"/>
        </w:rPr>
        <w:t>»</w:t>
      </w:r>
      <w:r>
        <w:rPr>
          <w:rStyle w:val="FootnoteAnchor"/>
          <w:rtl w:val="true"/>
        </w:rPr>
        <w:footnoteReference w:id="243"/>
      </w:r>
      <w:r>
        <w:rPr>
          <w:rFonts w:ascii="Amiri" w:hAnsi="Amiri" w:eastAsia="Amiri" w:cs="Amiri"/>
          <w:color w:val="111111"/>
          <w:sz w:val="28"/>
          <w:sz w:val="28"/>
          <w:szCs w:val="28"/>
          <w:rtl w:val="true"/>
          <w:lang w:bidi="ar-SA"/>
        </w:rPr>
        <w:t>ونقلُ الإجماع عليه متكرّر</w:t>
      </w:r>
      <w:r>
        <w:rPr>
          <w:rStyle w:val="FootnoteAnchor"/>
          <w:rtl w:val="true"/>
        </w:rPr>
        <w:footnoteReference w:id="244"/>
      </w:r>
      <w:r>
        <w:rPr>
          <w:rFonts w:ascii="Amiri" w:hAnsi="Amiri" w:eastAsia="Amiri" w:cs="Amiri"/>
          <w:color w:val="111111"/>
          <w:sz w:val="28"/>
          <w:sz w:val="28"/>
          <w:szCs w:val="28"/>
          <w:rtl w:val="true"/>
          <w:lang w:bidi="ar-SA"/>
        </w:rPr>
        <w:t>كنقل عدم الخلاف</w:t>
      </w:r>
      <w:r>
        <w:rPr>
          <w:rStyle w:val="FootnoteAnchor"/>
          <w:rtl w:val="true"/>
        </w:rPr>
        <w:footnoteReference w:id="245"/>
      </w:r>
      <w:r>
        <w:rPr>
          <w:rFonts w:ascii="Amiri" w:hAnsi="Amiri" w:eastAsia="Amiri" w:cs="Amiri"/>
          <w:color w:val="111111"/>
          <w:sz w:val="28"/>
          <w:sz w:val="28"/>
          <w:szCs w:val="28"/>
          <w:rtl w:val="true"/>
          <w:lang w:bidi="ar-SA"/>
        </w:rPr>
        <w:t>والنصوص به مستفيضة</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 في صحيحة عبداللّه بن سنان عن أبي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أكثر ما يكون من الحيض ثمانٍ ، وأدنى ما يكون منه ثلاثة</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فيها من احتمال وقوع السهو ؛ لأجل تذكير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النسخ التي عندنا ، أو التقدير الموجب للإجمال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شاذّة ، وعن الشيخ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الطائفة</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أجمعت على خلاف ما تضمّنه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محمولة على بعض المحامل</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bookmarkStart w:id="186" w:name="pg15019_190628"/>
    </w:p>
    <w:p>
      <w:pPr>
        <w:pStyle w:val="Heading6"/>
        <w:numPr>
          <w:ilvl w:val="5"/>
          <w:numId w:val="1"/>
        </w:numPr>
        <w:rPr/>
      </w:pPr>
      <w:bookmarkStart w:id="187" w:name="__RefHeading___Toc686296_3406789950"/>
      <w:bookmarkStart w:id="188" w:name="_Toc66"/>
      <w:bookmarkEnd w:id="186"/>
      <w:bookmarkEnd w:id="187"/>
      <w:r>
        <w:rPr>
          <w:rtl w:val="true"/>
        </w:rPr>
        <w:t>اعتبار التوالي في العشرة</w:t>
      </w:r>
      <w:bookmarkEnd w:id="188"/>
    </w:p>
    <w:p>
      <w:pPr>
        <w:pStyle w:val="BookText"/>
        <w:rPr/>
      </w:pPr>
      <w:r>
        <w:rPr>
          <w:rFonts w:ascii="Amiri" w:hAnsi="Amiri" w:eastAsia="Amiri" w:cs="Amiri"/>
          <w:color w:val="111111"/>
          <w:sz w:val="28"/>
          <w:sz w:val="28"/>
          <w:szCs w:val="28"/>
          <w:rtl w:val="true"/>
          <w:lang w:bidi="ar-SA"/>
        </w:rPr>
        <w:t xml:space="preserve">وإنّما الإشكال والكلام في اعتبار التوالي فيها ، كما عن ظاهر المشهور بل 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القائل بالخلاف</w:t>
      </w:r>
      <w:r>
        <w:rPr>
          <w:rStyle w:val="FootnoteAnchor"/>
          <w:rtl w:val="true"/>
        </w:rPr>
        <w:footnoteReference w:id="249"/>
      </w:r>
      <w:r>
        <w:rPr>
          <w:rFonts w:ascii="Amiri" w:hAnsi="Amiri" w:eastAsia="Amiri" w:cs="Amiri"/>
          <w:color w:val="111111"/>
          <w:sz w:val="28"/>
          <w:sz w:val="28"/>
          <w:szCs w:val="28"/>
          <w:rtl w:val="true"/>
          <w:lang w:bidi="ar-SA"/>
        </w:rPr>
        <w:t xml:space="preserve">، وعدمه كما قال به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250"/>
      </w:r>
      <w:r>
        <w:rPr>
          <w:rFonts w:ascii="Amiri" w:hAnsi="Amiri" w:eastAsia="Amiri" w:cs="Amiri"/>
          <w:color w:val="111111"/>
          <w:sz w:val="28"/>
          <w:sz w:val="28"/>
          <w:szCs w:val="28"/>
          <w:rtl w:val="true"/>
          <w:lang w:bidi="ar-SA"/>
        </w:rPr>
        <w:t xml:space="preserve">وهو خالف المشهور في توالي الثلاثة ، وتوالي العشرة ، وأقلّ الطهر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التقريب في دلالة ما دلّ على أنّ أدنى الحيض ثلاثة أيّام على التوالي</w:t>
      </w:r>
      <w:r>
        <w:rPr>
          <w:rStyle w:val="FootnoteAnchor"/>
          <w:rtl w:val="true"/>
        </w:rPr>
        <w:footnoteReference w:id="251"/>
      </w:r>
      <w:r>
        <w:rPr>
          <w:rFonts w:ascii="Amiri" w:hAnsi="Amiri" w:eastAsia="Amiri" w:cs="Amiri"/>
          <w:color w:val="111111"/>
          <w:sz w:val="28"/>
          <w:sz w:val="28"/>
          <w:szCs w:val="28"/>
          <w:rtl w:val="true"/>
          <w:lang w:bidi="ar-SA"/>
        </w:rPr>
        <w:t xml:space="preserve">، ويمكن تقريبها في العشرة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يمكن إلزام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إلاّ بعد إثبات عدم كون الطهر مطلقاً أقلّ من عشرة أيّام ، وإلاّ فله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كون أكثر الحيض عشرة أيّام متوالية ، لا ينافي تفرّق الأيّام على تسعين يوماً ، ومع ذلك لا تكون الأيّام المتفرّقة أكثر أيّام الحيض ؛ لأنّ الأكثرية بأكثرية الدم المستمرّ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w:t>
      </w:r>
    </w:p>
    <w:p>
      <w:pPr>
        <w:pStyle w:val="BookText"/>
        <w:rPr/>
      </w:pPr>
      <w:r>
        <w:rPr>
          <w:rFonts w:ascii="Amiri" w:hAnsi="Amiri" w:eastAsia="Amiri" w:cs="Amiri"/>
          <w:color w:val="111111"/>
          <w:sz w:val="28"/>
          <w:sz w:val="28"/>
          <w:szCs w:val="28"/>
          <w:rtl w:val="true"/>
          <w:lang w:bidi="ar-SA"/>
        </w:rPr>
        <w:t xml:space="preserve">يلتزم بذلك ، بل يدّعي أنّ الأكثر يمكن أن يكون متفرّقاً ، وعليه يكون التقريب المتقدّم حجّة عليه وملزماً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ظهور الروايات المحدّدة لأقلّ الحيض وأكثره</w:t>
      </w:r>
      <w:r>
        <w:rPr>
          <w:rStyle w:val="FootnoteAnchor"/>
          <w:rtl w:val="true"/>
        </w:rPr>
        <w:footnoteReference w:id="252"/>
      </w:r>
      <w:r>
        <w:rPr>
          <w:rFonts w:ascii="Amiri" w:hAnsi="Amiri" w:eastAsia="Amiri" w:cs="Amiri"/>
          <w:color w:val="111111"/>
          <w:sz w:val="28"/>
          <w:sz w:val="28"/>
          <w:szCs w:val="28"/>
          <w:rtl w:val="true"/>
          <w:lang w:bidi="ar-SA"/>
        </w:rPr>
        <w:t xml:space="preserve">في التوالي مطلقاً ، ممّا لا ينكر ، وكذا لزوم التوالي في كلّ مصداق واحد من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الأقلّ أو الأكثر أو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بالتقريب المتقدّم ، فلا بدّ لرفع اليد عن هذا الظهور</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المستقرّ والدليل المتّبع من دليل ، وإلاّ كان هو المتّبع </w:t>
      </w:r>
      <w:r>
        <w:rPr>
          <w:rFonts w:eastAsia="Amiri" w:cs="Amiri" w:ascii="Amiri" w:hAnsi="Amiri"/>
          <w:color w:val="111111"/>
          <w:sz w:val="28"/>
          <w:szCs w:val="28"/>
          <w:rtl w:val="true"/>
          <w:lang w:bidi="ar-SA"/>
        </w:rPr>
        <w:t xml:space="preserve">. </w:t>
      </w:r>
      <w:bookmarkStart w:id="189" w:name="pg15019_190629"/>
    </w:p>
    <w:p>
      <w:pPr>
        <w:pStyle w:val="Heading6"/>
        <w:numPr>
          <w:ilvl w:val="5"/>
          <w:numId w:val="1"/>
        </w:numPr>
        <w:rPr/>
      </w:pPr>
      <w:bookmarkStart w:id="190" w:name="__RefHeading___Toc686298_3406789950"/>
      <w:bookmarkStart w:id="191" w:name="_Toc67"/>
      <w:bookmarkEnd w:id="189"/>
      <w:bookmarkEnd w:id="190"/>
      <w:r>
        <w:rPr>
          <w:rtl w:val="true"/>
        </w:rPr>
        <w:t>مخالفة صاحب الحدائق المشهور في اعتبار التوالي وأقلّ الطهر</w:t>
      </w:r>
      <w:bookmarkEnd w:id="191"/>
    </w:p>
    <w:p>
      <w:pPr>
        <w:pStyle w:val="BookText"/>
        <w:rPr/>
      </w:pPr>
      <w:r>
        <w:rPr>
          <w:rFonts w:ascii="IRNazanin" w:hAnsi="IRNazanin" w:eastAsia="IRNazanin"/>
          <w:color w:val="111111"/>
          <w:sz w:val="28"/>
          <w:sz w:val="28"/>
          <w:szCs w:val="28"/>
          <w:rtl w:val="true"/>
          <w:lang w:bidi="fa-IR"/>
        </w:rPr>
        <w:t xml:space="preserve">واستند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253"/>
      </w:r>
      <w:r>
        <w:rPr>
          <w:rFonts w:ascii="Amiri" w:hAnsi="Amiri" w:eastAsia="Amiri" w:cs="Amiri"/>
          <w:color w:val="111111"/>
          <w:sz w:val="28"/>
          <w:sz w:val="28"/>
          <w:szCs w:val="28"/>
          <w:rtl w:val="true"/>
          <w:lang w:bidi="ar-SA"/>
        </w:rPr>
        <w:t xml:space="preserve">لمقالته إلى 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مرسلة يونس القصيرة ،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حاضت المرأة ، وكان حيضها خمسة أيّام ، ثمّ انقطع الدم ، اغتسلت وصلّت ، فإن رأت بعد ذلك الدم ، ولم يتمّ لها من يوم طهرت عشرة أيّام ، فذلك من الحيض تدع الصلاة ، وإن رأت الدم من أوّل ما رأت الثاني الذي رأته تمام العشرة أيّام ودام عليها ، 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 ما رأت الدم الأوّل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أيّام، ثمّ هي مستحاضة</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والتقريب فيها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رأت بعد ذلك الدم ، ولم يتمّ لها من يوم طهرت عشرة أيّام ، فذلك من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جعل مبدأ الحساب من الطهر ، فإذا رأت خمسة وطهرت خمسة ثمّ رأت خمسة ، فالخمستان الحاشيتان من الحيض ؛ لرؤيتها قبل مضيّ عشرة أيّام من الطهر ، ولا يتمّ ذلك إلاّ بعدم اعتبار التوالي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رأت الدم من أوّل ما رأت الثاني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 حيث جعل عدّ الدمين ميزاناً للعشرة ، لا من مبدأ الدم الأوّل إلى عشرة أيّام ؛ حتّى يكون النقاء داخلاً في الحساب ، وهو لا يتمّ إلاّ بعدم اعتبار التوالي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الوجهين نظر ،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صدر المرسلة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مبدأ حساب عشرة أيّام ، من أوّل رؤية الدم يوماً أو يومين ، وأنّ كلّ دم رأت في </w:t>
      </w:r>
    </w:p>
    <w:p>
      <w:pPr>
        <w:pStyle w:val="BookText"/>
        <w:rPr/>
      </w:pPr>
      <w:r>
        <w:rPr>
          <w:rFonts w:ascii="Amiri" w:hAnsi="Amiri" w:eastAsia="Amiri" w:cs="Amiri"/>
          <w:color w:val="111111"/>
          <w:sz w:val="28"/>
          <w:sz w:val="28"/>
          <w:szCs w:val="28"/>
          <w:rtl w:val="true"/>
          <w:lang w:bidi="ar-SA"/>
        </w:rPr>
        <w:t xml:space="preserve">العشرة التي مبدؤها ذلك ، هو من الحيض ، ومع عدم الرؤية فيها ليس اليوم واليومان من الحيض ، بل إمّا من قرحة أو غيرها ، ويجب عليها قضاء الصلاة ، فيكون مبدأ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رؤية الدم ، فحينئذٍ يكون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رأت خمسة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من أمثلة ما ذكر في الصدر ، وإنّما أعاد مثالاً آخر للتوضيح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فرضاً آخر حكمه غير الفرض الأوّل ، فيستفاد منها التفصيل بين رؤية الدم يوماً أو يومين وبين خمسة أيّام 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كان الفرض الأوّل لغير ذات العادة ، بخلاف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وهذان التفصيلان ممّا لا قائل بهما ظاهراً ؛ وإن لم يبعد التزام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دعوى كون المثال للتوضيح ، لا لبيان مطلب مستقلّ ولو لما ذكرنا من عدم القائل بهما ، فيتعيّن الاحتمال الأوّل ، ومعه يكون الصدر رافعاً لإجمال الذيل ؛ فإنّ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يوم طهرت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الجملة الاُولى التي استند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متعلّقاً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يكون متعلّقاً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ترجيح لأحدهما ابتداءً ، لكن مع ملاحظة الصدر الصريح في كون مبدأ الحساب هو أوّل رؤية الدم ، يرتفع هذا الإجمال ويتعيّن تعلّقه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رأت الدم مع عدم تمام العشرة المتقدّمة التي مبدؤها من رؤية الدم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فتكون أيّام الطهر متمّمة للعشرة لا مبدأها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يأتِ عليها من الطهر متمّم للعشرة ، ورأت الدم ، يكون حيضاً ، فصارت هذه الجملة مطابقة للجملة السابقة ، وللشهرة ، بل الإجماع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مع الغضّ عمّا قال الشيخ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في نسخة مصحّحة مقروءة على الشيخ الحرّ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طمثت</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ذكرنا يظهر حال الجملة الثانية ، مع إجمالها واضطرابها ، فإنّ المراد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ضمّ الصدر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إن رأت من أوّل ما رأت الثاني الذي رأته متمّماً للعشرة المتقدّمة التي مبدؤها من رؤية الدم الأوّل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فتكون رؤية الدم في العشرة التي مبدؤها مصرّح به في الصدر ، فتكون هذه الجملة أيضاً مطابقة للصدر والقول المشهور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وإلاّ فلو اُريد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تمام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العشرة التامّة من رؤية الدم الثاني ، تكون هذه الجملة لغواً محضاً ؛ فإنّ رؤية العشرة التامّة من مبدأ الدم الثاني ، لا دخل لها في الحكم المترتّب عليه أصلاً ، ولا في مدّعى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رأساً ؛ فإنّ الحكم إنّما يكون على الدم المتجاوز عن عشرة أيّام بعد حساب الدمين مجتمعين ، فمع رؤية خمسة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هي مفروضة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طهرت يوماً مثلاً ، ورأت ستّة أيّام ، يكون اليوم السادس منها استحاضة على قول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دخل لرؤية العشرة الكاملة في ترتّب هذا الحكم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مع الغضّ عمّا تقدّم في المسألة السابقة</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المرسلة مع هذه التكلّفات في توجيهها وتأويلها والإجمالات الكثيرة فيها ، لا يمكن الاتّكال عليها لإثبات حكم شرعي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وممّا استدلّ به لمذهب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رواية محمّد بن مسلم المتقدّمة</w:t>
      </w:r>
      <w:r>
        <w:rPr>
          <w:rStyle w:val="FootnoteAnchor"/>
          <w:rtl w:val="true"/>
        </w:rPr>
        <w:footnoteReference w:id="257"/>
      </w:r>
      <w:r>
        <w:rPr>
          <w:rFonts w:ascii="IRNazanin" w:hAnsi="IRNazanin" w:eastAsia="IRNazanin"/>
          <w:color w:val="111111"/>
          <w:sz w:val="28"/>
          <w:sz w:val="28"/>
          <w:szCs w:val="28"/>
          <w:rtl w:val="true"/>
          <w:lang w:bidi="fa-IR"/>
        </w:rPr>
        <w:t xml:space="preserve">، عن أبي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أقلّ ما يكون من الحيض ثلاثة ، وإذا رأت الدم قبل عشرة أيّام فهو من الحيضة الاُولى ، وإذا رأته بعد عشرة أيّام فهو من حيضة اُخرى مستقبلة</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منها روايته الصحيحة الاُخرى ورواية عبد الرحمان بن أبي عبداللّه المتقدّمتان</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والتقريب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منها أنّ العشرة المذكورة فيها ، عشرة واحدة جعل لرؤية الدم قبلها وبعدها حكم ، ولا إشكال في أنّ مبدأ العشرة في الفقرة الثانية هو أوّل الطهر ، وإلاّ لزم كون الدم حيضة مستقبلة قبل عشرة الطهر ، وهو خلاف الإجماع والنصّ ، فلا محالة يكون مبدأ العشرة في الاُولى أيضاً هو الطهر ، فحينئذٍ إن جعل النقاء المتخلّل حيضاً ، يصير أكثر الحيض أكثر من عشرة أيّام ، وهو أيضاً خلاف الإجماع والنصّ ، فلا بدّ من جعله طهراً ، وبه يتمّ المطلوب ؛ وهو عدم توالي عشرة أيّام الحيض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وتتمّ دعوى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كون الطهر أقلّ من العشرة ؛ إذا كان في خلال الحيضة الواحدة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إشكال في لزوم ارتكاب خلاف ظاهر في المقام ، فلا بدّ </w:t>
      </w:r>
    </w:p>
    <w:p>
      <w:pPr>
        <w:pStyle w:val="BookText"/>
        <w:rPr/>
      </w:pPr>
      <w:r>
        <w:rPr>
          <w:rFonts w:ascii="Amiri" w:hAnsi="Amiri" w:eastAsia="Amiri" w:cs="Amiri"/>
          <w:color w:val="111111"/>
          <w:sz w:val="28"/>
          <w:sz w:val="28"/>
          <w:szCs w:val="28"/>
          <w:rtl w:val="true"/>
          <w:lang w:bidi="ar-SA"/>
        </w:rPr>
        <w:t xml:space="preserve">من عرض الأخبار الواردة على العرف حتّى نرى أنّ ارتكاب أيّ خلاف ظاهر أهون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هاهنا طوائف من 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الطائفة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الكثيرة القائلة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أقلّ ما يكون الحيض ثلاثة ، وأكثره عشرة ، الظاهرة في التوالي ، وهذه الروايات بإطلاقها تدلّ على أنّ العشرة حدّ للأكثر ؛ سواء استمرّ الدم ، أو تخلّل نقاء في البين ، ولازمه كون النقاء حيضاً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والطائفة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دلّت على أنّ أقلّ الطهر عشرة أيّام ، كمرسلة يونس وغيرها ، وهي بإطلاقها تدلّ على أ نّه لا يكون أقلّ ؛ كان في خلال الحيضة الواحدة ، أو بين الحيضتين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والطائفة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الروايات المتقدّمة الظاهرة في كون العشرة واحدة ، واستفاد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أنّ النقاء المتخلّل طهر ، ولا يشترط التوالي في العشرة ؛ جمعاً بينها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فتاوى الأصحاب ، وعدم الاعتناء بالشهرة والإجماع ، كما هو دأب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الجمع بينها لا ينحصر فيما ذكر ، بل يمكن الجمع بوجه آخر ؛ وهو رفع اليد عن إطلاق ما دلّ على أنّ أكثر الحيض عشرة أيّام ، فإنّ مقتضى إطلاقها أنّ الأكثر عشرة ؛ سواء كان الدم سائلاً ، أو تخلّل النقاء في البين ، فمع رفع اليد عن إطلاقها وتخصيصها بما إذا رأت الدم في جميع العشرة ، يجمع بين الروايات أيضاً ، فيكون مبدأ العشرتين من حين </w:t>
      </w:r>
    </w:p>
    <w:p>
      <w:pPr>
        <w:pStyle w:val="BookText"/>
        <w:rPr/>
      </w:pPr>
      <w:r>
        <w:rPr>
          <w:rFonts w:ascii="Amiri" w:hAnsi="Amiri" w:eastAsia="Amiri" w:cs="Amiri"/>
          <w:color w:val="111111"/>
          <w:sz w:val="28"/>
          <w:sz w:val="28"/>
          <w:szCs w:val="28"/>
          <w:rtl w:val="true"/>
          <w:lang w:bidi="ar-SA"/>
        </w:rPr>
        <w:t>رؤية الدم ، كما هو الظاهر منها ، ومع حفظ ظهور الروايات الدالّة على أنّ أقلّ</w:t>
      </w:r>
    </w:p>
    <w:p>
      <w:pPr>
        <w:pStyle w:val="BookText"/>
        <w:rPr/>
      </w:pPr>
      <w:r>
        <w:rPr>
          <w:rFonts w:ascii="Amiri" w:hAnsi="Amiri" w:eastAsia="Amiri" w:cs="Amiri"/>
          <w:color w:val="111111"/>
          <w:sz w:val="28"/>
          <w:sz w:val="28"/>
          <w:szCs w:val="28"/>
          <w:rtl w:val="true"/>
          <w:lang w:bidi="ar-SA"/>
        </w:rPr>
        <w:t xml:space="preserve">الطهر عشرة أيّام ، نحكم بحيضية النقاء المتخلّل ، وتكون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الحيض الحكمي يكون أكثره أكثر من عشرة أيّام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الجمع أقرب ممّا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الدم أو سيلانه لغة</w:t>
      </w:r>
      <w:r>
        <w:rPr>
          <w:rStyle w:val="FootnoteAnchor"/>
          <w:rtl w:val="true"/>
        </w:rPr>
        <w:footnoteReference w:id="261"/>
      </w:r>
      <w:r>
        <w:rPr>
          <w:rFonts w:ascii="Amiri" w:hAnsi="Amiri" w:eastAsia="Amiri" w:cs="Amiri"/>
          <w:color w:val="111111"/>
          <w:sz w:val="28"/>
          <w:sz w:val="28"/>
          <w:szCs w:val="28"/>
          <w:rtl w:val="true"/>
          <w:lang w:bidi="ar-SA"/>
        </w:rPr>
        <w:t xml:space="preserve">، فما دلّت على أنّ أكثر الحيض عشرة أيّام ، يمكن دعوى ظهورها في أنّ أكثر جريان الدم الذي هو حيض ، عشرة أيّام ، ولا تكون متعرّضة للحيض الحكمي ، فيجمع حينئذٍ بين الروايات من غير ارتكاب خلاف ظاهر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قيل بالإطلاق كان هذا الجمع أيضاً أقرب ؛ لما ذكر ، أو لاحتماله وضعف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أقلّ من كون الجمعين متساويين من غير ترجيح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بناءً على هذا الجمع ، يكون التصرّف في الأدلّة أقلّ ممّا ارتكبه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الجمع بينها على مسلكه ، يوجب التصرّف في جميع الطوائف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فيما دلّت على أنّ أقلّ الطهر عشرة ، فبتقييد إطلاقها بما بين الحيضتين المستقلّتين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فيما دلّت على أنّ أكثر الحيض عشرة أيّام ، فبرفع اليد عن ظهورها في العشرة المتوالية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في الطائفة الثالثة ، فبرفع اليد عن ظهورها في أنّ مبدأ العشرة هو الدم ؛ ضرورة أنّ قوله في رواية محمّد بن مسلم عن أبي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أقلّ ما </w:t>
      </w:r>
    </w:p>
    <w:p>
      <w:pPr>
        <w:pStyle w:val="BookText"/>
        <w:rPr/>
      </w:pPr>
      <w:r>
        <w:rPr>
          <w:rFonts w:ascii="Amiri" w:hAnsi="Amiri" w:eastAsia="Amiri" w:cs="Amiri"/>
          <w:color w:val="111111"/>
          <w:sz w:val="28"/>
          <w:sz w:val="28"/>
          <w:szCs w:val="28"/>
          <w:rtl w:val="true"/>
          <w:lang w:bidi="ar-SA"/>
        </w:rPr>
        <w:t xml:space="preserve">يكون الحيض ثلاثة ، وإذا رأت الدم قبل عشرة أيّام فهو من الحيضة الاُولى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 ظاهر في أنّ مبدأ العشرة هو مبدأ الثلاثة المذكورة ، وليس للطهر ذكر حتّى تحمل العشرة على العشرة من الطهر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بناءً على ما ذكرنا من حمل الروايات الدالّة على أكثر الحيض على عشرة الدم ، فلا يكون التصرّف إلاّ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تسليم إطلاقها وعدم انصرافها إلى وجدان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الطائفة الثانية برفع اليد عن ظهورها في كون العشرة واحدة ، ومبدأ الثانية هو مبدأ الاُولى ، فيكون هذا التصرّف أقلّ ممّا سلكه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مع ذلك ومع الغضّ عن كونه خلاف الإجماع ، يكون الجمع بينها بما يوافق قول المشهور أهونَ وأقلّ محذوراً منه ، فضلاً عن الجمع على مسلك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سُلّم كون الطائفة الثالثة مطلقة وفي مقام البيان ، كان التصرّف</w:t>
      </w:r>
    </w:p>
    <w:p>
      <w:pPr>
        <w:pStyle w:val="BookText"/>
        <w:rPr/>
      </w:pPr>
      <w:r>
        <w:rPr>
          <w:rFonts w:ascii="Amiri" w:hAnsi="Amiri" w:eastAsia="Amiri" w:cs="Amiri"/>
          <w:color w:val="111111"/>
          <w:sz w:val="28"/>
          <w:sz w:val="28"/>
          <w:szCs w:val="28"/>
          <w:rtl w:val="true"/>
          <w:lang w:bidi="ar-SA"/>
        </w:rPr>
        <w:t xml:space="preserve">مختصّاً بها على مذهب المشهور ، وتكون ما دلّت على أكثر الحيض وأقلّ الطهر ، محفوظةً عن التصرّف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التصرّف في هذه الطائفة ، فإمّا بجعل العشرة الاُولى غير الثانية ، كما قد يؤيّده تنكير الثانية على بعض النسخ</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حفظ هذا الظهور ؛ وتقييد الفقرة الثانية بمضيّ أقلّ الطهر ؛ وهو عشرة أيّام طاهرة ، وهذا تصرّف واحد أهون من تصرّفين أو تصرّفات في جميع الأدلّة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مع التسليم ، وإلاّ فالحقّ أنّ هذه الروايات ليست في مقام البيان من هذه الجهة بلا إشكال ، كما تقدّم ، ويظهر بالمراجعة إليها ؛ فإنّ قوله في رواية ابن مسلم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أقلّ ما يكون الحيض ثلاثة ، وإذا رأت الدم قبل عشرة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 ظاهر في أنّ الحيض في مبدأ العشرة كان مفروض الوجود ، وكذا الدم المتأخّر كان مفروض الحيضية ، وإنّما الكلام في استقلاله وعدمه ؛ وأ نّه من الحيضة الاُولى أو حيضة مستقبلة ، وليست بصدد بيان أنّ الدم كذا حتّى يتمسّك بإطلاقها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لا ينقدح في الذهن تعارض بين صدرها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حكم بأنّ أقلّ الحيض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ذيلها ، ولو كان للذيل إطلاق لكان متعارضاً مع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ينقدح التعارض بينها وبين ما دلّ على اعتبار شرائط في الحيض ، وذلك آية عدم الإطلاق ، كما ينادي به نفس الرواية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ومثلها رواية عبد الرحمان المتقدّمة</w:t>
      </w:r>
      <w:r>
        <w:rPr>
          <w:rStyle w:val="FootnoteAnchor"/>
          <w:rtl w:val="true"/>
        </w:rPr>
        <w:footnoteReference w:id="263"/>
      </w:r>
      <w:r>
        <w:rPr>
          <w:rFonts w:ascii="Amiri" w:hAnsi="Amiri" w:eastAsia="Amiri" w:cs="Amiri"/>
          <w:color w:val="111111"/>
          <w:sz w:val="28"/>
          <w:sz w:val="28"/>
          <w:szCs w:val="28"/>
          <w:rtl w:val="true"/>
          <w:lang w:bidi="ar-SA"/>
        </w:rPr>
        <w:t xml:space="preserve">، فإنّ الظاهر منها أنّ حيضية الدم المتقدّم والمتأخّر مفروضة ، وتكون الرواية في مقام بيان أ نّه ملحق بالثانية أو حيضة مستقلّة ، فحينئذٍ لا يكون الجمع بين تلك الطوائف بما يوافق المشهور موجباً لتصرّف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هنا روايات اُخر يتمسّك بها لعدم اعتبار التوالي ، ولكون أقلّ الطهر بين</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الحيضة الواحدة أقلّ من عشرة أيّام ، وأنّ ما دلّت على أنّ أدنى الطهر عشرة ، مختصّة بما بين الحيضتين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موضعان من مرسلة يونس</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أحدهما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انقطع الدم بعد ما رأته يوماً أو يومين ، اغتسلت وصلّت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الأمر بالاغتسال إنّما يكون للحيض المحتمل ، والأمر بالصلاة لكونها طاهرة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كما يحتمل أن يكون ذلك لأجل احتمال الحيض ، يمكن أن يكون لأجل احتمال الاستحاضة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الثاني موافق للأصل ؛ بناءً على أنّ هذه المرأة إذا لم تكن حائضاً فهي مستحاضة شرعاً ، وإحراز عدم كونها حائضاً بالأصل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اُغمض عن ذلك أو استشكل فيه ، فلا ظهور للرواية في تعيين شيء من الاحتمالين ، كما أنّ الأمر بالصلاة يمكن أن يكون للتكليف الظاهري واستصحاب عدم كونها حائضاً ، فلا ظهور لها فيما ادّعى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وثانيهما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فذلك الذي رأته في أوّل الأمر ، مع هذا الذي رأته بعد ذلك في العشرة ، هو من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حكم بحيضية الدمين ، ولو كان النقاء حيضاً كان عليه بيان حيضية المجموع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فذلك الذي رأته في أوّل الأمر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الحيض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أتى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الظاهرة في التبعيض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مجموع الدم الأوّل والثاني بعض الحيض ، وهو لا يتمّ إلاّ بكون النقاء حيضاً ، وإلاّ كان </w:t>
      </w:r>
    </w:p>
    <w:p>
      <w:pPr>
        <w:pStyle w:val="BookText"/>
        <w:rPr/>
      </w:pPr>
      <w:r>
        <w:rPr>
          <w:rFonts w:ascii="Amiri" w:hAnsi="Amiri" w:eastAsia="Amiri" w:cs="Amiri"/>
          <w:color w:val="111111"/>
          <w:sz w:val="28"/>
          <w:sz w:val="28"/>
          <w:szCs w:val="28"/>
          <w:rtl w:val="true"/>
          <w:lang w:bidi="ar-SA"/>
        </w:rPr>
        <w:t xml:space="preserve">تخلّل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التبعيضية غير مناسب ، بل كان عليه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الحيض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نعم ، لو كان الضمير راجعاً إلى بعض الدم ، كان تخلّلها صحيحاً ، لكن لا إشكال في رجوعه إلى كلّه ، وهو لا يستقيم إلاّ بما ذكرنا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أنّ كون الوسط طهراً ، موجب لاستقلال الدمين في الوجود ، فجعلهما واحداً ومن حيضة واحدة ، لا يستقيم إلاّ بتأوّل وتجوّز واعتبار وحدة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تصريحه في موضعين منها بأنّ الطهر لا</w:t>
      </w:r>
    </w:p>
    <w:p>
      <w:pPr>
        <w:pStyle w:val="BookText"/>
        <w:rPr/>
      </w:pPr>
      <w:r>
        <w:rPr>
          <w:rFonts w:ascii="Amiri" w:hAnsi="Amiri" w:eastAsia="Amiri" w:cs="Amiri"/>
          <w:color w:val="111111"/>
          <w:sz w:val="28"/>
          <w:sz w:val="28"/>
          <w:szCs w:val="28"/>
          <w:rtl w:val="true"/>
          <w:lang w:bidi="ar-SA"/>
        </w:rPr>
        <w:t xml:space="preserve">يكون أقلّ من عشرة ، لا يناسب بيان أقلّيته منها ، فمن يريد أن يبيّن أنّ الطهر يمكن أن يكون أقلّ من عشرة أيّام ، لا يقول بقول مطلق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أدنى الطهر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يذيّل كلامه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الطهر لا يكون أقلّ من عشرة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المرسلة على خلاف قوله أدلّ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وأضعف ممّا ذكر ، الاستدلال بآخر المرسلة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عدّت من أوّل ما رأت الدم الأوّل والثاني ،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مرّ الكلام في الجمل الأخيرة منها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روايتا محمّد بن مسلم المتقدّمتان</w:t>
      </w:r>
      <w:r>
        <w:rPr>
          <w:rStyle w:val="FootnoteAnchor"/>
          <w:rtl w:val="true"/>
        </w:rPr>
        <w:footnoteReference w:id="267"/>
      </w:r>
      <w:r>
        <w:rPr>
          <w:rFonts w:ascii="Amiri" w:hAnsi="Amiri" w:eastAsia="Amiri" w:cs="Amiri"/>
          <w:color w:val="111111"/>
          <w:sz w:val="28"/>
          <w:sz w:val="28"/>
          <w:szCs w:val="28"/>
          <w:rtl w:val="true"/>
          <w:lang w:bidi="ar-SA"/>
        </w:rPr>
        <w:t xml:space="preserve">، حيث جُعل فيهما الدم بعد الانقطاع من الحيضة الاُولى إذا رأت قبل عشرة أيّام ، فتدلاّن على أنّ النقاء ليس بحيض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ومثلهما رواية عبد الرحمان بن أبي عبداللّه‌</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والجواب عنهما بما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الظاهر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الحيضة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الحيضة مستمرّة من مبدأ الدم الأوّل إلى الدم الثاني ، وإلاّ كان حيضاً مستقلاًّ ، فلا يصدق كونه من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تجوّز واعتبار وحدة تأوّلاً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ببقاء الاُولى</w:t>
      </w:r>
    </w:p>
    <w:p>
      <w:pPr>
        <w:pStyle w:val="BookText"/>
        <w:rPr/>
      </w:pPr>
      <w:r>
        <w:rPr>
          <w:rFonts w:ascii="Amiri" w:hAnsi="Amiri" w:eastAsia="Amiri" w:cs="Amiri"/>
          <w:color w:val="111111"/>
          <w:sz w:val="28"/>
          <w:sz w:val="28"/>
          <w:szCs w:val="28"/>
          <w:rtl w:val="true"/>
          <w:lang w:bidi="ar-SA"/>
        </w:rPr>
        <w:t xml:space="preserve">واستمرارها ، فيكون النقاء وجوداً بقائياً لها ، فيكون حيضاً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تلك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Style w:val="FootnoteAnchor"/>
          <w:rtl w:val="true"/>
        </w:rPr>
        <w:footnoteReference w:id="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تكون بصدد بيان أمر آخر ، ولا تكون بصدد بيان حال الطهر ، فلا دلالة لها على مذهب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مع الغضّ عن سند رواية عبد الرحمان وإحدى روايتي ابن مسلم وإجمال الاُخرى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داود مولى أبي المغرا عمّن أخبره ، عن أبي عبداللّه علیه السلام في حديث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يكون حيضها سبعة أيّام أو ثمانية أيّام ، حيضها دائم مستقيم ، ثمّ تحيض ثلاثة أيّام ، ثمّ ينقطع عنها الدم ، وترى البياض ؛ لا صُفرة ولا دماً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تغتسل وتصلّي</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تغتسل وتصلّي وتصوم ، ثمّ يعود الدم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رأت الدم أمسكت عن الصلاة والصيام</w:t>
      </w:r>
      <w:r>
        <w:rPr>
          <w:rFonts w:eastAsia="Amiri" w:cs="Amiri" w:ascii="Amiri" w:hAnsi="Amiri"/>
          <w:color w:val="111111"/>
          <w:sz w:val="28"/>
          <w:szCs w:val="28"/>
          <w:rtl w:val="true"/>
          <w:lang w:bidi="ar-SA"/>
        </w:rPr>
        <w:t>»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ترى الدم يوماً ، وتطهر يوماً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رأت الدم أمسكت ، وإذا رأت الطهر صلّت ، فإذا مضت أيّام حيضها واستمرّ بها الطهر صلّت ، فإذا رأت الدم فهي مستحاضة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انتظمتُ لك أمرَها كلّه</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حيث أمرها بالغسل والصلاة والصيام في أيّام النقاء ، فتكون طهراً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لم يأمرها بقضاء الصوم ، مع أنّ قضاءه لازم على الحائض ، فتدلّ على أنّ النقاء طهر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الأمر بقضاء الصوم إنّما هو لعدم كونه في مقام بيانه ، ولا يجب بيان جميع الأحكام المرتبطة بالحيض في رواية واحدة ، وأمّا الأمر بالصلاة والصيام فيمكن أن يكون احتياطاً واستظهاراً ، كما هو متكرّر في أبواب الدماء</w:t>
      </w:r>
      <w:r>
        <w:rPr>
          <w:rStyle w:val="FootnoteAnchor"/>
          <w:rtl w:val="true"/>
        </w:rPr>
        <w:footnoteReference w:id="271"/>
      </w:r>
      <w:r>
        <w:rPr>
          <w:rFonts w:ascii="Amiri" w:hAnsi="Amiri" w:eastAsia="Amiri" w:cs="Amiri"/>
          <w:color w:val="111111"/>
          <w:sz w:val="28"/>
          <w:sz w:val="28"/>
          <w:szCs w:val="28"/>
          <w:rtl w:val="true"/>
          <w:lang w:bidi="ar-SA"/>
        </w:rPr>
        <w:t xml:space="preserve">من الأمر بالترك أو الفعل للاستظهار حتّى مع وجود الأصل المنقّح ، فلا تدلّ على تحقّق الطهر الحقيقي ، ولا كون الدم حيضاً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لا محيص عن حمل صحيحتي يونس بن يعقوب</w:t>
      </w:r>
      <w:r>
        <w:rPr>
          <w:rStyle w:val="FootnoteAnchor"/>
          <w:rtl w:val="true"/>
        </w:rPr>
        <w:footnoteReference w:id="272"/>
      </w:r>
      <w:r>
        <w:rPr>
          <w:rFonts w:ascii="Amiri" w:hAnsi="Amiri" w:eastAsia="Amiri" w:cs="Amiri"/>
          <w:color w:val="111111"/>
          <w:sz w:val="28"/>
          <w:sz w:val="28"/>
          <w:szCs w:val="28"/>
          <w:rtl w:val="true"/>
          <w:lang w:bidi="ar-SA"/>
        </w:rPr>
        <w:t>وأبي بصير</w:t>
      </w:r>
      <w:r>
        <w:rPr>
          <w:rStyle w:val="FootnoteAnchor"/>
          <w:rtl w:val="true"/>
        </w:rPr>
        <w:footnoteReference w:id="273"/>
      </w:r>
      <w:r>
        <w:rPr>
          <w:rFonts w:ascii="IRNazanin" w:hAnsi="IRNazanin" w:eastAsia="IRNazanin"/>
          <w:color w:val="111111"/>
          <w:sz w:val="28"/>
          <w:sz w:val="28"/>
          <w:szCs w:val="28"/>
          <w:rtl w:val="true"/>
          <w:lang w:bidi="fa-IR"/>
        </w:rPr>
        <w:t xml:space="preserve">على ذلك ، ففي الاُولى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ترى الدم ثلاثة أيّام أو أربعة أيّام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تدع الصلاة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ترى الطهر ثلاثة أيّام أو أربعة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ترى الدم ثلاثة أيّام أو أربعة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تدع الصلاة ؛ تصنع ما بينها وبين شهر ، فإن انقطع عنها الدم ، وإلاّ فهي بمنزلة المستحاضة</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ضرورة أنّ الحمل على الحيض والطهر في جميع الأيّام إلى شهر ، ممّا لا يمكن ؛ للزوم كون الطهر بين الحيضتين المستقلّتين أقلّ من عشرة إذا كان كلّ دم حيضاً مستقلاًّ ، وكون الحيض الواحد أكثر من عشرة إذا كانت الدماء حيضة واحدة ، فلا محالة تحمل على الأمر بالاحتياط ، وترجيح جانب الحيض في أيّام الدم ، وجانب الطهر في أيّام النقاء ، كما صنع العَلَمان الشيخ والمحقّق</w:t>
      </w:r>
      <w:r>
        <w:rPr>
          <w:rStyle w:val="FootnoteAnchor"/>
          <w:rtl w:val="true"/>
        </w:rPr>
        <w:footnoteReference w:id="275"/>
      </w:r>
      <w:r>
        <w:rPr>
          <w:rFonts w:ascii="Amiri" w:hAnsi="Amiri" w:eastAsia="Amiri" w:cs="Amiri"/>
          <w:color w:val="111111"/>
          <w:sz w:val="28"/>
          <w:sz w:val="28"/>
          <w:szCs w:val="28"/>
          <w:rtl w:val="true"/>
          <w:lang w:bidi="ar-SA"/>
        </w:rPr>
        <w:t xml:space="preserve">وعليه يحمل فتوى من أفتى بمضمونهما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محمّد بن مسلم عن أبي جعفر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يكون القُرْء في أقلّ من عشرة أيّام فما زاد ، وأقلّ ما يكون عشرة من حين تطهر إلى أن ترى الدم</w:t>
      </w:r>
      <w:r>
        <w:rPr>
          <w:rFonts w:eastAsia="IRNazanin" w:cs="IRNazanin"/>
          <w:color w:val="111111"/>
          <w:sz w:val="28"/>
          <w:szCs w:val="28"/>
          <w:rtl w:val="true"/>
          <w:lang w:bidi="fa-IR"/>
        </w:rPr>
        <w:t>»</w:t>
      </w:r>
      <w:r>
        <w:rPr>
          <w:rStyle w:val="FootnoteAnchor"/>
          <w:rtl w:val="true"/>
        </w:rPr>
        <w:footnoteReference w:id="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يتمسّك بها للفريقين</w:t>
      </w:r>
      <w:r>
        <w:rPr>
          <w:rStyle w:val="FootnoteAnchor"/>
          <w:rtl w:val="true"/>
        </w:rPr>
        <w:footnoteReference w:id="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الطهر بين الحيضتين المستقلّتين ، كما تدلّ عليه صحيحتا زرارة ومحمّد بن مسلم عن أبي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القُرء ما بين الحيضتين</w:t>
      </w:r>
      <w:r>
        <w:rPr>
          <w:rFonts w:eastAsia="IRNazanin" w:cs="IRNazanin"/>
          <w:color w:val="111111"/>
          <w:sz w:val="28"/>
          <w:szCs w:val="28"/>
          <w:rtl w:val="true"/>
          <w:lang w:bidi="fa-IR"/>
        </w:rPr>
        <w:t>»</w:t>
      </w:r>
      <w:r>
        <w:rPr>
          <w:rStyle w:val="FootnoteAnchor"/>
          <w:rtl w:val="true"/>
        </w:rPr>
        <w:footnoteReference w:id="279"/>
      </w:r>
      <w:r>
        <w:rPr>
          <w:rFonts w:ascii="Amiri" w:hAnsi="Amiri" w:eastAsia="Amiri" w:cs="Amiri"/>
          <w:color w:val="111111"/>
          <w:sz w:val="28"/>
          <w:sz w:val="28"/>
          <w:szCs w:val="28"/>
          <w:rtl w:val="true"/>
          <w:lang w:bidi="ar-SA"/>
        </w:rPr>
        <w:t xml:space="preserve">، فاختصاص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بالذكر لكون الطهر أعمّ ، وهو لا يكون عشرة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ظهور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 ما يكون عشرة من حين تطهر إلى أن ترى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طهرها من الحيض إلى رؤية الدم من الحيضة المستقبلة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ما لا يخفى ؛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صرّح به أئمّة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الطهر ضدّ الحيض</w:t>
      </w:r>
      <w:r>
        <w:rPr>
          <w:rStyle w:val="FootnoteAnchor"/>
          <w:rtl w:val="true"/>
        </w:rPr>
        <w:footnoteReference w:id="280"/>
      </w:r>
      <w:r>
        <w:rPr>
          <w:rFonts w:ascii="Amiri" w:hAnsi="Amiri" w:eastAsia="Amiri" w:cs="Amiri"/>
          <w:color w:val="111111"/>
          <w:sz w:val="28"/>
          <w:sz w:val="28"/>
          <w:szCs w:val="28"/>
          <w:rtl w:val="true"/>
          <w:lang w:bidi="ar-SA"/>
        </w:rPr>
        <w:t xml:space="preserve">، ولم أرَ فيما عندي من كتب اللغة وكلام شرّاح الحديث والمفسّرين ، التفسير بما بين الحيضتين ، إلاّ عبارة من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281"/>
      </w:r>
      <w:r>
        <w:rPr>
          <w:rFonts w:ascii="Amiri" w:hAnsi="Amiri" w:eastAsia="Amiri" w:cs="Amiri"/>
          <w:color w:val="111111"/>
          <w:sz w:val="28"/>
          <w:sz w:val="28"/>
          <w:szCs w:val="28"/>
          <w:rtl w:val="true"/>
          <w:lang w:bidi="ar-SA"/>
        </w:rPr>
        <w:t xml:space="preserve">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الأخفش عن بعضهم</w:t>
      </w:r>
      <w:r>
        <w:rPr>
          <w:rStyle w:val="FootnoteAnchor"/>
          <w:rtl w:val="true"/>
        </w:rPr>
        <w:footnoteReference w:id="282"/>
      </w:r>
      <w:r>
        <w:rPr>
          <w:rFonts w:ascii="Amiri" w:hAnsi="Amiri" w:eastAsia="Amiri" w:cs="Amiri"/>
          <w:color w:val="111111"/>
          <w:sz w:val="28"/>
          <w:sz w:val="28"/>
          <w:szCs w:val="28"/>
          <w:rtl w:val="true"/>
          <w:lang w:bidi="ar-SA"/>
        </w:rPr>
        <w:t xml:space="preserve">، وإلاّ فكلماتهم متطابقة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الطهر والحيض ، وهو من الأضداد ، وعن الأخفش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نّه انقضاء الحيض</w:t>
      </w:r>
      <w:r>
        <w:rPr>
          <w:rFonts w:eastAsia="Amiri" w:cs="Amiri" w:ascii="Amiri" w:hAnsi="Amiri"/>
          <w:color w:val="111111"/>
          <w:sz w:val="28"/>
          <w:szCs w:val="28"/>
          <w:rtl w:val="true"/>
          <w:lang w:bidi="ar-SA"/>
        </w:rPr>
        <w:t>»</w:t>
      </w:r>
      <w:r>
        <w:rPr>
          <w:rStyle w:val="FootnoteAnchor"/>
          <w:rtl w:val="true"/>
        </w:rPr>
        <w:footnoteReference w:id="283"/>
      </w:r>
      <w:r>
        <w:rPr>
          <w:rFonts w:ascii="Amiri" w:hAnsi="Amiri" w:eastAsia="Amiri" w:cs="Amiri"/>
          <w:color w:val="111111"/>
          <w:sz w:val="28"/>
          <w:sz w:val="28"/>
          <w:szCs w:val="28"/>
          <w:rtl w:val="true"/>
          <w:lang w:bidi="ar-SA"/>
        </w:rPr>
        <w:t xml:space="preserve">والظاهر أنّ كلام الصدوق تبع للرواية ، لا نقل للّغة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الروايات الواردة في باب العدد</w:t>
      </w:r>
      <w:r>
        <w:rPr>
          <w:rStyle w:val="FootnoteAnchor"/>
          <w:rtl w:val="true"/>
        </w:rPr>
        <w:footnoteReference w:id="284"/>
      </w:r>
      <w:r>
        <w:rPr>
          <w:rFonts w:ascii="Amiri" w:hAnsi="Amiri" w:eastAsia="Amiri" w:cs="Amiri"/>
          <w:color w:val="111111"/>
          <w:sz w:val="28"/>
          <w:sz w:val="28"/>
          <w:szCs w:val="28"/>
          <w:rtl w:val="true"/>
          <w:lang w:bidi="ar-SA"/>
        </w:rPr>
        <w:t xml:space="preserve">فهي في مقام بيان الحكم الشرعي ، لا ذكر المعنى اللغوي ؛ لوقوع الخلاف بين الخاصّة وبعض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كأبي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آية التربّص</w:t>
      </w:r>
      <w:r>
        <w:rPr>
          <w:rStyle w:val="FootnoteAnchor"/>
          <w:rtl w:val="true"/>
        </w:rPr>
        <w:footnoteReference w:id="285"/>
      </w:r>
      <w:r>
        <w:rPr>
          <w:rFonts w:ascii="Amiri" w:hAnsi="Amiri" w:eastAsia="Amiri" w:cs="Amiri"/>
          <w:color w:val="111111"/>
          <w:sz w:val="28"/>
          <w:sz w:val="28"/>
          <w:szCs w:val="28"/>
          <w:rtl w:val="true"/>
          <w:lang w:bidi="ar-SA"/>
        </w:rPr>
        <w:t xml:space="preserve">هل هو الطهر ، كما عليه أصحابنا </w:t>
      </w:r>
      <w:r>
        <w:rPr>
          <w:rStyle w:val="FootnoteAnchor"/>
          <w:rtl w:val="true"/>
        </w:rPr>
        <w:footnoteReference w:id="286"/>
      </w:r>
      <w:r>
        <w:rPr>
          <w:rFonts w:ascii="Amiri" w:hAnsi="Amiri" w:eastAsia="Amiri" w:cs="Amiri"/>
          <w:color w:val="111111"/>
          <w:sz w:val="28"/>
          <w:sz w:val="28"/>
          <w:szCs w:val="28"/>
          <w:rtl w:val="true"/>
          <w:lang w:bidi="ar-SA"/>
        </w:rPr>
        <w:t>أو الحيض ، كما عليه أبو حنيفة وبعض آخر منهم</w:t>
      </w:r>
      <w:r>
        <w:rPr>
          <w:rStyle w:val="FootnoteAnchor"/>
          <w:rtl w:val="true"/>
        </w:rPr>
        <w:footnoteReference w:id="287"/>
      </w:r>
      <w:r>
        <w:rPr>
          <w:rFonts w:ascii="Amiri" w:hAnsi="Amiri" w:eastAsia="Amiri" w:cs="Amiri"/>
          <w:color w:val="111111"/>
          <w:sz w:val="28"/>
          <w:sz w:val="28"/>
          <w:szCs w:val="28"/>
          <w:rtl w:val="true"/>
          <w:lang w:bidi="ar-SA"/>
        </w:rPr>
        <w:t xml:space="preserve">؟ فتلك الروايات واردة في بيان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آية التربّص ؛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بمعنى </w:t>
      </w:r>
    </w:p>
    <w:p>
      <w:pPr>
        <w:pStyle w:val="BookText"/>
        <w:rPr/>
      </w:pPr>
      <w:r>
        <w:rPr>
          <w:rFonts w:ascii="Amiri" w:hAnsi="Amiri" w:eastAsia="Amiri" w:cs="Amiri"/>
          <w:color w:val="111111"/>
          <w:sz w:val="28"/>
          <w:sz w:val="28"/>
          <w:szCs w:val="28"/>
          <w:rtl w:val="true"/>
          <w:lang w:bidi="ar-SA"/>
        </w:rPr>
        <w:t>الحيض فيها ، بل هو الطهر بين الحيضتين ، فلا يستفاد منها شيء من المذهبين</w:t>
      </w:r>
    </w:p>
    <w:p>
      <w:pPr>
        <w:pStyle w:val="BookText"/>
        <w:rPr/>
      </w:pPr>
      <w:r>
        <w:rPr>
          <w:rFonts w:ascii="Amiri" w:hAnsi="Amiri" w:eastAsia="Amiri" w:cs="Amiri"/>
          <w:color w:val="111111"/>
          <w:sz w:val="28"/>
          <w:sz w:val="28"/>
          <w:szCs w:val="28"/>
          <w:rtl w:val="true"/>
          <w:lang w:bidi="ar-SA"/>
        </w:rPr>
        <w:t xml:space="preserve">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 نّه على فرض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بين الحيضتين ، يمكن الاستدلال بها للمشهور بضميمة ما دلّ على أنّ الأقراء هي الأطهار ، كصحيحة زرارة في باب العدد</w:t>
      </w:r>
      <w:r>
        <w:rPr>
          <w:rStyle w:val="FootnoteAnchor"/>
          <w:rtl w:val="true"/>
        </w:rPr>
        <w:footnoteReference w:id="288"/>
      </w:r>
      <w:r>
        <w:rPr>
          <w:rFonts w:ascii="Amiri" w:hAnsi="Amiri" w:eastAsia="Amiri" w:cs="Amiri"/>
          <w:color w:val="111111"/>
          <w:sz w:val="28"/>
          <w:sz w:val="28"/>
          <w:szCs w:val="28"/>
          <w:rtl w:val="true"/>
          <w:lang w:bidi="ar-SA"/>
        </w:rPr>
        <w:t xml:space="preserve">، 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تخلّل ضمير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 فما لم يكن قرءاً لا يكون طهراً ، فإذا كان النقاء أقلّ من عشرة لا يكون قرءاً ولا طهراً ، فيكون حيضاً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رواية باب العدد أجنبيّة عمّا نحن بصدده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صحيحة محمّد بن مسلم فحاكمة بأنّ القرء لا يكون أقلّ من عشرة أيّام ،</w:t>
      </w:r>
    </w:p>
    <w:p>
      <w:pPr>
        <w:pStyle w:val="BookText"/>
        <w:rPr/>
      </w:pPr>
      <w:r>
        <w:rPr>
          <w:rFonts w:ascii="Amiri" w:hAnsi="Amiri" w:eastAsia="Amiri" w:cs="Amiri"/>
          <w:color w:val="111111"/>
          <w:sz w:val="28"/>
          <w:sz w:val="28"/>
          <w:szCs w:val="28"/>
          <w:rtl w:val="true"/>
          <w:lang w:bidi="ar-SA"/>
        </w:rPr>
        <w:t>وهو 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الطهر فلا يكون الطهر أقلّ منها ، والجملة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وأقلّ ما يكون عشرة من حين تطهر إلى أن ترى الدم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للسابقة ، ومعناها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الطهر إذا عقّبه الدم ، ليس بقرء ولا طهر إلاّ إذا كان بينهما عشرة أيّام ، فدلالتها</w:t>
      </w:r>
    </w:p>
    <w:p>
      <w:pPr>
        <w:pStyle w:val="BookText"/>
        <w:rPr/>
      </w:pPr>
      <w:r>
        <w:rPr>
          <w:rFonts w:ascii="Amiri" w:hAnsi="Amiri" w:eastAsia="Amiri" w:cs="Amiri"/>
          <w:color w:val="111111"/>
          <w:sz w:val="28"/>
          <w:sz w:val="28"/>
          <w:szCs w:val="28"/>
          <w:rtl w:val="true"/>
          <w:lang w:bidi="ar-SA"/>
        </w:rPr>
        <w:t xml:space="preserve">على القول المشهور ظاهرة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إمكان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عمل المشهور على رواية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الفقرة التي لا إجمال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جبران ضعفها سنداً ، والتشويش المتني ليس في هذه الفقرة ، فالحقّ ما عليه المشهور في المسائل الثلاث ، وطريق الاحتياط معلوم ، وهو سبيل النجاة </w:t>
      </w:r>
      <w:r>
        <w:rPr>
          <w:rFonts w:eastAsia="Amiri" w:cs="Amiri" w:ascii="Amiri" w:hAnsi="Amiri"/>
          <w:color w:val="111111"/>
          <w:sz w:val="28"/>
          <w:szCs w:val="28"/>
          <w:rtl w:val="true"/>
          <w:lang w:bidi="ar-SA"/>
        </w:rPr>
        <w:t xml:space="preserve">. </w:t>
      </w:r>
      <w:bookmarkStart w:id="192" w:name="pg15019_190644"/>
    </w:p>
    <w:p>
      <w:pPr>
        <w:pStyle w:val="Heading4"/>
        <w:numPr>
          <w:ilvl w:val="3"/>
          <w:numId w:val="1"/>
        </w:numPr>
        <w:rPr/>
      </w:pPr>
      <w:bookmarkStart w:id="193" w:name="__RefHeading___Toc686300_3406789950"/>
      <w:bookmarkStart w:id="194" w:name="_Toc68"/>
      <w:bookmarkEnd w:id="192"/>
      <w:bookmarkEnd w:id="193"/>
      <w:r>
        <w:rPr>
          <w:rtl w:val="true"/>
        </w:rPr>
        <w:t>المطلب الثالث</w:t>
      </w:r>
      <w:r>
        <w:rPr>
          <w:rtl w:val="true"/>
        </w:rPr>
        <w:t xml:space="preserve">: </w:t>
      </w:r>
      <w:r>
        <w:rPr>
          <w:rtl w:val="true"/>
        </w:rPr>
        <w:t>في أقسام الحائض وأحكامها</w:t>
      </w:r>
      <w:bookmarkEnd w:id="194"/>
    </w:p>
    <w:p>
      <w:pPr>
        <w:pStyle w:val="Heading5"/>
        <w:numPr>
          <w:ilvl w:val="4"/>
          <w:numId w:val="1"/>
        </w:numPr>
        <w:rPr/>
      </w:pPr>
      <w:bookmarkStart w:id="195" w:name="__RefHeading___Toc686302_3406789950"/>
      <w:bookmarkStart w:id="196" w:name="_Toc69"/>
      <w:bookmarkEnd w:id="195"/>
      <w:r>
        <w:rPr>
          <w:rtl w:val="true"/>
        </w:rPr>
        <w:t>اشارة</w:t>
      </w:r>
      <w:bookmarkEnd w:id="196"/>
    </w:p>
    <w:p>
      <w:pPr>
        <w:pStyle w:val="BookText"/>
        <w:rPr/>
      </w:pPr>
      <w:r>
        <w:rPr>
          <w:rFonts w:ascii="Amiri" w:hAnsi="Amiri" w:eastAsia="Amiri" w:cs="Amiri"/>
          <w:color w:val="111111"/>
          <w:sz w:val="28"/>
          <w:sz w:val="28"/>
          <w:szCs w:val="28"/>
          <w:rtl w:val="true"/>
          <w:lang w:bidi="ar-SA"/>
        </w:rPr>
        <w:t xml:space="preserve">الحائض إمّا ذات عادة أو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وقتية وعددية ، أو وقتية فقط ، أو عددية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مبتدئة ، وهي التي لم تَرَ الدم سابقاً ، وكان ما رأت أوّل دمها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مضطربة ، وهي التي لم تستقرّ لها عادة وإن رأت الدم مراراً ، كمن رأت ثلاثة في أوّل شهر ، وخمسة في وسط شهر آخر ، وسبعة في آخر شهر ثالث ، وأربعة في شهر آخر في غير الأيّام المتقدّمة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ناسية ، وهي التي كانت لها عادة فنسيتها ، ويقال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المتحيّرة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تطلق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المبتدئة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الأعمّ ممّن تقدّمت ومن لم تستقرّ لها عادة ، كما تطلق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المضطربة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الناسية ، والأمر سهل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والأولى صرف الكلام إلى أحكام الأقسام في ضمن مسائل </w:t>
      </w:r>
      <w:r>
        <w:rPr>
          <w:rFonts w:eastAsia="Amiri" w:cs="Amiri" w:ascii="Amiri" w:hAnsi="Amiri"/>
          <w:color w:val="111111"/>
          <w:sz w:val="28"/>
          <w:szCs w:val="28"/>
          <w:rtl w:val="true"/>
          <w:lang w:bidi="ar-SA"/>
        </w:rPr>
        <w:t xml:space="preserve">: </w:t>
      </w:r>
      <w:bookmarkStart w:id="197" w:name="pg15019_190645"/>
    </w:p>
    <w:p>
      <w:pPr>
        <w:pStyle w:val="Heading5"/>
        <w:numPr>
          <w:ilvl w:val="4"/>
          <w:numId w:val="1"/>
        </w:numPr>
        <w:rPr/>
      </w:pPr>
      <w:bookmarkStart w:id="198" w:name="__RefHeading___Toc686304_3406789950"/>
      <w:bookmarkStart w:id="199" w:name="_Toc70"/>
      <w:bookmarkEnd w:id="197"/>
      <w:bookmarkEnd w:id="198"/>
      <w:r>
        <w:rPr>
          <w:rtl w:val="true"/>
        </w:rPr>
        <w:t>المسألة الاُولى في استفادة حصول العادة بمرّتين من الأخبار</w:t>
      </w:r>
      <w:bookmarkEnd w:id="199"/>
    </w:p>
    <w:p>
      <w:pPr>
        <w:pStyle w:val="Heading6"/>
        <w:numPr>
          <w:ilvl w:val="5"/>
          <w:numId w:val="1"/>
        </w:numPr>
        <w:rPr/>
      </w:pPr>
      <w:bookmarkStart w:id="200" w:name="__RefHeading___Toc686306_3406789950"/>
      <w:bookmarkStart w:id="201" w:name="_Toc71"/>
      <w:bookmarkEnd w:id="200"/>
      <w:r>
        <w:rPr>
          <w:rtl w:val="true"/>
        </w:rPr>
        <w:t>اشارة</w:t>
      </w:r>
      <w:bookmarkEnd w:id="201"/>
    </w:p>
    <w:p>
      <w:pPr>
        <w:pStyle w:val="BookText"/>
        <w:rPr/>
      </w:pPr>
      <w:r>
        <w:rPr>
          <w:rFonts w:ascii="Amiri" w:hAnsi="Amiri" w:eastAsia="Amiri" w:cs="Amiri"/>
          <w:color w:val="111111"/>
          <w:sz w:val="28"/>
          <w:sz w:val="28"/>
          <w:szCs w:val="28"/>
          <w:rtl w:val="true"/>
          <w:lang w:bidi="ar-SA"/>
        </w:rPr>
        <w:t xml:space="preserve">لا إشكال في حصول العادة برؤية الدم مرّتين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مرّة واحدة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وفتوى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وخلاف بعض العامّة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كنقل موافقة بعض أصحابنا معه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مع عدم 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يعتنى به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قطع النظر عن الإجماع أو الشهرة</w:t>
      </w:r>
      <w:r>
        <w:rPr>
          <w:rStyle w:val="FootnoteAnchor"/>
          <w:rtl w:val="true"/>
        </w:rPr>
        <w:footnoteReference w:id="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استفادة حصول العادة بمرّتين في اُصول أقسام ذات العادة التي تقدّمت من الأدلّة ، كمرسلة يونس الطويلة</w:t>
      </w:r>
      <w:r>
        <w:rPr>
          <w:rStyle w:val="FootnoteAnchor"/>
          <w:rtl w:val="true"/>
        </w:rPr>
        <w:footnoteReference w:id="290"/>
      </w:r>
      <w:r>
        <w:rPr>
          <w:rFonts w:ascii="Amiri" w:hAnsi="Amiri" w:eastAsia="Amiri" w:cs="Amiri"/>
          <w:color w:val="111111"/>
          <w:sz w:val="28"/>
          <w:sz w:val="28"/>
          <w:szCs w:val="28"/>
          <w:rtl w:val="true"/>
          <w:lang w:bidi="ar-SA"/>
        </w:rPr>
        <w:t xml:space="preserve">وغيرها </w:t>
      </w:r>
      <w:r>
        <w:rPr>
          <w:rStyle w:val="FootnoteAnchor"/>
          <w:rtl w:val="true"/>
        </w:rPr>
        <w:footnoteReference w:id="291"/>
      </w:r>
      <w:r>
        <w:rPr>
          <w:rFonts w:ascii="Amiri" w:hAnsi="Amiri" w:eastAsia="Amiri" w:cs="Amiri"/>
          <w:color w:val="111111"/>
          <w:sz w:val="28"/>
          <w:sz w:val="28"/>
          <w:szCs w:val="28"/>
          <w:rtl w:val="true"/>
          <w:lang w:bidi="ar-SA"/>
        </w:rPr>
        <w:t>وكذا في استفادة حصولها بهما في سائر الأقسام المتكثّرة المذكورة في كتب المحقّق والعلاّمة والشهيد على ما حكيت</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وأشار إلى بعضها الشيخ الأعظم وغيره</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استفادة حصولها بمرّتين في ذات العادة الوقتية والعددية من مرسلة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وادّعى بعضهم استفادة العددية فقط أيضاً منها ؛ أي شمول ظهورها اللفظي لهما ، دون الوقتية فقط</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الظاهر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التأمّل التامّ في جميع فقراتها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تعرّضها لذات</w:t>
      </w:r>
    </w:p>
    <w:p>
      <w:pPr>
        <w:pStyle w:val="BookText"/>
        <w:rPr/>
      </w:pPr>
      <w:r>
        <w:rPr>
          <w:rFonts w:ascii="Amiri" w:hAnsi="Amiri" w:eastAsia="Amiri" w:cs="Amiri"/>
          <w:color w:val="111111"/>
          <w:sz w:val="28"/>
          <w:sz w:val="28"/>
          <w:szCs w:val="28"/>
          <w:rtl w:val="true"/>
          <w:lang w:bidi="ar-SA"/>
        </w:rPr>
        <w:t xml:space="preserve">العادة العددية والوقتية دون غيرها ، بل شمولها لذات العادة الوقتية أقرب من العددية ، فالأولى ذكر بعض فقراتها حتّى يتّضح الحال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بعد كلام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إحدى 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فالحائض التي لها أيّام معلومة قد أحصتها بلا اختلاط عليها ، ثمّ استحاضت واستمرّ بها الدم ، وهي في ذلك تعرف أيّامها ومبلغ عددها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إشكال في أنّ ما ذكر ، لا ينطبق إلاّ على ذات العادة العددية والوقتية مع كونها ذاكرة لعددها ووقتها ، وأمّا لو كان لها عدد معلوم ، لكن كان مختلطاً في ثلاثين يوماً ، فلا تكون لها أيّام معلومة قد أحصتها بلا اختلاط عليها ، وأيّ اختلاط أكثر من اختلاط ثلاثة في ثلاثين مثلاً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وأوضح من 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تعرف أيّامها ومبلغ عددها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فعرفان الأيّام غير عرفان مبلغ العدد ، فلا إشكال في أنّ موضوع السنّة الاُولى هو ما 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بعد ذلك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حاكياً عن رسول اللّه صلی الله علیه و آله وسلم في تكليف هذه المرأة </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 الصلاة قدر أقرائها أو قدر حيضها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الصدر والذيل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للعددية فقط ، لكن مع لحاظ أنّ ذلك بيان حكم الموضوع المتقدّم ، لا يبقى ريب في أنّ المراد قدر أقرائها التي تعرفها ذاتاً ومبلغاً ، ولهذا</w:t>
      </w:r>
    </w:p>
    <w:p>
      <w:pPr>
        <w:pStyle w:val="BookText"/>
        <w:rPr/>
      </w:pPr>
      <w:r>
        <w:rPr>
          <w:rFonts w:ascii="IRNazanin" w:hAnsi="IRNazanin" w:eastAsia="IRNazanin"/>
          <w:color w:val="111111"/>
          <w:sz w:val="28"/>
          <w:sz w:val="28"/>
          <w:szCs w:val="28"/>
          <w:rtl w:val="true"/>
          <w:lang w:bidi="fa-IR"/>
        </w:rPr>
        <w:t xml:space="preserve">قال بلا فصل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سنّة النبي صلی الله علیه و آله وسلم في التي تعرف أيّام أقرائها ؛ لم تختلط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ومعرفة أيّام الأقراء غير معرفة العدد والمبلغ ؛ ضرورة أنّ معرفة نفس اليوم هو العلم بشخصه ؛ وأ نّه في أيّ موضع من الشهر ، ومع الجهل بذلك تكون ممّن تختلط عليها أيّامها ولم تعرفها ، فقوله بلا فصل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ترى أ نّه لم يسألها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يوم 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يدلّ على شموله لذات العادة العددية ؛ ضرورة أ نّه بصدد بيان حال من تقدّم ذكرها ، ولذا قال بلا فصل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سنّ لها أيّاماً معلومة ما كانت من قليل أو كثير بعد أن تعرفها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ومعلومية نفس الأيّام ومعروفيتها ، لا تصدقان إلاّ بما تقدّم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ويزيده وضوحاً قوله بعد ذلك في بيان تكليفها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فلتدع الصلاة أيّام أقرائها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 مثل ذلك لا</w:t>
      </w:r>
    </w:p>
    <w:p>
      <w:pPr>
        <w:pStyle w:val="BookText"/>
        <w:rPr/>
      </w:pPr>
      <w:r>
        <w:rPr>
          <w:rFonts w:ascii="Amiri" w:hAnsi="Amiri" w:eastAsia="Amiri" w:cs="Amiri"/>
          <w:color w:val="111111"/>
          <w:sz w:val="28"/>
          <w:sz w:val="28"/>
          <w:szCs w:val="28"/>
          <w:rtl w:val="true"/>
          <w:lang w:bidi="ar-SA"/>
        </w:rPr>
        <w:t xml:space="preserve">يقال لمن لا تعلم أيّامها ولا تعرفها بشخصها ؛ للفرق الواضح بين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فلتدع الصلاة مقدار أيّام أقرائها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ما ذكر ، فقوله بعد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فهذه سنّة التي تعرف أيّامها ولا وقت لها إلاّ أيّامها ؛ قلّت أو كثرت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يؤكّد المطلوب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يؤكّده ويوضّحه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سنّة التي قد كانت لها أيّام متقدّمة ، ثمّ اختلط عليها من طول الدم ، فزادت ونقصت حتّى أغفلت عددها وموضعها من الشهر ، فإنّ سنّتها غير ذلك</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إلى غير ذلك ممّا يؤكّد المطلوب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ريب في أنّ المرسلة متعرّضة لذات العادة العددية والوقتية ، فحينئذٍ يكون </w:t>
      </w:r>
    </w:p>
    <w:p>
      <w:pPr>
        <w:pStyle w:val="BookText"/>
        <w:rPr/>
      </w:pPr>
      <w:r>
        <w:rPr>
          <w:rFonts w:ascii="Amiri" w:hAnsi="Amiri" w:eastAsia="Amiri" w:cs="Amiri"/>
          <w:color w:val="111111"/>
          <w:sz w:val="28"/>
          <w:sz w:val="28"/>
          <w:szCs w:val="28"/>
          <w:rtl w:val="true"/>
          <w:lang w:bidi="ar-SA"/>
        </w:rPr>
        <w:t xml:space="preserve">ذيلها أيضاً بيان تقسيم الصدر ، لا شيئاً آخر ، 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انقطع الدم في أقلّ من سبع أو أكثر من سبع ، فإنّها تغتسل ساعة ترى الطهر وتصلّي ، فلا تزال كذلك حتّى تنظر ما يكون في الشهر الثاني ، فإن انقطع الدم لوقته من الشهر الأوّل سواءً حتّى توالى عليها حيضتان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متعرّض لما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لوقته من الشهر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يكون الانقطاع وقت الشهر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عدداً ؛ بقرينة الصدر والذيل ، فلا إشكال في تعرّضها لذات العادة العددية والوقتية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يقع الإشكال في المرسلة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صريحها أنّ سنّ السنن الثلاث لرفع كلّ مشكل لمن سمعها وفهمها ؛ حتّى لا يدع لأحد مقالاً فيه بالرأي ، وأنّ جميع حالات المستحاضة ، تدور على هذه السنن الثلاث ؛ لا تكاد أبداً تخلو عن واحدة منهنّ ، مع أنّ كثيراً من حالات المستحاضة وأقسامها ، غير مذكورة فيها ، كالعددية المحضة ، والوقتية كذلك ، والصور الكثيرة التي تعرّض لها المحقّقون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دفع الإشكال عنها بوجهين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السنّة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الرجوع إلى خلقها ووقتها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لمن لها خلق معروف معلوم ، ويكون وجه الإرجاع إلى خلقها هو معروفية الخلق ومعلومية الأيّام ، وذلك تمام الموضوع للإرجاع ، ويكون المثال المذكور أوضح المصاديق ؛ من غير أن يكون الحكم منحصراً به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بمناسبات الحكم والموضوع وإلغاء الخصوصية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يفهم منها أنّ الخلق المعروف والعدد المعلوم ، يكون مرجعاً لأجل أقوائية أماريته من حالات الدم ، والرجوع إلى صفات الدم إنّما هو مع فقد الأمارة الأقوى ، فإذا كانت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رأت </w:t>
      </w:r>
    </w:p>
    <w:p>
      <w:pPr>
        <w:pStyle w:val="BookText"/>
        <w:rPr/>
      </w:pPr>
      <w:r>
        <w:rPr>
          <w:rFonts w:ascii="Amiri" w:hAnsi="Amiri" w:eastAsia="Amiri" w:cs="Amiri"/>
          <w:color w:val="111111"/>
          <w:sz w:val="28"/>
          <w:sz w:val="28"/>
          <w:szCs w:val="28"/>
          <w:rtl w:val="true"/>
          <w:lang w:bidi="ar-SA"/>
        </w:rPr>
        <w:t xml:space="preserve">متكرّراً في الزمان الطويل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خلق معروف عدداً ووقتاً ، أو عدداً فقط ، أو وقتاً فقط ، يكون هو المرجع لأجل معروفية الخلق ومعلومية العادة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العادة الحاصلة من تكرّر الدم أقوى الأمارات ، فذاك الخلق مرجعها لأجل كونه عادة وخلقاً ، فالمرأة التي ترى الدم في أوّل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تتخلّف عادتها عنه في الأزمنة المتطاولة ؛ وإن اختلف عددها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لها خلق معروف معلوم بحسب الوقت ، وهو أقوى الأمارات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في العددية المحضة ، كما يشهد به قوله في مقابل السنّة الاُولى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سنّة التي قد كانت لها أيّام متقدّمة ، ثمّ اختلط عليها من طول الدم ، فزادت ونقصت حتّى أغفلت عددها وموضعها من الشهر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مع أنّ مقابل ما ذكره في السنّة الاُولى هو إغفال أحدهما ، لا إغفالهما معاً ، فذكر إغفالهما دليل على أنّ الصدر بصدد بيان أمر أوسع ممّا مثّل به ، فيشمل الذاكرة ولو عدداً فقط ، أو وقتاً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يدخل جميع الصور التي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تصوّر للخلق المعروف والعادة المعروفة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بنحو التركيب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السنّة الاُولى ، ومع فقد الخلق والعادة</w:t>
      </w:r>
    </w:p>
    <w:p>
      <w:pPr>
        <w:pStyle w:val="BookText"/>
        <w:rPr/>
      </w:pPr>
      <w:r>
        <w:rPr>
          <w:rFonts w:ascii="Amiri" w:hAnsi="Amiri" w:eastAsia="Amiri" w:cs="Amiri"/>
          <w:color w:val="111111"/>
          <w:sz w:val="28"/>
          <w:sz w:val="28"/>
          <w:szCs w:val="28"/>
          <w:rtl w:val="true"/>
          <w:lang w:bidi="ar-SA"/>
        </w:rPr>
        <w:t xml:space="preserve">يكون المرجع هو الأمارة الاُخرى ؛ أي اختلاف ألوان الدم وتغيّر حالاته ، ومع فقدها يكون المرجع السبع والثلاث والعشرين ، فهذه جميع حالات المستحاضة تقريباً أو تحقيقاً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السنّة الاُولى لذات العادة الوقتية والعددية معاً ، والسنّة الثانية لغيرها ؛ سواء لم تكن لها عادة أصلاً ، أو كانت وأغفلتها مطلقاً ، أو أغفلت</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إحداهما ، فيدخل فيها جميع الأقسام ما عدا الأوّل ، وإنّما اختصّ بالذكر قسم منها هو أحد مصاديق المفهوم ، 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لها أيّام معلومة فكذا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قوله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فالحائض التي لها أيّام معلومة قد أحصتها بلا اختلاط عليها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كذا ، يكون بالمفهوم شاملاً لجميع أقسام المستحاضة غير ما في المنطوق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فكأ 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المستحاضة إمّا ذات عادة وقتية وعددية أو لا ، فالاُولى حكمها الرجوع إلى خلقها ، والثانية إمّا أن يكون لدمها اختلاف لون وتغيّر حال أو لا ، فالاُولى حكمها الرجوع إلى الصفات ، والثانية الرجوع إلى السبع والثلاث والعشرين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من كلّ مفهوم مصداقاً ؛ فذكر من مفهوم الجملة الاُولى التي أغفلت مطلقاً ، ومن مفهوم الجملة الثانية المبتدئة فقط من باب المثال ، لا من باب كونهما تمام الموضوع للحكم ، فحينئذٍ تحيط السنن الثلاث بجميع حالات المستحاضة إلاّ بعض النوادر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وهذان الوجهان وإن كان يُدفع بكلٍّ منهما الإشكال عن المرسلة لكنّ الرجحان للوجه الأوّل ؛ لمساعدة الارتكازات العرفية عليه ، ومعها لا يبقى للوجه الثاني محلّ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ولموافقته لفتوى الأصحاب ودعاوى الشهرة والإجماع على إلحاق العددية المحضة والوقتية المحضة بالسنّة الاُولى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خصوصيات في المرسلة تؤيّد ذلك أو تدلّ عليه ، كقوله في ذيل السنّة الثانية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فهذا يبيّن أنّ هذه امرأة قد اختلط عليها أيّامها ؛ لم تعرف عددها ولا وقتها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فلهذا احتاجت إلى أن تعرف إقبال الدم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 فجعل وجه الاحتياج إلى الرجوع إلى الصفات ، عدمَ معرفة العدد ولا الوقت معاً ، فيفهم منه أ نّها لو عرفت وقتها لا تحتاج إلى معرفة لون الدم ، وكذا لو عرفت العدد ، فمورد الاحتياج فقدان الأمارة التي هي أقوى ؛ </w:t>
      </w:r>
      <w:bookmarkStart w:id="202" w:name="pg15019_190651"/>
    </w:p>
    <w:p>
      <w:pPr>
        <w:pStyle w:val="BookText"/>
        <w:rPr/>
      </w:pPr>
      <w:bookmarkEnd w:id="202"/>
      <w:r>
        <w:rPr>
          <w:rFonts w:ascii="Amiri" w:hAnsi="Amiri" w:eastAsia="Amiri" w:cs="Amiri"/>
          <w:color w:val="111111"/>
          <w:sz w:val="28"/>
          <w:sz w:val="28"/>
          <w:szCs w:val="28"/>
          <w:rtl w:val="true"/>
          <w:lang w:bidi="ar-SA"/>
        </w:rPr>
        <w:t>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الخلق المعروف والعادة المعلومة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ويؤكّده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جهلت الأيّام وعددها ، احتاجت إلى النظر حينئذٍ إلى إقبال الدم وإدباره وتغيّر لونه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من الخصوصيات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لها خلق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خلقها العدد والوقت ، أو أحدهما ، أو كان مركّباً في الوقت ، أو في العدد ، أو في كليهما ، وكذا سائر أقسام</w:t>
      </w:r>
    </w:p>
    <w:p>
      <w:pPr>
        <w:pStyle w:val="BookText"/>
        <w:rPr/>
      </w:pPr>
      <w:r>
        <w:rPr>
          <w:rFonts w:ascii="Amiri" w:hAnsi="Amiri" w:eastAsia="Amiri" w:cs="Amiri"/>
          <w:color w:val="111111"/>
          <w:sz w:val="28"/>
          <w:sz w:val="28"/>
          <w:szCs w:val="28"/>
          <w:rtl w:val="true"/>
          <w:lang w:bidi="ar-SA"/>
        </w:rPr>
        <w:t xml:space="preserve">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فسنّتها الرجوع إلى خلقها المعروف وعادتها المعلومة ؛ لا سنّة لها غيرها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إشكال في تلك الكبرى الكلّية واستفادتها من الرواية ؛ بعد النظر التامّ في فقراتها والتأمّل في خصوصياتها ، كما قال الإمام علیه السلام في صدرها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 فيها كلّ مشكل لمن سمعها وفهمها</w:t>
      </w:r>
      <w:r>
        <w:rPr>
          <w:rFonts w:eastAsia="IRNazanin" w:cs="IRNazanin"/>
          <w:color w:val="111111"/>
          <w:sz w:val="28"/>
          <w:szCs w:val="28"/>
          <w:rtl w:val="true"/>
          <w:lang w:bidi="fa-IR"/>
        </w:rPr>
        <w:t>» .</w:t>
      </w:r>
    </w:p>
    <w:p>
      <w:pPr>
        <w:pStyle w:val="Heading6"/>
        <w:numPr>
          <w:ilvl w:val="5"/>
          <w:numId w:val="1"/>
        </w:numPr>
        <w:rPr/>
      </w:pPr>
      <w:bookmarkStart w:id="203" w:name="__RefHeading___Toc686308_3406789950"/>
      <w:bookmarkStart w:id="204" w:name="_Toc72"/>
      <w:bookmarkEnd w:id="203"/>
      <w:r>
        <w:rPr>
          <w:rtl w:val="true"/>
        </w:rPr>
        <w:t>دلالة ذيل مرسلة يونس على تحقّق العادة بحيضتين مطلقاً</w:t>
      </w:r>
      <w:bookmarkEnd w:id="204"/>
    </w:p>
    <w:p>
      <w:pPr>
        <w:pStyle w:val="BookText"/>
        <w:rPr/>
      </w:pPr>
      <w:r>
        <w:rPr>
          <w:rFonts w:ascii="Amiri" w:hAnsi="Amiri" w:eastAsia="Amiri" w:cs="Amiri"/>
          <w:color w:val="111111"/>
          <w:sz w:val="28"/>
          <w:sz w:val="28"/>
          <w:szCs w:val="28"/>
          <w:rtl w:val="true"/>
          <w:lang w:bidi="ar-SA"/>
        </w:rPr>
        <w:t>فحينئذٍ يقع الكلام في أ نّه هل يستفاد من ذيل المرسلة أنّ الحيضتين مطلقاً وفي جميع الفروع وصغريات الكبرى الكلّية ، موجبتان لتحقّق العادة أو يختصّ ذلك بموضع ومحلّ خاصّ ولا يتجاوز عنه ؟</w:t>
      </w:r>
    </w:p>
    <w:p>
      <w:pPr>
        <w:pStyle w:val="BookText"/>
        <w:rPr/>
      </w:pPr>
      <w:r>
        <w:rPr>
          <w:rFonts w:ascii="Amiri" w:hAnsi="Amiri" w:eastAsia="Amiri" w:cs="Amiri"/>
          <w:color w:val="111111"/>
          <w:sz w:val="28"/>
          <w:sz w:val="28"/>
          <w:szCs w:val="28"/>
          <w:rtl w:val="true"/>
          <w:lang w:bidi="ar-SA"/>
        </w:rPr>
        <w:t xml:space="preserve">ووجه الاختصاص هو أخذ خصوصيات في المرسلة في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الحيضتين من المرأة المبتدئة لا غيرها ، فإنّ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انقطع الدم في أقلّ من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من استمرّ بها الدم أوّل ما رأت ، وهي قسم من المبتدئة ، فالعادة تحصل بالحيضتين بالنسبة إليها خاصّة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تحقّقهما في شهرين هلاليين لا غيرهما ، كما هو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لسان الشرع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استواؤهما أخذاً وانقطاعاً ؛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انقطع الدم لوقته من الشهر الأوّل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المحلّ من الشهر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العدد ، فلا بدّ من اختصاص الحيضتين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لتحصيل العادة الشرعية التعبّدية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بالموضوع الذي دلّت عليه المرسلة ، وفيما سواه ترجع إلى العادة العرفية ، ومع عدمها إلى الصفات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 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المرسلة آبية عن دخل تلك الخصوصيات في موضوع حصول العادة ؛ لأنّ الإمام علیه السلام بيّن لنا طريق استفادة كفاية الحيضتين في حصول العادة والوقت والخلق المعروف ؛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فقد علم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ذلك قد صار لها وقتاً وخلقاً معروفاً ؛ تعمل عليه ، وتدع ما سواه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بهذه العبارة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وإنّما جعل الوقت إن توالى عليها حيضتان أو ثلاث ؛ لقول رسول اللّه صلی الله علیه و آله وسلم للتي تعرف أيّامها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دعي الصلاة أيّام أقرائك ، فعلمنا أ نّه لم يجعل القُرء الواحد سُنّة لها ، فيقول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دعي الصلاة أيّام قرئك ، ولكن سنّ لها الأقراء ، وأدناه حيضتان فصاعداً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فيظهر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الحيضتين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هما أقلّ الأقراء الواردة في قول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السنّة الاُولى ، ولا دخل لشيء آخر فيه ، فكلّ من كان لها أيّام معلومة وأقراء معروفة ، لا بدّ لها من الرجوع إلى أيّامها وأقرائها كائنة من كانت ، وتحصل الأقراء بأدنى مراتبها ؛ وهو حيضتان ، فكونهما موضوع السنّة الاُولى ؛ لدخولهما في قول رسول اللّه صلی الله علیه و آله وسلم ليس إلاّ ، فلو كان لما ذكر من الخصوصيات دخل لما تمّ ما ذكره ، ولما أفادنا طريق الاستفادة والاجتهاد كذلك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فذيل المرسلة حاكم على صدرها بتحصيل موضوع ذات العادة تعبّداً ، وبيان له ، فكأ 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ذات عادة وخلق سنّتها الرجوع إليهما ، ويحصل الخلق والعادة بحيضتين</w:t>
      </w:r>
      <w:r>
        <w:rPr>
          <w:rFonts w:eastAsia="Amiri" w:cs="Amiri" w:ascii="Amiri" w:hAnsi="Amiri"/>
          <w:color w:val="111111"/>
          <w:sz w:val="28"/>
          <w:szCs w:val="28"/>
          <w:rtl w:val="true"/>
          <w:lang w:bidi="ar-SA"/>
        </w:rPr>
        <w:t>»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يقال</w:t>
      </w: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العادة العرفية تحصل بمرّتين لخصوصية في عادات النساء ؛ من حيث إنّ الرحم بالطبع تقذف الدم بنظام معيّن نوعاً ، فإذا قذفت مرّتين على نسق واحد حصلت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الرواية بصدد بيان حدّ المعنى العرفي ، كتعيين ثلاث في باب كثير السهو </w:t>
      </w:r>
      <w:r>
        <w:rPr>
          <w:rStyle w:val="FootnoteAnchor"/>
          <w:rtl w:val="true"/>
        </w:rPr>
        <w:footnoteReference w:id="296"/>
      </w:r>
      <w:r>
        <w:rPr>
          <w:rFonts w:ascii="Amiri" w:hAnsi="Amiri" w:eastAsia="Amiri" w:cs="Amiri"/>
          <w:color w:val="111111"/>
          <w:sz w:val="28"/>
          <w:sz w:val="28"/>
          <w:szCs w:val="28"/>
          <w:rtl w:val="true"/>
          <w:lang w:bidi="ar-SA"/>
        </w:rPr>
        <w:t xml:space="preserve">إلى غير ذلك ممّا أفاد المشايخ فلا يخلو من الإشكال ، خصوصاً بالنسبة إلى بعض الموارد ، بل ظاهر الرواية يأبى عن ذلك </w:t>
      </w:r>
      <w:r>
        <w:rPr>
          <w:rFonts w:eastAsia="Amiri" w:cs="Amiri" w:ascii="Amiri" w:hAnsi="Amiri"/>
          <w:color w:val="111111"/>
          <w:sz w:val="28"/>
          <w:szCs w:val="28"/>
          <w:rtl w:val="true"/>
          <w:lang w:bidi="ar-SA"/>
        </w:rPr>
        <w:t xml:space="preserve">. </w:t>
      </w:r>
      <w:bookmarkStart w:id="205" w:name="pg15019_190654"/>
    </w:p>
    <w:p>
      <w:pPr>
        <w:pStyle w:val="Heading5"/>
        <w:numPr>
          <w:ilvl w:val="4"/>
          <w:numId w:val="1"/>
        </w:numPr>
        <w:rPr/>
      </w:pPr>
      <w:bookmarkStart w:id="206" w:name="__RefHeading___Toc686310_3406789950"/>
      <w:bookmarkStart w:id="207" w:name="_Toc73"/>
      <w:bookmarkEnd w:id="205"/>
      <w:bookmarkEnd w:id="206"/>
      <w:r>
        <w:rPr>
          <w:rtl w:val="true"/>
        </w:rPr>
        <w:t>المسألة الثانية في ثبوت العددية الناقصة برؤية مرّتين مختلفتين عدداً</w:t>
      </w:r>
      <w:bookmarkEnd w:id="207"/>
    </w:p>
    <w:p>
      <w:pPr>
        <w:pStyle w:val="BookText"/>
        <w:rPr/>
      </w:pPr>
      <w:r>
        <w:rPr>
          <w:rFonts w:ascii="Amiri" w:hAnsi="Amiri" w:eastAsia="Amiri" w:cs="Amiri"/>
          <w:color w:val="111111"/>
          <w:sz w:val="28"/>
          <w:sz w:val="28"/>
          <w:szCs w:val="28"/>
          <w:rtl w:val="true"/>
          <w:lang w:bidi="ar-SA"/>
        </w:rPr>
        <w:t>هل تثبت العددية الناقصة برؤية مرّتين مختلفتين عدداً ؛ بحيث يلزم الأخذ بالقدر المتيقّن ؛ سواء كانت ذات عادة وقتية أو لا ، فإذا رأت أربعة أيّام في أوّل شهر ، وستّةً في أوّل شهر آخر ، أو أربعةً في أوّل شهر ، وستّةً في وسط شهر آخر ، تصير الأربعة عادة ناقصة لها ، وكذا في جانب الأكثر ، فيكون الخارج عنهما غير أيّام حيضها أو لا ، أو يفصّل بين ذات العادة الوقتية ، فتأخذ بالقدر المتيقّن من العدد ، فتثبت لها العددية الناقصة ، وبين غيرها فلا تثبت ؟</w:t>
      </w:r>
    </w:p>
    <w:p>
      <w:pPr>
        <w:pStyle w:val="BookText"/>
        <w:rPr/>
      </w:pPr>
      <w:r>
        <w:rPr>
          <w:rFonts w:ascii="Amiri" w:hAnsi="Amiri" w:eastAsia="Amiri" w:cs="Amiri"/>
          <w:color w:val="111111"/>
          <w:sz w:val="28"/>
          <w:sz w:val="28"/>
          <w:szCs w:val="28"/>
          <w:rtl w:val="true"/>
          <w:lang w:bidi="ar-SA"/>
        </w:rPr>
        <w:t xml:space="preserve">وجوه ، فعن العلاّمة والشهيد ثبوتها </w:t>
      </w:r>
      <w:r>
        <w:rPr>
          <w:rStyle w:val="FootnoteAnchor"/>
          <w:rtl w:val="true"/>
        </w:rPr>
        <w:footnoteReference w:id="297"/>
      </w:r>
      <w:r>
        <w:rPr>
          <w:rFonts w:ascii="Amiri" w:hAnsi="Amiri" w:eastAsia="Amiri" w:cs="Amiri"/>
          <w:color w:val="111111"/>
          <w:sz w:val="28"/>
          <w:sz w:val="28"/>
          <w:szCs w:val="28"/>
          <w:rtl w:val="true"/>
          <w:lang w:bidi="ar-SA"/>
        </w:rPr>
        <w:t>، واختاره بعض المحقّقين</w:t>
      </w:r>
      <w:r>
        <w:rPr>
          <w:rStyle w:val="FootnoteAnchor"/>
          <w:rtl w:val="true"/>
        </w:rPr>
        <w:footnoteReference w:id="298"/>
      </w: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عدمه</w:t>
      </w:r>
      <w:r>
        <w:rPr>
          <w:rStyle w:val="FootnoteAnchor"/>
          <w:rtl w:val="true"/>
        </w:rPr>
        <w:footnoteReference w:id="299"/>
      </w:r>
      <w:r>
        <w:rPr>
          <w:rFonts w:ascii="Amiri" w:hAnsi="Amiri" w:eastAsia="Amiri" w:cs="Amiri"/>
          <w:color w:val="111111"/>
          <w:sz w:val="28"/>
          <w:sz w:val="28"/>
          <w:szCs w:val="28"/>
          <w:rtl w:val="true"/>
          <w:lang w:bidi="ar-SA"/>
        </w:rPr>
        <w:t xml:space="preserve">، واختاره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الأعظم والمحقّق الخراساني</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واستدلّ على عدمه</w:t>
      </w:r>
      <w:r>
        <w:rPr>
          <w:rStyle w:val="FootnoteAnchor"/>
          <w:rtl w:val="true"/>
        </w:rPr>
        <w:footnoteReference w:id="301"/>
      </w:r>
      <w:r>
        <w:rPr>
          <w:rFonts w:ascii="Amiri" w:hAnsi="Amiri" w:eastAsia="Amiri" w:cs="Amiri"/>
          <w:color w:val="111111"/>
          <w:sz w:val="28"/>
          <w:sz w:val="28"/>
          <w:szCs w:val="28"/>
          <w:rtl w:val="true"/>
          <w:lang w:bidi="ar-SA"/>
        </w:rPr>
        <w:t>بظهور مضمرة سَماعة</w:t>
      </w:r>
      <w:r>
        <w:rPr>
          <w:rStyle w:val="FootnoteAnchor"/>
          <w:rtl w:val="true"/>
        </w:rPr>
        <w:footnoteReference w:id="302"/>
      </w:r>
      <w:r>
        <w:rPr>
          <w:rFonts w:ascii="Amiri" w:hAnsi="Amiri" w:eastAsia="Amiri" w:cs="Amiri"/>
          <w:color w:val="111111"/>
          <w:sz w:val="28"/>
          <w:sz w:val="28"/>
          <w:szCs w:val="28"/>
          <w:rtl w:val="true"/>
          <w:lang w:bidi="ar-SA"/>
        </w:rPr>
        <w:t>والمرسلة</w:t>
      </w:r>
      <w:r>
        <w:rPr>
          <w:rStyle w:val="FootnoteAnchor"/>
          <w:rtl w:val="true"/>
        </w:rPr>
        <w:footnoteReference w:id="303"/>
      </w:r>
      <w:r>
        <w:rPr>
          <w:rFonts w:ascii="Amiri" w:hAnsi="Amiri" w:eastAsia="Amiri" w:cs="Amiri"/>
          <w:color w:val="111111"/>
          <w:sz w:val="28"/>
          <w:sz w:val="28"/>
          <w:szCs w:val="28"/>
          <w:rtl w:val="true"/>
          <w:lang w:bidi="ar-SA"/>
        </w:rPr>
        <w:t xml:space="preserve">في اعتبار </w:t>
      </w:r>
    </w:p>
    <w:p>
      <w:pPr>
        <w:pStyle w:val="BookText"/>
        <w:rPr/>
      </w:pPr>
      <w:r>
        <w:rPr>
          <w:rFonts w:ascii="Amiri" w:hAnsi="Amiri" w:eastAsia="Amiri" w:cs="Amiri"/>
          <w:color w:val="111111"/>
          <w:sz w:val="28"/>
          <w:sz w:val="28"/>
          <w:szCs w:val="28"/>
          <w:rtl w:val="true"/>
          <w:lang w:bidi="ar-SA"/>
        </w:rPr>
        <w:t xml:space="preserve">التساوي في العدد ، وبأنّ أقلّ ما يحصل به العادة حيضتان ، ومن رأت في شهر أربعة وفي شهر ستّة ، فكما أنّ الأخذ بالستّة أخذ بقُرء واحد ، كذلك الأخذ بالأربعة ؛ لأنّ الأربعة في ضمن الستّة لا تكون قرءاً مستقلاًّ ، والقرء الواحد لا يكون عادة بنصّ المرسلة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المضمرة لا تدفع العددية الناقصة ؛ فإنّ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اتّفق شهران عدّة أيّام سواء فتلك أيّامها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يدّعى دلالته على النفي بمفهوم الشرط ، فلا مفهوم له في المقام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مفهوم الشرط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المفهوم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يتّفق شهران كذلك فليس تلك أيّامها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الأيّام المتقدّمة المتساوية في صورة الاختلاف أيّامها ، وهذا نفي بنفي الموضوع ، لا لأجل المفهوم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بمفهوم القيد بأن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اتّفق شهران عدّة أيّام غير سواء ، فليس تلك أيّامها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حينئذٍ أنّ الأيّام التي هي غير سواء ليس أيّامها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الغضّ</w:t>
      </w:r>
    </w:p>
    <w:p>
      <w:pPr>
        <w:pStyle w:val="BookText"/>
        <w:rPr/>
      </w:pPr>
      <w:r>
        <w:rPr>
          <w:rFonts w:ascii="Amiri" w:hAnsi="Amiri" w:eastAsia="Amiri" w:cs="Amiri"/>
          <w:color w:val="111111"/>
          <w:sz w:val="28"/>
          <w:sz w:val="28"/>
          <w:szCs w:val="28"/>
          <w:rtl w:val="true"/>
          <w:lang w:bidi="ar-SA"/>
        </w:rPr>
        <w:t xml:space="preserve">عن عدم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ينفي إلاّ عدم</w:t>
      </w:r>
      <w:r>
        <w:rPr>
          <w:rStyle w:val="FootnoteAnchor"/>
          <w:rtl w:val="true"/>
        </w:rPr>
        <w:footnoteReference w:id="304"/>
      </w:r>
      <w:r>
        <w:rPr>
          <w:rFonts w:ascii="Amiri" w:hAnsi="Amiri" w:eastAsia="Amiri" w:cs="Amiri"/>
          <w:color w:val="111111"/>
          <w:sz w:val="28"/>
          <w:sz w:val="28"/>
          <w:szCs w:val="28"/>
          <w:rtl w:val="true"/>
          <w:lang w:bidi="ar-SA"/>
        </w:rPr>
        <w:t xml:space="preserve">جميع الأيّام التي هي غير سواء ، وهو مسلّم ، وأمّا الأقلّ فلا ينفيه ،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وبمثله يجاب عن المرسلة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كون الناقص قرءاً واحداً فمسلّم ، لكن يمكن دعوى استفادة ذلك من المرسلة بإلغاء الخصوصية عرفاً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العرف يفهم منها أنّ تكرّر الدم على نحو واحد ، يوجب الخلق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شئت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ريب في شمول قول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دعي الصلاة </w:t>
      </w:r>
    </w:p>
    <w:p>
      <w:pPr>
        <w:pStyle w:val="BookText"/>
        <w:rPr/>
      </w:pPr>
      <w:r>
        <w:rPr>
          <w:rFonts w:ascii="IRNazanin" w:hAnsi="IRNazanin" w:eastAsia="IRNazanin"/>
          <w:color w:val="111111"/>
          <w:sz w:val="28"/>
          <w:sz w:val="28"/>
          <w:szCs w:val="28"/>
          <w:rtl w:val="true"/>
          <w:lang w:bidi="fa-IR"/>
        </w:rPr>
        <w:t>أيّام أقرائك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كانت لها عادة ناقصة عدداً مع كونها ذات العادة المستقرّة وقتاً ، فمن رأت سنين متمادية أوّل الشهر حيضاً مع اختلاف العدد زيادة ونقيصة ، تكون لها أيّام معلومة هي القدر المتيقّن ، كأوّل الشهر إلى اليوم الرابع مثلاً ، فيشملها قول رسول اللّه صلی الله علیه و آله وسلم ، وزيادة العدد ونقصه لا توجبان عدم الشمول بالنسبة إلى القدر المتيقّن ، والمرسلة دلّت على أنّ الرؤية مرّتين موجبة للخلق المعلوم ؛ حيث قال لمن توالى عليها حيضتان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فقد علم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ذلك قد صار لها وقتاً وخلقاً معروفاً ؛ تعمل عليه ، وتدع ما سواه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نعم ، ظاهرها حيضتان تامّتان ، كما أنّ الظاهر حصولهما في شهرين ، فكما أنّ العرف يفهم منها أنّ خصوصية الشهر غير دخيلة ، يفهم أنّ العدد الزائد على الأربعة في المثال لا دخل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هو الأخذ بقرء واحد ، وقد صرّحت المرسلة بعدم صيرورتها ذات عادة بقرء واحد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فرق بين الأخذ بالأربعة بحدّها وجعل الأربعة وقتها ، وبين الأخذ بالجامع بين الناقص والزائد والقدر المتيقّن منهما ، ففي الصورة الثانية لا تكون آخذة بالناقص ، بل به وبما يشاركه ؛ وهو القرء الثاني ، فهي آخذة بهما وإن لم تأخذ بجميعهما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 منافٍ لقوله في المرسلة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اختلط عليها أيّامها ، وزادت ونقصت حتّى لا تقف منها على حدّ ، ولا من الدم على لون ، عملت بإقبال الدم وإدباره ؛ ليس لها سنّة غير هذا</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مسلّم في العددية الناقصة غير الوقتية ممّا ذكرنا في صدر </w:t>
      </w:r>
    </w:p>
    <w:p>
      <w:pPr>
        <w:pStyle w:val="BookText"/>
        <w:rPr/>
      </w:pPr>
      <w:r>
        <w:rPr>
          <w:rFonts w:ascii="Amiri" w:hAnsi="Amiri" w:eastAsia="Amiri" w:cs="Amiri"/>
          <w:color w:val="111111"/>
          <w:sz w:val="28"/>
          <w:sz w:val="28"/>
          <w:szCs w:val="28"/>
          <w:rtl w:val="true"/>
          <w:lang w:bidi="ar-SA"/>
        </w:rPr>
        <w:t>المبحث لا في ذات العادة الوقتية مع العددية الناقصة ، ونحن نلتزم به ونفصّل</w:t>
      </w:r>
    </w:p>
    <w:p>
      <w:pPr>
        <w:pStyle w:val="BookText"/>
        <w:rPr/>
      </w:pPr>
      <w:r>
        <w:rPr>
          <w:rFonts w:ascii="Amiri" w:hAnsi="Amiri" w:eastAsia="Amiri" w:cs="Amiri"/>
          <w:color w:val="111111"/>
          <w:sz w:val="28"/>
          <w:sz w:val="28"/>
          <w:szCs w:val="28"/>
          <w:rtl w:val="true"/>
          <w:lang w:bidi="ar-SA"/>
        </w:rPr>
        <w:t xml:space="preserve">بينهما ؛ وذلك لأ نّه في المرسلة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يعلم بالنظر في صدرها وذيلها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التمييز مرجعاً لمن لا تكون لها أيّام معلومة ؛ لا من حيث العدد ولا الوقت ، كما صرّح به في موارد منها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سنّة التي قد كانت لها أيّام متقدّمة ، ثمّ اختلط عليها من طول الدم ؛ فزادت ونقصت حتّى أغفلت عددها وموضعها من الشهر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ذيلها هو السنّة الثانية التي في صدرها ، وموضوعها هي التي اختلط عليها أيّامها من حيث موضع الشهر ، وزادت ونقصت عدداً ، ولا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مفاد المرسلة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مرجعها إلى التمييز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عرفت موضعها من الشهر ولم تحصِ عددها ، فهي غير داخلة في السنّة الثانية ، بل داخلة في السنّة الاُولى كما مرّ</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من أحصت عددها ولم تعرف موضعها ، لا يكون مرجعها في العدد إلى التمييز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الفقرة الأخيرة ، غير شاملة لذات العادة الوقتية المحضة ،</w:t>
      </w:r>
    </w:p>
    <w:p>
      <w:pPr>
        <w:pStyle w:val="BookText"/>
        <w:rPr/>
      </w:pPr>
      <w:r>
        <w:rPr>
          <w:rFonts w:ascii="Amiri" w:hAnsi="Amiri" w:eastAsia="Amiri" w:cs="Amiri"/>
          <w:color w:val="111111"/>
          <w:sz w:val="28"/>
          <w:sz w:val="28"/>
          <w:szCs w:val="28"/>
          <w:rtl w:val="true"/>
          <w:lang w:bidi="ar-SA"/>
        </w:rPr>
        <w:t xml:space="preserve">وهو ظاهر لمن سمع المرسلة وفهمها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أفاده بعض المحقّقين في جواب هذا الإشكال</w:t>
      </w:r>
      <w:r>
        <w:rPr>
          <w:rStyle w:val="FootnoteAnchor"/>
          <w:rtl w:val="true"/>
        </w:rPr>
        <w:footnoteReference w:id="307"/>
      </w:r>
      <w:r>
        <w:rPr>
          <w:rFonts w:ascii="Amiri" w:hAnsi="Amiri" w:eastAsia="Amiri" w:cs="Amiri"/>
          <w:color w:val="111111"/>
          <w:sz w:val="28"/>
          <w:sz w:val="28"/>
          <w:szCs w:val="28"/>
          <w:rtl w:val="true"/>
          <w:lang w:bidi="ar-SA"/>
        </w:rPr>
        <w:t xml:space="preserve">، فهو كما ترى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من جميع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الأقوى هو التفصيل بين ذات العادة الوقتية المحضة ؛ فتأخذ بالقدر المتيقّن من العدد ، ويصير ذلك عادة لها بمرّتين ، وبين ذات العددية الناقصة مع عدم العادة الوقتية لها ، فمرجعها التمييز ، وليس لها سنّة مع التمييز غيره </w:t>
      </w:r>
      <w:r>
        <w:rPr>
          <w:rFonts w:eastAsia="Amiri" w:cs="Amiri" w:ascii="Amiri" w:hAnsi="Amiri"/>
          <w:color w:val="111111"/>
          <w:sz w:val="28"/>
          <w:szCs w:val="28"/>
          <w:rtl w:val="true"/>
          <w:lang w:bidi="ar-SA"/>
        </w:rPr>
        <w:t xml:space="preserve">. </w:t>
      </w:r>
      <w:bookmarkStart w:id="208" w:name="pg15019_190658"/>
    </w:p>
    <w:p>
      <w:pPr>
        <w:pStyle w:val="Heading5"/>
        <w:numPr>
          <w:ilvl w:val="4"/>
          <w:numId w:val="1"/>
        </w:numPr>
        <w:rPr/>
      </w:pPr>
      <w:bookmarkStart w:id="209" w:name="__RefHeading___Toc686312_3406789950"/>
      <w:bookmarkStart w:id="210" w:name="_Toc74"/>
      <w:bookmarkEnd w:id="208"/>
      <w:bookmarkEnd w:id="209"/>
      <w:r>
        <w:rPr>
          <w:rtl w:val="true"/>
        </w:rPr>
        <w:t>المسألة الثالثة في تحقّق العادة بالمرّتين مطلقاً</w:t>
      </w:r>
      <w:bookmarkEnd w:id="210"/>
    </w:p>
    <w:p>
      <w:pPr>
        <w:pStyle w:val="BookText"/>
        <w:rPr/>
      </w:pPr>
      <w:r>
        <w:rPr>
          <w:rFonts w:ascii="Amiri" w:hAnsi="Amiri" w:eastAsia="Amiri" w:cs="Amiri"/>
          <w:color w:val="111111"/>
          <w:sz w:val="28"/>
          <w:sz w:val="28"/>
          <w:szCs w:val="28"/>
          <w:rtl w:val="true"/>
          <w:lang w:bidi="ar-SA"/>
        </w:rPr>
        <w:t xml:space="preserve">إنّ حصول المرّتين قد يكون بالأخذ والانقطاع ، مع كون الدم حيضاً وجداناً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بقيام أمارة معتبرة على الحيضية ، كمن كانت مبتدئة واستمرّ بها الدم ، فرأت في أوّل شهرين متّصلين ، عدداً معيّناً بصفات الحيض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الحكم بحصول الحيض بقاعدة الإمكان ، كمن رأت في أوّل شهرين متّصلين ، عدداً معيّناً محكوماً بالحيضية بقاعدة الإمكان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ذلك بالاقتداء بعادة نسائها ، كمن كانت عادة نسائها خمسة في أوّل كلّ شهر ، فاقتدت بهنّ مرّتين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بشهادة القوابل ؛ بناءً على قبولها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بالاستصحاب ، كما لو فرض العلمُ بحيضية ثلاثة أيّام من أوّل شهرين ، والشكّ في بقائها إلى الخامس ، وقلنا بجريان الاستصحاب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بالتحيّض سبعة أيّام من شهرين في وقت معيّن ؛ عملاً بالرواية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إشكال في حصول العادة في الفرض الأوّل ، كما لا إشكال في عدم حصولها في الأخير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فواضح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الأخير ؛ فلأنّ السبعة ليست بحيض وجداناً ولا تعبّداً ، بل المرأة تعمل فيها عمل الحائض ، كما قال في المرسلة تمسّكاً بقول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تحيّضي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يكون التحيّض إلاّ للمرأة التي تريد تكلّف ما تعمل الحائض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الأقسام الاُخرى ، فالظاهر تحقّقها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فيما قامت الأمارة على الحيضية ؛ فلأنّ الأمارة كاشفة عن الحيض الواقعي ، فمع قيامها عليه وتكرّرها مرّتين ، ينقّح بها موضوع قول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دعي الصلاة أيّام أقرائك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 بكلام أبي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وأدناه حيضتان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وترجيح بعض المحقّقين العدم بدعوى خروج الفرض عن مورد الروايتين ، وعدم الوثوق بكون واجد الصفات حيضاً لا غير ، وأنّ الأوصاف أمارات ظنّية اعتبرها الشارع في الجملة ، كعادة نسائها التي ترجع إليها في بعض الصور ، فلا تكون موجبة للوثوق بمعرفة أيّام أقرائها حتّى ترجع إليها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يخلو من غرابة ؛ ضرورة أ نّه مع قيام الأمارة المعتبرة على الحيضية ، تصير الحيضية الواقعية ثابتة ولو تعبّداً ، ومع تحقّقها وتكرّرها مرّتين وجداناً ، يتحقّق</w:t>
      </w:r>
    </w:p>
    <w:p>
      <w:pPr>
        <w:pStyle w:val="BookText"/>
        <w:rPr/>
      </w:pPr>
      <w:r>
        <w:rPr>
          <w:rFonts w:ascii="Amiri" w:hAnsi="Amiri" w:eastAsia="Amiri" w:cs="Amiri"/>
          <w:color w:val="111111"/>
          <w:sz w:val="28"/>
          <w:sz w:val="28"/>
          <w:szCs w:val="28"/>
          <w:rtl w:val="true"/>
          <w:lang w:bidi="ar-SA"/>
        </w:rPr>
        <w:t xml:space="preserve">موضوع ما دلّ على أنّ أدنى ما يتحقّق به العادة حيضتان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فرض عدم الوثوق بالحيضية ، لم يضرّ ذلك بلزوم ترتيب الأحكام عليها ؛ لانسلاكها تحت الدليل الشرعي ، فأيّ فرق بين المقام وسائر الموارد ؛ ممّا يكون الحكم مترتّباً على العناوين الواقعية مع إحرازها بالأمارات الشرعية ؟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من عدم تناول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المرسلة</w:t>
      </w:r>
      <w:r>
        <w:rPr>
          <w:rStyle w:val="FootnoteAnchor"/>
          <w:rtl w:val="true"/>
        </w:rPr>
        <w:footnoteReference w:id="309"/>
      </w:r>
      <w:r>
        <w:rPr>
          <w:rFonts w:ascii="Amiri" w:hAnsi="Amiri" w:eastAsia="Amiri" w:cs="Amiri"/>
          <w:color w:val="111111"/>
          <w:sz w:val="28"/>
          <w:sz w:val="28"/>
          <w:szCs w:val="28"/>
          <w:rtl w:val="true"/>
          <w:lang w:bidi="ar-SA"/>
        </w:rPr>
        <w:t>والمضمرة</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 مع ظهور غيرهما في عدمه ، كالأخبار الآمرة بالرجوع إلى </w:t>
      </w:r>
    </w:p>
    <w:p>
      <w:pPr>
        <w:pStyle w:val="BookText"/>
        <w:rPr/>
      </w:pPr>
      <w:r>
        <w:rPr>
          <w:rFonts w:ascii="IRNazanin" w:hAnsi="IRNazanin" w:eastAsia="IRNazanin"/>
          <w:color w:val="111111"/>
          <w:sz w:val="28"/>
          <w:sz w:val="28"/>
          <w:szCs w:val="28"/>
          <w:rtl w:val="true"/>
          <w:lang w:bidi="fa-IR"/>
        </w:rPr>
        <w:t>الصفات</w:t>
      </w:r>
      <w:r>
        <w:rPr>
          <w:rStyle w:val="FootnoteAnchor"/>
          <w:rtl w:val="true"/>
        </w:rPr>
        <w:footnoteReference w:id="311"/>
      </w:r>
      <w:r>
        <w:rPr>
          <w:rFonts w:ascii="Amiri" w:hAnsi="Amiri" w:eastAsia="Amiri" w:cs="Amiri"/>
          <w:color w:val="111111"/>
          <w:sz w:val="28"/>
          <w:sz w:val="28"/>
          <w:szCs w:val="28"/>
          <w:rtl w:val="true"/>
          <w:lang w:bidi="ar-SA"/>
        </w:rPr>
        <w:t>؛ إذ هي متناولة بإطلاقها ما لو تكرّر الجامع مثلاً مرّتين ، ثمّ اختلف محلّه أو عدده في الدور الثالث ، فإنّه يجب اتّباع الأوصاف أينما كانت ؛ تكرّرت أو لا</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أيضاً لا يخلو من غرابة ؛ ضرورة أنّ الرجوع إلى التمييز ، إنّما يكون بعد فقد</w:t>
      </w:r>
    </w:p>
    <w:p>
      <w:pPr>
        <w:pStyle w:val="BookText"/>
        <w:rPr/>
      </w:pPr>
      <w:r>
        <w:rPr>
          <w:rFonts w:ascii="IRNazanin" w:hAnsi="IRNazanin" w:eastAsia="IRNazanin"/>
          <w:color w:val="111111"/>
          <w:sz w:val="28"/>
          <w:sz w:val="28"/>
          <w:szCs w:val="28"/>
          <w:rtl w:val="true"/>
          <w:lang w:bidi="fa-IR"/>
        </w:rPr>
        <w:t xml:space="preserve">العادة ، وإلاّ فهي المرجع لا غير ، وبعد ثبوت الحيضتين الواقعيتين بالصفات ، يندرج الموضوع تحت قوله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دعي الصلاة أيّام أقرائك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 بقول أبي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أدناه حيضتان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فالحيضتان الواقعيتان محقّقتان للعادة ، ومع تحقّقها تكون هي المرجع دون التمييز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لو فرض أنّ الموضوع لحصول العادة هو الحيض المعلوم والأيّام المعروفة ، لقلنا بثبوتها في المقام بالحيضتين ؛ لقوله علیه السلام في المرسلة بعد فرض تكرّر الحيضتين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فقد علم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ذلك قد صار لها وقتاً وخلقاً معروفاً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متمسّكاً بقول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دعي الصلاة أيّام أقرائك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أدناه حيضتان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فالحيضتان محقّقتان للخلق المعروف والعادة المعلومة التي هي موضوع الحكم ، فتدبّر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ما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التمسّك بدليل التمييز لمنع الرجوع إلى التمييز ، يلزم منه كون الدليل رافعاً لنفسه أو لعلّته ، وأيضاً يلزم منه حكومته على نفسه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فممّا لا يصغى إليه بعد التأمّل فيما تقدّم ، ولا مانع من أن تحصل العادة </w:t>
      </w:r>
    </w:p>
    <w:p>
      <w:pPr>
        <w:pStyle w:val="BookText"/>
        <w:rPr/>
      </w:pPr>
      <w:r>
        <w:rPr>
          <w:rFonts w:ascii="Amiri" w:hAnsi="Amiri" w:eastAsia="Amiri" w:cs="Amiri"/>
          <w:color w:val="111111"/>
          <w:sz w:val="28"/>
          <w:sz w:val="28"/>
          <w:szCs w:val="28"/>
          <w:rtl w:val="true"/>
          <w:lang w:bidi="ar-SA"/>
        </w:rPr>
        <w:t xml:space="preserve">بمصداقين من التمييز ، ولأجله يرتفع موضوع الرجوع إلى التمييز فيما بعد ، كما في الأصل السببي والمسبّبي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ما نحن فيه أولى منه ، كما يظهر بالتأمّل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لو فرض أنّ ثبوت الحيض بقاعدة الإمكان ، أو بالاقتداء بأقراء نسائها ، من قبيل الثبوت بالأمارة ، فالكلام فيهما هو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فرض كون القاعدة أصلاً ، وكذا الاقتداء بعادة النساء ، فكذلك إن كانا</w:t>
      </w:r>
    </w:p>
    <w:p>
      <w:pPr>
        <w:pStyle w:val="BookText"/>
        <w:rPr/>
      </w:pPr>
      <w:r>
        <w:rPr>
          <w:rFonts w:ascii="Amiri" w:hAnsi="Amiri" w:eastAsia="Amiri" w:cs="Amiri"/>
          <w:color w:val="111111"/>
          <w:sz w:val="28"/>
          <w:sz w:val="28"/>
          <w:szCs w:val="28"/>
          <w:rtl w:val="true"/>
          <w:lang w:bidi="ar-SA"/>
        </w:rPr>
        <w:t xml:space="preserve">أصلين محرزين ؛ بدعوى أنّ معقد الإجماع القائم على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مفاده التحقّق الواقعي ، فلا أقلّ من ظهوره في التعبّد بتحقّقه ؛ فإنّ معقده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 دم أمكن أن يكون حيضاً فهو 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إمّا بصدد بيان أنّ أسباب الحيضية وعللها متحقّقة لو لا الامتناع ، والإمكان مساوق للتحقّق الواقعي ، فتكون أمارة للواقع ، أو بصدد بيان التعبّد بوجودها عند إمكانها ، فلا محالة يكون أصلاً محرزاً ، ومع التعبّد بوجودها مرّتين ، تنسلك في موضوع ما دلّ على أنّ العادة تحصل بأدنى الأقراء ؛ وهو حيضتان ، كما ينقّح موضوع الأدلّة الاجتهادية بالاُصول المحرزة في غير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يظهر حال الاقتداء بالأقراء لو أخذنا برواية سَماعة ، فإنّ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أقراؤها مثل أقراء نسائها</w:t>
      </w:r>
      <w:r>
        <w:rPr>
          <w:rFonts w:eastAsia="Amiri" w:cs="Amiri" w:ascii="Amiri" w:hAnsi="Amiri"/>
          <w:color w:val="111111"/>
          <w:sz w:val="28"/>
          <w:szCs w:val="28"/>
          <w:rtl w:val="true"/>
          <w:lang w:bidi="ar-SA"/>
        </w:rPr>
        <w:t>»</w:t>
      </w:r>
      <w:r>
        <w:rPr>
          <w:rStyle w:val="FootnoteAnchor"/>
          <w:rtl w:val="true"/>
        </w:rPr>
        <w:footnoteReference w:id="313"/>
      </w:r>
      <w:r>
        <w:rPr>
          <w:rFonts w:ascii="Amiri" w:hAnsi="Amiri" w:eastAsia="Amiri" w:cs="Amiri"/>
          <w:color w:val="111111"/>
          <w:sz w:val="28"/>
          <w:sz w:val="28"/>
          <w:szCs w:val="28"/>
          <w:rtl w:val="true"/>
          <w:lang w:bidi="ar-SA"/>
        </w:rPr>
        <w:t>إمّا أمارة ؛ بقرينة أنّ مماثلة حالات النساء في</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طائفة ، أمارة على كشف حال مورد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اُغمض النظر عنه ، فلا أقلّ من أنّ لسانها لسان التعبّد بأنّ أقراءها مثل أقرائهنّ ، فإذا كانت أقراؤهنّ خمسة في أوّل </w:t>
      </w:r>
    </w:p>
    <w:p>
      <w:pPr>
        <w:pStyle w:val="BookText"/>
        <w:rPr/>
      </w:pPr>
      <w:r>
        <w:rPr>
          <w:rFonts w:ascii="Amiri" w:hAnsi="Amiri" w:eastAsia="Amiri" w:cs="Amiri"/>
          <w:color w:val="111111"/>
          <w:sz w:val="28"/>
          <w:sz w:val="28"/>
          <w:szCs w:val="28"/>
          <w:rtl w:val="true"/>
          <w:lang w:bidi="ar-SA"/>
        </w:rPr>
        <w:t xml:space="preserve">الشهور ، يكون قرؤها كذلك ، فمع الاقتداء بهنّ مرّتين ينقّح الموضوع ، كما 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ويأتي هذا الكلام في الاستصحاب أيضاً على ما حقّقنا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الاستصحاب في الموضوعات منقّح لنفس موضوع الأدلّة الاجتهادية</w:t>
      </w:r>
      <w:r>
        <w:rPr>
          <w:rStyle w:val="FootnoteAnchor"/>
          <w:rtl w:val="true"/>
        </w:rPr>
        <w:footnoteReference w:id="314"/>
      </w:r>
      <w:r>
        <w:rPr>
          <w:rFonts w:ascii="Amiri" w:hAnsi="Amiri" w:eastAsia="Amiri" w:cs="Amiri"/>
          <w:color w:val="111111"/>
          <w:sz w:val="28"/>
          <w:sz w:val="28"/>
          <w:szCs w:val="28"/>
          <w:rtl w:val="true"/>
          <w:lang w:bidi="ar-SA"/>
        </w:rPr>
        <w:t xml:space="preserve">، فتبصّر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يظهر حال غيرها من الفروع ، كما لو ثبتت الحيضتان بأمارتين مختلفتين ؛ كأن يكون أحد الدمين واجداً لبعض صفات الحيض ، والآخر لبعض آخر ؛ بعد فرض كون كلّ صفة أمارة مستقلّة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التفصيل بين جامع الصفات وغيره ؛ لحصول الظنّ القويّ في الأوّل دون الثاني</w:t>
      </w:r>
      <w:r>
        <w:rPr>
          <w:rStyle w:val="FootnoteAnchor"/>
          <w:rtl w:val="true"/>
        </w:rPr>
        <w:footnoteReference w:id="315"/>
      </w:r>
      <w:r>
        <w:rPr>
          <w:rFonts w:ascii="Amiri" w:hAnsi="Amiri" w:eastAsia="Amiri" w:cs="Amiri"/>
          <w:color w:val="111111"/>
          <w:sz w:val="28"/>
          <w:sz w:val="28"/>
          <w:szCs w:val="28"/>
          <w:rtl w:val="true"/>
          <w:lang w:bidi="ar-SA"/>
        </w:rPr>
        <w:t xml:space="preserve">، ففي غير محلّه بعد فرض أمارية كلّ صفة ، فقوّة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كأصل حصوله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كالحجر جنب الإنسان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إشكال في تحقّق العادة بالمرّتين مطلقاً ؛ حتّى لو ثبتت إحدى الحيضتين بالتمييز ، والاُخرى بالقاعدة ، أو إحداهما بالقاعدة ، والاُخرى بالرجوع إلى الأقران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بالتأمّل فيما مرّ واستخراج كلّ فرع يرد عليك </w:t>
      </w:r>
      <w:r>
        <w:rPr>
          <w:rFonts w:eastAsia="Amiri" w:cs="Amiri" w:ascii="Amiri" w:hAnsi="Amiri"/>
          <w:color w:val="111111"/>
          <w:sz w:val="28"/>
          <w:szCs w:val="28"/>
          <w:rtl w:val="true"/>
          <w:lang w:bidi="ar-SA"/>
        </w:rPr>
        <w:t xml:space="preserve">. </w:t>
      </w:r>
      <w:bookmarkStart w:id="211" w:name="pg15019_190663"/>
    </w:p>
    <w:p>
      <w:pPr>
        <w:pStyle w:val="Heading5"/>
        <w:numPr>
          <w:ilvl w:val="4"/>
          <w:numId w:val="1"/>
        </w:numPr>
        <w:rPr/>
      </w:pPr>
      <w:bookmarkStart w:id="212" w:name="__RefHeading___Toc686314_3406789950"/>
      <w:bookmarkStart w:id="213" w:name="_Toc75"/>
      <w:bookmarkEnd w:id="211"/>
      <w:bookmarkEnd w:id="212"/>
      <w:r>
        <w:rPr>
          <w:rtl w:val="true"/>
        </w:rPr>
        <w:t>المسألة الرابعة في حصول العادة بالمرّتين مع حصول النقاء في البين</w:t>
      </w:r>
      <w:bookmarkEnd w:id="213"/>
    </w:p>
    <w:p>
      <w:pPr>
        <w:pStyle w:val="BookText"/>
        <w:rPr/>
      </w:pPr>
      <w:r>
        <w:rPr>
          <w:rFonts w:ascii="Amiri" w:hAnsi="Amiri" w:eastAsia="Amiri" w:cs="Amiri"/>
          <w:color w:val="111111"/>
          <w:sz w:val="28"/>
          <w:sz w:val="28"/>
          <w:szCs w:val="28"/>
          <w:rtl w:val="true"/>
          <w:lang w:bidi="ar-SA"/>
        </w:rPr>
        <w:t>هل تحصل العادة بالمرّتين مع حصول النقاء في البين أو لا ؟</w:t>
      </w:r>
    </w:p>
    <w:p>
      <w:pPr>
        <w:pStyle w:val="BookText"/>
        <w:rPr/>
      </w:pPr>
      <w:r>
        <w:rPr>
          <w:rFonts w:ascii="Amiri" w:hAnsi="Amiri" w:eastAsia="Amiri" w:cs="Amiri"/>
          <w:color w:val="111111"/>
          <w:sz w:val="28"/>
          <w:sz w:val="28"/>
          <w:szCs w:val="28"/>
          <w:rtl w:val="true"/>
          <w:lang w:bidi="ar-SA"/>
        </w:rPr>
        <w:t xml:space="preserve">وعلى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العبرة بالدمين مطلقاً ؛ سواء كانت الرؤية في وقت واحد أو عدد معيّن ، فتصير ذات عادة وقتية في الأوّل ، وعددية في الثاني ؛ وسواء كان النقاءان متساويين في المرّتين أو لا ، وسواء كان النقاء في كلتا المرّتين ، أو في</w:t>
      </w:r>
    </w:p>
    <w:p>
      <w:pPr>
        <w:pStyle w:val="BookText"/>
        <w:rPr/>
      </w:pPr>
      <w:r>
        <w:rPr>
          <w:rFonts w:ascii="Amiri" w:hAnsi="Amiri" w:eastAsia="Amiri" w:cs="Amiri"/>
          <w:color w:val="111111"/>
          <w:sz w:val="28"/>
          <w:sz w:val="28"/>
          <w:szCs w:val="28"/>
          <w:rtl w:val="true"/>
          <w:lang w:bidi="ar-SA"/>
        </w:rPr>
        <w:t>مرّة دون اُخرى ؟</w:t>
      </w:r>
    </w:p>
    <w:p>
      <w:pPr>
        <w:pStyle w:val="BookText"/>
        <w:rPr/>
      </w:pPr>
      <w:r>
        <w:rPr>
          <w:rFonts w:ascii="Amiri" w:hAnsi="Amiri" w:eastAsia="Amiri" w:cs="Amiri"/>
          <w:color w:val="111111"/>
          <w:sz w:val="28"/>
          <w:sz w:val="28"/>
          <w:szCs w:val="28"/>
          <w:rtl w:val="true"/>
          <w:lang w:bidi="ar-SA"/>
        </w:rPr>
        <w:t>أو يفصّل في المقامات ؟</w:t>
      </w:r>
    </w:p>
    <w:p>
      <w:pPr>
        <w:pStyle w:val="BookText"/>
        <w:rPr/>
      </w:pPr>
      <w:r>
        <w:rPr>
          <w:rFonts w:ascii="Amiri" w:hAnsi="Amiri" w:eastAsia="Amiri" w:cs="Amiri"/>
          <w:color w:val="111111"/>
          <w:sz w:val="28"/>
          <w:sz w:val="28"/>
          <w:szCs w:val="28"/>
          <w:rtl w:val="true"/>
          <w:lang w:bidi="ar-SA"/>
        </w:rPr>
        <w:t>أو العبرة بالدم المستمرّ أوّلاً ؟</w:t>
      </w:r>
    </w:p>
    <w:p>
      <w:pPr>
        <w:pStyle w:val="BookText"/>
        <w:rPr/>
      </w:pPr>
      <w:r>
        <w:rPr>
          <w:rFonts w:ascii="Amiri" w:hAnsi="Amiri" w:eastAsia="Amiri" w:cs="Amiri"/>
          <w:color w:val="111111"/>
          <w:sz w:val="28"/>
          <w:sz w:val="28"/>
          <w:szCs w:val="28"/>
          <w:rtl w:val="true"/>
          <w:lang w:bidi="ar-SA"/>
        </w:rPr>
        <w:t>أو بالدمين وإلغاء النقاء ؟</w:t>
      </w:r>
    </w:p>
    <w:p>
      <w:pPr>
        <w:pStyle w:val="BookText"/>
        <w:rPr/>
      </w:pPr>
      <w:r>
        <w:rPr>
          <w:rFonts w:ascii="Amiri" w:hAnsi="Amiri" w:eastAsia="Amiri" w:cs="Amiri"/>
          <w:color w:val="111111"/>
          <w:sz w:val="28"/>
          <w:sz w:val="28"/>
          <w:szCs w:val="28"/>
          <w:rtl w:val="true"/>
          <w:lang w:bidi="ar-SA"/>
        </w:rPr>
        <w:t>وجوه ، أوجهها الأوّل ؛ أي حصول العادة بالمرّتين واحتساب النقاء والدمين مطلقاً ؛ وذلك لأنّ الظاهر من المرسلة الطويلة</w:t>
      </w:r>
      <w:r>
        <w:rPr>
          <w:rStyle w:val="FootnoteAnchor"/>
          <w:rtl w:val="true"/>
        </w:rPr>
        <w:footnoteReference w:id="316"/>
      </w:r>
      <w:r>
        <w:rPr>
          <w:rFonts w:ascii="IRNazanin" w:hAnsi="IRNazanin" w:eastAsia="IRNazanin"/>
          <w:color w:val="111111"/>
          <w:sz w:val="28"/>
          <w:sz w:val="28"/>
          <w:szCs w:val="28"/>
          <w:rtl w:val="true"/>
          <w:lang w:bidi="fa-IR"/>
        </w:rPr>
        <w:t xml:space="preserve">أنّ الميزان في حصول العادة المعلومة والخلق المعروف ، هو حصول القُرءين عدّة أيّام سواء ؛ لقول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دعي الصلاة أيّام أقرائك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 بقول 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أدناه حيضتان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الذيل قاعدة كلّية يندرج فيها جميع أفراد القرء ؛ سواء كانت المرأة في أيّام القرء مستمرّة الدم أو لا ، بشرط صدق أيّام القُرء عليها ، وإنّما</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فيها الدم واستمراره مثالاً للمقام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انقطع الدم في أقلّ من سبع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إلى آخره ، وإن كان ظاهراً في استمرار الدم عدّة أيّام سواء ، مع حصول الانقطاع في وقت معيّن من الشهر ، لكن استدلال أبي عبداللّه علیه السلام بكلام رسول اللّه صلی الله علیه و آله وسلم وتحديده الجمع بحيضتين فصاعداً ، حاكم على هذا الظهور ، ومبيِّن للمراد ؛ وأنّ تمام الملاك هو تكرّر أيّام</w:t>
      </w:r>
    </w:p>
    <w:p>
      <w:pPr>
        <w:pStyle w:val="BookText"/>
        <w:rPr/>
      </w:pPr>
      <w:r>
        <w:rPr>
          <w:rFonts w:ascii="Amiri" w:hAnsi="Amiri" w:eastAsia="Amiri" w:cs="Amiri"/>
          <w:color w:val="111111"/>
          <w:sz w:val="28"/>
          <w:sz w:val="28"/>
          <w:szCs w:val="28"/>
          <w:rtl w:val="true"/>
          <w:lang w:bidi="ar-SA"/>
        </w:rPr>
        <w:t>القُرء مرّتين فصاعداً ، فإذا ضمّ إلى هذه الكلّية كون أيّام النقاء قرءاً وحيضاً تمّ</w:t>
      </w:r>
    </w:p>
    <w:p>
      <w:pPr>
        <w:pStyle w:val="BookText"/>
        <w:rPr/>
      </w:pPr>
      <w:r>
        <w:rPr>
          <w:rFonts w:ascii="Amiri" w:hAnsi="Amiri" w:eastAsia="Amiri" w:cs="Amiri"/>
          <w:color w:val="111111"/>
          <w:sz w:val="28"/>
          <w:sz w:val="28"/>
          <w:szCs w:val="28"/>
          <w:rtl w:val="true"/>
          <w:lang w:bidi="ar-SA"/>
        </w:rPr>
        <w:t xml:space="preserve">المطلوب ، وتمّت الحكومة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دعوى عدم وجدان الخلاف ،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317"/>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المفاتيح</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 نّه لم يُنقل في ذلك خلاف</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 xml:space="preserve">بل ادّعى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على كون الكلّ حيضاً </w:t>
      </w:r>
      <w:r>
        <w:rPr>
          <w:rStyle w:val="FootnoteAnchor"/>
          <w:rtl w:val="true"/>
        </w:rPr>
        <w:footnoteReference w:id="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أقلّ الطهر عشرة أيّام</w:t>
      </w:r>
      <w:r>
        <w:rPr>
          <w:rStyle w:val="FootnoteAnchor"/>
          <w:rtl w:val="true"/>
        </w:rPr>
        <w:footnoteReference w:id="320"/>
      </w:r>
      <w:r>
        <w:rPr>
          <w:rFonts w:ascii="Amiri" w:hAnsi="Amiri" w:eastAsia="Amiri" w:cs="Amiri"/>
          <w:color w:val="111111"/>
          <w:sz w:val="28"/>
          <w:sz w:val="28"/>
          <w:szCs w:val="28"/>
          <w:rtl w:val="true"/>
          <w:lang w:bidi="ar-SA"/>
        </w:rPr>
        <w:t xml:space="preserve">، وعدم الواسطة بين الطهر والحيض ، فالنقاء في البين إن لم يكن طهراً فهو حيض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وتدلّ عليه أيضاً رواية يونس القصيرة حيث قال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فذلك الذي رأته في أوّل الأمر مع هذا الذي رأته بعد ذلك في عشرة ، فهو من الحيض</w:t>
      </w:r>
      <w:r>
        <w:rPr>
          <w:rFonts w:eastAsia="Amiri" w:cs="Amiri" w:ascii="Amiri" w:hAnsi="Amiri"/>
          <w:color w:val="111111"/>
          <w:sz w:val="28"/>
          <w:szCs w:val="28"/>
          <w:rtl w:val="true"/>
          <w:lang w:bidi="ar-SA"/>
        </w:rPr>
        <w:t>»</w:t>
      </w:r>
      <w:r>
        <w:rPr>
          <w:rStyle w:val="FootnoteAnchor"/>
          <w:rtl w:val="true"/>
        </w:rPr>
        <w:footnoteReference w:id="321"/>
      </w:r>
      <w:r>
        <w:rPr>
          <w:rFonts w:ascii="Amiri" w:hAnsi="Amiri" w:eastAsia="Amiri" w:cs="Amiri"/>
          <w:color w:val="111111"/>
          <w:sz w:val="28"/>
          <w:sz w:val="28"/>
          <w:szCs w:val="28"/>
          <w:rtl w:val="true"/>
          <w:lang w:bidi="ar-SA"/>
        </w:rPr>
        <w:t>بالتقريب الذي مرّ في بعض المسائل السابقة</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وكذا روايتا محمّد بن مسلم حيث قال فيهما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رأت المرأة الدم قبل عشرة أيّام فهو من الحيضة الاُولى</w:t>
      </w:r>
      <w:r>
        <w:rPr>
          <w:rFonts w:eastAsia="Amiri" w:cs="Amiri" w:ascii="Amiri" w:hAnsi="Amiri"/>
          <w:color w:val="111111"/>
          <w:sz w:val="28"/>
          <w:szCs w:val="28"/>
          <w:rtl w:val="true"/>
          <w:lang w:bidi="ar-SA"/>
        </w:rPr>
        <w:t>»</w:t>
      </w:r>
      <w:r>
        <w:rPr>
          <w:rStyle w:val="FootnoteAnchor"/>
          <w:rtl w:val="true"/>
        </w:rPr>
        <w:footnoteReference w:id="323"/>
      </w:r>
      <w:r>
        <w:rPr>
          <w:rFonts w:ascii="Amiri" w:hAnsi="Amiri" w:eastAsia="Amiri" w:cs="Amiri"/>
          <w:color w:val="111111"/>
          <w:sz w:val="28"/>
          <w:sz w:val="28"/>
          <w:szCs w:val="28"/>
          <w:rtl w:val="true"/>
          <w:lang w:bidi="ar-SA"/>
        </w:rPr>
        <w:t>بالتقريب المتقدّم</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ويؤيّده أنّ كون النقاء طهراً في الواقع مع وجوب ترك الصلاة عليها فيه ، بعيد جدّاً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أبعد ممّا استبعده أبو عبداللّه علیه السلام في مرسلة يونس الطويلة حيث قال في السنّة الثالثة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ترى أنّ أيّامها لو كانت أقلّ من سبع ، وكانت خمساً أو أقلّ من ذلك ، ما قال لها تحيّضي سبعاً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قد أمرها بترك الصلاة أيّاماً ، وهي مستحاضة غير حائض </w:t>
      </w:r>
      <w:r>
        <w:rPr>
          <w:rFonts w:eastAsia="IRNazanin" w:cs="IRNazanin"/>
          <w:color w:val="111111"/>
          <w:sz w:val="28"/>
          <w:szCs w:val="28"/>
          <w:rtl w:val="true"/>
          <w:lang w:bidi="fa-IR"/>
        </w:rPr>
        <w:t>. . .»</w:t>
      </w:r>
      <w:r>
        <w:rPr>
          <w:rStyle w:val="FootnoteAnchor"/>
          <w:rtl w:val="true"/>
        </w:rPr>
        <w:footnoteReference w:id="325"/>
      </w:r>
      <w:r>
        <w:rPr>
          <w:rFonts w:ascii="IRNazanin" w:hAnsi="IRNazanin" w:eastAsia="IRNazanin"/>
          <w:color w:val="111111"/>
          <w:sz w:val="28"/>
          <w:sz w:val="28"/>
          <w:szCs w:val="28"/>
          <w:rtl w:val="true"/>
          <w:lang w:bidi="fa-IR"/>
        </w:rPr>
        <w:t>إلى آخره ، فإذا لم يأمر رسول اللّه صلی الله علیه و آله وسلم</w:t>
      </w:r>
    </w:p>
    <w:p>
      <w:pPr>
        <w:pStyle w:val="BookText"/>
        <w:rPr/>
      </w:pPr>
      <w:r>
        <w:rPr>
          <w:rFonts w:ascii="Amiri" w:hAnsi="Amiri" w:eastAsia="Amiri" w:cs="Amiri"/>
          <w:color w:val="111111"/>
          <w:sz w:val="28"/>
          <w:sz w:val="28"/>
          <w:szCs w:val="28"/>
          <w:rtl w:val="true"/>
          <w:lang w:bidi="ar-SA"/>
        </w:rPr>
        <w:t xml:space="preserve">المستحاضة غير الحائض بترك الصلاة ، لم يأمر قطعاً الطاهرة غير الحائض بتركها ، فلا بدّ إمّا من التزام مقالة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326"/>
      </w:r>
      <w:r>
        <w:rPr>
          <w:rFonts w:ascii="Amiri" w:hAnsi="Amiri" w:eastAsia="Amiri" w:cs="Amiri"/>
          <w:color w:val="111111"/>
          <w:sz w:val="28"/>
          <w:sz w:val="28"/>
          <w:szCs w:val="28"/>
          <w:rtl w:val="true"/>
          <w:lang w:bidi="ar-SA"/>
        </w:rPr>
        <w:t xml:space="preserve">وهو خلاف الإجماع والأدلّة ، أو البناء على كون النقاء حيضاً وجميع الأيّام قرءاً ، وهو المتعيّن ، فحينئذٍ يثبت المطلوب ؛ وهو أنّ القرءين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كانا مع استمرار الدم ، أو مع تخلّل النقاء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 لحصول الخلق المعروف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 يظهر النظر في سائر الوجوه والأقوال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w:t>
      </w: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المرسلة ومضمرة سماعة اعتبار تساوي عدد أيّام </w:t>
      </w:r>
    </w:p>
    <w:p>
      <w:pPr>
        <w:pStyle w:val="BookText"/>
        <w:rPr/>
      </w:pPr>
      <w:r>
        <w:rPr>
          <w:rFonts w:ascii="Amiri" w:hAnsi="Amiri" w:eastAsia="Amiri" w:cs="Amiri"/>
          <w:color w:val="111111"/>
          <w:sz w:val="28"/>
          <w:sz w:val="28"/>
          <w:szCs w:val="28"/>
          <w:rtl w:val="true"/>
          <w:lang w:bidi="ar-SA"/>
        </w:rPr>
        <w:t xml:space="preserve">الدم في الحيضتين في حصول العادة العددية ، ومقتضى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أيّام الدم والنقاء في الوقتية ، هو التفصيل بينهما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الاعتبار بالدمين في</w:t>
      </w:r>
    </w:p>
    <w:p>
      <w:pPr>
        <w:pStyle w:val="BookText"/>
        <w:rPr/>
      </w:pPr>
      <w:r>
        <w:rPr>
          <w:rFonts w:ascii="Amiri" w:hAnsi="Amiri" w:eastAsia="Amiri" w:cs="Amiri"/>
          <w:color w:val="111111"/>
          <w:sz w:val="28"/>
          <w:sz w:val="28"/>
          <w:szCs w:val="28"/>
          <w:rtl w:val="true"/>
          <w:lang w:bidi="ar-SA"/>
        </w:rPr>
        <w:t xml:space="preserve">العددية وبالدمين والنقاء في الوقتية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ما لا يخفى ؛ لما عرفت من حال المرسلة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المضمرة فلا</w:t>
      </w:r>
    </w:p>
    <w:p>
      <w:pPr>
        <w:pStyle w:val="BookText"/>
        <w:rPr/>
      </w:pPr>
      <w:r>
        <w:rPr>
          <w:rFonts w:ascii="Amiri" w:hAnsi="Amiri" w:eastAsia="Amiri" w:cs="Amiri"/>
          <w:color w:val="111111"/>
          <w:sz w:val="28"/>
          <w:sz w:val="28"/>
          <w:szCs w:val="28"/>
          <w:rtl w:val="true"/>
          <w:lang w:bidi="ar-SA"/>
        </w:rPr>
        <w:t xml:space="preserve">بدّ من نقلها وبيان الوجوه فيها حتّى يظهر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الجارية البكر أوّل ما تحيض ، فتقعد في الشهر يومين وفي الشهر ثلاثة أيّام ؛ يختلف عليها ، لا يكون طمثها في الشهر عدّة أيّام سواء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فلها أن تجلس وتدع الصلاة ما دامت ترى الدم ما لم يجز العشرة ، فإذا اتّفق شهران عدّة أيّام سواء فتلك أيّامها</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ريب في أنّ السائل بصدد رفع شبهته في اختلاف أيّام الطمث ؛ وأ نّه إذا لم يكن طمثها عدّة أيّام سواء فما تكليفها ؟ من غير نظر إلى أنّ الطمث ما هو ؛ وهل هو نفس الدم ، أو هو مع النقاء المتخلّل ؟ وكذا الجواب إنّما هو عن ذلك ؛ وأ نّه مع عدم تجاوز الدم عشرة أيّام ، تجلس وتدع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اتّفق شهران عدّة أيّام سواء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يحتمل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اتّفاق أيّام القعود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واتّفاق أيّام الطمث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واتّفاق أيّام الدم المستمرّ المعهود في الكلام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واتّفاق مطلق الدم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ولازم الاحتمال الأوّل أن يكون أيّام النقاء ، محسوبة من العادة ولو لم تكن حيضاً ، إلاّ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 القعود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الطمث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ولازم الثاني أن يكون أيّام النقاء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كونها من أيّام الطمث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محسوبة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ولازم الثالث أن يكون الدم الأوّل المستمرّ محسوباً لا 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ولازم الرابع أن يكون الدمان محسوبين دون النقاء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ترجيح لأحدهما لو لم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كان السؤال عن الطمث ، يكون المراد من الجواب اتّفاق أيّامه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الظنّ بترجيح اتّفاق أيّام الدم المذكور في الكلام أخيراً ، فاعتبار مثل هذا الظنّ الغير المستند إلى الظهور مشكل ، بل ممنوع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لازمه كون العبرة بالدم الأوّل المستمرّ لا الدمين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الرواية لا تقاوم ما استظهرناه من المرسلة وسائر الأدلّة ؛ لو لم نقل بظهورها في تأسيس الكبرى الكلّية التي في المرسلة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تحكيم المرسلة عليها ؛ على نحو ما مرّ من تحكيم بعض فقرات المرسلة على بعض</w:t>
      </w:r>
      <w:r>
        <w:rPr>
          <w:rStyle w:val="FootnoteAnchor"/>
          <w:rtl w:val="true"/>
        </w:rPr>
        <w:footnoteReference w:id="329"/>
      </w:r>
      <w:r>
        <w:rPr>
          <w:rFonts w:ascii="Amiri" w:hAnsi="Amiri" w:eastAsia="Amiri" w:cs="Amiri"/>
          <w:color w:val="111111"/>
          <w:sz w:val="28"/>
          <w:sz w:val="28"/>
          <w:szCs w:val="28"/>
          <w:rtl w:val="true"/>
          <w:lang w:bidi="ar-SA"/>
        </w:rPr>
        <w:t xml:space="preserve">، فلا ريب في أنّ الأظهر هو احتساب النقاء والدمين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حال الفروع الكثيرة في المقام من التأمّل فيما ذكرنا واستفدنا من الأدلّة </w:t>
      </w:r>
      <w:r>
        <w:rPr>
          <w:rFonts w:eastAsia="Amiri" w:cs="Amiri" w:ascii="Amiri" w:hAnsi="Amiri"/>
          <w:color w:val="111111"/>
          <w:sz w:val="28"/>
          <w:szCs w:val="28"/>
          <w:rtl w:val="true"/>
          <w:lang w:bidi="ar-SA"/>
        </w:rPr>
        <w:t xml:space="preserve">. </w:t>
      </w:r>
      <w:bookmarkStart w:id="214" w:name="pg15019_190668"/>
    </w:p>
    <w:p>
      <w:pPr>
        <w:pStyle w:val="Heading5"/>
        <w:numPr>
          <w:ilvl w:val="4"/>
          <w:numId w:val="1"/>
        </w:numPr>
        <w:rPr/>
      </w:pPr>
      <w:bookmarkStart w:id="215" w:name="__RefHeading___Toc686316_3406789950"/>
      <w:bookmarkStart w:id="216" w:name="_Toc76"/>
      <w:bookmarkEnd w:id="214"/>
      <w:bookmarkEnd w:id="215"/>
      <w:r>
        <w:rPr>
          <w:rtl w:val="true"/>
        </w:rPr>
        <w:t>المسألة الخامسة في حصول العادة الوقتية بتكرّر الحيض</w:t>
      </w:r>
      <w:bookmarkEnd w:id="216"/>
    </w:p>
    <w:p>
      <w:pPr>
        <w:pStyle w:val="BookText"/>
        <w:rPr/>
      </w:pPr>
      <w:r>
        <w:rPr>
          <w:rFonts w:ascii="Amiri" w:hAnsi="Amiri" w:eastAsia="Amiri" w:cs="Amiri"/>
          <w:color w:val="111111"/>
          <w:sz w:val="28"/>
          <w:sz w:val="28"/>
          <w:szCs w:val="28"/>
          <w:rtl w:val="true"/>
          <w:lang w:bidi="ar-SA"/>
        </w:rPr>
        <w:t>كما تحصل العادة العددية بتكرّر العدد في شهرين أو أقلّ أو أزيد ، هل تحصل الوقتية بتكرّر الحيض مطلقاً ؟</w:t>
      </w:r>
    </w:p>
    <w:p>
      <w:pPr>
        <w:pStyle w:val="BookText"/>
        <w:rPr/>
      </w:pPr>
      <w:r>
        <w:rPr>
          <w:rFonts w:ascii="Amiri" w:hAnsi="Amiri" w:eastAsia="Amiri" w:cs="Amiri"/>
          <w:color w:val="111111"/>
          <w:sz w:val="28"/>
          <w:sz w:val="28"/>
          <w:szCs w:val="28"/>
          <w:rtl w:val="true"/>
          <w:lang w:bidi="ar-SA"/>
        </w:rPr>
        <w:t>أو يعتبر في حصولها تخلّل طهرين متساويين مطلقاً ؟</w:t>
      </w:r>
    </w:p>
    <w:p>
      <w:pPr>
        <w:pStyle w:val="BookText"/>
        <w:rPr/>
      </w:pPr>
      <w:r>
        <w:rPr>
          <w:rFonts w:ascii="Amiri" w:hAnsi="Amiri" w:eastAsia="Amiri" w:cs="Amiri"/>
          <w:color w:val="111111"/>
          <w:sz w:val="28"/>
          <w:sz w:val="28"/>
          <w:szCs w:val="28"/>
          <w:rtl w:val="true"/>
          <w:lang w:bidi="ar-SA"/>
        </w:rPr>
        <w:t xml:space="preserve">أو لا يعتبر ذلك في شهرين هلاليين مع حفظ الوقت ، كما لو رأت أوّل شهرين أو وسطهما مثلاً ، وأمّا لو رأت في شهر مرّتين ، أو رأت مرّتين في أزيد من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رأت خمسة ، وطهرت خمسة وخمسين ، فرأت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تحصل العادة إلاّ برؤية طهر آخر خمسة وخمسين ، وكذا في الناقص عن الشهر ؟</w:t>
      </w:r>
    </w:p>
    <w:p>
      <w:pPr>
        <w:pStyle w:val="BookText"/>
        <w:rPr/>
      </w:pPr>
      <w:r>
        <w:rPr>
          <w:rFonts w:ascii="Amiri" w:hAnsi="Amiri" w:eastAsia="Amiri" w:cs="Amiri"/>
          <w:color w:val="111111"/>
          <w:sz w:val="28"/>
          <w:sz w:val="28"/>
          <w:szCs w:val="28"/>
          <w:rtl w:val="true"/>
          <w:lang w:bidi="ar-SA"/>
        </w:rPr>
        <w:t xml:space="preserve">الأقوى هو التفصيل ؛ لأنّ الملاك في حصولها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الرجوع إلى الارتكاز العرفي وإلغاء الخصوصيات بالتقريب المتقدّم</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تكرّر العدد في حصول العددية ، وتكرّر الوقت في الوقتية ، فمع رؤية الطمث في أوّل شهرين هلاليين مثلاً ، يحصل التكرّر المحصّل للعادة بالنسبة إلى الوقت ؛ لتكرّر الحيض في أوّل الشهر ، وهو أدنى القرء ، كما هو المصرّح به في مرسلة يونس</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رأت في شهر مرّتين مع فصل أقلّ الطهر أو أزيد ، فمع تساوي العدد لا إشكال في حصول العادة العددية ؛ لتكرّر العدد ، وأمّا الوقت فلم يتكرّر ؛ لأنّ </w:t>
      </w:r>
    </w:p>
    <w:p>
      <w:pPr>
        <w:pStyle w:val="BookText"/>
        <w:rPr/>
      </w:pPr>
      <w:r>
        <w:rPr>
          <w:rFonts w:ascii="Amiri" w:hAnsi="Amiri" w:eastAsia="Amiri" w:cs="Amiri"/>
          <w:color w:val="111111"/>
          <w:sz w:val="28"/>
          <w:sz w:val="28"/>
          <w:szCs w:val="28"/>
          <w:rtl w:val="true"/>
          <w:lang w:bidi="ar-SA"/>
        </w:rPr>
        <w:t xml:space="preserve">وسط الشهر ليس عوداً لأوّله ، كما هو واضح ، فالحيضتان مكرّرتان من حيث الذات والعدد دون الوقت ، فلا تحصل العادة الوقتية لها إلاّ بتخلّل طهر مساوٍ للأوّل ، فحينئذٍ يصدق أنّ وقتها بعد كلّ عشرة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فيما إذا رأت في أكثر من شهرين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ما ذكرنا لا يرد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 النصّ حصول العادة بالحيضتين ، ومع اعتبار الطهرين لا يحصل إلاّ بثلاث حيضات</w:t>
      </w:r>
      <w:r>
        <w:rPr>
          <w:rStyle w:val="FootnoteAnchor"/>
          <w:rtl w:val="true"/>
        </w:rPr>
        <w:footnoteReference w:id="332"/>
      </w:r>
      <w:r>
        <w:rPr>
          <w:rFonts w:ascii="Amiri" w:hAnsi="Amiri" w:eastAsia="Amiri" w:cs="Amiri"/>
          <w:color w:val="111111"/>
          <w:sz w:val="28"/>
          <w:sz w:val="28"/>
          <w:szCs w:val="28"/>
          <w:rtl w:val="true"/>
          <w:lang w:bidi="ar-SA"/>
        </w:rPr>
        <w:t xml:space="preserve">، فإنّ اعتبار الثلاث ليس لأجل حصول العادة بها ، بل لأجل تكرّر الوقت ، وهو موقوف على ذلك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الوقت لا ينضبط إلاّ بتخلّل طهرين ، إلاّ إذا انضبط بالشهر كما مرّ </w:t>
      </w:r>
      <w:r>
        <w:rPr>
          <w:rFonts w:eastAsia="Amiri" w:cs="Amiri" w:ascii="Amiri" w:hAnsi="Amiri"/>
          <w:color w:val="111111"/>
          <w:sz w:val="28"/>
          <w:szCs w:val="28"/>
          <w:rtl w:val="true"/>
          <w:lang w:bidi="ar-SA"/>
        </w:rPr>
        <w:t xml:space="preserve">. </w:t>
      </w:r>
      <w:bookmarkStart w:id="217" w:name="pg15019_190670"/>
    </w:p>
    <w:p>
      <w:pPr>
        <w:pStyle w:val="Heading5"/>
        <w:numPr>
          <w:ilvl w:val="4"/>
          <w:numId w:val="1"/>
        </w:numPr>
        <w:rPr/>
      </w:pPr>
      <w:bookmarkStart w:id="218" w:name="__RefHeading___Toc686318_3406789950"/>
      <w:bookmarkStart w:id="219" w:name="_Toc77"/>
      <w:bookmarkEnd w:id="217"/>
      <w:bookmarkEnd w:id="218"/>
      <w:r>
        <w:rPr>
          <w:rtl w:val="true"/>
        </w:rPr>
        <w:t>المسألة السادسة في زوال العادة بعادة شرعية مطلقاً</w:t>
      </w:r>
      <w:bookmarkEnd w:id="219"/>
    </w:p>
    <w:p>
      <w:pPr>
        <w:pStyle w:val="Heading6"/>
        <w:numPr>
          <w:ilvl w:val="5"/>
          <w:numId w:val="1"/>
        </w:numPr>
        <w:rPr/>
      </w:pPr>
      <w:bookmarkStart w:id="220" w:name="__RefHeading___Toc686320_3406789950"/>
      <w:bookmarkStart w:id="221" w:name="_Toc78"/>
      <w:bookmarkEnd w:id="220"/>
      <w:r>
        <w:rPr>
          <w:rtl w:val="true"/>
        </w:rPr>
        <w:t>اشارة</w:t>
      </w:r>
      <w:bookmarkEnd w:id="221"/>
    </w:p>
    <w:p>
      <w:pPr>
        <w:pStyle w:val="BookText"/>
        <w:rPr/>
      </w:pPr>
      <w:r>
        <w:rPr>
          <w:rFonts w:ascii="Amiri" w:hAnsi="Amiri" w:eastAsia="Amiri" w:cs="Amiri"/>
          <w:color w:val="111111"/>
          <w:sz w:val="28"/>
          <w:sz w:val="28"/>
          <w:szCs w:val="28"/>
          <w:rtl w:val="true"/>
          <w:lang w:bidi="ar-SA"/>
        </w:rPr>
        <w:t xml:space="preserve">لا إشكال في عدم زوال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عرفية كانت أو تعبّدية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بمرّة واحدة بخلافها ، خلافاً لأبي يوسف على ما حكي عنه</w:t>
      </w:r>
      <w:r>
        <w:rPr>
          <w:rStyle w:val="FootnoteAnchor"/>
          <w:rtl w:val="true"/>
        </w:rPr>
        <w:footnoteReference w:id="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إشكال في زوالها بطروّ عادة اُخرى 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تزول بعادة شرعية مطلقاً ، أو لا تزول كذلك ، أو تزول الشرعية دون العرفية ؟</w:t>
      </w:r>
    </w:p>
    <w:p>
      <w:pPr>
        <w:pStyle w:val="BookText"/>
        <w:rPr/>
      </w:pPr>
      <w:r>
        <w:rPr>
          <w:rFonts w:ascii="Amiri" w:hAnsi="Amiri" w:eastAsia="Amiri" w:cs="Amiri"/>
          <w:color w:val="111111"/>
          <w:sz w:val="28"/>
          <w:sz w:val="28"/>
          <w:szCs w:val="28"/>
          <w:rtl w:val="true"/>
          <w:lang w:bidi="ar-SA"/>
        </w:rPr>
        <w:t>الأقرب هو الأوّل ؛ لما مرّ من الصغرى والكبرى المستفادتين من مرسلة يونس</w:t>
      </w:r>
      <w:r>
        <w:rPr>
          <w:rStyle w:val="FootnoteAnchor"/>
          <w:rtl w:val="true"/>
        </w:rPr>
        <w:footnoteReference w:id="334"/>
      </w:r>
      <w:r>
        <w:rPr>
          <w:rFonts w:ascii="IRNazanin" w:hAnsi="IRNazanin" w:eastAsia="IRNazanin"/>
          <w:color w:val="111111"/>
          <w:sz w:val="28"/>
          <w:sz w:val="28"/>
          <w:szCs w:val="28"/>
          <w:rtl w:val="true"/>
          <w:lang w:bidi="fa-IR"/>
        </w:rPr>
        <w:t xml:space="preserve">؛ وأنّ قول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دعي الصلاة أيّام أقرائك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انطبق على كلّ موضوع عرفي ، تقوم المرّتان مقامه ، ولا إشكال في أنّ العادة الثانية إذا كانت عرفية مستقرّة ، تصير ناسخة للاُولى ؛ لكونها العادة الفعلية ، فقوله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دعي الصلاة أيّام أقرائك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لها سنّة إلاّ أيّامها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ينطبقان إلاّ على الثانية ، فإذا كان حال العرفية كذلك فالمرّتان تقومان مقامها ؛ لتفسير الصادق علیه السلام</w:t>
      </w:r>
    </w:p>
    <w:p>
      <w:pPr>
        <w:pStyle w:val="BookText"/>
        <w:rPr/>
      </w:pPr>
      <w:r>
        <w:rPr>
          <w:rFonts w:ascii="IRNazanin" w:hAnsi="IRNazanin" w:eastAsia="IRNazanin"/>
          <w:color w:val="111111"/>
          <w:sz w:val="28"/>
          <w:sz w:val="28"/>
          <w:szCs w:val="28"/>
          <w:rtl w:val="true"/>
          <w:lang w:bidi="fa-IR"/>
        </w:rPr>
        <w:t xml:space="preserve">قوله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دعي الصلاة أيّام أقرائك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بحيضتين فصاعداً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التقريب يدفع ما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المرسلة وكذا المضمرة واردتان في المبتدئة ، ولها خصوصية عرفاً لا يمكن إلغاؤها وإسراء الحكم منها إلى من لها عادة مستمرّة سنين عديدة ، وكذا إلى من لم تستقرّ لها عادة مع رؤيتها الدم </w:t>
      </w:r>
    </w:p>
    <w:p>
      <w:pPr>
        <w:pStyle w:val="BookText"/>
        <w:rPr/>
      </w:pPr>
      <w:r>
        <w:rPr>
          <w:rFonts w:ascii="Amiri" w:hAnsi="Amiri" w:eastAsia="Amiri" w:cs="Amiri"/>
          <w:color w:val="111111"/>
          <w:sz w:val="28"/>
          <w:sz w:val="28"/>
          <w:szCs w:val="28"/>
          <w:rtl w:val="true"/>
          <w:lang w:bidi="ar-SA"/>
        </w:rPr>
        <w:t xml:space="preserve">في سنين عديدة ؛ لأنّ طبيعة المبتدئة الخالية من عادة مستمرّة أو اعوجاج مستمرّ ، إذا قذفت مرّتين بمنوال واحد ، يمكن أن يكشف ذلك عن خلقها وعادتها ؛ لأنّ انتظام الدم نوعي للنساء ، فمع حصول المرّتين لا يبعد تحقّق النظم حتّى بنظر العرف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ولهذا يمكن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قول الصادق علیه السلام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أدناه حيضتان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 كون أقلّ الجمع كذلك ، بل لكون الموضوع ذا خصوصية بها صار التكرّر كاشفاً عن الخلق المعهود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فقد علم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قد صار لها وقتاً وخلقاً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يؤيّد ما ذكرنا ؛ لأنّ التكرّر المطلق لا يوجب العلم بالخلق المعروف إلاّ بقرائن وخصوصيات مقرونة به ، وهي موجودة بالنسبة إلى المبتدئة ، وأمّا من كانت لها عادة مستمرّة أو انحراف مستمرّ ، فالخروج عن عادتها وانحرافها لا يحصل بدفعتين أو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فإذن فرق بين المبتدئة الواردة فيها الروايتان وذات العادة العرفية أو الانحراف العادي المستمرّ ، فلا يمكن إلغاء الخصوصية من الروايتين ، فلا بدّ في زوال العادة من الرجوع إلى العرف بحصول كرّات ومرّات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غاية ما يمكن أن يقال لمنع إلغاء الخصوصية ، ولو كانت الدعوى إسراء الحكم لمحض ارتكاز العرف وإلغاء الخصوصية ، كان لما ذكر وجه وجيه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لو كان المستند هو الفهم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استندوا إليه</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رفع اليد عن </w:t>
      </w:r>
    </w:p>
    <w:p>
      <w:pPr>
        <w:pStyle w:val="BookText"/>
        <w:rPr/>
      </w:pPr>
      <w:r>
        <w:rPr>
          <w:rFonts w:ascii="Amiri" w:hAnsi="Amiri" w:eastAsia="Amiri" w:cs="Amiri"/>
          <w:color w:val="111111"/>
          <w:sz w:val="28"/>
          <w:sz w:val="28"/>
          <w:szCs w:val="28"/>
          <w:rtl w:val="true"/>
          <w:lang w:bidi="ar-SA"/>
        </w:rPr>
        <w:t xml:space="preserve">الشهرين الهلاليين وإسراء الحكم إلى الشهر الحيضي أو أكثر من الشهرين ، في غاية الإشكال ؛ لأنّ للشهرين المتّصلين أيضاً خصوصية ليست لغيرهما من الأقلّ والأكثر ؛ ضرورة أنّ نوعية عادات النساء ، إنّما هي الرؤية في كلّ شهر مرّة ، لا مرّتين ، ولا التأخير عن الشهر ، فإذن للرؤية مرّتين في شهرين على النظم خصوصية ؛ وهي الغلبة والعادة ، والخروج عنها نوع انحراف عن الطبيعة ، ولذا تكون المرّتان من الطبيعة السليمة الغير المنحرفة ، كاشفتين عن الخلق والعادة ، دون المرّتين من غيرها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 العمدة هو تمسّك أبي عبداللّه علیه السلام بقول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دعي الصلاة أيّام أقرائك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أدناه حيضتان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منه أن لا خصوصية للموضوع إلاّ ذلك ؛ وأنّ الحيضتين تمام الموضوع ، ولو كانت الخصوصيات الاُخر دخيلة في الحكم كان عليه بيانها ، خصوصاً في المورد ممّا يغفل العامّة عن الخصوصيات الخفيّة المربوطة بما في الأرحام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وإنّما جعل الوقت إن توالى عليها حيضتان أو ثلاث ؛ لقول رسول اللّه صلی الله علیه و آله وسلم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إلى آخره ، يدلّ على أنّ الوجه هو قوله صلی الله علیه و آله وسلم من غير مدخل لشيء آخر ، خصوصاً بناءً على دلالة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الحصر ، ومع إنكارها يكفي الإطلاق في مقام البيان ، ولا مجال للتشكيكات العلمية الخارجة عن أفهام العامّة ، وإلاّ لانسدّ باب التمسّك بالإطلاق في كثير من الموارد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الأقرب زوال العادة العرفية بالرؤية على خلافها مرّتين منتظمتين ، وأمّا مع رؤيتها مرّتين غير منتظمتين ، فلا ينبغي الإشكال في عدم </w:t>
      </w:r>
      <w:bookmarkStart w:id="222" w:name="pg15019_190673"/>
    </w:p>
    <w:p>
      <w:pPr>
        <w:pStyle w:val="BookText"/>
        <w:rPr/>
      </w:pPr>
      <w:bookmarkEnd w:id="222"/>
      <w:r>
        <w:rPr>
          <w:rFonts w:ascii="Amiri" w:hAnsi="Amiri" w:eastAsia="Amiri" w:cs="Amiri"/>
          <w:color w:val="111111"/>
          <w:sz w:val="28"/>
          <w:sz w:val="28"/>
          <w:szCs w:val="28"/>
          <w:rtl w:val="true"/>
          <w:lang w:bidi="ar-SA"/>
        </w:rPr>
        <w:t>نسخ العادة العرفية بها ؛ لعدم مساعدة العرف عليه ، وعدم دليل شرعي ، فلا</w:t>
      </w:r>
    </w:p>
    <w:p>
      <w:pPr>
        <w:pStyle w:val="BookText"/>
        <w:rPr/>
      </w:pPr>
      <w:r>
        <w:rPr>
          <w:rFonts w:ascii="Amiri" w:hAnsi="Amiri" w:eastAsia="Amiri" w:cs="Amiri"/>
          <w:color w:val="111111"/>
          <w:sz w:val="28"/>
          <w:sz w:val="28"/>
          <w:szCs w:val="28"/>
          <w:rtl w:val="true"/>
          <w:lang w:bidi="ar-SA"/>
        </w:rPr>
        <w:t xml:space="preserve">بدّ لزوالها من تكرّرها مراراً حتّى يحكم العرف بنسخ عادتها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يظهر الكلام في العادة الحاصلة بمرّتين متماثلتين بعين ما مرّ ، بل هي أولى بذلك من العادة العرفية </w:t>
      </w:r>
      <w:r>
        <w:rPr>
          <w:rFonts w:eastAsia="Amiri" w:cs="Amiri" w:ascii="Amiri" w:hAnsi="Amiri"/>
          <w:color w:val="111111"/>
          <w:sz w:val="28"/>
          <w:szCs w:val="28"/>
          <w:rtl w:val="true"/>
          <w:lang w:bidi="ar-SA"/>
        </w:rPr>
        <w:t>.</w:t>
      </w:r>
    </w:p>
    <w:p>
      <w:pPr>
        <w:pStyle w:val="Heading6"/>
        <w:numPr>
          <w:ilvl w:val="5"/>
          <w:numId w:val="1"/>
        </w:numPr>
        <w:rPr/>
      </w:pPr>
      <w:bookmarkStart w:id="223" w:name="__RefHeading___Toc686322_3406789950"/>
      <w:bookmarkStart w:id="224" w:name="_Toc79"/>
      <w:bookmarkEnd w:id="223"/>
      <w:r>
        <w:rPr>
          <w:rtl w:val="true"/>
        </w:rPr>
        <w:t>هل تزول العادة برؤية مرّتين غير متماثلتين؟</w:t>
      </w:r>
      <w:bookmarkEnd w:id="224"/>
    </w:p>
    <w:p>
      <w:pPr>
        <w:pStyle w:val="BookText"/>
        <w:rPr/>
      </w:pPr>
      <w:r>
        <w:rPr>
          <w:rFonts w:ascii="Amiri" w:hAnsi="Amiri" w:eastAsia="Amiri" w:cs="Amiri"/>
          <w:color w:val="111111"/>
          <w:sz w:val="28"/>
          <w:sz w:val="28"/>
          <w:szCs w:val="28"/>
          <w:rtl w:val="true"/>
          <w:lang w:bidi="ar-SA"/>
        </w:rPr>
        <w:t xml:space="preserve">وهل تزول بمرّتين غير متماثلتين ؟ فيه تردّد ؛ لعدم جريان ما تقدّم فيه ، ولاحتمال انصراف دليل العادة عمّا تكرّر على خلافها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المحكيّ عن العلاّمة عدم الزوال ؛ حيث قال في ردّ أبي يوسف القائل بزوال العادة بمرّة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العادة المتقدّمة دليل على أيّامها التي عادت ، فلا</w:t>
      </w:r>
    </w:p>
    <w:p>
      <w:pPr>
        <w:pStyle w:val="BookText"/>
        <w:rPr/>
      </w:pPr>
      <w:r>
        <w:rPr>
          <w:rFonts w:ascii="Amiri" w:hAnsi="Amiri" w:eastAsia="Amiri" w:cs="Amiri"/>
          <w:color w:val="111111"/>
          <w:sz w:val="28"/>
          <w:sz w:val="28"/>
          <w:szCs w:val="28"/>
          <w:rtl w:val="true"/>
          <w:lang w:bidi="ar-SA"/>
        </w:rPr>
        <w:t>يبطل حكم هذا الدليل إلاّ بدليل مثله ؛ وهي العادة بخلافه</w:t>
      </w:r>
      <w:r>
        <w:rPr>
          <w:rFonts w:eastAsia="Amiri" w:cs="Amiri" w:ascii="Amiri" w:hAnsi="Amiri"/>
          <w:color w:val="111111"/>
          <w:sz w:val="28"/>
          <w:szCs w:val="28"/>
          <w:rtl w:val="true"/>
          <w:lang w:bidi="ar-SA"/>
        </w:rPr>
        <w:t>»</w:t>
      </w:r>
      <w:r>
        <w:rPr>
          <w:rStyle w:val="FootnoteAnchor"/>
          <w:rtl w:val="true"/>
        </w:rPr>
        <w:footnoteReference w:id="336"/>
      </w:r>
      <w:r>
        <w:rPr>
          <w:rFonts w:ascii="Amiri" w:hAnsi="Amiri" w:eastAsia="Amiri" w:cs="Amiri"/>
          <w:color w:val="111111"/>
          <w:sz w:val="28"/>
          <w:sz w:val="28"/>
          <w:szCs w:val="28"/>
          <w:rtl w:val="true"/>
          <w:lang w:bidi="ar-SA"/>
        </w:rPr>
        <w:t>وقد نفى الريب عن الزوال المحقّق الخراساني وأوّل كلامَ العلاّمة بما هو بعيد عن ظاهره</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والمسألة محلّ إشكال في غير ما تكرّر ؛ بحيث يحكم العرف بزواله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هنا بعض اُصول حكمية ، بل موضوعية على تأمّل في هذه </w:t>
      </w:r>
      <w:r>
        <w:rPr>
          <w:rFonts w:eastAsia="Amiri" w:cs="Amiri" w:ascii="Amiri" w:hAnsi="Amiri"/>
          <w:color w:val="111111"/>
          <w:sz w:val="28"/>
          <w:szCs w:val="28"/>
          <w:rtl w:val="true"/>
          <w:lang w:bidi="ar-SA"/>
        </w:rPr>
        <w:t xml:space="preserve">. </w:t>
      </w:r>
      <w:bookmarkStart w:id="225" w:name="pg15019_190674"/>
    </w:p>
    <w:p>
      <w:pPr>
        <w:pStyle w:val="Heading5"/>
        <w:numPr>
          <w:ilvl w:val="4"/>
          <w:numId w:val="1"/>
        </w:numPr>
        <w:rPr/>
      </w:pPr>
      <w:bookmarkStart w:id="226" w:name="__RefHeading___Toc686324_3406789950"/>
      <w:bookmarkStart w:id="227" w:name="_Toc80"/>
      <w:bookmarkEnd w:id="225"/>
      <w:bookmarkEnd w:id="226"/>
      <w:r>
        <w:rPr>
          <w:rtl w:val="true"/>
        </w:rPr>
        <w:t>المسألة السابعة في أقسام ذات العادة وأحكامها</w:t>
      </w:r>
      <w:bookmarkEnd w:id="227"/>
    </w:p>
    <w:p>
      <w:pPr>
        <w:pStyle w:val="Heading6"/>
        <w:numPr>
          <w:ilvl w:val="5"/>
          <w:numId w:val="1"/>
        </w:numPr>
        <w:rPr/>
      </w:pPr>
      <w:bookmarkStart w:id="228" w:name="__RefHeading___Toc686326_3406789950"/>
      <w:bookmarkStart w:id="229" w:name="_Toc81"/>
      <w:bookmarkEnd w:id="228"/>
      <w:r>
        <w:rPr>
          <w:rtl w:val="true"/>
        </w:rPr>
        <w:t>اشارة</w:t>
      </w:r>
      <w:bookmarkEnd w:id="229"/>
    </w:p>
    <w:p>
      <w:pPr>
        <w:pStyle w:val="BookText"/>
        <w:rPr/>
      </w:pPr>
      <w:r>
        <w:rPr>
          <w:rFonts w:ascii="Amiri" w:hAnsi="Amiri" w:eastAsia="Amiri" w:cs="Amiri"/>
          <w:color w:val="111111"/>
          <w:sz w:val="28"/>
          <w:sz w:val="28"/>
          <w:szCs w:val="28"/>
          <w:rtl w:val="true"/>
          <w:lang w:bidi="ar-SA"/>
        </w:rPr>
        <w:t xml:space="preserve">ذات العادة الوقتية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عددية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ترى الدم في أيّام عادتها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ترى قبلها ، أو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الفرضين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تكون</w:t>
      </w:r>
    </w:p>
    <w:p>
      <w:pPr>
        <w:pStyle w:val="BookText"/>
        <w:rPr/>
      </w:pPr>
      <w:r>
        <w:rPr>
          <w:rFonts w:ascii="Amiri" w:hAnsi="Amiri" w:eastAsia="Amiri" w:cs="Amiri"/>
          <w:color w:val="111111"/>
          <w:sz w:val="28"/>
          <w:sz w:val="28"/>
          <w:szCs w:val="28"/>
          <w:rtl w:val="true"/>
          <w:lang w:bidi="ar-SA"/>
        </w:rPr>
        <w:t xml:space="preserve">القبلية والبعدية قريبة من أيّامها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كاليوم واليومين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ما رأت واجداً لصفات الحيض ، كالحمرة والحرارة ، أو لصفات الاستحاضة ، كالصفرة والبرودة ، أو لبعضٍ من كلٍّ منهما ؛ كأن رأت حمرة باردة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وذات العادة العددية المحضة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ما هو جامع لصفات الحيض ، 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لصفات الاستحاضة ، 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لصفتهما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عمد الوجوه التي لا بدّ من البحث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ويتمّ الكلام فيها في ضمن جهات </w:t>
      </w:r>
      <w:r>
        <w:rPr>
          <w:rFonts w:eastAsia="Amiri" w:cs="Amiri" w:ascii="Amiri" w:hAnsi="Amiri"/>
          <w:color w:val="111111"/>
          <w:sz w:val="28"/>
          <w:szCs w:val="28"/>
          <w:rtl w:val="true"/>
          <w:lang w:bidi="ar-SA"/>
        </w:rPr>
        <w:t>:</w:t>
      </w:r>
    </w:p>
    <w:p>
      <w:pPr>
        <w:pStyle w:val="Heading6"/>
        <w:numPr>
          <w:ilvl w:val="5"/>
          <w:numId w:val="1"/>
        </w:numPr>
        <w:rPr/>
      </w:pPr>
      <w:bookmarkStart w:id="230" w:name="__RefHeading___Toc686328_3406789950"/>
      <w:bookmarkStart w:id="231" w:name="_Toc82"/>
      <w:bookmarkEnd w:id="230"/>
      <w:r>
        <w:rPr>
          <w:rtl w:val="true"/>
        </w:rPr>
        <w:t xml:space="preserve">الجهة الاُولى </w:t>
      </w:r>
      <w:r>
        <w:rPr>
          <w:rtl w:val="true"/>
        </w:rPr>
        <w:t xml:space="preserve">: </w:t>
      </w:r>
      <w:r>
        <w:rPr>
          <w:rtl w:val="true"/>
        </w:rPr>
        <w:t>في تحيّض ذات العادة الوقتية مطلقاً برؤية الدم في أيّامها</w:t>
      </w:r>
      <w:bookmarkEnd w:id="231"/>
    </w:p>
    <w:p>
      <w:pPr>
        <w:pStyle w:val="BookText"/>
        <w:rPr/>
      </w:pPr>
      <w:r>
        <w:rPr>
          <w:rFonts w:ascii="Amiri" w:hAnsi="Amiri" w:eastAsia="Amiri" w:cs="Amiri"/>
          <w:color w:val="111111"/>
          <w:sz w:val="28"/>
          <w:sz w:val="28"/>
          <w:szCs w:val="28"/>
          <w:rtl w:val="true"/>
          <w:lang w:bidi="ar-SA"/>
        </w:rPr>
        <w:t xml:space="preserve">لا إشكال في أنّ ذات العادة الوقتية مطلقاً ، تتحيّض برؤية الدم في أيّامها مطلقاً ؛ كان واجداً لصفات الحيض ، أو صفات الاستحاضة ، أو صفتهما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 الإجماع عليه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Style w:val="FootnoteAnchor"/>
          <w:rtl w:val="true"/>
        </w:rPr>
        <w:footnoteReference w:id="33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433</w:t>
      </w:r>
      <w:r>
        <w:rPr>
          <w:rFonts w:eastAsia="Times New Roman" w:cs="Times New Roman" w:ascii="Times New Roman" w:hAnsi="Times New Roman"/>
          <w:color w:val="111111"/>
          <w:sz w:val="28"/>
          <w:szCs w:val="28"/>
          <w:rtl w:val="true"/>
          <w:lang w:val="en-US" w:bidi="en-US"/>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وتدلّ عليه بعده روايات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يدّعى تواترها </w:t>
      </w:r>
      <w:r>
        <w:rPr>
          <w:rStyle w:val="FootnoteAnchor"/>
          <w:rtl w:val="true"/>
        </w:rPr>
        <w:footnoteReference w:id="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دلّت على أنّ الصفرة في أيّام الحيض 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وتنظّر في دلالة هذه الروايات بعض المحقّقين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مفادها ليس إلاّ أنّ ما تراه من صفرة أو كدرة في أيّامها فهو من الحيض ، وقد ثبت بالنصّ والإجماع تقييدها بما إذا لم يكن أقلّ من ثلاثة أيّام ، فالحكم بتحيّضها برؤية الدم مع عدم العلم بأ نّه يستمرّ ثلاثة أيّام ، يحتاج إلى دليل آخر</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لا يخلو من غرابة ؛ لأنّ ما دلّ على أنّ الحيض لا يكون أقلّ من ثلاثة أيّام ، إنّما هو في مقام تحديد حدود الحيض ، وهو لا ينافي لزوم التحيّض مع قيام الأمارة على الحيضية بمجرّد 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كانت الأمارة متقيّدة بذلك كان لما ذكره وجه ، لكنّه ضعيف مخالف للأدلّة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إمكان التشبّث بالأصل لبقاء الدم ثلاثة أيّام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الصفرة والكدرة في أيّام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 نّها طريق شرعي إلى حيضية ما وقع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محكومة بالحيضية ما لم يعلم الخلاف ، ولا يتوقّف الحكم بحيضية ما وقع فيها على إحراز سائر شرائط الحيض وعدم موانعه ، ولا إحراز القيود المعتبرة فيه ، كما هو الشأن في كلّ أمارة قائمة على 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بعد انقطاع الدم قبل تمام الثلاثة ، يعلم بعدم الحيضية ، فتسقط الأمارة ، وهو واضح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ويدلّ على المقصود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المرأة ترى الصفرة في أيّامها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تصلّي حتّى تنقضي </w:t>
      </w:r>
      <w:bookmarkStart w:id="232" w:name="pg15019_190676"/>
    </w:p>
    <w:p>
      <w:pPr>
        <w:pStyle w:val="BookText"/>
        <w:rPr/>
      </w:pPr>
      <w:bookmarkEnd w:id="232"/>
      <w:r>
        <w:rPr>
          <w:rFonts w:ascii="Amiri" w:hAnsi="Amiri" w:eastAsia="Amiri" w:cs="Amiri"/>
          <w:color w:val="111111"/>
          <w:sz w:val="28"/>
          <w:sz w:val="28"/>
          <w:szCs w:val="28"/>
          <w:rtl w:val="true"/>
          <w:lang w:bidi="ar-SA"/>
        </w:rPr>
        <w:t>أيّامها ، وإن رأت الصفرة في غير أيّامها توضّأت وصلّت</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ورواية إسماعيل الجُعْفي عن أبي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رأت المرأة الصفرة</w:t>
      </w:r>
    </w:p>
    <w:p>
      <w:pPr>
        <w:pStyle w:val="BookText"/>
        <w:rPr/>
      </w:pPr>
      <w:r>
        <w:rPr>
          <w:rFonts w:ascii="Amiri" w:hAnsi="Amiri" w:eastAsia="Amiri" w:cs="Amiri"/>
          <w:color w:val="111111"/>
          <w:sz w:val="28"/>
          <w:sz w:val="28"/>
          <w:szCs w:val="28"/>
          <w:rtl w:val="true"/>
          <w:lang w:bidi="ar-SA"/>
        </w:rPr>
        <w:t>قبل انقضاء أيّام عادتها لم تصلّ ، وإن كانت صفرة بعد انقضاء أيّام قرئها صلّت</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يونس القصيرة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رأت المرأة الدم في أيّام حيضها تركت الصلاة ، فإن استمرّ بها الدم ثلاثة أيّام فهي حائض</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لا فرق في التحيّض بمجرّد الرؤية في الوقت بين ذات العادة الوقتية مع العددية التامّة ، أو الناقصة في المورد المتيقّن من العدد ؛ لإطلاق الأدلّة وكون الأيّام أيّامها </w:t>
      </w:r>
      <w:r>
        <w:rPr>
          <w:rFonts w:eastAsia="Amiri" w:cs="Amiri" w:ascii="Amiri" w:hAnsi="Amiri"/>
          <w:color w:val="111111"/>
          <w:sz w:val="28"/>
          <w:szCs w:val="28"/>
          <w:rtl w:val="true"/>
          <w:lang w:bidi="ar-SA"/>
        </w:rPr>
        <w:t>.</w:t>
      </w:r>
    </w:p>
    <w:p>
      <w:pPr>
        <w:pStyle w:val="Heading6"/>
        <w:numPr>
          <w:ilvl w:val="5"/>
          <w:numId w:val="1"/>
        </w:numPr>
        <w:rPr/>
      </w:pPr>
      <w:bookmarkStart w:id="233" w:name="__RefHeading___Toc686330_3406789950"/>
      <w:bookmarkStart w:id="234" w:name="_Toc83"/>
      <w:bookmarkEnd w:id="233"/>
      <w:r>
        <w:rPr>
          <w:rtl w:val="true"/>
        </w:rPr>
        <w:t xml:space="preserve">الجهة الثانية </w:t>
      </w:r>
      <w:r>
        <w:rPr>
          <w:rtl w:val="true"/>
        </w:rPr>
        <w:t xml:space="preserve">: </w:t>
      </w:r>
      <w:r>
        <w:rPr>
          <w:rtl w:val="true"/>
        </w:rPr>
        <w:t>في الحكم بحيضية الدم المتقدّم أو المتأخّر بقليل</w:t>
      </w:r>
      <w:bookmarkEnd w:id="234"/>
    </w:p>
    <w:p>
      <w:pPr>
        <w:pStyle w:val="BookText"/>
        <w:rPr/>
      </w:pPr>
      <w:r>
        <w:rPr>
          <w:rFonts w:ascii="Amiri" w:hAnsi="Amiri" w:eastAsia="Amiri" w:cs="Amiri"/>
          <w:color w:val="111111"/>
          <w:sz w:val="28"/>
          <w:sz w:val="28"/>
          <w:szCs w:val="28"/>
          <w:rtl w:val="true"/>
          <w:lang w:bidi="ar-SA"/>
        </w:rPr>
        <w:t>إذا رأت الدم أو الصفرة قبل أيّام الحيض قليلاً ، كيوم أو يومين ، أو رأت بعد تمام أيّام الحيض كذلك ، فهل يحكم بحيضيتهما مطلقاً ، أو يفصّل بين ما رأت قبلها أو بعدها ؛ فيحكم بالتحيّض في الأوّل دون الثاني ، أو العكس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وجوه ، لا يبعد دعوى أقربية الأوّل ؛ أمّا فيما رأت قبل وقتها قليلاً ، فلإمكان </w:t>
      </w:r>
    </w:p>
    <w:p>
      <w:pPr>
        <w:pStyle w:val="BookText"/>
        <w:rPr/>
      </w:pPr>
      <w:r>
        <w:rPr>
          <w:rFonts w:ascii="IRNazanin" w:hAnsi="IRNazanin" w:eastAsia="IRNazanin"/>
          <w:color w:val="111111"/>
          <w:sz w:val="28"/>
          <w:sz w:val="28"/>
          <w:szCs w:val="28"/>
          <w:rtl w:val="true"/>
          <w:lang w:bidi="fa-IR"/>
        </w:rPr>
        <w:t xml:space="preserve">دعوى دلالة العمومات عليه ، مثل قوله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دعي الصلاة أيّام أقرائك</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 xml:space="preserve">، 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الصفرة في أيّام العادة حيض</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عادات النساء غالباً ليست منضبطة دقيقاً على وجه لا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تخلّف بمثل يوم أو يومين ، فغالب النسوة تختلف عليها بمثل ذلك ، ولا أظنّ الانضباط الدقيق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عرفياً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مرأة ، ولو فرض فهي نادرة ، فحينئذٍ لو قيل لامرأة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دعي الصلاة أيّام أقرائك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الصفرة والكدرة في أيّام الحيض 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ينقدح في ذهنها إلاّ الأيّام التي قد تتقدّم بمثل نصف يوم أو يوم أو يومين ، فإذا رأت الصفرة قُبيل الوقت ، تكون حيضاً بمقتضى فهم العرف من 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بين جعل الموضوع لحكم أمراً منضبطاً محدوداً بحدّين دقيقين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كاليوم من طلوع الشمس إلى الغروب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الموضوع الغير المنضبط كذلك ، كأيّام العادة ممّا تتقدّم عادةً ونوعاً بيوم أو يومين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غير بعيد بالنظر</w:t>
      </w:r>
    </w:p>
    <w:p>
      <w:pPr>
        <w:pStyle w:val="BookText"/>
        <w:rPr/>
      </w:pPr>
      <w:r>
        <w:rPr>
          <w:rFonts w:ascii="Amiri" w:hAnsi="Amiri" w:eastAsia="Amiri" w:cs="Amiri"/>
          <w:color w:val="111111"/>
          <w:sz w:val="28"/>
          <w:sz w:val="28"/>
          <w:szCs w:val="28"/>
          <w:rtl w:val="true"/>
          <w:lang w:bidi="ar-SA"/>
        </w:rPr>
        <w:t xml:space="preserve">إلى عادات النساء وأحكام العرف ومرتكزاته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هو غير تامّ بالنسبة إلى تأخّر الدم عن تمام العادة ؛ فإنّ التأخّر بمثله غير عادي ولا غالبي ، بل الأمر بالعكس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المطلوب روايات خاصّة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أبي بصير عن 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المرأة ترى الصفرة ، فقال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قبل الحيض بيومين فهو من الحيض ، وإن كان بعد الحيض بيومين فليس من الحيض</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ومضمرة معاوية بن حكيم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الصفرة قبل الحيض بيومين فهو من الحيض ، وبعد أيّام الحيض فليس من الحيض ، وهي في أيّام الحيض حيض</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يضرّ الإضمار بعد كون المضمر مثل معاوية الذي لا يضمر إلاّ عن المعصوم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الصحّاف وموثّقة سَماعة إلاّ أنّ المذكور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الاُولى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رأت الحامل الدم قبل الوقت الذي كانت ترى فيه الدم بقليل أو في الوقت من ذلك الشهر ، فإنّه من الحيضة </w:t>
      </w:r>
      <w:r>
        <w:rPr>
          <w:rFonts w:eastAsia="Amiri" w:cs="Amiri" w:ascii="Amiri" w:hAnsi="Amiri"/>
          <w:color w:val="111111"/>
          <w:sz w:val="28"/>
          <w:szCs w:val="28"/>
          <w:rtl w:val="true"/>
          <w:lang w:bidi="ar-SA"/>
        </w:rPr>
        <w:t>. . .»</w:t>
      </w:r>
      <w:r>
        <w:rPr>
          <w:rStyle w:val="FootnoteAnchor"/>
          <w:rtl w:val="true"/>
        </w:rPr>
        <w:footnoteReference w:id="348"/>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الثانية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رأت الدم قبل وقت حيضها فلتدع الصلاة ؛ فإنّه ربّما تعجّل بها الوقت</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بقرينة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جميعها حدوث الرؤية قبل أيّام الحيض ؛ أي قبل أيّام عادتها ، وفي مقابله حدوثه بعد أيّام العادة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واحتمال كون المراد قبل نفس الحيض وبعده في موثّقة أبي بصير ، بعيد محتاج إلى التأويل والتوجيه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الصفرة التي هي من صفات الاستحاضة إذا وقعت قبل الدم الذي قامت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حيضيته حيض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التوجيه وإن أخرج الكلام عن الاختلال ، لكن لا يوجب الإجمال أو الظهور في ذاك الاحتمال ، فإنّ الظاهر العرفي منها هو قبل وقت الحيض وبعده ، كما صرّح به في سائر الروايات ، والاطمئنان حاصل بأنّ مفادها من هذه الجهة ليس مغايراً لسائر الروايات ، وحينئذٍ يستدلّ بها لحدوث الصفرة بعد أيّام الحيض أقلّ من يومين ؛ للتحديد الواقع فيها بيومين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ما بعدها على غير ما قبلها خلاف الظاهر جدّاً ، وخلاف المتبادر من مقابلته بما قبلها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على الاحتمال المتقدّم يكون مقابلُ الرؤية قبل وجود الحيض ، الرؤية بعد وجوده ، فتكون في أيّام العادة ، فتخرج عمّا نحن بصدده ، لكن قد عرفت بعده وبطلانه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لما قلنا من ترجيح الاحتمال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قبل الحيض بيومين فهو من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إخباراً عن واقع لغرض</w:t>
      </w:r>
    </w:p>
    <w:p>
      <w:pPr>
        <w:pStyle w:val="BookText"/>
        <w:rPr/>
      </w:pPr>
      <w:r>
        <w:rPr>
          <w:rFonts w:ascii="Amiri" w:hAnsi="Amiri" w:eastAsia="Amiri" w:cs="Amiri"/>
          <w:color w:val="111111"/>
          <w:sz w:val="28"/>
          <w:sz w:val="28"/>
          <w:szCs w:val="28"/>
          <w:rtl w:val="true"/>
          <w:lang w:bidi="ar-SA"/>
        </w:rPr>
        <w:t>كشف واقعيته ، بل لغرض تحيّضها في وقت رؤية الصفرة ، فلا بدّ من حمل الحيض على أيّامه ؛ لكون الوقت مضبوطاً والأيّام معلومةً ولو تقريباً بحسب النوع ، فتعلم المرأة تكليفها عند رؤية الصفرة قبل وقته ، وأمّا إذا كان المراد نفس</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الدم المحكوم بالحيضية بواسطة التمييز أو الوقت ، فلا تعلم وقت حدوثه حتّى تعلم أنّ الصفرة قبله بيومين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وفرض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تسليم واقعيته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نادر جدّاً ، فلا محيص عن حمل الرواية على ما ذكرنا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أنّ كون الصفرة قبل أيّام الحيض من الحيض ، إنّما هو لأجل خصوصية في أيّام العادة دون نفس الدم ؛ فإنّ العادة كما أ نّها كاشفة عن كون الصفرة الواقعة في نفسها حيضاً ، لا يبعد كاشفيتها بالنسبة إلى ما حصل قبل وقتها قليلاً ، كيوم أو يومين ، خصوصاً مع ما عرفت من عدم انضباطها نوعاً على الوجه الدقيق ، فحينئذٍ تكون للعادة خصوصية لأجلها حكم بحيضية الصفرة فيها وفيما قبلها بقليل ، كما يشهد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في موثّقة سماعة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تعجّل بها الوقت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يحصل من جميع ما ذكرنا الاطمئنان بأنّ المراد من الموثّقة ، هو رؤية الصفرة قبل أيّام الحيض ، وحينئذٍ لا ريب في أنّ المراد من الجملة المقابلة للاُولى هو أيّام الحيض ، والتفكيك بينهما في غاية الفساد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فتمّت الدلالة على أ نّه إذا حدثت الصفرة بعد أيّام الحيض بأقلّ من يومين ، فهي من الحيض ، فلا بدّ من التحيّض بمجرّد رؤيتها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إذا لم تستمرّ إلى ثلاثة</w:t>
      </w:r>
    </w:p>
    <w:p>
      <w:pPr>
        <w:pStyle w:val="BookText"/>
        <w:rPr/>
      </w:pPr>
      <w:r>
        <w:rPr>
          <w:rFonts w:ascii="Amiri" w:hAnsi="Amiri" w:eastAsia="Amiri" w:cs="Amiri"/>
          <w:color w:val="111111"/>
          <w:sz w:val="28"/>
          <w:sz w:val="28"/>
          <w:szCs w:val="28"/>
          <w:rtl w:val="true"/>
          <w:lang w:bidi="ar-SA"/>
        </w:rPr>
        <w:t xml:space="preserve">أيّام تعلم بعدم حيضيتها ، كما في سائر الموارد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دعوى عدم القول بالفصل بين المتقدّم والمتأخّر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التمسّك بقاعدة الإمكان</w:t>
      </w:r>
      <w:r>
        <w:rPr>
          <w:rStyle w:val="FootnoteAnchor"/>
          <w:rtl w:val="true"/>
        </w:rPr>
        <w:footnoteReference w:id="350"/>
      </w:r>
      <w:r>
        <w:rPr>
          <w:rFonts w:ascii="Amiri" w:hAnsi="Amiri" w:eastAsia="Amiri" w:cs="Amiri"/>
          <w:color w:val="111111"/>
          <w:sz w:val="28"/>
          <w:sz w:val="28"/>
          <w:szCs w:val="28"/>
          <w:rtl w:val="true"/>
          <w:lang w:bidi="ar-SA"/>
        </w:rPr>
        <w:t>وبزيادة الانبعاث</w:t>
      </w:r>
      <w:r>
        <w:rPr>
          <w:rStyle w:val="FootnoteAnchor"/>
          <w:rtl w:val="true"/>
        </w:rPr>
        <w:footnoteReference w:id="351"/>
      </w:r>
      <w:r>
        <w:rPr>
          <w:rFonts w:ascii="Amiri" w:hAnsi="Amiri" w:eastAsia="Amiri" w:cs="Amiri"/>
          <w:color w:val="111111"/>
          <w:sz w:val="28"/>
          <w:sz w:val="28"/>
          <w:szCs w:val="28"/>
          <w:rtl w:val="true"/>
          <w:lang w:bidi="ar-SA"/>
        </w:rPr>
        <w:t xml:space="preserve">، ففيه ما لا يخفى </w:t>
      </w:r>
      <w:r>
        <w:rPr>
          <w:rFonts w:eastAsia="Amiri" w:cs="Amiri" w:ascii="Amiri" w:hAnsi="Amiri"/>
          <w:color w:val="111111"/>
          <w:sz w:val="28"/>
          <w:szCs w:val="28"/>
          <w:rtl w:val="true"/>
          <w:lang w:bidi="ar-SA"/>
        </w:rPr>
        <w:t xml:space="preserve">. </w:t>
      </w:r>
      <w:bookmarkStart w:id="235" w:name="pg15019_190681"/>
    </w:p>
    <w:p>
      <w:pPr>
        <w:pStyle w:val="Heading6"/>
        <w:numPr>
          <w:ilvl w:val="5"/>
          <w:numId w:val="1"/>
        </w:numPr>
        <w:rPr/>
      </w:pPr>
      <w:bookmarkStart w:id="236" w:name="__RefHeading___Toc686332_3406789950"/>
      <w:bookmarkStart w:id="237" w:name="_Toc84"/>
      <w:bookmarkEnd w:id="235"/>
      <w:bookmarkEnd w:id="236"/>
      <w:r>
        <w:rPr>
          <w:rtl w:val="true"/>
        </w:rPr>
        <w:t xml:space="preserve">الجهة الثالثة </w:t>
      </w:r>
      <w:r>
        <w:rPr>
          <w:rtl w:val="true"/>
        </w:rPr>
        <w:t xml:space="preserve">: </w:t>
      </w:r>
      <w:r>
        <w:rPr>
          <w:rtl w:val="true"/>
        </w:rPr>
        <w:t>في حكم الدم المرئي قبل أيّام العادة أو بعدها بكثير</w:t>
      </w:r>
      <w:bookmarkEnd w:id="237"/>
    </w:p>
    <w:p>
      <w:pPr>
        <w:pStyle w:val="Heading6"/>
        <w:numPr>
          <w:ilvl w:val="5"/>
          <w:numId w:val="1"/>
        </w:numPr>
        <w:rPr/>
      </w:pPr>
      <w:bookmarkStart w:id="238" w:name="__RefHeading___Toc686334_3406789950"/>
      <w:bookmarkStart w:id="239" w:name="_Toc85"/>
      <w:bookmarkEnd w:id="238"/>
      <w:r>
        <w:rPr>
          <w:rtl w:val="true"/>
        </w:rPr>
        <w:t>اشارة</w:t>
      </w:r>
      <w:bookmarkEnd w:id="239"/>
    </w:p>
    <w:p>
      <w:pPr>
        <w:pStyle w:val="BookText"/>
        <w:rPr/>
      </w:pPr>
      <w:r>
        <w:rPr>
          <w:rFonts w:ascii="Amiri" w:hAnsi="Amiri" w:eastAsia="Amiri" w:cs="Amiri"/>
          <w:color w:val="111111"/>
          <w:sz w:val="28"/>
          <w:sz w:val="28"/>
          <w:szCs w:val="28"/>
          <w:rtl w:val="true"/>
          <w:lang w:bidi="ar-SA"/>
        </w:rPr>
        <w:t xml:space="preserve">إذا رأت قبل أيّام العادة أو بعدها بما لاتشمله الأدلّة المتقدّمة ، فهل تتحيّض بمجرّد الرؤية مطلقاً ، أو تستظهر إلى ثلاثة أيّام مطلقاً ، أو يفصّل بين المتّصف بصفات الحيض وغيره ، أو يفصّل بين ما قبل الأيّام وما بعدها ؛ فتتحيّض في الثاني مطلقاً ، وفي الأوّل بشرط الاتّصاف ؟ وجوه وأقوال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والأظهر هو التفصيل بين الجامع للصفة وغيره مطلقاً ؛ سواء كان قبل الأيّام أو بعدها </w:t>
      </w:r>
      <w:r>
        <w:rPr>
          <w:rFonts w:eastAsia="Amiri" w:cs="Amiri" w:ascii="Amiri" w:hAnsi="Amiri"/>
          <w:color w:val="111111"/>
          <w:sz w:val="28"/>
          <w:szCs w:val="28"/>
          <w:rtl w:val="true"/>
          <w:lang w:bidi="ar-SA"/>
        </w:rPr>
        <w:t>.</w:t>
      </w:r>
    </w:p>
    <w:p>
      <w:pPr>
        <w:pStyle w:val="Heading6"/>
        <w:numPr>
          <w:ilvl w:val="5"/>
          <w:numId w:val="1"/>
        </w:numPr>
        <w:rPr/>
      </w:pPr>
      <w:bookmarkStart w:id="240" w:name="__RefHeading___Toc686336_3406789950"/>
      <w:bookmarkStart w:id="241" w:name="_Toc86"/>
      <w:bookmarkEnd w:id="240"/>
      <w:r>
        <w:rPr>
          <w:rtl w:val="true"/>
        </w:rPr>
        <w:t>الحكم بحيضية الدم الجامع لصفات الحيض مطلقاً في المقام</w:t>
      </w:r>
      <w:bookmarkEnd w:id="241"/>
    </w:p>
    <w:p>
      <w:pPr>
        <w:pStyle w:val="BookText"/>
        <w:rPr/>
      </w:pPr>
      <w:r>
        <w:rPr>
          <w:rFonts w:ascii="Amiri" w:hAnsi="Amiri" w:eastAsia="Amiri" w:cs="Amiri"/>
          <w:color w:val="111111"/>
          <w:sz w:val="28"/>
          <w:sz w:val="28"/>
          <w:szCs w:val="28"/>
          <w:rtl w:val="true"/>
          <w:lang w:bidi="ar-SA"/>
        </w:rPr>
        <w:t>أمّا في الجامع فلأخبار الصفات</w:t>
      </w:r>
      <w:r>
        <w:rPr>
          <w:rStyle w:val="FootnoteAnchor"/>
          <w:rtl w:val="true"/>
        </w:rPr>
        <w:footnoteReference w:id="352"/>
      </w:r>
      <w:r>
        <w:rPr>
          <w:rFonts w:ascii="Amiri" w:hAnsi="Amiri" w:eastAsia="Amiri" w:cs="Amiri"/>
          <w:color w:val="111111"/>
          <w:sz w:val="28"/>
          <w:sz w:val="28"/>
          <w:szCs w:val="28"/>
          <w:rtl w:val="true"/>
          <w:lang w:bidi="ar-SA"/>
        </w:rPr>
        <w:t>وقد مرّ</w:t>
      </w:r>
      <w:r>
        <w:rPr>
          <w:rStyle w:val="FootnoteAnchor"/>
          <w:rtl w:val="true"/>
        </w:rPr>
        <w:footnoteReference w:id="353"/>
      </w:r>
      <w:r>
        <w:rPr>
          <w:rFonts w:ascii="Amiri" w:hAnsi="Amiri" w:eastAsia="Amiri" w:cs="Amiri"/>
          <w:color w:val="111111"/>
          <w:sz w:val="28"/>
          <w:sz w:val="28"/>
          <w:szCs w:val="28"/>
          <w:rtl w:val="true"/>
          <w:lang w:bidi="ar-SA"/>
        </w:rPr>
        <w:t xml:space="preserve">في أوائل هذا المختصر ما يمكن أن يقرّر به وجه استفادة أمارية الصفات للحيض ؛ فيما دار الأمر بينه وبين الاستحاضة مطلقاً ، وعدم اختصاص ذلك بمستمرّة الدم ، فهي أمارة على الحيضية في ذات العادة والمبتدئة والمضطربة فيما دار الأمر بين الدمين ، فراجع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وتدلّ عليه أيضاً صحيحة عبداللّه بن المغيرة عن أبي الحسن الأوّل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امرأة نفِست ، فتركت الصلاة ثلاثين يوماً ، ثمّ طهرت ، ثمّ رأت الدم بعد ذلك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تدع الصلاة ؛ لأنّ أيّامها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أيّام الطهر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جازت مع أيّام النفاس</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فتدلّ بإطلاقها على لزوم تحيّض ذات العادة وغيرها ؛ كان الرؤية بعد أيّام العادة أو قبلها بقليل أو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وإطلاقها وإن اقتضى شمول الصفرة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إشكال ناشئ من احتمال كون الدم مقابل الصفرة ، كما في بعض الروايات ، كصحيحة ابن الحجّاج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متقيّد بما يأتي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w:t>
      </w:r>
      <w:r>
        <w:rPr>
          <w:rStyle w:val="FootnoteAnchor"/>
          <w:rtl w:val="true"/>
        </w:rPr>
        <w:footnoteReference w:id="355"/>
      </w:r>
      <w:r>
        <w:rPr>
          <w:rFonts w:ascii="Amiri" w:hAnsi="Amiri" w:eastAsia="Amiri" w:cs="Amiri"/>
          <w:color w:val="111111"/>
          <w:sz w:val="28"/>
          <w:sz w:val="28"/>
          <w:szCs w:val="28"/>
          <w:rtl w:val="true"/>
          <w:lang w:bidi="ar-SA"/>
        </w:rPr>
        <w:t xml:space="preserve">كون تلك الصحيحة واردة مورد التقيّة ؛ لتقرير الإمام ترك الصلاة ثلاثين يوماً ، وهو موافق لمذهب العامّة القائلين بأنّ أكثر النفاس أربعون أو ستّون يوماً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مدفوع بأنّ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أيّامها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الطهر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جازت مع أيّام النفاس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ردع لتركها الصلاة ؛ ضرورة أنّ أيّام النفاس ليست عين أيّام الطهر ، فمعنى مضيّ أيّام الطهر مع أيّام النفاس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الثلاثين ليس جميعها أيّام النفاس ، بل بعضها أيّام</w:t>
      </w:r>
    </w:p>
    <w:p>
      <w:pPr>
        <w:pStyle w:val="BookText"/>
        <w:rPr/>
      </w:pPr>
      <w:r>
        <w:rPr>
          <w:rFonts w:ascii="Amiri" w:hAnsi="Amiri" w:eastAsia="Amiri" w:cs="Amiri"/>
          <w:color w:val="111111"/>
          <w:sz w:val="28"/>
          <w:sz w:val="28"/>
          <w:szCs w:val="28"/>
          <w:rtl w:val="true"/>
          <w:lang w:bidi="ar-SA"/>
        </w:rPr>
        <w:t>النفاس وبعضها أيّام الطهر وإن استمرّ بها الدم ، فبيّن الحكم الواقعي بنحو لا</w:t>
      </w:r>
    </w:p>
    <w:p>
      <w:pPr>
        <w:pStyle w:val="BookText"/>
        <w:rPr/>
      </w:pPr>
      <w:r>
        <w:rPr>
          <w:rFonts w:ascii="Amiri" w:hAnsi="Amiri" w:eastAsia="Amiri" w:cs="Amiri"/>
          <w:color w:val="111111"/>
          <w:sz w:val="28"/>
          <w:sz w:val="28"/>
          <w:szCs w:val="28"/>
          <w:rtl w:val="true"/>
          <w:lang w:bidi="ar-SA"/>
        </w:rPr>
        <w:t xml:space="preserve">يتنبّه له الغالب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وتدلّ على المطلوب أيضاً صحيحة عبد الرحمان بن الحجّاج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إبراهيم علیه السلام عن امرأة نفِست ، فمكثت ثلاثين يوماً أو أكثر ، ثمّ طهرت وصلّت ، ثمّ رأت دماً أو صفرة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كانت صفرة فلتغتسل ولتصلّ ، ولا تمسك عن الصلاة</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xml:space="preserve">. </w:t>
      </w:r>
      <w:bookmarkStart w:id="242" w:name="pg15019_190683"/>
    </w:p>
    <w:p>
      <w:pPr>
        <w:pStyle w:val="BookText"/>
        <w:rPr/>
      </w:pPr>
      <w:bookmarkEnd w:id="242"/>
      <w:r>
        <w:rPr>
          <w:rFonts w:ascii="Amiri" w:hAnsi="Amiri" w:eastAsia="Amiri" w:cs="Amiri"/>
          <w:color w:val="111111"/>
          <w:sz w:val="28"/>
          <w:sz w:val="28"/>
          <w:szCs w:val="28"/>
          <w:rtl w:val="true"/>
          <w:lang w:bidi="ar-SA"/>
        </w:rPr>
        <w:t xml:space="preserve">وفي رواية الشيخ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دماً ليس بصفرة فلتمسك عن الصلاة أيّام قرئها ، ثمّ لتغتسل ولتصلّ</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تدلّ على المطلوب مفهوماً على رواية الكليني ، ومنطوقاً على رواية الشيخ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فلتمسك عن الصلاة أيّام قرئها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 على مقدار أيّام قرئها ، أو أيّام إمكان قرئها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ولايمكن إبقاؤه على ظاهره ؛ للزوم كون الصفرة في أيّام القرء ، محكومة بعدم الحيضية بقرينة المقابلة ، وهو مقطوع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والتفكيك بين الفقرتين بعيد جدّاً </w:t>
      </w:r>
      <w:r>
        <w:rPr>
          <w:rFonts w:eastAsia="Amiri" w:cs="Amiri" w:ascii="Amiri" w:hAnsi="Amiri"/>
          <w:color w:val="111111"/>
          <w:sz w:val="28"/>
          <w:szCs w:val="28"/>
          <w:rtl w:val="true"/>
          <w:lang w:bidi="ar-SA"/>
        </w:rPr>
        <w:t>.</w:t>
      </w:r>
    </w:p>
    <w:p>
      <w:pPr>
        <w:pStyle w:val="Heading6"/>
        <w:numPr>
          <w:ilvl w:val="5"/>
          <w:numId w:val="1"/>
        </w:numPr>
        <w:rPr/>
      </w:pPr>
      <w:bookmarkStart w:id="243" w:name="__RefHeading___Toc686338_3406789950"/>
      <w:bookmarkStart w:id="244" w:name="_Toc87"/>
      <w:bookmarkEnd w:id="243"/>
      <w:r>
        <w:rPr>
          <w:rtl w:val="true"/>
        </w:rPr>
        <w:t>الروايات التي قد تتوهّم دلالتها على عدم التحيّض</w:t>
      </w:r>
      <w:bookmarkEnd w:id="244"/>
    </w:p>
    <w:p>
      <w:pPr>
        <w:pStyle w:val="BookText"/>
        <w:rPr/>
      </w:pPr>
      <w:r>
        <w:rPr>
          <w:rFonts w:ascii="Amiri" w:hAnsi="Amiri" w:eastAsia="Amiri" w:cs="Amiri"/>
          <w:color w:val="111111"/>
          <w:sz w:val="28"/>
          <w:sz w:val="28"/>
          <w:szCs w:val="28"/>
          <w:rtl w:val="true"/>
          <w:lang w:bidi="ar-SA"/>
        </w:rPr>
        <w:t xml:space="preserve">نعم ، هنا روايات ربّما يتوهّم دلالتها على عدم التحيّض ، كمرسلة يونس القصيرة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وكلّ ما رأت المرأة في أيّام حيضها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صفرة أو حمرة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الحيض ، وكلّ ما رأته بعد أيّام حيضها فليس من الحيض</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ومفهوم موثّقة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المرأة ترى الدم قبل وقت حيضها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رأت الدم قبل وقت حيضها فلتدع الصلاة ؛ فإنّه ربّما تعجّل بها الوقت</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w:t>
      </w:r>
      <w:bookmarkStart w:id="245" w:name="pg15019_190684"/>
    </w:p>
    <w:p>
      <w:pPr>
        <w:pStyle w:val="BookText"/>
        <w:rPr/>
      </w:pPr>
      <w:bookmarkEnd w:id="245"/>
      <w:r>
        <w:rPr>
          <w:rFonts w:ascii="Amiri" w:hAnsi="Amiri" w:eastAsia="Amiri" w:cs="Amiri"/>
          <w:color w:val="111111"/>
          <w:sz w:val="28"/>
          <w:sz w:val="28"/>
          <w:szCs w:val="28"/>
          <w:rtl w:val="true"/>
          <w:lang w:bidi="ar-SA"/>
        </w:rPr>
        <w:t>وصحيحة الصحّاف في الحامل</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المرسلة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تقدّم من ضعفها سنداً ، واضطرابها متناً </w:t>
      </w:r>
      <w:r>
        <w:rPr>
          <w:rStyle w:val="FootnoteAnchor"/>
          <w:rtl w:val="true"/>
        </w:rPr>
        <w:footnoteReference w:id="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بملاحظة ما قبل هذه الفقرة ، أن يكون موردها ما إذا تجاوز الدم عشرة أيّام ،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مفهوم لموثّقة سماعة ؛ لأنّ الشرط فيها سيق لتحقّق الموضوع ، ولا مفهوم للقيد ؛ فإنّه من مفهوم اللقب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صحيحة الصحّاف فراجعة إلى الحامل ، وبإزائها روايات لا بدّ من إفراز البحث عنها ، وسيأتي في محلّه</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فالحكم في واجد الصفات خالٍ من الإشكال </w:t>
      </w:r>
      <w:r>
        <w:rPr>
          <w:rFonts w:eastAsia="Amiri" w:cs="Amiri" w:ascii="Amiri" w:hAnsi="Amiri"/>
          <w:color w:val="111111"/>
          <w:sz w:val="28"/>
          <w:szCs w:val="28"/>
          <w:rtl w:val="true"/>
          <w:lang w:bidi="ar-SA"/>
        </w:rPr>
        <w:t>.</w:t>
      </w:r>
    </w:p>
    <w:p>
      <w:pPr>
        <w:pStyle w:val="Heading6"/>
        <w:numPr>
          <w:ilvl w:val="5"/>
          <w:numId w:val="1"/>
        </w:numPr>
        <w:rPr/>
      </w:pPr>
      <w:bookmarkStart w:id="246" w:name="__RefHeading___Toc686340_3406789950"/>
      <w:bookmarkStart w:id="247" w:name="_Toc88"/>
      <w:bookmarkEnd w:id="246"/>
      <w:r>
        <w:rPr>
          <w:rtl w:val="true"/>
        </w:rPr>
        <w:t>الحكم بعدم حيضية الدم الجامع لصفات الاستحاضة في المقام</w:t>
      </w:r>
      <w:bookmarkEnd w:id="247"/>
    </w:p>
    <w:p>
      <w:pPr>
        <w:pStyle w:val="BookText"/>
        <w:rPr/>
      </w:pPr>
      <w:r>
        <w:rPr>
          <w:rFonts w:ascii="Amiri" w:hAnsi="Amiri" w:eastAsia="Amiri" w:cs="Amiri"/>
          <w:color w:val="111111"/>
          <w:sz w:val="28"/>
          <w:sz w:val="28"/>
          <w:szCs w:val="28"/>
          <w:rtl w:val="true"/>
          <w:lang w:bidi="ar-SA"/>
        </w:rPr>
        <w:t xml:space="preserve">وأمّا مع اتّصاف الدم بصفات الاستحاضة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كالصفرة والبرودة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تتحيّض</w:t>
      </w:r>
    </w:p>
    <w:p>
      <w:pPr>
        <w:pStyle w:val="BookText"/>
        <w:rPr/>
      </w:pPr>
      <w:r>
        <w:rPr>
          <w:rFonts w:ascii="Amiri" w:hAnsi="Amiri" w:eastAsia="Amiri" w:cs="Amiri"/>
          <w:color w:val="111111"/>
          <w:sz w:val="28"/>
          <w:sz w:val="28"/>
          <w:szCs w:val="28"/>
          <w:rtl w:val="true"/>
          <w:lang w:bidi="ar-SA"/>
        </w:rPr>
        <w:t>بمجرّد رؤيتها مطلقاً ، أو لا تتحيّض مطلقاً ، أو يفصّل بين ما قبل العادة وما بعدها ؛ فيقال بالتحيّض في الثاني دون الأوّل ؟</w:t>
      </w:r>
    </w:p>
    <w:p>
      <w:pPr>
        <w:pStyle w:val="BookText"/>
        <w:rPr/>
      </w:pPr>
      <w:r>
        <w:rPr>
          <w:rFonts w:ascii="IRNazanin" w:hAnsi="IRNazanin" w:eastAsia="IRNazanin"/>
          <w:color w:val="111111"/>
          <w:sz w:val="28"/>
          <w:sz w:val="28"/>
          <w:szCs w:val="28"/>
          <w:rtl w:val="true"/>
          <w:lang w:bidi="fa-IR"/>
        </w:rPr>
        <w:t xml:space="preserve">وجوه ؛ أقربها العدم مطلقاً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وتدلّ عليه أدلّة التمييز</w:t>
      </w:r>
      <w:r>
        <w:rPr>
          <w:rStyle w:val="FootnoteAnchor"/>
          <w:rtl w:val="true"/>
        </w:rPr>
        <w:footnoteReference w:id="364"/>
      </w:r>
      <w:r>
        <w:rPr>
          <w:rFonts w:ascii="Amiri" w:hAnsi="Amiri" w:eastAsia="Amiri" w:cs="Amiri"/>
          <w:color w:val="111111"/>
          <w:sz w:val="28"/>
          <w:sz w:val="28"/>
          <w:szCs w:val="28"/>
          <w:rtl w:val="true"/>
          <w:lang w:bidi="ar-SA"/>
        </w:rPr>
        <w:t xml:space="preserve">حيث إنّ الظاهر منها أنّ الأوصاف كالحرارة </w:t>
      </w:r>
    </w:p>
    <w:p>
      <w:pPr>
        <w:pStyle w:val="BookText"/>
        <w:rPr/>
      </w:pPr>
      <w:r>
        <w:rPr>
          <w:rFonts w:ascii="Amiri" w:hAnsi="Amiri" w:eastAsia="Amiri" w:cs="Amiri"/>
          <w:color w:val="111111"/>
          <w:sz w:val="28"/>
          <w:sz w:val="28"/>
          <w:szCs w:val="28"/>
          <w:rtl w:val="true"/>
          <w:lang w:bidi="ar-SA"/>
        </w:rPr>
        <w:t xml:space="preserve">والحمرة والدفع وغيرها ، كما تكون أمارة الحيض كذلك مقابلاتها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الصفرة</w:t>
      </w:r>
    </w:p>
    <w:p>
      <w:pPr>
        <w:pStyle w:val="BookText"/>
        <w:rPr/>
      </w:pPr>
      <w:r>
        <w:rPr>
          <w:rFonts w:ascii="Amiri" w:hAnsi="Amiri" w:eastAsia="Amiri" w:cs="Amiri"/>
          <w:color w:val="111111"/>
          <w:sz w:val="28"/>
          <w:sz w:val="28"/>
          <w:szCs w:val="28"/>
          <w:rtl w:val="true"/>
          <w:lang w:bidi="ar-SA"/>
        </w:rPr>
        <w:t xml:space="preserve">والبرودة والفساد والفتور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أمارات الاستحاضة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وجه للتفكيك بينهما مع كون لسان الدليل واحداً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وفائدة جعل الأمارتين ظاهرة ؛ ضرورة أ نّه مع أمارية صفات الحيض فقط ، لا يحكم على الدم الخالي منها بكونه استحاضة ، فمع تمامية قاعدة الإمكان يحكم بالحيضية ، ومع عدم تماميتها لا بدّ من الاحتياط والعمل بالعلم الإجمالي ، بخلاف ما لو كانت الصفات المقابلة أمارات الاستحاضة ، فلا تجري القاعدة ؛ لحكومة أدلّة الأمارات عليها وإخراج موضوعها عن القاعدة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جعل أوصاف الاستحاضة أمارةً عليها ، أقرب من جعل أوصاف الحيض أمارة عليه ؛ لأنّ صفات الحيض نوعاً صفات مشتركة بينه وبين سائر الدماء ، بخلاف صفات الاستحاضة ، فإنّها صفات مختصّة بها نوعاً ، وكون الصفات المختصّة أمارة على ما تختصّ به ، أقرب من أمارية الصفات المشتركة ولو في فرض الدوران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الروايات في أمارية كلٍّ من القبيلين ، فحينئذٍ يحكم بكون الصفرة استحاضة مطلقاً إلاّ ما خرج بالدليل ، ككونها في أيّام العادة أو قبلها أو بعدها بقليل ، كما مرّ</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وتدلّ على المطلوب أيضاً روايات ، كصحيحة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المرأة ترى الصفرة في أيّامها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تصلّي حتّى تنقضي </w:t>
      </w:r>
    </w:p>
    <w:p>
      <w:pPr>
        <w:pStyle w:val="BookText"/>
        <w:rPr/>
      </w:pPr>
      <w:r>
        <w:rPr>
          <w:rFonts w:ascii="Amiri" w:hAnsi="Amiri" w:eastAsia="Amiri" w:cs="Amiri"/>
          <w:color w:val="111111"/>
          <w:sz w:val="28"/>
          <w:sz w:val="28"/>
          <w:szCs w:val="28"/>
          <w:rtl w:val="true"/>
          <w:lang w:bidi="ar-SA"/>
        </w:rPr>
        <w:t>أيّامها ، وإن رأت الصفرة في غير أيّامها توضّأت وصلّت</w:t>
      </w:r>
      <w:r>
        <w:rPr>
          <w:rFonts w:eastAsia="Amiri" w:cs="Amiri" w:ascii="Amiri" w:hAnsi="Amiri"/>
          <w:color w:val="111111"/>
          <w:sz w:val="28"/>
          <w:szCs w:val="28"/>
          <w:rtl w:val="true"/>
          <w:lang w:bidi="ar-SA"/>
        </w:rPr>
        <w:t>»</w:t>
      </w:r>
      <w:r>
        <w:rPr>
          <w:rStyle w:val="FootnoteAnchor"/>
          <w:rtl w:val="true"/>
        </w:rPr>
        <w:footnoteReference w:id="366"/>
      </w:r>
      <w:r>
        <w:rPr>
          <w:rFonts w:ascii="Amiri" w:hAnsi="Amiri" w:eastAsia="Amiri" w:cs="Amiri"/>
          <w:color w:val="111111"/>
          <w:sz w:val="28"/>
          <w:sz w:val="28"/>
          <w:szCs w:val="28"/>
          <w:rtl w:val="true"/>
          <w:lang w:bidi="ar-SA"/>
        </w:rPr>
        <w:t xml:space="preserve">ظاهرها حدوث الرؤية في العادة أو بعدها ، ولو اُنكر الظهور فيه فلا أقلّ من الإطلاق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أنّ الشيخ الأعظم تمسّك بها لعدم التحيّض بما رأت قبل أيّام العادة ،</w:t>
      </w:r>
    </w:p>
    <w:p>
      <w:pPr>
        <w:pStyle w:val="BookText"/>
        <w:rPr/>
      </w:pPr>
      <w:r>
        <w:rPr>
          <w:rFonts w:ascii="Amiri" w:hAnsi="Amiri" w:eastAsia="Amiri" w:cs="Amiri"/>
          <w:color w:val="111111"/>
          <w:sz w:val="28"/>
          <w:sz w:val="28"/>
          <w:szCs w:val="28"/>
          <w:rtl w:val="true"/>
          <w:lang w:bidi="ar-SA"/>
        </w:rPr>
        <w:t>ولم يتمسّك بها لما بعدها ، وأفتى بالتحيّض برؤية الصفرة لوجوه ضعيفة</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وكموثّقة أبي بصير المتقدّمة</w:t>
      </w:r>
      <w:r>
        <w:rPr>
          <w:rStyle w:val="FootnoteAnchor"/>
          <w:rtl w:val="true"/>
        </w:rPr>
        <w:footnoteReference w:id="368"/>
      </w:r>
      <w:r>
        <w:rPr>
          <w:rFonts w:ascii="Amiri" w:hAnsi="Amiri" w:eastAsia="Amiri" w:cs="Amiri"/>
          <w:color w:val="111111"/>
          <w:sz w:val="28"/>
          <w:sz w:val="28"/>
          <w:szCs w:val="28"/>
          <w:rtl w:val="true"/>
          <w:lang w:bidi="ar-SA"/>
        </w:rPr>
        <w:t>بالتقريب المتقدّم</w:t>
      </w:r>
      <w:r>
        <w:rPr>
          <w:rStyle w:val="FootnoteAnchor"/>
          <w:rtl w:val="true"/>
        </w:rPr>
        <w:footnoteReference w:id="369"/>
      </w:r>
      <w:r>
        <w:rPr>
          <w:rFonts w:ascii="Amiri" w:hAnsi="Amiri" w:eastAsia="Amiri" w:cs="Amiri"/>
          <w:color w:val="111111"/>
          <w:sz w:val="28"/>
          <w:sz w:val="28"/>
          <w:szCs w:val="28"/>
          <w:rtl w:val="true"/>
          <w:lang w:bidi="ar-SA"/>
        </w:rPr>
        <w:t xml:space="preserve">دلّت على أنّ الصفرة قبل أيّام الحيض بأكثر من يومين وبعدها بيومين وصاعداً ، ليست بحيض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الروايات الدالّة على أ نّه إذا رأت الصفرة قبل انقضاء أيّام عادتها لم تصلّ ، وإن رأت بعدها صلّت</w:t>
      </w:r>
      <w:r>
        <w:rPr>
          <w:rStyle w:val="FootnoteAnchor"/>
          <w:rtl w:val="true"/>
        </w:rPr>
        <w:footnoteReference w:id="370"/>
      </w:r>
      <w:r>
        <w:rPr>
          <w:rFonts w:ascii="Amiri" w:hAnsi="Amiri" w:eastAsia="Amiri" w:cs="Amiri"/>
          <w:color w:val="111111"/>
          <w:sz w:val="28"/>
          <w:sz w:val="28"/>
          <w:szCs w:val="28"/>
          <w:rtl w:val="true"/>
          <w:lang w:bidi="ar-SA"/>
        </w:rPr>
        <w:t xml:space="preserve">؛ فإنّ إطلاقها يقتضي أن لا تكون الصفرة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حدثت بعد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حيضاً ؛ سواء رأت الدم في العادة فطهرت ثمّ رأت صفرة ، أو لم تَرَ في العادة ورأت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وتخصيصها بما إذا استمرّ دمها إلى ما بعد العادة ، لا وجه له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وكصريح صحيحة ابن الحجّاج المتقدّمة</w:t>
      </w:r>
      <w:r>
        <w:rPr>
          <w:rStyle w:val="FootnoteAnchor"/>
          <w:rtl w:val="true"/>
        </w:rPr>
        <w:footnoteReference w:id="371"/>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من الروايات </w:t>
      </w:r>
      <w:r>
        <w:rPr>
          <w:rFonts w:eastAsia="Amiri" w:cs="Amiri" w:ascii="Amiri" w:hAnsi="Amiri"/>
          <w:color w:val="111111"/>
          <w:sz w:val="28"/>
          <w:szCs w:val="28"/>
          <w:rtl w:val="true"/>
          <w:lang w:bidi="ar-SA"/>
        </w:rPr>
        <w:t xml:space="preserve">. </w:t>
      </w:r>
      <w:bookmarkStart w:id="248" w:name="pg15019_190687"/>
    </w:p>
    <w:p>
      <w:pPr>
        <w:pStyle w:val="Heading6"/>
        <w:numPr>
          <w:ilvl w:val="5"/>
          <w:numId w:val="1"/>
        </w:numPr>
        <w:rPr/>
      </w:pPr>
      <w:bookmarkStart w:id="249" w:name="__RefHeading___Toc686342_3406789950"/>
      <w:bookmarkStart w:id="250" w:name="_Toc89"/>
      <w:bookmarkEnd w:id="248"/>
      <w:bookmarkEnd w:id="249"/>
      <w:r>
        <w:rPr>
          <w:rtl w:val="true"/>
        </w:rPr>
        <w:t>التمسّك بقاعدة الإمكان لإثبات حيضية الدم الجامع لصفات الاستحاضة</w:t>
      </w:r>
      <w:bookmarkEnd w:id="250"/>
    </w:p>
    <w:p>
      <w:pPr>
        <w:pStyle w:val="BookText"/>
        <w:rPr/>
      </w:pPr>
      <w:r>
        <w:rPr>
          <w:rFonts w:ascii="Amiri" w:hAnsi="Amiri" w:eastAsia="Amiri" w:cs="Amiri"/>
          <w:color w:val="111111"/>
          <w:sz w:val="28"/>
          <w:sz w:val="28"/>
          <w:szCs w:val="28"/>
          <w:rtl w:val="true"/>
          <w:lang w:bidi="ar-SA"/>
        </w:rPr>
        <w:t xml:space="preserve">وليس في مقابلها إلاّ قاعدة الإمكان ، وقد مرّ عدم الدليل عليها </w:t>
      </w:r>
      <w:r>
        <w:rPr>
          <w:rStyle w:val="FootnoteAnchor"/>
          <w:rtl w:val="true"/>
        </w:rPr>
        <w:footnoteReference w:id="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تسليم تماميتها تكون الأدلّة المتقدّمة حاكمة أو واردة عليها ؛ ضرورة أنّ موضوعها ما يمكن أن يكون حيضاً ، وقد مرّ أنّ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يدلّ دليل على عدم حيضيته</w:t>
      </w:r>
      <w:r>
        <w:rPr>
          <w:rStyle w:val="FootnoteAnchor"/>
          <w:rtl w:val="true"/>
        </w:rPr>
        <w:footnoteReference w:id="373"/>
      </w:r>
      <w:r>
        <w:rPr>
          <w:rFonts w:ascii="Amiri" w:hAnsi="Amiri" w:eastAsia="Amiri" w:cs="Amiri"/>
          <w:color w:val="111111"/>
          <w:sz w:val="28"/>
          <w:sz w:val="28"/>
          <w:szCs w:val="28"/>
          <w:rtl w:val="true"/>
          <w:lang w:bidi="ar-SA"/>
        </w:rPr>
        <w:t xml:space="preserve">، فبقيام الأمارة على الاستحاضة وما تقدّم من الأدلّة على عدم الحيضية ، ينتفي موضوعها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الشيخ الأعظم على القاعدة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بأنّ موضوعها الإمكان المستقرّ ، ولا يمكن إحرازه بالأصل ؛ لمنع جريان أصالة البقاء في مثل المقام ، بل الأصل عدم حدوث الزائد على ما 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 جريانها ، لكنّه لا يجدي في إثبات الإمكان المستقرّ ليدخل تحت معاقد إجماعات القاعدة ؛ لأنّ مراد المجمعين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الواقعي المتيقّن ، 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الموجود في ثلاثة أيّام ،</w:t>
      </w:r>
    </w:p>
    <w:p>
      <w:pPr>
        <w:pStyle w:val="BookText"/>
        <w:rPr/>
      </w:pPr>
      <w:r>
        <w:rPr>
          <w:rFonts w:ascii="Amiri" w:hAnsi="Amiri" w:eastAsia="Amiri" w:cs="Amiri"/>
          <w:color w:val="111111"/>
          <w:sz w:val="28"/>
          <w:sz w:val="28"/>
          <w:szCs w:val="28"/>
          <w:rtl w:val="true"/>
          <w:lang w:bidi="ar-SA"/>
        </w:rPr>
        <w:t xml:space="preserve">وليس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الإمكان المستقرّ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وارداً في نصّ شرعي حتّى يترتّب على الثابت منه بالاستصحاب ما يترتّب على المستقرّ الواقعي ، فافهم</w:t>
      </w:r>
      <w:r>
        <w:rPr>
          <w:rFonts w:eastAsia="Amiri" w:cs="Amiri" w:ascii="Amiri" w:hAnsi="Amiri"/>
          <w:color w:val="111111"/>
          <w:sz w:val="28"/>
          <w:szCs w:val="28"/>
          <w:rtl w:val="true"/>
          <w:lang w:bidi="ar-SA"/>
        </w:rPr>
        <w:t>»</w:t>
      </w:r>
      <w:r>
        <w:rPr>
          <w:rStyle w:val="FootnoteAnchor"/>
          <w:rtl w:val="true"/>
        </w:rPr>
        <w:footnoteReference w:id="374"/>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جريان الأصل لو كان لأجل عدم جريانه في المتصرّمات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لعدم البقاء لها ؛ لأنّ كلّ قطعة منها غير الاُخرى ، فالدم في اليوم الثاني غير ما</w:t>
      </w:r>
    </w:p>
    <w:p>
      <w:pPr>
        <w:pStyle w:val="BookText"/>
        <w:rPr/>
      </w:pPr>
      <w:r>
        <w:rPr>
          <w:rFonts w:ascii="Amiri" w:hAnsi="Amiri" w:eastAsia="Amiri" w:cs="Amiri"/>
          <w:color w:val="111111"/>
          <w:sz w:val="28"/>
          <w:sz w:val="28"/>
          <w:szCs w:val="28"/>
          <w:rtl w:val="true"/>
          <w:lang w:bidi="ar-SA"/>
        </w:rPr>
        <w:t>في اليوم الأوّل ، فلا يجري فيها الأصل إلاّ على القول بالجريان في القسم الثالث</w:t>
      </w:r>
    </w:p>
    <w:p>
      <w:pPr>
        <w:pStyle w:val="BookText"/>
        <w:rPr/>
      </w:pPr>
      <w:r>
        <w:rPr>
          <w:rFonts w:ascii="Amiri" w:hAnsi="Amiri" w:eastAsia="Amiri" w:cs="Amiri"/>
          <w:color w:val="111111"/>
          <w:sz w:val="28"/>
          <w:sz w:val="28"/>
          <w:szCs w:val="28"/>
          <w:rtl w:val="true"/>
          <w:lang w:bidi="ar-SA"/>
        </w:rPr>
        <w:t xml:space="preserve">من الكلّي ، فلا محيص من إجراء أصل عدم الحدوث بالنسبة إلى غير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قد حقّق في محلّه</w:t>
      </w:r>
      <w:r>
        <w:rPr>
          <w:rStyle w:val="FootnoteAnchor"/>
          <w:rtl w:val="true"/>
        </w:rPr>
        <w:footnoteReference w:id="375"/>
      </w:r>
      <w:r>
        <w:rPr>
          <w:rFonts w:ascii="Amiri" w:hAnsi="Amiri" w:eastAsia="Amiri" w:cs="Amiri"/>
          <w:color w:val="111111"/>
          <w:sz w:val="28"/>
          <w:sz w:val="28"/>
          <w:szCs w:val="28"/>
          <w:rtl w:val="true"/>
          <w:lang w:bidi="ar-SA"/>
        </w:rPr>
        <w:t xml:space="preserve">جريان الأصل فيها ؛ وأنّ هذه المتصرّمات ليست مركّبة من قطعات متكثّرة ؛ لا عقلاً ، وإلاّ لزم مفاسد الجزء الذي لا يتجزّأ </w:t>
      </w:r>
      <w:r>
        <w:rPr>
          <w:rStyle w:val="FootnoteAnchor"/>
          <w:rtl w:val="true"/>
        </w:rPr>
        <w:footnoteReference w:id="376"/>
      </w:r>
      <w:r>
        <w:rPr>
          <w:rFonts w:ascii="Amiri" w:hAnsi="Amiri" w:eastAsia="Amiri" w:cs="Amiri"/>
          <w:color w:val="111111"/>
          <w:sz w:val="28"/>
          <w:sz w:val="28"/>
          <w:szCs w:val="28"/>
          <w:rtl w:val="true"/>
          <w:lang w:bidi="ar-SA"/>
        </w:rPr>
        <w:t xml:space="preserve">، ولا عرفاً ؛ لأنّ العرف يرى الماء الجاري والحركة شيئاً واحداً له البقاء ؛ وإن كانت وحدته وبقاؤه بنحو التصرّم والتغيّر ، فالدم الجاري المتّصل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 وجوده إلى زمان انقطاعه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واحد متّصل متصرّم باقٍ دائم ، لا اُمور متكثّرة ومصاديق متعدّدة متلاصقة ، فمع العلم بوجوده والشكّ في انقطاعه ، تكون القضيّة المتيقّنة والمشكوك فيها واحدة ، ويصدق عدم نقض اليقين بالشكّ بلا ريب ، فحينئذٍ يكون المستصحب شخصياً لا كلّياً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التحقيق جريان الأصل في القسم الثالث من الكلّي في مثل الدم</w:t>
      </w:r>
    </w:p>
    <w:p>
      <w:pPr>
        <w:pStyle w:val="BookText"/>
        <w:rPr/>
      </w:pPr>
      <w:r>
        <w:rPr>
          <w:rFonts w:ascii="IRNazanin" w:hAnsi="IRNazanin" w:eastAsia="IRNazanin"/>
          <w:color w:val="111111"/>
          <w:sz w:val="28"/>
          <w:sz w:val="28"/>
          <w:szCs w:val="28"/>
          <w:rtl w:val="true"/>
          <w:lang w:bidi="fa-IR"/>
        </w:rPr>
        <w:t>السائل</w:t>
      </w:r>
      <w:r>
        <w:rPr>
          <w:rStyle w:val="FootnoteAnchor"/>
          <w:rtl w:val="true"/>
        </w:rPr>
        <w:footnoteReference w:id="377"/>
      </w:r>
      <w:r>
        <w:rPr>
          <w:rFonts w:ascii="Amiri" w:hAnsi="Amiri" w:eastAsia="Amiri" w:cs="Amiri"/>
          <w:color w:val="111111"/>
          <w:sz w:val="28"/>
          <w:sz w:val="28"/>
          <w:szCs w:val="28"/>
          <w:rtl w:val="true"/>
          <w:lang w:bidi="ar-SA"/>
        </w:rPr>
        <w:t xml:space="preserve">، وأصالة عدم حدوث الزائد لا تنفي الكلّي إلاّ بالأصل المثبت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إجداء الأصل في إثبات الإمكان المستقرّ ، الظاهر منه الفرق بين كون الدليل عليه الإجماع والدليل اللفظي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إن كان المدّعى أنّ الإجماع قائم على الدم المتيقّن في ثلاثة أيّام ؛ بحيث كان اليقين جزءاً للموضوع ، فلا يخفى ما فيه ؛ ضرورة أنّ ما ادّعي الإجماع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 دم يمكن أن يكون حيضاً فهو حيض</w:t>
      </w:r>
      <w:r>
        <w:rPr>
          <w:rFonts w:eastAsia="Amiri" w:cs="Amiri" w:ascii="Amiri" w:hAnsi="Amiri"/>
          <w:color w:val="111111"/>
          <w:sz w:val="28"/>
          <w:szCs w:val="28"/>
          <w:rtl w:val="true"/>
          <w:lang w:bidi="ar-SA"/>
        </w:rPr>
        <w:t xml:space="preserve">» . </w:t>
      </w:r>
      <w:bookmarkStart w:id="251" w:name="pg15019_190689"/>
    </w:p>
    <w:p>
      <w:pPr>
        <w:pStyle w:val="BookText"/>
        <w:rPr/>
      </w:pPr>
      <w:bookmarkEnd w:id="251"/>
      <w:r>
        <w:rPr>
          <w:rFonts w:ascii="Amiri" w:hAnsi="Amiri" w:eastAsia="Amiri" w:cs="Amiri"/>
          <w:color w:val="111111"/>
          <w:sz w:val="28"/>
          <w:sz w:val="28"/>
          <w:szCs w:val="28"/>
          <w:rtl w:val="true"/>
          <w:lang w:bidi="ar-SA"/>
        </w:rPr>
        <w:t xml:space="preserve">وإن كان المراد أنّ الحكم وإن ثبت للدم الواقعي المستمرّ إلى ثلاثة ، لكنّ القدر المتيقّن من الإجماع هو الدم الثابت باليقين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الثبوت باليقين إن كان قيداً للموضوع ، فيرجع إلى الوجه الأوّل ، وإن كان الحكم ثابتاً للموضوع الواقعي فالأصل محرز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كان موضوع القاعدة هو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يمكن إحرازه بأصالة بقاء الدم إلى ثلاثة أيّام إلاّ بالأصل المثبت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سابقاً </w:t>
      </w:r>
      <w:r>
        <w:rPr>
          <w:rStyle w:val="FootnoteAnchor"/>
          <w:rtl w:val="true"/>
        </w:rPr>
        <w:footnoteReference w:id="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القاعدة ليس هذا العنوان ؛ إذ ليس 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المصطلح عند المنطقيين ، بل المراد ما لم يقم دليل شرعي على عدم حيضيته ، فكلّ دم لم يقم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عقل أو 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حيضيته فهو حيض ، فالدم الموجود ممّا لم يقم دليل على عدم حيضيته ؛ من غير ناحية عدم الاستمرار إلى ثلاثة أيّام بالوجدان ، ومن ناحيته بالأصل ، فيحرز الموضوع بهما ؛ لأنّ الموضوع مركّب لا مقيّد </w:t>
      </w:r>
      <w:r>
        <w:rPr>
          <w:rFonts w:eastAsia="Amiri" w:cs="Amiri" w:ascii="Amiri" w:hAnsi="Amiri"/>
          <w:color w:val="111111"/>
          <w:sz w:val="28"/>
          <w:szCs w:val="28"/>
          <w:rtl w:val="true"/>
          <w:lang w:bidi="ar-SA"/>
        </w:rPr>
        <w:t>.</w:t>
      </w:r>
    </w:p>
    <w:p>
      <w:pPr>
        <w:pStyle w:val="Heading6"/>
        <w:numPr>
          <w:ilvl w:val="5"/>
          <w:numId w:val="1"/>
        </w:numPr>
        <w:rPr/>
      </w:pPr>
      <w:bookmarkStart w:id="252" w:name="__RefHeading___Toc686344_3406789950"/>
      <w:bookmarkStart w:id="253" w:name="_Toc90"/>
      <w:bookmarkEnd w:id="252"/>
      <w:r>
        <w:rPr>
          <w:rtl w:val="true"/>
        </w:rPr>
        <w:t xml:space="preserve">الجهة الرابعة </w:t>
      </w:r>
      <w:r>
        <w:rPr>
          <w:rtl w:val="true"/>
        </w:rPr>
        <w:t xml:space="preserve">: </w:t>
      </w:r>
      <w:r>
        <w:rPr>
          <w:rtl w:val="true"/>
        </w:rPr>
        <w:t>في حكم ذات العادة العددية المحضة</w:t>
      </w:r>
      <w:bookmarkEnd w:id="253"/>
    </w:p>
    <w:p>
      <w:pPr>
        <w:pStyle w:val="Heading6"/>
        <w:numPr>
          <w:ilvl w:val="5"/>
          <w:numId w:val="1"/>
        </w:numPr>
        <w:rPr/>
      </w:pPr>
      <w:bookmarkStart w:id="254" w:name="__RefHeading___Toc686346_3406789950"/>
      <w:bookmarkStart w:id="255" w:name="_Toc91"/>
      <w:bookmarkEnd w:id="254"/>
      <w:r>
        <w:rPr>
          <w:rtl w:val="true"/>
        </w:rPr>
        <w:t>اشارة</w:t>
      </w:r>
      <w:bookmarkEnd w:id="255"/>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ذات العادة العددية المحضة ، إن رأت بصفة الحيض تتحيّض بمجرّد الرؤية ؛ لما مرّ من أخبار الصفات</w:t>
      </w:r>
      <w:r>
        <w:rPr>
          <w:rStyle w:val="FootnoteAnchor"/>
          <w:rtl w:val="true"/>
        </w:rPr>
        <w:footnoteReference w:id="379"/>
      </w:r>
      <w:r>
        <w:rPr>
          <w:rFonts w:ascii="Amiri" w:hAnsi="Amiri" w:eastAsia="Amiri" w:cs="Amiri"/>
          <w:color w:val="111111"/>
          <w:sz w:val="28"/>
          <w:sz w:val="28"/>
          <w:szCs w:val="28"/>
          <w:rtl w:val="true"/>
          <w:lang w:bidi="ar-SA"/>
        </w:rPr>
        <w:t>، وقد مرّ عدم اختصاصها بمستمرّة الدم</w:t>
      </w:r>
      <w:r>
        <w:rPr>
          <w:rStyle w:val="FootnoteAnchor"/>
          <w:rtl w:val="true"/>
        </w:rPr>
        <w:footnoteReference w:id="380"/>
      </w:r>
      <w:r>
        <w:rPr>
          <w:rFonts w:ascii="Amiri" w:hAnsi="Amiri" w:eastAsia="Amiri" w:cs="Amiri"/>
          <w:color w:val="111111"/>
          <w:sz w:val="28"/>
          <w:sz w:val="28"/>
          <w:szCs w:val="28"/>
          <w:rtl w:val="true"/>
          <w:lang w:bidi="ar-SA"/>
        </w:rPr>
        <w:t xml:space="preserve">، وسيأتي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الاستحاضة تتمّة البحث فيها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رأت بصفات الاستحاضة يحكم بها ؛ بناءً على أمارية الأوصاف 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يقال بتحيّضها مطلقاً ، واستأنس 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الإجماع المدّعى على ذات العادة ، وصدق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دلّ على التحيّض بمجرّد الرؤية في معتادة الوقت لو رأت قبل وقتها ، كخبر علي بن أبي حمزة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عبداللّه علیه السلام وأنا حاضر عن المرأة ترى الصفرة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قبل الحيض فهو من الحيض ، وما كان بعد الحيض فليس منه</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ومضمر معاوية بن حكيم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الصفرة قبل الحيض بيومين فهو من الحيض ، وبعد أيّام الحيض فليس من الحيض</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وخبر سماعة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ربّما تعجّل بها الوقت</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بتقريب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مدار التحيّض بالرؤية على الوقت ، لما حكم في</w:t>
      </w:r>
    </w:p>
    <w:p>
      <w:pPr>
        <w:pStyle w:val="BookText"/>
        <w:rPr/>
      </w:pPr>
      <w:r>
        <w:rPr>
          <w:rFonts w:ascii="Amiri" w:hAnsi="Amiri" w:eastAsia="Amiri" w:cs="Amiri"/>
          <w:color w:val="111111"/>
          <w:sz w:val="28"/>
          <w:sz w:val="28"/>
          <w:szCs w:val="28"/>
          <w:rtl w:val="true"/>
          <w:lang w:bidi="ar-SA"/>
        </w:rPr>
        <w:t>هذه الأخبار بذلك وإن لم تَرَه فيه</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ما لا يخفى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الإجماع فلعدم ثبوته ، بل الظاهر اختصاص معقد الإجماع بذات العادة الوقتية ، 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تترك ذات العادة الصلاة والصوم برؤية الدم ، وهو مذهب أهل العلم ؛ لأنّ المعتاد كالمتيقّن ، ولما رواه يونس عن بعض رجاله ، عن الصادق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رأت المرأة الدم في أيّام حيضها تركت الصلاة</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 بذات العادة الوقتية ؛ ضرورة أنّ ذات العادة العددية ليست بالنسبة إلى الوقت معتادة ، وليس لها أيّام معلومة حتّى ترجع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وأصرح منه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387"/>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وتترك ذات العادة الصلاة والصوم برؤية الدم في وقت عادتها ، وهو قول كلّ من يحفظ عنه العلم ؛ لأنّ العادة كالمتيقّن ، وروى الجمهور عن النبي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دعي الصلاة أيّام أقرائك</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صريحة في ذات العادة الوقتية ، وحينئذٍ لا يبقى وثوق بإطلاق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389"/>
      </w:r>
      <w:r>
        <w:rPr>
          <w:rFonts w:ascii="Amiri" w:hAnsi="Amiri" w:eastAsia="Amiri" w:cs="Amiri"/>
          <w:color w:val="111111"/>
          <w:sz w:val="28"/>
          <w:sz w:val="28"/>
          <w:szCs w:val="28"/>
          <w:rtl w:val="true"/>
          <w:lang w:bidi="ar-SA"/>
        </w:rPr>
        <w:t xml:space="preserve">ولا يحضرني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الروايات فالاستئناس بها بعيد ، بل غير ممكن ؛ لأنّ لتقدّم الوقت وتأخّره خصوصيةً كما تقدّم</w:t>
      </w:r>
      <w:r>
        <w:rPr>
          <w:rStyle w:val="FootnoteAnchor"/>
          <w:rtl w:val="true"/>
        </w:rPr>
        <w:footnoteReference w:id="391"/>
      </w:r>
      <w:r>
        <w:rPr>
          <w:rFonts w:ascii="Amiri" w:hAnsi="Amiri" w:eastAsia="Amiri" w:cs="Amiri"/>
          <w:color w:val="111111"/>
          <w:sz w:val="28"/>
          <w:sz w:val="28"/>
          <w:szCs w:val="28"/>
          <w:rtl w:val="true"/>
          <w:lang w:bidi="ar-SA"/>
        </w:rPr>
        <w:t xml:space="preserve">، فلا يمكن إلغاؤها ورفع اليد عن أدلّة التمييز بهذا </w:t>
      </w:r>
      <w:bookmarkStart w:id="256" w:name="pg15019_190692"/>
    </w:p>
    <w:p>
      <w:pPr>
        <w:pStyle w:val="BookText"/>
        <w:rPr/>
      </w:pPr>
      <w:bookmarkEnd w:id="256"/>
      <w:r>
        <w:rPr>
          <w:rFonts w:ascii="Amiri" w:hAnsi="Amiri" w:eastAsia="Amiri" w:cs="Amiri"/>
          <w:color w:val="111111"/>
          <w:sz w:val="28"/>
          <w:sz w:val="28"/>
          <w:szCs w:val="28"/>
          <w:rtl w:val="true"/>
          <w:lang w:bidi="ar-SA"/>
        </w:rPr>
        <w:t>الوجه المخالف للاعتبار ودلالة الأخبار ، فعدم التحيّض بمجرّد الرؤية مع فقد</w:t>
      </w:r>
    </w:p>
    <w:p>
      <w:pPr>
        <w:pStyle w:val="BookText"/>
        <w:rPr/>
      </w:pPr>
      <w:r>
        <w:rPr>
          <w:rFonts w:ascii="Amiri" w:hAnsi="Amiri" w:eastAsia="Amiri" w:cs="Amiri"/>
          <w:color w:val="111111"/>
          <w:sz w:val="28"/>
          <w:sz w:val="28"/>
          <w:szCs w:val="28"/>
          <w:rtl w:val="true"/>
          <w:lang w:bidi="ar-SA"/>
        </w:rPr>
        <w:t xml:space="preserve">صفات الحيض ، أشبه بالقواعد والاُصول </w:t>
      </w:r>
      <w:r>
        <w:rPr>
          <w:rFonts w:eastAsia="Amiri" w:cs="Amiri" w:ascii="Amiri" w:hAnsi="Amiri"/>
          <w:color w:val="111111"/>
          <w:sz w:val="28"/>
          <w:szCs w:val="28"/>
          <w:rtl w:val="true"/>
          <w:lang w:bidi="ar-SA"/>
        </w:rPr>
        <w:t>.</w:t>
      </w:r>
    </w:p>
    <w:p>
      <w:pPr>
        <w:pStyle w:val="Heading6"/>
        <w:numPr>
          <w:ilvl w:val="5"/>
          <w:numId w:val="1"/>
        </w:numPr>
        <w:rPr/>
      </w:pPr>
      <w:bookmarkStart w:id="257" w:name="__RefHeading___Toc686348_3406789950"/>
      <w:bookmarkStart w:id="258" w:name="_Toc92"/>
      <w:bookmarkEnd w:id="257"/>
      <w:r>
        <w:rPr>
          <w:rtl w:val="true"/>
        </w:rPr>
        <w:t>حكم المبتدئة والمضطربة والناسية</w:t>
      </w:r>
      <w:bookmarkEnd w:id="258"/>
    </w:p>
    <w:p>
      <w:pPr>
        <w:pStyle w:val="BookText"/>
        <w:rPr/>
      </w:pPr>
      <w:r>
        <w:rPr>
          <w:rFonts w:ascii="Amiri" w:hAnsi="Amiri" w:eastAsia="Amiri" w:cs="Amiri"/>
          <w:color w:val="111111"/>
          <w:sz w:val="28"/>
          <w:sz w:val="28"/>
          <w:szCs w:val="28"/>
          <w:rtl w:val="true"/>
          <w:lang w:bidi="ar-SA"/>
        </w:rPr>
        <w:t xml:space="preserve">ثمّ إنّه بما مرّ من الأدلّة ظهر حال المبتدئة والمضطربة ، بل الناسية أيضاً ؛ فإنّ الدليل فيها هو تلك الأدلّة ، ويأتي فيها التفصيل المتقدّم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قد يتوهّم في المبتدئة دلالة بعض الأخبار على تحيّضها بمجرّد الرؤية مطلقاً </w:t>
      </w:r>
      <w:r>
        <w:rPr>
          <w:rStyle w:val="FootnoteAnchor"/>
          <w:rtl w:val="true"/>
        </w:rPr>
        <w:footnoteReference w:id="392"/>
      </w:r>
      <w:r>
        <w:rPr>
          <w:rFonts w:ascii="Amiri" w:hAnsi="Amiri" w:eastAsia="Amiri" w:cs="Amiri"/>
          <w:color w:val="111111"/>
          <w:sz w:val="28"/>
          <w:sz w:val="28"/>
          <w:szCs w:val="28"/>
          <w:rtl w:val="true"/>
          <w:lang w:bidi="ar-SA"/>
        </w:rPr>
        <w:t xml:space="preserve">، كرواية 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الجارية أوّل ما تحيض يدفع عليها الدم ، فتكون مستحاضة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إنّها تنتظر بالصلاة ، فلا تصلّي حتّى يمضي أكثر ما يكون من الحيض </w:t>
      </w:r>
      <w:r>
        <w:rPr>
          <w:rFonts w:eastAsia="Amiri" w:cs="Amiri" w:ascii="Amiri" w:hAnsi="Amiri"/>
          <w:color w:val="111111"/>
          <w:sz w:val="28"/>
          <w:szCs w:val="28"/>
          <w:rtl w:val="true"/>
          <w:lang w:bidi="ar-SA"/>
        </w:rPr>
        <w:t>. . .»</w:t>
      </w:r>
      <w:r>
        <w:rPr>
          <w:rStyle w:val="FootnoteAnchor"/>
          <w:rtl w:val="true"/>
        </w:rPr>
        <w:footnoteReference w:id="393"/>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وكموثّقته عن أبي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المرأة إذا رأت الدم في أوّل حيضها ، فاستمرّ بها الدم بعد ذلك ، تركت الصلاة عشرة أيّام </w:t>
      </w:r>
      <w:r>
        <w:rPr>
          <w:rFonts w:eastAsia="IRNazanin" w:cs="IRNazanin"/>
          <w:color w:val="111111"/>
          <w:sz w:val="28"/>
          <w:szCs w:val="28"/>
          <w:rtl w:val="true"/>
          <w:lang w:bidi="fa-IR"/>
        </w:rPr>
        <w:t>. . .»</w:t>
      </w:r>
      <w:r>
        <w:rPr>
          <w:rStyle w:val="FootnoteAnchor"/>
          <w:rtl w:val="true"/>
        </w:rPr>
        <w:footnoteReference w:id="394"/>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ومضمرة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الجارية البكر أوّل ما تحيض ، فتقعد في الشهر يومين ، وفي الشهر ثلاثة أيّام ، يختلف عليها ؛ لا يكون طمثها في الشهر عدّة أيّام سواء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فلها أن تجلس وتدع الصلاة ما دامت ترى </w:t>
      </w:r>
      <w:bookmarkStart w:id="259" w:name="pg15019_190693"/>
    </w:p>
    <w:p>
      <w:pPr>
        <w:pStyle w:val="BookText"/>
        <w:rPr/>
      </w:pPr>
      <w:bookmarkEnd w:id="259"/>
      <w:r>
        <w:rPr>
          <w:rFonts w:ascii="Amiri" w:hAnsi="Amiri" w:eastAsia="Amiri" w:cs="Amiri"/>
          <w:color w:val="111111"/>
          <w:sz w:val="28"/>
          <w:sz w:val="28"/>
          <w:szCs w:val="28"/>
          <w:rtl w:val="true"/>
          <w:lang w:bidi="ar-SA"/>
        </w:rPr>
        <w:t>الدم ؛ ما لم يجُز العشرة</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احتمال انصراف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المتّصف بصفات الحيض ؛ أي الحمرة ، كما جعلت مقابل الصفرة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تلك الروايات في مقام بيان حكم آخر ، فلا يمكن التمسّك بإطلاقها لما نحن بصدده ، وهو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الكلام في حال موثّقتي ابن بكير في باب الاستحاضة</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0" w:name="__RefHeading___Toc686350_3406789950"/>
      <w:bookmarkStart w:id="261" w:name="_Toc93"/>
      <w:bookmarkEnd w:id="260"/>
      <w:r>
        <w:rPr>
          <w:rtl w:val="true"/>
        </w:rPr>
        <w:t>حكم تعارض الأمارتين</w:t>
      </w:r>
      <w:bookmarkEnd w:id="261"/>
    </w:p>
    <w:p>
      <w:pPr>
        <w:pStyle w:val="BookText"/>
        <w:rPr/>
      </w:pPr>
      <w:r>
        <w:rPr>
          <w:rFonts w:ascii="Amiri" w:hAnsi="Amiri" w:eastAsia="Amiri" w:cs="Amiri"/>
          <w:color w:val="111111"/>
          <w:sz w:val="28"/>
          <w:sz w:val="28"/>
          <w:szCs w:val="28"/>
          <w:rtl w:val="true"/>
          <w:lang w:bidi="ar-SA"/>
        </w:rPr>
        <w:t xml:space="preserve">بقي من الفروع المتقدّمة ما إذا تعارضت الأمارتان ، كما إذا رأت حمرة باردة أو صفرة بدفع وحرارة ، فمقتضى العلم الإجمالي هو الجمع بين الوظيفتين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واضح لو قلنا بعدم حرمة العبادة عليها حرمة ذاتية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كذلك ولو قلنا بها أيضاً ؛ لأنّ العلم الإجمالي بالنسبة إلى العبادات وإن كان غير مؤثّر ؛ للدوران بين المحذورين ، لكن هنا علم إجمالي آخر ؛ وهو العلم بوجوب العبادة عليها ، أو حرمة مسّ الكتاب واللبث في المسجد وغيرهما من المحرّمات على الحائض ، فمقتضى القاعدة هو التخيير بين الترك والفعل في العبادة ، ولزوم الترك في غيرها من تروك الحائض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تنجيز العلم الإجمالي الذي لا يؤثّر في بعض أطرافه محلّ إشكال ، بل منع ، وسيأتي الكلام فيه إن شاء اللّه تعالى</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xml:space="preserve">. </w:t>
      </w:r>
      <w:bookmarkStart w:id="262" w:name="pg15019_190694"/>
    </w:p>
    <w:p>
      <w:pPr>
        <w:pStyle w:val="Heading5"/>
        <w:numPr>
          <w:ilvl w:val="4"/>
          <w:numId w:val="1"/>
        </w:numPr>
        <w:rPr/>
      </w:pPr>
      <w:bookmarkStart w:id="263" w:name="__RefHeading___Toc686352_3406789950"/>
      <w:bookmarkStart w:id="264" w:name="_Toc94"/>
      <w:bookmarkEnd w:id="262"/>
      <w:bookmarkEnd w:id="263"/>
      <w:r>
        <w:rPr>
          <w:rtl w:val="true"/>
        </w:rPr>
        <w:t>المسألة الثامنة في حكم ما إذا رأت الدم ثلاثة أيّام فانقطع ثمّ رأته بعدها</w:t>
      </w:r>
      <w:bookmarkEnd w:id="264"/>
    </w:p>
    <w:p>
      <w:pPr>
        <w:pStyle w:val="Heading6"/>
        <w:numPr>
          <w:ilvl w:val="5"/>
          <w:numId w:val="1"/>
        </w:numPr>
        <w:rPr/>
      </w:pPr>
      <w:bookmarkStart w:id="265" w:name="__RefHeading___Toc686354_3406789950"/>
      <w:bookmarkStart w:id="266" w:name="_Toc95"/>
      <w:bookmarkEnd w:id="265"/>
      <w:r>
        <w:rPr>
          <w:rtl w:val="true"/>
        </w:rPr>
        <w:t>اشارة</w:t>
      </w:r>
      <w:bookmarkEnd w:id="266"/>
    </w:p>
    <w:p>
      <w:pPr>
        <w:pStyle w:val="BookText"/>
        <w:rPr/>
      </w:pPr>
      <w:r>
        <w:rPr>
          <w:rFonts w:ascii="Amiri" w:hAnsi="Amiri" w:eastAsia="Amiri" w:cs="Amiri"/>
          <w:color w:val="111111"/>
          <w:sz w:val="28"/>
          <w:sz w:val="28"/>
          <w:szCs w:val="28"/>
          <w:rtl w:val="true"/>
          <w:lang w:bidi="ar-SA"/>
        </w:rPr>
        <w:t xml:space="preserve">لو رأت الدم ثلاثة أيّام وانقطع ، فلا يخلو إمّا أن تكون ذات عادة أو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التقديرين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ترى الدم بصفات الحيض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التقادير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ترى الدم بعد الانقطاع قبل عشرة أيّام من أوّل الرؤية ، وينقطع على العشرة ، أو على الأقلّ ، أو ترى بعد عشرة أيّام وبعد مضيّ أقلّ الطهر ، أو قبله ، أو ترى قبل العشرة ويتجاوز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والدم الثاني في التقادير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بصفة الحيض أو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عمد صور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حكمها </w:t>
      </w:r>
      <w:r>
        <w:rPr>
          <w:rFonts w:eastAsia="Amiri" w:cs="Amiri" w:ascii="Amiri" w:hAnsi="Amiri"/>
          <w:color w:val="111111"/>
          <w:sz w:val="28"/>
          <w:szCs w:val="28"/>
          <w:rtl w:val="true"/>
          <w:lang w:bidi="ar-SA"/>
        </w:rPr>
        <w:t>:</w:t>
      </w:r>
    </w:p>
    <w:p>
      <w:pPr>
        <w:pStyle w:val="Heading6"/>
        <w:numPr>
          <w:ilvl w:val="5"/>
          <w:numId w:val="1"/>
        </w:numPr>
        <w:rPr/>
      </w:pPr>
      <w:bookmarkStart w:id="267" w:name="__RefHeading___Toc686356_3406789950"/>
      <w:bookmarkStart w:id="268" w:name="_Toc96"/>
      <w:bookmarkEnd w:id="267"/>
      <w:r>
        <w:rPr>
          <w:rtl w:val="true"/>
        </w:rPr>
        <w:t>حكم الدم الأوّل</w:t>
      </w:r>
      <w:bookmarkEnd w:id="268"/>
    </w:p>
    <w:p>
      <w:pPr>
        <w:pStyle w:val="BookText"/>
        <w:rPr/>
      </w:pPr>
      <w:r>
        <w:rPr>
          <w:rFonts w:ascii="Amiri" w:hAnsi="Amiri" w:eastAsia="Amiri" w:cs="Amiri"/>
          <w:color w:val="111111"/>
          <w:sz w:val="28"/>
          <w:sz w:val="28"/>
          <w:szCs w:val="28"/>
          <w:rtl w:val="true"/>
          <w:lang w:bidi="ar-SA"/>
        </w:rPr>
        <w:t>فلا إشكال في أنّ الدم الأوّل إذا كان بصفة الحيض أو في أيّام العادة حيض ؛</w:t>
      </w:r>
    </w:p>
    <w:p>
      <w:pPr>
        <w:pStyle w:val="BookText"/>
        <w:rPr/>
      </w:pPr>
      <w:r>
        <w:rPr>
          <w:rFonts w:ascii="Amiri" w:hAnsi="Amiri" w:eastAsia="Amiri" w:cs="Amiri"/>
          <w:color w:val="111111"/>
          <w:sz w:val="28"/>
          <w:sz w:val="28"/>
          <w:szCs w:val="28"/>
          <w:rtl w:val="true"/>
          <w:lang w:bidi="ar-SA"/>
        </w:rPr>
        <w:t xml:space="preserve">لأدلّة الصفات ، ولما دلّ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ما رأت في أيّام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صفرة أو حمرة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حيض</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لم يكن بصفته ولا في أيّام العادة ، فلا دليل على الحيضية إلاّ قاعدة الإمكان والإجماع المدّعى في خصوص الفرع المعتضد بدعوى الشهرة وعدم الخلاف</w:t>
      </w:r>
      <w:r>
        <w:rPr>
          <w:rStyle w:val="FootnoteAnchor"/>
          <w:rtl w:val="true"/>
        </w:rPr>
        <w:footnoteReference w:id="399"/>
      </w:r>
      <w:r>
        <w:rPr>
          <w:rFonts w:ascii="Amiri" w:hAnsi="Amiri" w:eastAsia="Amiri" w:cs="Amiri"/>
          <w:color w:val="111111"/>
          <w:sz w:val="28"/>
          <w:sz w:val="28"/>
          <w:szCs w:val="28"/>
          <w:rtl w:val="true"/>
          <w:lang w:bidi="ar-SA"/>
        </w:rPr>
        <w:t xml:space="preserve">، والظاهر أنّ المسألة من المسلّمات ، والقاعدة في المورد مسلّمة ، </w:t>
      </w:r>
      <w:bookmarkStart w:id="269" w:name="pg15019_190695"/>
    </w:p>
    <w:p>
      <w:pPr>
        <w:pStyle w:val="BookText"/>
        <w:rPr/>
      </w:pPr>
      <w:bookmarkEnd w:id="269"/>
      <w:r>
        <w:rPr>
          <w:rFonts w:ascii="Amiri" w:hAnsi="Amiri" w:eastAsia="Amiri" w:cs="Amiri"/>
          <w:color w:val="111111"/>
          <w:sz w:val="28"/>
          <w:sz w:val="28"/>
          <w:szCs w:val="28"/>
          <w:rtl w:val="true"/>
          <w:lang w:bidi="ar-SA"/>
        </w:rPr>
        <w:t xml:space="preserve">عندهم ، ومع المناقشة في إجماعية القاعدة فالمسألة الفرعية مسلّمة مجمع عليها ظاهراً ، فلا إشكال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التمسّك</w:t>
      </w:r>
      <w:r>
        <w:rPr>
          <w:rStyle w:val="FootnoteAnchor"/>
          <w:rtl w:val="true"/>
        </w:rPr>
        <w:footnoteReference w:id="400"/>
      </w:r>
      <w:r>
        <w:rPr>
          <w:rFonts w:ascii="IRNazanin" w:hAnsi="IRNazanin" w:eastAsia="IRNazanin"/>
          <w:color w:val="111111"/>
          <w:sz w:val="28"/>
          <w:sz w:val="28"/>
          <w:szCs w:val="28"/>
          <w:rtl w:val="true"/>
          <w:lang w:bidi="fa-IR"/>
        </w:rPr>
        <w:t xml:space="preserve">بصحيحة يونس بن يعقوب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ترى الدم ثلاثة أيّام أو أربعة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تدع الصلاة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ترى الطهر ثلاثة أيّام أو أربعة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ترى الدم ثلاثة أيّام أو أربعة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تدع الصلاة ؛ تصنع ما بينها وبين شهر ، فإن انقطع عنها الدم ، وإلاّ فهي بمنزلة المستحاضة</w:t>
      </w:r>
      <w:r>
        <w:rPr>
          <w:rFonts w:eastAsia="IRNazanin" w:cs="IRNazanin"/>
          <w:color w:val="111111"/>
          <w:sz w:val="28"/>
          <w:szCs w:val="28"/>
          <w:rtl w:val="true"/>
          <w:lang w:bidi="fa-IR"/>
        </w:rPr>
        <w:t>»</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وبصحيحة أبي بصير</w:t>
      </w:r>
      <w:r>
        <w:rPr>
          <w:rStyle w:val="FootnoteAnchor"/>
          <w:rtl w:val="true"/>
        </w:rPr>
        <w:footnoteReference w:id="402"/>
      </w:r>
      <w:r>
        <w:rPr>
          <w:rFonts w:ascii="Amiri" w:hAnsi="Amiri" w:eastAsia="Amiri" w:cs="Amiri"/>
          <w:color w:val="111111"/>
          <w:sz w:val="28"/>
          <w:sz w:val="28"/>
          <w:szCs w:val="28"/>
          <w:rtl w:val="true"/>
          <w:lang w:bidi="ar-SA"/>
        </w:rPr>
        <w:t>القريبة منها ، ففي غير محلّه ؛ لأ نّه لا يمكن الالتزام بهما لما مرّ</w:t>
      </w:r>
      <w:r>
        <w:rPr>
          <w:rStyle w:val="FootnoteAnchor"/>
          <w:rtl w:val="true"/>
        </w:rPr>
        <w:footnoteReference w:id="403"/>
      </w:r>
      <w:r>
        <w:rPr>
          <w:rFonts w:ascii="Amiri" w:hAnsi="Amiri" w:eastAsia="Amiri" w:cs="Amiri"/>
          <w:color w:val="111111"/>
          <w:sz w:val="28"/>
          <w:sz w:val="28"/>
          <w:szCs w:val="28"/>
          <w:rtl w:val="true"/>
          <w:lang w:bidi="ar-SA"/>
        </w:rPr>
        <w:t>، فلا بدّ من حملهما على ما لا يخالف الإجماع ، مثل ما حملهما الشيخ والمحقّق عليه من اختلاط حيضها ، أو غير ذلك</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0" w:name="__RefHeading___Toc686358_3406789950"/>
      <w:bookmarkStart w:id="271" w:name="_Toc97"/>
      <w:bookmarkEnd w:id="270"/>
      <w:r>
        <w:rPr>
          <w:rtl w:val="true"/>
        </w:rPr>
        <w:t>حكم الدم الثاني</w:t>
      </w:r>
      <w:bookmarkEnd w:id="271"/>
    </w:p>
    <w:p>
      <w:pPr>
        <w:pStyle w:val="BookText"/>
        <w:rPr/>
      </w:pPr>
      <w:r>
        <w:rPr>
          <w:rFonts w:ascii="Amiri" w:hAnsi="Amiri" w:eastAsia="Amiri" w:cs="Amiri"/>
          <w:color w:val="111111"/>
          <w:sz w:val="28"/>
          <w:sz w:val="28"/>
          <w:szCs w:val="28"/>
          <w:rtl w:val="true"/>
          <w:lang w:bidi="ar-SA"/>
        </w:rPr>
        <w:t>وأمّا الدم الثاني ، فإن كان بصفة الحيض أو في وقت العادة ، فحيض</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بلا إشكال ، وكذا النقاء بينهما ؛ لما مرّ من أنّ النقاء المتخلّل حيض</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مع عدم الأمرين ، فالحكم بالحيضية إمّا لقاعدة الإمكان على فرض ثبوتها ، أو للإجماع في خصوص هذا الفرع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التمسّك</w:t>
      </w:r>
      <w:r>
        <w:rPr>
          <w:rStyle w:val="FootnoteAnchor"/>
          <w:rtl w:val="true"/>
        </w:rPr>
        <w:footnoteReference w:id="406"/>
      </w:r>
      <w:r>
        <w:rPr>
          <w:rFonts w:ascii="Amiri" w:hAnsi="Amiri" w:eastAsia="Amiri" w:cs="Amiri"/>
          <w:color w:val="111111"/>
          <w:sz w:val="28"/>
          <w:sz w:val="28"/>
          <w:szCs w:val="28"/>
          <w:rtl w:val="true"/>
          <w:lang w:bidi="ar-SA"/>
        </w:rPr>
        <w:t>بالأخبار الدالّة على أنّ ما رأت المرأة من الدم قبل عشرة أيّام ، فهو من الحيضة الاُولى</w:t>
      </w:r>
      <w:r>
        <w:rPr>
          <w:rStyle w:val="FootnoteAnchor"/>
          <w:rtl w:val="true"/>
        </w:rPr>
        <w:footnoteReference w:id="407"/>
      </w:r>
      <w:r>
        <w:rPr>
          <w:rFonts w:ascii="Amiri" w:hAnsi="Amiri" w:eastAsia="Amiri" w:cs="Amiri"/>
          <w:color w:val="111111"/>
          <w:sz w:val="28"/>
          <w:sz w:val="28"/>
          <w:szCs w:val="28"/>
          <w:rtl w:val="true"/>
          <w:lang w:bidi="ar-SA"/>
        </w:rPr>
        <w:t xml:space="preserve">، فمشكل ؛ لما مرّ من أنّ تلك الروايات لا إطلاق لها </w:t>
      </w:r>
      <w:r>
        <w:rPr>
          <w:rStyle w:val="FootnoteAnchor"/>
          <w:rtl w:val="true"/>
        </w:rPr>
        <w:footnoteReference w:id="408"/>
      </w:r>
      <w:r>
        <w:rPr>
          <w:rFonts w:ascii="Amiri" w:hAnsi="Amiri" w:eastAsia="Amiri" w:cs="Amiri"/>
          <w:color w:val="111111"/>
          <w:sz w:val="28"/>
          <w:sz w:val="28"/>
          <w:szCs w:val="28"/>
          <w:rtl w:val="true"/>
          <w:lang w:bidi="ar-SA"/>
        </w:rPr>
        <w:t xml:space="preserve">، فإنّها بصدد بيان حكم آخر بعد فرض حيضية الدمين ، لا بصدد بيان حال الدم حتّى يتمسّك بإطلاقها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احتمال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الأصفر ، على إشكال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معارضتها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ذات العادة إذا رأت بعد عادتها بيومين أو أزيد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بالمستفيضة الدالّة على أنّ الصفرة بعد العادة ليست بحيض</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والجمع بينهما بأحد الوجوه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بحمل أخبار الصفرة على مورد استمرار الدم إلى بعد العادة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حملها على مورد رؤية الدم بعد الأيّام من غير رؤيته في الأيّام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حمل الروايات المقابلة لها على غير الصفرة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إطلاقها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الوجوه ، لكن مع ذلك لا يمكن الالتزام به ؛ للشهرات والإجماعات المنقولة ، وعدم وجدان التفصيل بين الدم والصفرة في خصوص </w:t>
      </w:r>
    </w:p>
    <w:p>
      <w:pPr>
        <w:pStyle w:val="BookText"/>
        <w:rPr/>
      </w:pPr>
      <w:r>
        <w:rPr>
          <w:rFonts w:ascii="Amiri" w:hAnsi="Amiri" w:eastAsia="Amiri" w:cs="Amiri"/>
          <w:color w:val="111111"/>
          <w:sz w:val="28"/>
          <w:sz w:val="28"/>
          <w:szCs w:val="28"/>
          <w:rtl w:val="true"/>
          <w:lang w:bidi="ar-SA"/>
        </w:rPr>
        <w:t xml:space="preserve">المسألة ، فتتقيّد بها أخبار الصفرة بمثل الفرض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إن رأت قبل تمام العشرة وانقطع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رأت بعد العشرة وبعد تخلّل أقلّ الطهر ، فإن كان الدمان على صفة الحيض ، أو في العادة ، أو كان أحدهما في العادة والآخر مع الصفة ، فلا 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مع فقد الأمرين ، فالدليل عليه هو قاعدة الإمكان لو تمّت ، أو الإجماع على أنّ الدم المستمرّ إلى ثلاثة أيّام 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الحكم بالحيضية بمجرّد الرؤية فموقوف على الاتّصاف أو الوقوع في العادة ، ومع عدمهما فلا يحكم بها ، بل يحكم بالاستحاضة مع صفاتها ؛ لأدلّتها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قيام الإجماع على أنّ الدم المستمرّ ثلاثة أيّام حيض ، ينقّح الموضوع بالاستصحاب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الشأن في ثبوت الإجماع في الفرع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رأت بعد العشرة وقبل مضيّ أقلّ الطهر ، فإن كان الحكم بحيضية الدم الأوّل بقاعدة الإمكان أو الإجماع ؛ لفقد الصفات ، وكان الدم الثاني أيضاً فاقداً لها ، فانطباق القاعدة على الدم الأوّل يُخرج الدم الثاني عن موضوع القاعدة ؛ لأنّ الدم الأوّل في زمان تحقّقه كان ممكن الحيضية ، فهو حيض ، ومع حيضيته لا يمكن أن يكون الدم الثاني حيضاً ؛ للزوم كون أقلّ الطهر أقلّ من عشرة ، أو كون الحيض أكثر منها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والقول بعدم الترجيح بين انطباق القاعدة في الموردين</w:t>
      </w:r>
      <w:r>
        <w:rPr>
          <w:rStyle w:val="FootnoteAnchor"/>
          <w:rtl w:val="true"/>
        </w:rPr>
        <w:footnoteReference w:id="410"/>
      </w:r>
      <w:r>
        <w:rPr>
          <w:rFonts w:ascii="Amiri" w:hAnsi="Amiri" w:eastAsia="Amiri" w:cs="Amiri"/>
          <w:color w:val="111111"/>
          <w:sz w:val="28"/>
          <w:sz w:val="28"/>
          <w:szCs w:val="28"/>
          <w:rtl w:val="true"/>
          <w:lang w:bidi="ar-SA"/>
        </w:rPr>
        <w:t xml:space="preserve">غير تامّ ؛ لأنّ الدم الأوّل ممكن بلا معارض ، فتنطبق عليه القاعدة ، ومعه يخرج الثاني عن الإمكان ، ولا وجه لعدم جريانها مع تحقّق موضوعها بلا معارض ، تأمّل ؛ فإنّ </w:t>
      </w:r>
    </w:p>
    <w:p>
      <w:pPr>
        <w:pStyle w:val="BookText"/>
        <w:rPr/>
      </w:pPr>
      <w:r>
        <w:rPr>
          <w:rFonts w:ascii="Amiri" w:hAnsi="Amiri" w:eastAsia="Amiri" w:cs="Amiri"/>
          <w:color w:val="111111"/>
          <w:sz w:val="28"/>
          <w:sz w:val="28"/>
          <w:szCs w:val="28"/>
          <w:rtl w:val="true"/>
          <w:lang w:bidi="ar-SA"/>
        </w:rPr>
        <w:t xml:space="preserve">فيه إشكالاً ربّما يأتي التعرّض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كان الدم الثاني بصفة الحيض ، ففيه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 ومع خروج الثاني عن الإمكان لا اعتبار بالصفات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تحكيم أدلّة الصفات على القاعدة ؛ لكون الصفات أمارة ، وهي قاعدة معتبرة حيث لا أمارة ، وهو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بحسب القاعدة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نسب إلى الأصحاب كون الثاني استحاضة ولو كان بصفة الحيض وما رأته أوّلاً بصفة الاستحاضة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عليه</w:t>
      </w:r>
      <w:r>
        <w:rPr>
          <w:rStyle w:val="FootnoteAnchor"/>
          <w:rtl w:val="true"/>
        </w:rPr>
        <w:footnoteReference w:id="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إطلاق الأصحاب في فتاويهم ومعاقد إجماعاتهم المنقولة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بصحيحة صفوان بن يحيى على الأصحّ من كون محمّد بن إسماعيل النيسابوري ثقة</w:t>
      </w:r>
      <w:r>
        <w:rPr>
          <w:rStyle w:val="FootnoteAnchor"/>
          <w:rtl w:val="true"/>
        </w:rPr>
        <w:footnoteReference w:id="412"/>
      </w:r>
      <w:r>
        <w:rPr>
          <w:rFonts w:ascii="IRNazanin" w:hAnsi="IRNazanin" w:eastAsia="IRNazanin"/>
          <w:color w:val="111111"/>
          <w:sz w:val="28"/>
          <w:sz w:val="28"/>
          <w:szCs w:val="28"/>
          <w:rtl w:val="true"/>
          <w:lang w:bidi="fa-IR"/>
        </w:rPr>
        <w:t xml:space="preserve">، عن أبي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مكثت المرأة عشرة أيّام ترى الدم ، ثمّ طهرت ، فمكثت ثلاثة أيّام طاهراً ، ثمّ رأت الدم بعد ذلك ، أتمسك عن الصلاة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 هذه مستحاضة</w:t>
      </w:r>
      <w:r>
        <w:rPr>
          <w:rFonts w:eastAsia="IRNazanin" w:cs="IRNazanin"/>
          <w:color w:val="111111"/>
          <w:sz w:val="28"/>
          <w:szCs w:val="28"/>
          <w:rtl w:val="true"/>
          <w:lang w:bidi="fa-IR"/>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تأمّل في دلالتها على الصفرة ، وإن كانت أقوى ؛ لأ نّها دم ، ومقابلتها في بعض الروايات بالدم</w:t>
      </w:r>
      <w:r>
        <w:rPr>
          <w:rStyle w:val="FootnoteAnchor"/>
          <w:rtl w:val="true"/>
        </w:rPr>
        <w:footnoteReference w:id="414"/>
      </w:r>
      <w:r>
        <w:rPr>
          <w:rFonts w:ascii="Amiri" w:hAnsi="Amiri" w:eastAsia="Amiri" w:cs="Amiri"/>
          <w:color w:val="111111"/>
          <w:sz w:val="28"/>
          <w:sz w:val="28"/>
          <w:szCs w:val="28"/>
          <w:rtl w:val="true"/>
          <w:lang w:bidi="ar-SA"/>
        </w:rPr>
        <w:t xml:space="preserve">لا توجب الانصراف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تجاوز الدم عن العشرة فسيأتي الكلام فيه</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 xml:space="preserve">. </w:t>
      </w:r>
      <w:bookmarkStart w:id="272" w:name="pg15019_190699"/>
    </w:p>
    <w:p>
      <w:pPr>
        <w:pStyle w:val="Heading5"/>
        <w:numPr>
          <w:ilvl w:val="4"/>
          <w:numId w:val="1"/>
        </w:numPr>
        <w:rPr/>
      </w:pPr>
      <w:bookmarkStart w:id="273" w:name="__RefHeading___Toc686360_3406789950"/>
      <w:bookmarkStart w:id="274" w:name="_Toc98"/>
      <w:bookmarkEnd w:id="272"/>
      <w:bookmarkEnd w:id="273"/>
      <w:r>
        <w:rPr>
          <w:rtl w:val="true"/>
        </w:rPr>
        <w:t>المسألة التاسعة في وجوب الاستبراء عند الانقطاع لدون العشرة</w:t>
      </w:r>
      <w:bookmarkEnd w:id="274"/>
    </w:p>
    <w:p>
      <w:pPr>
        <w:pStyle w:val="Heading6"/>
        <w:numPr>
          <w:ilvl w:val="5"/>
          <w:numId w:val="1"/>
        </w:numPr>
        <w:rPr/>
      </w:pPr>
      <w:bookmarkStart w:id="275" w:name="__RefHeading___Toc686362_3406789950"/>
      <w:bookmarkStart w:id="276" w:name="_Toc99"/>
      <w:bookmarkEnd w:id="275"/>
      <w:r>
        <w:rPr>
          <w:rtl w:val="true"/>
        </w:rPr>
        <w:t>اشارة</w:t>
      </w:r>
      <w:bookmarkEnd w:id="276"/>
    </w:p>
    <w:p>
      <w:pPr>
        <w:pStyle w:val="BookText"/>
        <w:rPr/>
      </w:pPr>
      <w:r>
        <w:rPr>
          <w:rFonts w:ascii="Amiri" w:hAnsi="Amiri" w:eastAsia="Amiri" w:cs="Amiri"/>
          <w:color w:val="111111"/>
          <w:sz w:val="28"/>
          <w:sz w:val="28"/>
          <w:szCs w:val="28"/>
          <w:rtl w:val="true"/>
          <w:lang w:bidi="ar-SA"/>
        </w:rPr>
        <w:t>مقتضى الأصل في المقام</w:t>
      </w:r>
    </w:p>
    <w:p>
      <w:pPr>
        <w:pStyle w:val="BookText"/>
        <w:rPr/>
      </w:pPr>
      <w:r>
        <w:rPr>
          <w:rFonts w:ascii="Amiri" w:hAnsi="Amiri" w:eastAsia="Amiri" w:cs="Amiri"/>
          <w:color w:val="111111"/>
          <w:sz w:val="28"/>
          <w:sz w:val="28"/>
          <w:szCs w:val="28"/>
          <w:rtl w:val="true"/>
          <w:lang w:bidi="ar-SA"/>
        </w:rPr>
        <w:t xml:space="preserve">إذا انقطع الدم في الظاهر ، واحتمل بقاؤه في الباطن ، مع احتمال الحيضية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الانقطاع قبل عشرة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فمقتضى الأصل عدم وجوب الاختبار والفحص على المرأة ؛ لإطلاق أدلّة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واحتمالُ وجوب الفحص في الشبهات الموضوعية إذا كان رفع الشبهة سهلاً ، كالنظر والاختبار ، أو كان الموضوع ممّا يترتّب عليه أمر مهمّ ، مثل ترك الصلاة ، أو لزم من الرجوع إلى الأصل الوقوع في مخالفة الواقع كثيراً </w:t>
      </w:r>
      <w:r>
        <w:rPr>
          <w:rStyle w:val="FootnoteAnchor"/>
          <w:rtl w:val="true"/>
        </w:rPr>
        <w:footnoteReference w:id="416"/>
      </w:r>
      <w:r>
        <w:rPr>
          <w:rFonts w:ascii="Amiri" w:hAnsi="Amiri" w:eastAsia="Amiri" w:cs="Amiri"/>
          <w:color w:val="111111"/>
          <w:sz w:val="28"/>
          <w:sz w:val="28"/>
          <w:szCs w:val="28"/>
          <w:rtl w:val="true"/>
          <w:lang w:bidi="ar-SA"/>
        </w:rPr>
        <w:t xml:space="preserve">، مدفوعٌ بإطلاق الأدلّة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صحيحة زرارة الواردة في باب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عليّ إن شككت في أ نّه أصابه شيء أن أنظر فيه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 ولكنّك إنّما تريد أن تذهب الشكّ الذي وقع في نفسك</w:t>
      </w:r>
      <w:r>
        <w:rPr>
          <w:rFonts w:eastAsia="Amiri" w:cs="Amiri" w:ascii="Amiri" w:hAnsi="Amiri"/>
          <w:color w:val="111111"/>
          <w:sz w:val="28"/>
          <w:szCs w:val="28"/>
          <w:rtl w:val="true"/>
          <w:lang w:bidi="ar-SA"/>
        </w:rPr>
        <w:t>»</w:t>
      </w:r>
      <w:r>
        <w:rPr>
          <w:rStyle w:val="FootnoteAnchor"/>
          <w:rtl w:val="true"/>
        </w:rPr>
        <w:footnoteReference w:id="417"/>
      </w:r>
      <w:r>
        <w:rPr>
          <w:rFonts w:ascii="Amiri" w:hAnsi="Amiri" w:eastAsia="Amiri" w:cs="Amiri"/>
          <w:color w:val="111111"/>
          <w:sz w:val="28"/>
          <w:sz w:val="28"/>
          <w:szCs w:val="28"/>
          <w:rtl w:val="true"/>
          <w:lang w:bidi="ar-SA"/>
        </w:rPr>
        <w:t xml:space="preserve">، مع أنّ الشكّ كان يرفع بمجرّد النظر بسهولة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مع جريان الاستصحاب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التحقيق في جريانه </w:t>
      </w:r>
      <w:bookmarkStart w:id="277" w:name="pg15019_190700"/>
    </w:p>
    <w:p>
      <w:pPr>
        <w:pStyle w:val="BookText"/>
        <w:rPr/>
      </w:pPr>
      <w:bookmarkEnd w:id="277"/>
      <w:r>
        <w:rPr>
          <w:rFonts w:ascii="Amiri" w:hAnsi="Amiri" w:eastAsia="Amiri" w:cs="Amiri"/>
          <w:color w:val="111111"/>
          <w:sz w:val="28"/>
          <w:sz w:val="28"/>
          <w:szCs w:val="28"/>
          <w:rtl w:val="true"/>
          <w:lang w:bidi="ar-SA"/>
        </w:rPr>
        <w:t>في مثل الاُمور التدريجية</w:t>
      </w:r>
      <w:r>
        <w:rPr>
          <w:rStyle w:val="FootnoteAnchor"/>
          <w:rtl w:val="true"/>
        </w:rPr>
        <w:footnoteReference w:id="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بحرمة الغسل عليها ذاتاً ، لا إشكال في عدم إمكان التقرّب به مع التفاتها حكماً وموضوعاً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اغتسلت عن غفلة بقصد التقرّب فصادف الطهر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 نّه يصحّ إن قلنا بعدم حرمته ذاتاً ، فأتت به رجاءً وصادف الطهر ، فالحكم بوجوب الفحص وعدم صحّة الغسل قبله مطلقاً ، يحتاج إلى الدليل </w:t>
      </w:r>
      <w:r>
        <w:rPr>
          <w:rFonts w:eastAsia="Amiri" w:cs="Amiri" w:ascii="Amiri" w:hAnsi="Amiri"/>
          <w:color w:val="111111"/>
          <w:sz w:val="28"/>
          <w:szCs w:val="28"/>
          <w:rtl w:val="true"/>
          <w:lang w:bidi="ar-SA"/>
        </w:rPr>
        <w:t>.</w:t>
      </w:r>
    </w:p>
    <w:p>
      <w:pPr>
        <w:pStyle w:val="Heading6"/>
        <w:numPr>
          <w:ilvl w:val="5"/>
          <w:numId w:val="1"/>
        </w:numPr>
        <w:rPr/>
      </w:pPr>
      <w:bookmarkStart w:id="278" w:name="__RefHeading___Toc686364_3406789950"/>
      <w:bookmarkStart w:id="279" w:name="_Toc100"/>
      <w:bookmarkEnd w:id="278"/>
      <w:r>
        <w:rPr>
          <w:rtl w:val="true"/>
        </w:rPr>
        <w:t>الاستدلال على وجوب الاستبراء بالأخبار</w:t>
      </w:r>
      <w:bookmarkEnd w:id="279"/>
    </w:p>
    <w:p>
      <w:pPr>
        <w:pStyle w:val="BookText"/>
        <w:rPr/>
      </w:pPr>
      <w:r>
        <w:rPr>
          <w:rFonts w:ascii="IRNazanin" w:hAnsi="IRNazanin" w:eastAsia="IRNazanin"/>
          <w:color w:val="111111"/>
          <w:sz w:val="28"/>
          <w:sz w:val="28"/>
          <w:szCs w:val="28"/>
          <w:rtl w:val="true"/>
          <w:lang w:bidi="fa-IR"/>
        </w:rPr>
        <w:t>واستدلّ على وجوب الاستبراء</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 xml:space="preserve">مصباح الفقيه ، الطهارة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بروايات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محمّد بن مسلم عن أبي جعفر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أرادت الحائض أن تغتسل فلتستدخل قطنة ، فإن خرج فيها شيء من الدم فلا تغتسل ، وإن لم ترَ شيئاً فلتغتسل ، وإن رأت بعد ذلك صفرة فلت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توضّأ</w:t>
      </w:r>
      <w:r>
        <w:rPr>
          <w:rFonts w:eastAsia="IRNazanin" w:cs="IRNazanin"/>
          <w:color w:val="111111"/>
          <w:sz w:val="28"/>
          <w:szCs w:val="28"/>
          <w:rtl w:val="true"/>
          <w:lang w:bidi="fa-IR"/>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وفيها احتمالات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كاحتمال الوجوب التعبّدي الشرعي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واحتمال الوجوب الشرطي ؛ بمعنى كون الاختبار شرطاً لصحّة الغسل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واحتمال عدم الوجوب ، بل الأمر به لمجرّد الإرشاد إلى حسن الاحتياط ؛ </w:t>
      </w:r>
    </w:p>
    <w:p>
      <w:pPr>
        <w:pStyle w:val="BookText"/>
        <w:rPr/>
      </w:pPr>
      <w:r>
        <w:rPr>
          <w:rFonts w:ascii="Amiri" w:hAnsi="Amiri" w:eastAsia="Amiri" w:cs="Amiri"/>
          <w:color w:val="111111"/>
          <w:sz w:val="28"/>
          <w:sz w:val="28"/>
          <w:szCs w:val="28"/>
          <w:rtl w:val="true"/>
          <w:lang w:bidi="ar-SA"/>
        </w:rPr>
        <w:t xml:space="preserve">لئلاّ يقع غسلها لغواً وعملها باطلاً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واحتمال الوجوب الطريقي ؛ بمعنى وجوب الاختبار لأجل الاطّلاع على الواقع ؛ بحيث لو تركته فكان مخالفاً للواقع ، عوقبت على مخالفته ، لا على ترك الاختبار ، ولو اغتسلت وصلّت وصادف غسلها الطهر ، صحّ غسلها وصلاتها وإن كانت متجرّية في ترك التكليف الطريقي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أقربها الأخير ، وأبعدها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الاحتمال الثاني فبعيد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والقول</w:t>
      </w:r>
      <w:r>
        <w:rPr>
          <w:rStyle w:val="FootnoteAnchor"/>
          <w:rtl w:val="true"/>
        </w:rPr>
        <w:footnoteReference w:id="421"/>
      </w:r>
      <w:r>
        <w:rPr>
          <w:rFonts w:ascii="Amiri" w:hAnsi="Amiri" w:eastAsia="Amiri" w:cs="Amiri"/>
          <w:color w:val="111111"/>
          <w:sz w:val="28"/>
          <w:sz w:val="28"/>
          <w:szCs w:val="28"/>
          <w:rtl w:val="true"/>
          <w:lang w:bidi="ar-SA"/>
        </w:rPr>
        <w:t xml:space="preserve">بظهور أمثال ذلك في الوضع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قُمْتُمْ إِلَى الصَّلَوةِ فَاغْسِلُوا وُجُوهَكُمْ </w:t>
      </w:r>
      <w:r>
        <w:rPr>
          <w:rFonts w:eastAsia="Amiri" w:cs="Amiri" w:ascii="Amiri" w:hAnsi="Amiri"/>
          <w:color w:val="111111"/>
          <w:sz w:val="28"/>
          <w:szCs w:val="28"/>
          <w:rtl w:val="true"/>
          <w:lang w:bidi="ar-SA"/>
        </w:rPr>
        <w:t>. . .(</w:t>
      </w:r>
      <w:r>
        <w:rPr>
          <w:rStyle w:val="FootnoteAnchor"/>
          <w:rtl w:val="true"/>
        </w:rPr>
        <w:footnoteReference w:id="422"/>
      </w:r>
      <w:r>
        <w:rPr>
          <w:rFonts w:ascii="IRNazanin" w:hAnsi="IRNazanin" w:eastAsia="IRNazanin"/>
          <w:color w:val="111111"/>
          <w:sz w:val="28"/>
          <w:sz w:val="28"/>
          <w:szCs w:val="28"/>
          <w:rtl w:val="true"/>
          <w:lang w:bidi="fa-IR"/>
        </w:rPr>
        <w:t xml:space="preserve">إلى آخره ، 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في وَبَر ما لا يؤكل لحمه</w:t>
      </w:r>
      <w:r>
        <w:rPr>
          <w:rFonts w:eastAsia="IRNazanin" w:cs="IRNazanin"/>
          <w:color w:val="111111"/>
          <w:sz w:val="28"/>
          <w:szCs w:val="28"/>
          <w:rtl w:val="true"/>
          <w:lang w:bidi="fa-IR"/>
        </w:rPr>
        <w:t>»</w:t>
      </w:r>
      <w:r>
        <w:rPr>
          <w:rStyle w:val="FootnoteAnchor"/>
          <w:rtl w:val="true"/>
        </w:rPr>
        <w:footnoteReference w:id="423"/>
      </w:r>
      <w:r>
        <w:rPr>
          <w:rFonts w:ascii="Amiri" w:hAnsi="Amiri" w:eastAsia="Amiri" w:cs="Amiri"/>
          <w:color w:val="111111"/>
          <w:sz w:val="28"/>
          <w:sz w:val="28"/>
          <w:szCs w:val="28"/>
          <w:rtl w:val="true"/>
          <w:lang w:bidi="ar-SA"/>
        </w:rPr>
        <w:t xml:space="preserve">ممّا هي ظاهرة في الشرطية والمانعية ، فوِزان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أرادت الحائض أن تغتسل فلتستدخل قطنة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قُمْتُمْ إِلَى الصَّلَوةِ فَاغْسِلُوا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إلى آخره ، فيستفاد منه الوجوب الشرطي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وجيه ، والقياس مع الفارق ؛ ضرورة أنّ الاختبار في المقام ليس له نفسية ، بل طريق إلى العلم بالواقع ، ومعه لا يستفاد منه شرطية نفس الاختبار ؛ لعدم كونه ملحوظاً بذاته ، بل هو ملحوظ لمحض إراءة الواقع ، والمنظور إليه نفس الواقع ، ومعه لا يبقى له ظهور في الشرطية ، ويتّضح الفارق بينه وبين المثالين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الاحتمال الثالث وإن لم يكن بذلك البعد ، لكن رفع اليد عن الأمر بلا حجّة غير جائز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فالأظهر هو الوجوب الطريقي عند إرادة الغسل ، لكن هذا لا يثبت وجوب الاختبار عند الانقطاع ، بل يجب عند إرادة الغسل ، فيمكن الاتّكال على استصحاب عدم وجوب التكاليف عليها ؛ لو قلنا بسقوط الاستصحاب الموضوعي ، فيحكم بعدم وجوب الغسل عليها ، لكن عند إرادة الغسل يجب عليها الاختبار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قلنا بسقوط الاستصحاب في المقام مطلقاً ، ولزوم العمل على طبق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بالجمع بين ما على الطاهرة وما على الحائض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محيص عن الغسل ، ومعه يجب الاختبار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الصحيحة دلّت على الوجوب عند الانقطاع وحضور وقت الصلاة ؛ بدعوى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أرادت الحائض أن تغتسل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ليس بصدد إيكال الأمر إلى إرادتها ، بل بصدد بيان أ نّها إذا احتاجت إلى الغسل بحضور وقت العبادة المشروطة به ، وأرادته بحسب طبع التكليف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احتاجت إليه ، 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الخروج عن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 xml:space="preserve">بدّ منه ، فعليها الاختبار ، فوجوب الغسل ولزوم إرادته مفروض الوجود ، وإنّما أوجب عليها الاختبار عنده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وإن كان بعيداً عن ظاهر اللفظ ، لكنّه غير بعيد بالنظر إلى أنّ إيكال الأمر إلى إرادته ، أبعد منه جدّاً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يونس</w:t>
      </w:r>
      <w:r>
        <w:rPr>
          <w:rStyle w:val="FootnoteAnchor"/>
          <w:rtl w:val="true"/>
        </w:rPr>
        <w:footnoteReference w:id="424"/>
      </w:r>
      <w:r>
        <w:rPr>
          <w:rFonts w:ascii="Amiri" w:hAnsi="Amiri" w:eastAsia="Amiri" w:cs="Amiri"/>
          <w:color w:val="111111"/>
          <w:sz w:val="28"/>
          <w:sz w:val="28"/>
          <w:szCs w:val="28"/>
          <w:rtl w:val="true"/>
          <w:lang w:bidi="ar-SA"/>
        </w:rPr>
        <w:t>ورواية شُرَحْبيل الكندي</w:t>
      </w:r>
      <w:r>
        <w:rPr>
          <w:rStyle w:val="FootnoteAnchor"/>
          <w:rtl w:val="true"/>
        </w:rPr>
        <w:footnoteReference w:id="425"/>
      </w:r>
      <w:r>
        <w:rPr>
          <w:rFonts w:ascii="IRNazanin" w:hAnsi="IRNazanin" w:eastAsia="IRNazanin"/>
          <w:color w:val="111111"/>
          <w:sz w:val="28"/>
          <w:sz w:val="28"/>
          <w:szCs w:val="28"/>
          <w:rtl w:val="true"/>
          <w:lang w:bidi="fa-IR"/>
        </w:rPr>
        <w:t xml:space="preserve">، 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ضعفهما سنداً </w:t>
      </w:r>
      <w:r>
        <w:rPr>
          <w:rStyle w:val="FootnoteAnchor"/>
          <w:rtl w:val="true"/>
        </w:rPr>
        <w:footnoteReference w:id="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تدلاّن على وجوب الاختبار ، بل ظاهرتان في كيفية معرفة المرأة بطمثها وطهرها عند الشكّ فيهما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ومثلهما موثّقة سماعة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ترى الطهر ، وترى الصفرة أو الشيء ، فلا تدري أطهرت أم لا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كان كذلك فلتقم فلتلصق بطنها إلى حائط ، وترفع رجلها على حائط ، كما رأيت الكلب يصنع إذا أراد أن يبول ، ثمّ تستدخل الكرسف ، فإذا كان ثَمّة من الدم مثل رأس الذباب خرج ، فإن خرج دم فلم تطهر ، وإن لم يخرج فقد طهرت</w:t>
      </w:r>
      <w:r>
        <w:rPr>
          <w:rFonts w:eastAsia="IRNazanin" w:cs="IRNazanin"/>
          <w:color w:val="111111"/>
          <w:sz w:val="28"/>
          <w:szCs w:val="28"/>
          <w:rtl w:val="true"/>
          <w:lang w:bidi="fa-IR"/>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xml:space="preserve">. </w:t>
      </w:r>
      <w:bookmarkStart w:id="280" w:name="pg15019_190704"/>
    </w:p>
    <w:p>
      <w:pPr>
        <w:pStyle w:val="BookText"/>
        <w:rPr/>
      </w:pPr>
      <w:bookmarkEnd w:id="280"/>
      <w:r>
        <w:rPr>
          <w:rFonts w:ascii="Amiri" w:hAnsi="Amiri" w:eastAsia="Amiri" w:cs="Amiri"/>
          <w:color w:val="111111"/>
          <w:sz w:val="28"/>
          <w:sz w:val="28"/>
          <w:szCs w:val="28"/>
          <w:rtl w:val="true"/>
          <w:lang w:bidi="ar-SA"/>
        </w:rPr>
        <w:t xml:space="preserve">وسؤاله وإن احتمل فيه أمران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عن الوظيفة الشرعية ،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كيفية معرفتها بالطمث ، كما في رواية الكندي ، بل الاحتمال الأوّل أقربهما ، لكن يظهر من الجواب أنّ مقصوده كان معرفة الطمث ؛ فإنّ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 ثمّة من الدم مثل رأس الذباب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الجواب عن سؤاله ، وهو مناسب للاحتمال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جوابه إنّما يكون عن أمر تكويني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مقدّمة للأمر الشرعي والوظيفة ، وهو كما ترى ، فلا تدلّ الموثّقة على المطلوب بوجه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الحال في دلالة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الرضوي</w:t>
      </w:r>
      <w:r>
        <w:rPr>
          <w:rFonts w:eastAsia="Amiri" w:cs="Amiri" w:ascii="Amiri" w:hAnsi="Amiri"/>
          <w:color w:val="111111"/>
          <w:sz w:val="28"/>
          <w:szCs w:val="28"/>
          <w:rtl w:val="true"/>
          <w:lang w:bidi="ar-SA"/>
        </w:rPr>
        <w:t>»</w:t>
      </w:r>
      <w:r>
        <w:rPr>
          <w:rStyle w:val="FootnoteAnchor"/>
          <w:rtl w:val="true"/>
        </w:rPr>
        <w:footnoteReference w:id="428"/>
      </w:r>
      <w:r>
        <w:rPr>
          <w:rFonts w:ascii="IRNazanin" w:hAnsi="IRNazanin" w:eastAsia="IRNazanin"/>
          <w:color w:val="111111"/>
          <w:sz w:val="28"/>
          <w:sz w:val="28"/>
          <w:szCs w:val="28"/>
          <w:rtl w:val="true"/>
          <w:lang w:bidi="fa-IR"/>
        </w:rPr>
        <w:t>مع الغضّ عن سنده</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فالعمدة هي صحيحة ابن مسلم مع تأيّدها بدعوى الشهرة وعدم الخلاف</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لا إشكال في أنّ الوجوب الطريقي ، مقدّمة لوضوح حالها لأجل العبادات ؛ لأنّ الغسل ليس بواجب نفسي ، فالوجوب هاهنا لأجل تحصيل الواجب الشرطي للعبادات التي هي واجبات نفسية </w:t>
      </w:r>
      <w:r>
        <w:rPr>
          <w:rFonts w:eastAsia="Amiri" w:cs="Amiri" w:ascii="Amiri" w:hAnsi="Amiri"/>
          <w:color w:val="111111"/>
          <w:sz w:val="28"/>
          <w:szCs w:val="28"/>
          <w:rtl w:val="true"/>
          <w:lang w:bidi="ar-SA"/>
        </w:rPr>
        <w:t>.</w:t>
      </w:r>
    </w:p>
    <w:p>
      <w:pPr>
        <w:pStyle w:val="Heading6"/>
        <w:numPr>
          <w:ilvl w:val="5"/>
          <w:numId w:val="1"/>
        </w:numPr>
        <w:rPr/>
      </w:pPr>
      <w:bookmarkStart w:id="281" w:name="__RefHeading___Toc686366_3406789950"/>
      <w:bookmarkStart w:id="282" w:name="_Toc101"/>
      <w:bookmarkEnd w:id="281"/>
      <w:r>
        <w:rPr>
          <w:rtl w:val="true"/>
        </w:rPr>
        <w:t>هل يجب الاستبراء ثانياً وثالثاً ؟</w:t>
      </w:r>
      <w:bookmarkEnd w:id="282"/>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يجب الاختبار ثانياً وثالثاً إذا اختبرت ورأت الدم ، أو لا يجب إلاّ دفعة واحدة ؟ وجهان </w:t>
      </w:r>
      <w:r>
        <w:rPr>
          <w:rFonts w:eastAsia="Amiri" w:cs="Amiri" w:ascii="Amiri" w:hAnsi="Amiri"/>
          <w:color w:val="111111"/>
          <w:sz w:val="28"/>
          <w:szCs w:val="28"/>
          <w:rtl w:val="true"/>
          <w:lang w:bidi="ar-SA"/>
        </w:rPr>
        <w:t xml:space="preserve">: </w:t>
      </w:r>
      <w:bookmarkStart w:id="283" w:name="pg15019_190705"/>
    </w:p>
    <w:p>
      <w:pPr>
        <w:pStyle w:val="BookText"/>
        <w:rPr/>
      </w:pPr>
      <w:bookmarkEnd w:id="283"/>
      <w:r>
        <w:rPr>
          <w:rFonts w:ascii="Amiri" w:hAnsi="Amiri" w:eastAsia="Amiri" w:cs="Amiri"/>
          <w:color w:val="111111"/>
          <w:sz w:val="28"/>
          <w:sz w:val="28"/>
          <w:szCs w:val="28"/>
          <w:rtl w:val="true"/>
          <w:lang w:bidi="ar-SA"/>
        </w:rPr>
        <w:t xml:space="preserve">من أنّ القطع عن الظاهر يوجب الظنّ نوعاً بالقطع عن الداخل ، فيمكن أن يكون ذلك منشأ إلغاء الاستصحاب وإيجاب الفحص ، وأمّا لو اختبرت ورأت الدم في الداخل فيجري الاستصحاب ، فتترك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اتّكالاً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العلم بالنقاء أو تجاوز العشرة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أنّ الظاهر من صحيحة ابن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بالتقريب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نّها كلّما احتاجت إلى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احتياج سائر المكلّفين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عليها الاختبار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المذكور بين موردي الاستصحاب بعيد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العلم الإجمالي بوجوب العبادات أو حرمةٍ ما على الحائض ، كالدخول في المسجدين ، واللبث في سائر المساجد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 عدم الحرمة الذاتية في العبادات ، يجب عليها الإتيان بها بمقتضى العلم الإجمالي ، فيجب الغسل بحكم العقل ، فإذا أرادت الغسل يجب عليها الاختبار بحكم صحيحة ابن 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قلنا بالحرمة الذاتية كان من قبيل الدوران بين المحذورين ، فمع عدم جريان الاستصحاب ، يجب الاختبار بحكم العقل لاتّضاح الحال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يبعد ترجيح الوجه الثاني </w:t>
      </w:r>
      <w:r>
        <w:rPr>
          <w:rFonts w:eastAsia="Amiri" w:cs="Amiri" w:ascii="Amiri" w:hAnsi="Amiri"/>
          <w:color w:val="111111"/>
          <w:sz w:val="28"/>
          <w:szCs w:val="28"/>
          <w:rtl w:val="true"/>
          <w:lang w:bidi="ar-SA"/>
        </w:rPr>
        <w:t>.</w:t>
      </w:r>
    </w:p>
    <w:p>
      <w:pPr>
        <w:pStyle w:val="Heading6"/>
        <w:numPr>
          <w:ilvl w:val="5"/>
          <w:numId w:val="1"/>
        </w:numPr>
        <w:rPr/>
      </w:pPr>
      <w:bookmarkStart w:id="284" w:name="__RefHeading___Toc686368_3406789950"/>
      <w:bookmarkStart w:id="285" w:name="_Toc102"/>
      <w:bookmarkEnd w:id="284"/>
      <w:r>
        <w:rPr>
          <w:rtl w:val="true"/>
        </w:rPr>
        <w:t>حكم نسيان الاستبراء</w:t>
      </w:r>
      <w:bookmarkEnd w:id="285"/>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على القول بشرطية الاختبار للغسل ، لا يصحّ بدونه ولو صادف الطهر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يصحّ مع فرض وقوعه على وجه تُعْذر فيه ، كنسيان الاستبراء ونحوه ؟ </w:t>
      </w:r>
      <w:bookmarkStart w:id="286" w:name="pg15019_190706"/>
    </w:p>
    <w:p>
      <w:pPr>
        <w:pStyle w:val="BookText"/>
        <w:rPr/>
      </w:pPr>
      <w:bookmarkEnd w:id="286"/>
      <w:r>
        <w:rPr>
          <w:rFonts w:ascii="Amiri" w:hAnsi="Amiri" w:eastAsia="Amiri" w:cs="Amiri"/>
          <w:color w:val="111111"/>
          <w:sz w:val="28"/>
          <w:sz w:val="28"/>
          <w:szCs w:val="28"/>
          <w:rtl w:val="true"/>
          <w:lang w:bidi="ar-SA"/>
        </w:rPr>
        <w:t xml:space="preserve">قطع بذلك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431"/>
      </w:r>
      <w:r>
        <w:rPr>
          <w:rFonts w:ascii="Amiri" w:hAnsi="Amiri" w:eastAsia="Amiri" w:cs="Amiri"/>
          <w:color w:val="111111"/>
          <w:sz w:val="28"/>
          <w:sz w:val="28"/>
          <w:szCs w:val="28"/>
          <w:rtl w:val="true"/>
          <w:lang w:bidi="ar-SA"/>
        </w:rPr>
        <w:t xml:space="preserve">وفيه تأمّل وإشكال ؛ لأ نّه على فرض الشرطية ، يكون الشرط هو واقع الاختبار من غير دخل لعذر المكلّف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قلنا بأنّ الوضع ينتزع من التكليف ، ولا يجوز تكليف المعذور ، فلا منشأ لانتزاع الوضع ، كان له 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المبنى صغرى وكبرى محلّ إشكال ؛ ضرورة أنّ الظاهر من 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في وَبَر ما لا يؤكل لحمه</w:t>
      </w:r>
      <w:r>
        <w:rPr>
          <w:rFonts w:eastAsia="Amiri" w:cs="Amiri" w:ascii="Amiri" w:hAnsi="Amiri"/>
          <w:color w:val="111111"/>
          <w:sz w:val="28"/>
          <w:szCs w:val="28"/>
          <w:rtl w:val="true"/>
          <w:lang w:bidi="ar-SA"/>
        </w:rPr>
        <w:t>»</w:t>
      </w:r>
      <w:r>
        <w:rPr>
          <w:rStyle w:val="FootnoteAnchor"/>
          <w:rtl w:val="true"/>
        </w:rPr>
        <w:footnoteReference w:id="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فهم العرف في أمثال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النهي إرشاد إلى عدم تحقّق الصلاة مع الوبر ، فالنهي لأجل عدم إمكان الوجود ، فيستفاد منه مانعية ما لا يؤكل للصلاة مطلقاً ، وكذا سائر المقامات التي تكون مثل ذلك ، ومنها ما نحن بصدده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في عدم تعلّق التكليف بالمعذور ، كلاماً وإشكالاً قد تعرّضنا له في محلّه</w:t>
      </w:r>
      <w:r>
        <w:rPr>
          <w:rStyle w:val="FootnoteAnchor"/>
          <w:rtl w:val="true"/>
        </w:rPr>
        <w:footnoteReference w:id="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في خصوص النسيان لا يبعد التمسّك بحديث الرفع ؛ على ما قوّينا شموله لمثل المقام</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87" w:name="__RefHeading___Toc686370_3406789950"/>
      <w:bookmarkStart w:id="288" w:name="_Toc103"/>
      <w:bookmarkEnd w:id="287"/>
      <w:r>
        <w:rPr>
          <w:rtl w:val="true"/>
        </w:rPr>
        <w:t>حول سقوط شرطية الاستبراء مع تعذّره</w:t>
      </w:r>
      <w:bookmarkEnd w:id="288"/>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يسقط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التعذّر ، كالعمى والظلمة وضيق المجرى ؟ وجهان </w:t>
      </w:r>
      <w:r>
        <w:rPr>
          <w:rFonts w:eastAsia="Amiri" w:cs="Amiri" w:ascii="Amiri" w:hAnsi="Amiri"/>
          <w:color w:val="111111"/>
          <w:sz w:val="28"/>
          <w:szCs w:val="28"/>
          <w:rtl w:val="true"/>
          <w:lang w:bidi="ar-SA"/>
        </w:rPr>
        <w:t xml:space="preserve">: </w:t>
      </w:r>
      <w:bookmarkStart w:id="289" w:name="pg15019_190707"/>
    </w:p>
    <w:p>
      <w:pPr>
        <w:pStyle w:val="BookText"/>
        <w:rPr/>
      </w:pPr>
      <w:bookmarkEnd w:id="289"/>
      <w:r>
        <w:rPr>
          <w:rFonts w:ascii="Amiri" w:hAnsi="Amiri" w:eastAsia="Amiri" w:cs="Amiri"/>
          <w:color w:val="111111"/>
          <w:sz w:val="28"/>
          <w:sz w:val="28"/>
          <w:szCs w:val="28"/>
          <w:rtl w:val="true"/>
          <w:lang w:bidi="ar-SA"/>
        </w:rPr>
        <w:t>من دعوى قصور الأدلّة عن قطع الاستصحاب في مثله ؛ لكونها واردة في غير المعذورة ، والمعذورة لها الاتّكال على الاستصحاب وترك العبادات إلى القطع بالنقاء أو تجاوز العشرة</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احتمال قطع الاستصحاب في المقام وكذا الشرطية ؛ لتعذّره ، فلا بدّ من الاحتياط</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الشرطية لا تنافي التعذّر ، وورود الروايات كذلك لا ينافي انفهام الشرطية منها مطلقاً ، ومعها لا يصحّ غسلها إلاّ بعد العلم بالنقاء أو تجاوز العشرة </w:t>
      </w:r>
      <w:r>
        <w:rPr>
          <w:rFonts w:eastAsia="Amiri" w:cs="Amiri" w:ascii="Amiri" w:hAnsi="Amiri"/>
          <w:color w:val="111111"/>
          <w:sz w:val="28"/>
          <w:szCs w:val="28"/>
          <w:rtl w:val="true"/>
          <w:lang w:bidi="ar-SA"/>
        </w:rPr>
        <w:t>.</w:t>
      </w:r>
    </w:p>
    <w:p>
      <w:pPr>
        <w:pStyle w:val="Heading6"/>
        <w:numPr>
          <w:ilvl w:val="5"/>
          <w:numId w:val="1"/>
        </w:numPr>
        <w:rPr/>
      </w:pPr>
      <w:bookmarkStart w:id="290" w:name="__RefHeading___Toc686372_3406789950"/>
      <w:bookmarkStart w:id="291" w:name="_Toc104"/>
      <w:bookmarkEnd w:id="290"/>
      <w:r>
        <w:rPr>
          <w:rtl w:val="true"/>
        </w:rPr>
        <w:t>كيفية الاستبراء</w:t>
      </w:r>
      <w:bookmarkEnd w:id="291"/>
    </w:p>
    <w:p>
      <w:pPr>
        <w:pStyle w:val="BookText"/>
        <w:rPr/>
      </w:pPr>
      <w:r>
        <w:rPr>
          <w:rFonts w:ascii="Amiri" w:hAnsi="Amiri" w:eastAsia="Amiri" w:cs="Amiri"/>
          <w:color w:val="111111"/>
          <w:sz w:val="28"/>
          <w:sz w:val="28"/>
          <w:szCs w:val="28"/>
          <w:rtl w:val="true"/>
          <w:lang w:bidi="ar-SA"/>
        </w:rPr>
        <w:t>ثمّ إنّه لا إشكال في عدم تعيّن كيفية خاصّة في الاستبراء ؛ لإطلاق صحيحة محمّد بن مسلم</w:t>
      </w:r>
      <w:r>
        <w:rPr>
          <w:rStyle w:val="FootnoteAnchor"/>
          <w:rtl w:val="true"/>
        </w:rPr>
        <w:footnoteReference w:id="437"/>
      </w:r>
      <w:r>
        <w:rPr>
          <w:rFonts w:ascii="Amiri" w:hAnsi="Amiri" w:eastAsia="Amiri" w:cs="Amiri"/>
          <w:color w:val="111111"/>
          <w:sz w:val="28"/>
          <w:sz w:val="28"/>
          <w:szCs w:val="28"/>
          <w:rtl w:val="true"/>
          <w:lang w:bidi="ar-SA"/>
        </w:rPr>
        <w:t>وعدم استفادة التعيين من سائر الروايات ؛ بعد اختلافِها</w:t>
      </w:r>
    </w:p>
    <w:p>
      <w:pPr>
        <w:pStyle w:val="BookText"/>
        <w:rPr/>
      </w:pPr>
      <w:r>
        <w:rPr>
          <w:rFonts w:ascii="Amiri" w:hAnsi="Amiri" w:eastAsia="Amiri" w:cs="Amiri"/>
          <w:color w:val="111111"/>
          <w:sz w:val="28"/>
          <w:sz w:val="28"/>
          <w:szCs w:val="28"/>
          <w:rtl w:val="true"/>
          <w:lang w:bidi="ar-SA"/>
        </w:rPr>
        <w:t xml:space="preserve">ومعلوميةِ ورودها للإرشاد إلى ما هو الأسهل ، ومعلوميةِ عدم دخل بعض الخصوصيات ، كالإدخال بيدها اليمنى ، فالمقصود هو حصول الاستبراء بأيّ وجه كان ، إلاّ أنّ الأحوط العمل عليها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ترجيح رفع اليسرى كما صنع الشيخ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تعدّد ما دلّ عليه </w:t>
      </w:r>
    </w:p>
    <w:p>
      <w:pPr>
        <w:pStyle w:val="BookText"/>
        <w:rPr/>
      </w:pPr>
      <w:r>
        <w:rPr>
          <w:rFonts w:ascii="Amiri" w:hAnsi="Amiri" w:eastAsia="Amiri" w:cs="Amiri"/>
          <w:color w:val="111111"/>
          <w:sz w:val="28"/>
          <w:sz w:val="28"/>
          <w:szCs w:val="28"/>
          <w:rtl w:val="true"/>
          <w:lang w:bidi="ar-SA"/>
        </w:rPr>
        <w:t>وقوّة سنده</w:t>
      </w:r>
      <w:r>
        <w:rPr>
          <w:rStyle w:val="FootnoteAnchor"/>
          <w:rtl w:val="true"/>
        </w:rPr>
        <w:footnoteReference w:id="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معلوم ؛ لأنّ سند ما دلّ على رفع اليمنى أرجح ، فإنّ مرسلة يونس أرجح من رواية الكندي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الرضوي</w:t>
      </w:r>
      <w:r>
        <w:rPr>
          <w:rFonts w:eastAsia="Amiri" w:cs="Amiri" w:ascii="Amiri" w:hAnsi="Amiri"/>
          <w:color w:val="111111"/>
          <w:sz w:val="28"/>
          <w:szCs w:val="28"/>
          <w:rtl w:val="true"/>
          <w:lang w:bidi="ar-SA"/>
        </w:rPr>
        <w:t>»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الاستبراء والفحص لا يحصل غالباً إلاّ بالمكث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لزومه ، كما ورد مثله في رواية خلف بن حمّاد الواردة في اشتباه دم العذرة بالحيض</w:t>
      </w:r>
      <w:r>
        <w:rPr>
          <w:rStyle w:val="FootnoteAnchor"/>
          <w:rtl w:val="true"/>
        </w:rPr>
        <w:footnoteReference w:id="439"/>
      </w:r>
      <w:r>
        <w:rPr>
          <w:rFonts w:ascii="Amiri" w:hAnsi="Amiri" w:eastAsia="Amiri" w:cs="Amiri"/>
          <w:color w:val="111111"/>
          <w:sz w:val="28"/>
          <w:sz w:val="28"/>
          <w:szCs w:val="28"/>
          <w:rtl w:val="true"/>
          <w:lang w:bidi="ar-SA"/>
        </w:rPr>
        <w:t xml:space="preserve">، فالأحوط اعتباره لو لم يكن الأقوى </w:t>
      </w:r>
      <w:r>
        <w:rPr>
          <w:rFonts w:eastAsia="Amiri" w:cs="Amiri" w:ascii="Amiri" w:hAnsi="Amiri"/>
          <w:color w:val="111111"/>
          <w:sz w:val="28"/>
          <w:szCs w:val="28"/>
          <w:rtl w:val="true"/>
          <w:lang w:bidi="ar-SA"/>
        </w:rPr>
        <w:t xml:space="preserve">. </w:t>
      </w:r>
      <w:bookmarkStart w:id="292" w:name="pg15019_190709"/>
    </w:p>
    <w:p>
      <w:pPr>
        <w:pStyle w:val="Heading5"/>
        <w:numPr>
          <w:ilvl w:val="4"/>
          <w:numId w:val="1"/>
        </w:numPr>
        <w:rPr/>
      </w:pPr>
      <w:bookmarkStart w:id="293" w:name="__RefHeading___Toc686374_3406789950"/>
      <w:bookmarkStart w:id="294" w:name="_Toc105"/>
      <w:bookmarkEnd w:id="292"/>
      <w:bookmarkEnd w:id="293"/>
      <w:r>
        <w:rPr>
          <w:rtl w:val="true"/>
        </w:rPr>
        <w:t>المسألة العاشرة في صور ما بعد الاستبراء وبيان أحكامها</w:t>
      </w:r>
      <w:bookmarkEnd w:id="294"/>
    </w:p>
    <w:p>
      <w:pPr>
        <w:pStyle w:val="Heading6"/>
        <w:numPr>
          <w:ilvl w:val="5"/>
          <w:numId w:val="1"/>
        </w:numPr>
        <w:rPr/>
      </w:pPr>
      <w:bookmarkStart w:id="295" w:name="__RefHeading___Toc686376_3406789950"/>
      <w:bookmarkStart w:id="296" w:name="_Toc106"/>
      <w:bookmarkEnd w:id="295"/>
      <w:r>
        <w:rPr>
          <w:rtl w:val="true"/>
        </w:rPr>
        <w:t>اشارة</w:t>
      </w:r>
      <w:bookmarkEnd w:id="296"/>
    </w:p>
    <w:p>
      <w:pPr>
        <w:pStyle w:val="BookText"/>
        <w:rPr/>
      </w:pPr>
      <w:r>
        <w:rPr>
          <w:rFonts w:ascii="Amiri" w:hAnsi="Amiri" w:eastAsia="Amiri" w:cs="Amiri"/>
          <w:color w:val="111111"/>
          <w:sz w:val="28"/>
          <w:sz w:val="28"/>
          <w:szCs w:val="28"/>
          <w:rtl w:val="true"/>
          <w:lang w:bidi="ar-SA"/>
        </w:rPr>
        <w:t xml:space="preserve">المرأة إمّا مبتدئة ، أو مضطربة لم تستقرّ لها عادة ، أو ذات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تخرج القطنة بعد الاستبراء نقيّة ، أو ملوّثة بالدم ، أو بالصفرة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وذات العادة إمّا ذات عادة عرفية ؛ بحصول العادة في أزمنة كثيرة ، أو ذات عادة بحكم الشرع بالمرّتين أو ثلاث مرّات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فهاهنا صور لا بدّ من البحث عنها </w:t>
      </w:r>
      <w:r>
        <w:rPr>
          <w:rFonts w:eastAsia="IRNazanin" w:cs="IRNazanin"/>
          <w:color w:val="111111"/>
          <w:sz w:val="28"/>
          <w:szCs w:val="28"/>
          <w:rtl w:val="true"/>
          <w:lang w:bidi="fa-IR"/>
        </w:rPr>
        <w:t>:</w:t>
      </w:r>
    </w:p>
    <w:p>
      <w:pPr>
        <w:pStyle w:val="Heading6"/>
        <w:numPr>
          <w:ilvl w:val="5"/>
          <w:numId w:val="1"/>
        </w:numPr>
        <w:rPr/>
      </w:pPr>
      <w:bookmarkStart w:id="297" w:name="__RefHeading___Toc686378_3406789950"/>
      <w:bookmarkStart w:id="298" w:name="_Toc107"/>
      <w:bookmarkEnd w:id="297"/>
      <w:r>
        <w:rPr>
          <w:rtl w:val="true"/>
        </w:rPr>
        <w:t xml:space="preserve">الصورة الاُولى </w:t>
      </w:r>
      <w:r>
        <w:rPr>
          <w:rtl w:val="true"/>
        </w:rPr>
        <w:t xml:space="preserve">: </w:t>
      </w:r>
      <w:r>
        <w:rPr>
          <w:rtl w:val="true"/>
        </w:rPr>
        <w:t>فيما إذا خرجت القطنة نقيّة بعد الاستبراء</w:t>
      </w:r>
      <w:bookmarkEnd w:id="298"/>
    </w:p>
    <w:p>
      <w:pPr>
        <w:pStyle w:val="BookText"/>
        <w:rPr/>
      </w:pPr>
      <w:r>
        <w:rPr>
          <w:rFonts w:ascii="Amiri" w:hAnsi="Amiri" w:eastAsia="Amiri" w:cs="Amiri"/>
          <w:color w:val="111111"/>
          <w:sz w:val="28"/>
          <w:sz w:val="28"/>
          <w:szCs w:val="28"/>
          <w:rtl w:val="true"/>
          <w:lang w:bidi="ar-SA"/>
        </w:rPr>
        <w:t>إذا كانت مبتدئة أو مضطربة وخرجت القطنة نقيّة ، فلا إشكال في أ نّها طاهرة</w:t>
      </w:r>
    </w:p>
    <w:p>
      <w:pPr>
        <w:pStyle w:val="BookText"/>
        <w:rPr/>
      </w:pPr>
      <w:r>
        <w:rPr>
          <w:rFonts w:ascii="Amiri" w:hAnsi="Amiri" w:eastAsia="Amiri" w:cs="Amiri"/>
          <w:color w:val="111111"/>
          <w:sz w:val="28"/>
          <w:sz w:val="28"/>
          <w:szCs w:val="28"/>
          <w:rtl w:val="true"/>
          <w:lang w:bidi="ar-SA"/>
        </w:rPr>
        <w:t xml:space="preserve">يجب عليها الغسل شرطاً عند وجوب مشروطه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عليها الاستظهار ، بل لا يجوز ؛ لأصالة عدم حدوث الدم ، وأصالة بقاء الطهر ، ولأخبار الاستبراء المتقدّمة</w:t>
      </w:r>
      <w:r>
        <w:rPr>
          <w:rStyle w:val="FootnoteAnchor"/>
          <w:rtl w:val="true"/>
        </w:rPr>
        <w:footnoteReference w:id="440"/>
      </w:r>
      <w:r>
        <w:rPr>
          <w:rFonts w:ascii="Amiri" w:hAnsi="Amiri" w:eastAsia="Amiri" w:cs="Amiri"/>
          <w:color w:val="111111"/>
          <w:sz w:val="28"/>
          <w:sz w:val="28"/>
          <w:szCs w:val="28"/>
          <w:rtl w:val="true"/>
          <w:lang w:bidi="ar-SA"/>
        </w:rPr>
        <w:t xml:space="preserve">ولو ظنّت العود لعدم اعتباره ، ولا يرفع اليد عن الدليل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بالاستظهار مستظهراً بدليل الحرج</w:t>
      </w:r>
      <w:r>
        <w:rPr>
          <w:rStyle w:val="FootnoteAnchor"/>
          <w:rtl w:val="true"/>
        </w:rPr>
        <w:footnoteReference w:id="441"/>
      </w:r>
      <w:r>
        <w:rPr>
          <w:rFonts w:ascii="Amiri" w:hAnsi="Amiri" w:eastAsia="Amiri" w:cs="Amiri"/>
          <w:color w:val="111111"/>
          <w:sz w:val="28"/>
          <w:sz w:val="28"/>
          <w:szCs w:val="28"/>
          <w:rtl w:val="true"/>
          <w:lang w:bidi="ar-SA"/>
        </w:rPr>
        <w:t xml:space="preserve">، وهو كما ترى ؛ لمنع الحرج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ذات العادة ، فإن كانت لها عادة عرفية توجب الاطمئنان بنظامها وكانت عادتها انقطاع الدم وعوده ، فلا إشكال في عدم الاستبراء لها ولزوم ترك العبادة ؛ لقوله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دعي الصلاة أيّام أقرائك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والنقاء المتخلّل من أيّام الأقراء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وكذا لو كانت العادة غير موجبة للاطمئنان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كالعادة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عدم لزوم الاستبراء ولزوم ترك العبادة ، لا لما قيل من لزوم الحرج</w:t>
      </w:r>
      <w:r>
        <w:rPr>
          <w:rStyle w:val="FootnoteAnchor"/>
          <w:rtl w:val="true"/>
        </w:rPr>
        <w:footnoteReference w:id="442"/>
      </w:r>
      <w:r>
        <w:rPr>
          <w:rFonts w:ascii="Amiri" w:hAnsi="Amiri" w:eastAsia="Amiri" w:cs="Amiri"/>
          <w:color w:val="111111"/>
          <w:sz w:val="28"/>
          <w:sz w:val="28"/>
          <w:szCs w:val="28"/>
          <w:rtl w:val="true"/>
          <w:lang w:bidi="ar-SA"/>
        </w:rPr>
        <w:t>؛ لما مرّ من عدم الحرج ، مع أنّ الحرج لا يوجب التفصيل بين الظنّ الحاصل من العادة وغيره ، كما نسب إلى جمع</w:t>
      </w:r>
      <w:r>
        <w:rPr>
          <w:rStyle w:val="FootnoteAnchor"/>
          <w:rtl w:val="true"/>
        </w:rPr>
        <w:footnoteReference w:id="443"/>
      </w:r>
      <w:r>
        <w:rPr>
          <w:rFonts w:ascii="Amiri" w:hAnsi="Amiri" w:eastAsia="Amiri" w:cs="Amiri"/>
          <w:color w:val="111111"/>
          <w:sz w:val="28"/>
          <w:sz w:val="28"/>
          <w:szCs w:val="28"/>
          <w:rtl w:val="true"/>
          <w:lang w:bidi="ar-SA"/>
        </w:rPr>
        <w:t>، بل لحكومة مرسلة يونس الطويلة</w:t>
      </w:r>
      <w:r>
        <w:rPr>
          <w:rStyle w:val="FootnoteAnchor"/>
          <w:rtl w:val="true"/>
        </w:rPr>
        <w:footnoteReference w:id="444"/>
      </w:r>
      <w:r>
        <w:rPr>
          <w:rFonts w:ascii="Amiri" w:hAnsi="Amiri" w:eastAsia="Amiri" w:cs="Amiri"/>
          <w:color w:val="111111"/>
          <w:sz w:val="28"/>
          <w:sz w:val="28"/>
          <w:szCs w:val="28"/>
          <w:rtl w:val="true"/>
          <w:lang w:bidi="ar-SA"/>
        </w:rPr>
        <w:t xml:space="preserve">على أدلّة الاستبراء ، فإنّ تلك الأدلّة موضوعها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تدرِ أطهرت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بالتقريب الذي تقدّم</w:t>
      </w:r>
      <w:r>
        <w:rPr>
          <w:rStyle w:val="FootnoteAnchor"/>
          <w:rtl w:val="true"/>
        </w:rPr>
        <w:footnoteReference w:id="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 العادة الحاصلة بالمرّتين ، توجب الخلق المعروف والأيّام المعلومة ، وقد مرّ</w:t>
      </w:r>
      <w:r>
        <w:rPr>
          <w:rStyle w:val="FootnoteAnchor"/>
          <w:rtl w:val="true"/>
        </w:rPr>
        <w:footnoteReference w:id="446"/>
      </w:r>
      <w:r>
        <w:rPr>
          <w:rFonts w:ascii="Amiri" w:hAnsi="Amiri" w:eastAsia="Amiri" w:cs="Amiri"/>
          <w:color w:val="111111"/>
          <w:sz w:val="28"/>
          <w:sz w:val="28"/>
          <w:szCs w:val="28"/>
          <w:rtl w:val="true"/>
          <w:lang w:bidi="ar-SA"/>
        </w:rPr>
        <w:t xml:space="preserve">عدم اختصاصها بمستمرّة الدم ، فإذا رأت خمسة أيّام دماً ويومين نقاءً ويومين دماً في شهرين بهذا النظام ، تصير تلك الأيّام عادتها وخلقها المعروف ، ولا تكون ممّن لم تدرِ أطهرت أم لا ؟ بل تكون عالمة بعدم طهرها ؛ لقيام الأمارة عليها ، فتكون مشمولة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دعي الصلاة أيّام أقرائك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فتخرج بالمرسلة عن موضوع تلك الأدلّة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ترك العبادة في هذا المورد ليس لأجل الاستظهار ، بل لأجل الدليل على الحيضية ، ولهذا لو قلنا باستحباب الاستظهار وجواز العبادة ، لم نقل به في المقام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الاستظهار للمردّدة ، وهذه ليست كذلك </w:t>
      </w:r>
      <w:r>
        <w:rPr>
          <w:rFonts w:eastAsia="Amiri" w:cs="Amiri" w:ascii="Amiri" w:hAnsi="Amiri"/>
          <w:color w:val="111111"/>
          <w:sz w:val="28"/>
          <w:szCs w:val="28"/>
          <w:rtl w:val="true"/>
          <w:lang w:bidi="ar-SA"/>
        </w:rPr>
        <w:t xml:space="preserve">. </w:t>
      </w:r>
      <w:bookmarkStart w:id="299" w:name="pg15019_190711"/>
    </w:p>
    <w:p>
      <w:pPr>
        <w:pStyle w:val="Heading6"/>
        <w:numPr>
          <w:ilvl w:val="5"/>
          <w:numId w:val="1"/>
        </w:numPr>
        <w:rPr/>
      </w:pPr>
      <w:bookmarkStart w:id="300" w:name="__RefHeading___Toc686380_3406789950"/>
      <w:bookmarkStart w:id="301" w:name="_Toc108"/>
      <w:bookmarkEnd w:id="299"/>
      <w:bookmarkEnd w:id="300"/>
      <w:r>
        <w:rPr>
          <w:rtl w:val="true"/>
        </w:rPr>
        <w:t>الصورة الثانية فيما إذا خرجت القطنة ملوّثة بالحمرة أو الصفرة</w:t>
      </w:r>
      <w:bookmarkEnd w:id="301"/>
    </w:p>
    <w:p>
      <w:pPr>
        <w:pStyle w:val="BookText"/>
        <w:rPr/>
      </w:pPr>
      <w:r>
        <w:rPr>
          <w:rFonts w:ascii="Amiri" w:hAnsi="Amiri" w:eastAsia="Amiri" w:cs="Amiri"/>
          <w:color w:val="111111"/>
          <w:sz w:val="28"/>
          <w:sz w:val="28"/>
          <w:szCs w:val="28"/>
          <w:rtl w:val="true"/>
          <w:lang w:bidi="ar-SA"/>
        </w:rPr>
        <w:t xml:space="preserve">إذا رأت المبتدئة أو المضطربة حمرة بالاستبراء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خرجت القطنة ملوّثة بالحمرة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لزوم التحيّض وترك العبادة ؛ للأصل ودلالة جملة من الأخبار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الاستبراء ، ففي صحيحة محمّد بن مسلم عن أبي جعفر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أرادت الحائض أن تغتسل فلتستدخل قطنة ، فإن خرج فيها شيء من الدم فلا تغتسل </w:t>
      </w:r>
      <w:r>
        <w:rPr>
          <w:rFonts w:eastAsia="IRNazanin" w:cs="IRNazanin"/>
          <w:color w:val="111111"/>
          <w:sz w:val="28"/>
          <w:szCs w:val="28"/>
          <w:rtl w:val="true"/>
          <w:lang w:bidi="fa-IR"/>
        </w:rPr>
        <w:t>. . .»</w:t>
      </w:r>
      <w:r>
        <w:rPr>
          <w:rStyle w:val="FootnoteAnchor"/>
          <w:rtl w:val="true"/>
        </w:rPr>
        <w:footnoteReference w:id="447"/>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موثّقة سماعة عن أبي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كان ثمّة من الدم مثل رأس الذباب خرج ، فإن خرج دم فلم تطهر</w:t>
      </w:r>
      <w:r>
        <w:rPr>
          <w:rFonts w:eastAsia="IRNazanin" w:cs="IRNazanin"/>
          <w:color w:val="111111"/>
          <w:sz w:val="28"/>
          <w:szCs w:val="28"/>
          <w:rtl w:val="true"/>
          <w:lang w:bidi="fa-IR"/>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خلف بن حمّاد</w:t>
      </w:r>
      <w:r>
        <w:rPr>
          <w:rStyle w:val="FootnoteAnchor"/>
          <w:rtl w:val="true"/>
        </w:rPr>
        <w:footnoteReference w:id="449"/>
      </w:r>
      <w:r>
        <w:rPr>
          <w:rFonts w:ascii="Amiri" w:hAnsi="Amiri" w:eastAsia="Amiri" w:cs="Amiri"/>
          <w:color w:val="111111"/>
          <w:sz w:val="28"/>
          <w:sz w:val="28"/>
          <w:szCs w:val="28"/>
          <w:rtl w:val="true"/>
          <w:lang w:bidi="ar-SA"/>
        </w:rPr>
        <w:t xml:space="preserve">الواردة في اشتباه الحيض بدم العذرة ، الدالّة على لزوم ترك العبادة لمن استمرّ بها الدم إلى عشرة أيّام ؛ إذا خرجت القطنة مستنقعة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روايتا محمّد بن مسلم الدالّتان على أ نّه إذا رأت المرأة الدم قبل عشرة أيّام ، فهو من الحيضة الاُولى</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ومثلهما ما ورد في باب العدد</w:t>
      </w:r>
      <w:r>
        <w:rPr>
          <w:rStyle w:val="FootnoteAnchor"/>
          <w:rtl w:val="true"/>
        </w:rPr>
        <w:footnoteReference w:id="451"/>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تأمّل فيها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في خصوص المبتدئة أو خصوص المضطربة ، كموثّقة ابن بكير عن أبي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إذا رأت الدم في أوّل حيضها فاستمرّ بها الدم بعد ذلك ، تركت الصلاة عشرة أيّام ، ثمّ تصلّي عشرين يوماً</w:t>
      </w:r>
      <w:r>
        <w:rPr>
          <w:rFonts w:eastAsia="IRNazanin" w:cs="IRNazanin"/>
          <w:color w:val="111111"/>
          <w:sz w:val="28"/>
          <w:szCs w:val="28"/>
          <w:rtl w:val="true"/>
          <w:lang w:bidi="fa-IR"/>
        </w:rPr>
        <w:t>»</w:t>
      </w:r>
      <w:r>
        <w:rPr>
          <w:rStyle w:val="FootnoteAnchor"/>
          <w:rtl w:val="true"/>
        </w:rPr>
        <w:footnoteReference w:id="452"/>
      </w:r>
      <w:r>
        <w:rPr>
          <w:rFonts w:ascii="Amiri" w:hAnsi="Amiri" w:eastAsia="Amiri" w:cs="Amiri"/>
          <w:color w:val="111111"/>
          <w:sz w:val="28"/>
          <w:sz w:val="28"/>
          <w:szCs w:val="28"/>
          <w:rtl w:val="true"/>
          <w:lang w:bidi="ar-SA"/>
        </w:rPr>
        <w:t>، وقريب منها روايته الاُخرى</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موثّقة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الجارية البكر أوّل ما تحيض ؛ تقعد في الشهر يومين ، وفي الشهر ثلاثة أيّام ؛ يختلف عليها ، لا يكون طمثها في الشهر عدّة أيّام سواء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فلها أن تجلس وتدع الصلاة ما دامت ترى الدم ما لم يجز العشرة ، فإذا اتّفق الشهران عدّة أيّام سواء فتلك أيّامها</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إشكال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الإشكال فيما إذا خرجت ملوّثة بالصفرة ، هل هو كالتلوّث بالحمرة ؛ فتمكث إلى حصول النقاء أو مضيّ عشرة أيّام ، أو يجب عليها العبادات وعمل المستحاضة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مقتضى الاستصحاب هو الأوّل ، كإطلاق الأدلّة المتقدّمة الواردة في الجارية </w:t>
      </w:r>
    </w:p>
    <w:p>
      <w:pPr>
        <w:pStyle w:val="BookText"/>
        <w:rPr/>
      </w:pPr>
      <w:r>
        <w:rPr>
          <w:rFonts w:ascii="Amiri" w:hAnsi="Amiri" w:eastAsia="Amiri" w:cs="Amiri"/>
          <w:color w:val="111111"/>
          <w:sz w:val="28"/>
          <w:sz w:val="28"/>
          <w:szCs w:val="28"/>
          <w:rtl w:val="true"/>
          <w:lang w:bidi="ar-SA"/>
        </w:rPr>
        <w:t xml:space="preserve">البكر وغيرها وإن لم يخلُ من تأمّل ؛ لاحتمال 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غير الصفرة ؛ وإن كان الأقرب شمولها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جعله في بعض الروايات في مقابلها </w:t>
      </w:r>
      <w:r>
        <w:rPr>
          <w:rStyle w:val="FootnoteAnchor"/>
          <w:rtl w:val="true"/>
        </w:rPr>
        <w:footnoteReference w:id="455"/>
      </w:r>
      <w:r>
        <w:rPr>
          <w:rFonts w:ascii="Amiri" w:hAnsi="Amiri" w:eastAsia="Amiri" w:cs="Amiri"/>
          <w:color w:val="111111"/>
          <w:sz w:val="28"/>
          <w:sz w:val="28"/>
          <w:szCs w:val="28"/>
          <w:rtl w:val="true"/>
          <w:lang w:bidi="ar-SA"/>
        </w:rPr>
        <w:t xml:space="preserve">، لا يوجب صرف المطلقات عنها مع دخولها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نعم ، إذا قوبلت به يكون المراد منه صنفاً خاصّاً ، وهو الأحمر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صحيحة سعيد بن 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وثاقة الرواسي كما لا يبعد</w:t>
      </w:r>
      <w:r>
        <w:rPr>
          <w:rStyle w:val="FootnoteAnchor"/>
          <w:rtl w:val="true"/>
        </w:rPr>
        <w:footnoteReference w:id="4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المرأة تحيض ثمّ تطهر ، وربّما رأت بعد ذلك الشيء من الدم الرقيق بعد اغتسالها من طهرها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تستظهر بعد أيّامها بيومين أو ثلاثة ، ثمّ تصلّي</w:t>
      </w:r>
      <w:r>
        <w:rPr>
          <w:rFonts w:eastAsia="IRNazanin" w:cs="IRNazanin"/>
          <w:color w:val="111111"/>
          <w:sz w:val="28"/>
          <w:szCs w:val="28"/>
          <w:rtl w:val="true"/>
          <w:lang w:bidi="fa-IR"/>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فهي في غير ما نحن فيه ؛ لأنّ كلامنا فيمن انقطع الدم عن ظاهرها دون الباطن ، وظاهر الصحيحة هو تطهّرها واغتسالها منه ثمّ رؤية الدم الرقيق ، وهو موضوع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ظهورها في ذات العادة بمقتضى كون مصبّ أخبار الاستظهار هو هي ، وظهور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أيّامها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لها أيّام وعادة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وأبعد منه التمسّك</w:t>
      </w:r>
      <w:r>
        <w:rPr>
          <w:rStyle w:val="FootnoteAnchor"/>
          <w:rtl w:val="true"/>
        </w:rPr>
        <w:footnoteReference w:id="458"/>
      </w:r>
      <w:r>
        <w:rPr>
          <w:rFonts w:ascii="IRNazanin" w:hAnsi="IRNazanin" w:eastAsia="IRNazanin"/>
          <w:color w:val="111111"/>
          <w:sz w:val="28"/>
          <w:sz w:val="28"/>
          <w:szCs w:val="28"/>
          <w:rtl w:val="true"/>
          <w:lang w:bidi="fa-IR"/>
        </w:rPr>
        <w:t xml:space="preserve">بصحيحة محمّد بن مسلم عن أبي جعفر علیه السلام ؛ حيث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لم تَرَ شيئاً فلتغتسل ، وإن رأت بعد ذلك صفرة فلتتوضّأ ولتصلّ</w:t>
      </w:r>
      <w:r>
        <w:rPr>
          <w:rFonts w:eastAsia="IRNazanin" w:cs="IRNazanin"/>
          <w:color w:val="111111"/>
          <w:sz w:val="28"/>
          <w:szCs w:val="28"/>
          <w:rtl w:val="true"/>
          <w:lang w:bidi="fa-IR"/>
        </w:rPr>
        <w:t>»</w:t>
      </w:r>
      <w:r>
        <w:rPr>
          <w:rStyle w:val="FootnoteAnchor"/>
          <w:rtl w:val="true"/>
        </w:rPr>
        <w:footnoteReference w:id="459"/>
      </w:r>
      <w:r>
        <w:rPr>
          <w:rFonts w:ascii="Amiri" w:hAnsi="Amiri" w:eastAsia="Amiri" w:cs="Amiri"/>
          <w:color w:val="111111"/>
          <w:sz w:val="28"/>
          <w:sz w:val="28"/>
          <w:szCs w:val="28"/>
          <w:rtl w:val="true"/>
          <w:lang w:bidi="ar-SA"/>
        </w:rPr>
        <w:t xml:space="preserve">؛ لتعليق الاغتسال على عدم رؤية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الجملة ملحوقة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خرج فيها شيء من الدم فلا تغتسل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لا</w:t>
      </w:r>
    </w:p>
    <w:p>
      <w:pPr>
        <w:pStyle w:val="BookText"/>
        <w:rPr/>
      </w:pPr>
      <w:r>
        <w:rPr>
          <w:rFonts w:ascii="Amiri" w:hAnsi="Amiri" w:eastAsia="Amiri" w:cs="Amiri"/>
          <w:color w:val="111111"/>
          <w:sz w:val="28"/>
          <w:sz w:val="28"/>
          <w:szCs w:val="28"/>
          <w:rtl w:val="true"/>
          <w:lang w:bidi="ar-SA"/>
        </w:rPr>
        <w:t xml:space="preserve">إطلاق فيها ،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ذيلها فلا يخالف مسألتنا ، لا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حمله على العلم بعدم الحيضية</w:t>
      </w:r>
      <w:r>
        <w:rPr>
          <w:rStyle w:val="FootnoteAnchor"/>
          <w:rtl w:val="true"/>
        </w:rPr>
        <w:footnoteReference w:id="460"/>
      </w:r>
      <w:r>
        <w:rPr>
          <w:rFonts w:ascii="Amiri" w:hAnsi="Amiri" w:eastAsia="Amiri" w:cs="Amiri"/>
          <w:color w:val="111111"/>
          <w:sz w:val="28"/>
          <w:sz w:val="28"/>
          <w:szCs w:val="28"/>
          <w:rtl w:val="true"/>
          <w:lang w:bidi="ar-SA"/>
        </w:rPr>
        <w:t xml:space="preserve">؛ لأ نّه غير وجيه ، ولا شاهد عليه ، بل لما أشرنا إليه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كلامنا فيمن استمرّ دمها في الباطن ، لا من انقطع دمها عن الظاهر والباطن وصارت طاهرة ، ثمّ رأت بعد اغتسالها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هي تنافي صحيحة سعيد بن يسار ، فلا بدّ من الجمع بينهما إمّا بحمل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 الرقيق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الأحمر الرقيق ، أو حمل صحيحة ابن مسلم على ما بعد أيّام الاستظهار ، أو بعد عشرة أيّام ، والأوّل أقرب لو لا مخافة مخالفته للإجماع أو الشهرة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الرجوع إلى الأوصاف وأمارية الصفرة للاستحاضة ، أقرب بحسب الأدلّة فيما نحن فيه ، وبه يقطع الاستصحاب ، وترفع اليد عن إطلاق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تلك المخافة </w:t>
      </w:r>
      <w:r>
        <w:rPr>
          <w:rFonts w:eastAsia="Amiri" w:cs="Amiri" w:ascii="Amiri" w:hAnsi="Amiri"/>
          <w:color w:val="111111"/>
          <w:sz w:val="28"/>
          <w:szCs w:val="28"/>
          <w:rtl w:val="true"/>
          <w:lang w:bidi="ar-SA"/>
        </w:rPr>
        <w:t xml:space="preserve">. </w:t>
      </w:r>
      <w:bookmarkStart w:id="302" w:name="pg15019_190715"/>
    </w:p>
    <w:p>
      <w:pPr>
        <w:pStyle w:val="Heading6"/>
        <w:numPr>
          <w:ilvl w:val="5"/>
          <w:numId w:val="1"/>
        </w:numPr>
        <w:rPr/>
      </w:pPr>
      <w:bookmarkStart w:id="303" w:name="__RefHeading___Toc686382_3406789950"/>
      <w:bookmarkStart w:id="304" w:name="_Toc109"/>
      <w:bookmarkEnd w:id="302"/>
      <w:bookmarkEnd w:id="303"/>
      <w:r>
        <w:rPr>
          <w:rtl w:val="true"/>
        </w:rPr>
        <w:t>الصورة الثالثة في حكم ما إذا رأت ذات العادة بعد أيّامها صفرة</w:t>
      </w:r>
      <w:bookmarkEnd w:id="304"/>
    </w:p>
    <w:p>
      <w:pPr>
        <w:pStyle w:val="BookText"/>
        <w:rPr/>
      </w:pPr>
      <w:r>
        <w:rPr>
          <w:rFonts w:ascii="Amiri" w:hAnsi="Amiri" w:eastAsia="Amiri" w:cs="Amiri"/>
          <w:color w:val="111111"/>
          <w:sz w:val="28"/>
          <w:sz w:val="28"/>
          <w:szCs w:val="28"/>
          <w:rtl w:val="true"/>
          <w:lang w:bidi="ar-SA"/>
        </w:rPr>
        <w:t>إذا رأت ذات العادة بعد أيّامها صفرة ، فهل يجب عليها أو يستحبّ الاستظهار ؛</w:t>
      </w:r>
    </w:p>
    <w:p>
      <w:pPr>
        <w:pStyle w:val="BookText"/>
        <w:rPr/>
      </w:pPr>
      <w:r>
        <w:rPr>
          <w:rFonts w:ascii="Amiri" w:hAnsi="Amiri" w:eastAsia="Amiri" w:cs="Amiri"/>
          <w:color w:val="111111"/>
          <w:sz w:val="28"/>
          <w:sz w:val="28"/>
          <w:szCs w:val="28"/>
          <w:rtl w:val="true"/>
          <w:lang w:bidi="ar-SA"/>
        </w:rPr>
        <w:t>بمقتضى ما دلّ عليه</w:t>
      </w:r>
      <w:r>
        <w:rPr>
          <w:rStyle w:val="FootnoteAnchor"/>
          <w:rtl w:val="true"/>
        </w:rPr>
        <w:footnoteReference w:id="461"/>
      </w:r>
      <w:r>
        <w:rPr>
          <w:rFonts w:ascii="Amiri" w:hAnsi="Amiri" w:eastAsia="Amiri" w:cs="Amiri"/>
          <w:color w:val="111111"/>
          <w:sz w:val="28"/>
          <w:sz w:val="28"/>
          <w:szCs w:val="28"/>
          <w:rtl w:val="true"/>
          <w:lang w:bidi="ar-SA"/>
        </w:rPr>
        <w:t>، أو تعمل عمل المستحاضة ؛ بمقتضى ما دلّ على أنّ</w:t>
      </w:r>
    </w:p>
    <w:p>
      <w:pPr>
        <w:pStyle w:val="BookText"/>
        <w:rPr/>
      </w:pPr>
      <w:r>
        <w:rPr>
          <w:rFonts w:ascii="Amiri" w:hAnsi="Amiri" w:eastAsia="Amiri" w:cs="Amiri"/>
          <w:color w:val="111111"/>
          <w:sz w:val="28"/>
          <w:sz w:val="28"/>
          <w:szCs w:val="28"/>
          <w:rtl w:val="true"/>
          <w:lang w:bidi="ar-SA"/>
        </w:rPr>
        <w:t>الصفرة بعد الحيض أو بعد أيّام الحيض ، ليست بحيض</w:t>
      </w:r>
      <w:r>
        <w:rPr>
          <w:rStyle w:val="FootnoteAnchor"/>
          <w:rtl w:val="true"/>
        </w:rPr>
        <w:footnoteReference w:id="46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 تلك الأخبار مخالفة للإجماع ؛ بسيطاً أو مركّباً ، ولأخبار الاستظهار</w:t>
      </w:r>
      <w:r>
        <w:rPr>
          <w:rFonts w:eastAsia="Amiri" w:cs="Amiri" w:ascii="Amiri" w:hAnsi="Amiri"/>
          <w:color w:val="111111"/>
          <w:sz w:val="28"/>
          <w:szCs w:val="28"/>
          <w:rtl w:val="true"/>
          <w:lang w:bidi="ar-SA"/>
        </w:rPr>
        <w:t>»</w:t>
      </w:r>
      <w:r>
        <w:rPr>
          <w:rStyle w:val="FootnoteAnchor"/>
          <w:rtl w:val="true"/>
        </w:rPr>
        <w:footnoteReference w:id="463"/>
      </w:r>
      <w:r>
        <w:rPr>
          <w:rFonts w:ascii="Amiri" w:hAnsi="Amiri" w:eastAsia="Amiri" w:cs="Amiri"/>
          <w:color w:val="111111"/>
          <w:sz w:val="28"/>
          <w:sz w:val="28"/>
          <w:szCs w:val="28"/>
          <w:rtl w:val="true"/>
          <w:lang w:bidi="ar-SA"/>
        </w:rPr>
        <w:t xml:space="preserve">ولهذا حملها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بعد الحيض والاستظهار</w:t>
      </w:r>
      <w:r>
        <w:rPr>
          <w:rStyle w:val="FootnoteAnchor"/>
          <w:rtl w:val="true"/>
        </w:rPr>
        <w:footnoteReference w:id="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المتّجه لو كانت مخالفة للإجماع ، وإلاّ فالجمع العقلائي بينها وبين أدلّة الاستظهار يقتضي تحكيمها عليها ؛ لأنّ موضوع أدلّة الاستظهار هو من لم تعلم أنّ الدم حيض أو لا ، ولهذا عبّر 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 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تحتاط</w:t>
      </w:r>
      <w:r>
        <w:rPr>
          <w:rFonts w:eastAsia="Amiri" w:cs="Amiri" w:ascii="Amiri" w:hAnsi="Amiri"/>
          <w:color w:val="111111"/>
          <w:sz w:val="28"/>
          <w:szCs w:val="28"/>
          <w:rtl w:val="true"/>
          <w:lang w:bidi="ar-SA"/>
        </w:rPr>
        <w:t>»</w:t>
      </w:r>
      <w:r>
        <w:rPr>
          <w:rStyle w:val="FootnoteAnchor"/>
          <w:rtl w:val="true"/>
        </w:rPr>
        <w:footnoteReference w:id="465"/>
      </w:r>
      <w:r>
        <w:rPr>
          <w:rFonts w:ascii="Amiri" w:hAnsi="Amiri" w:eastAsia="Amiri" w:cs="Amiri"/>
          <w:color w:val="111111"/>
          <w:sz w:val="28"/>
          <w:sz w:val="28"/>
          <w:szCs w:val="28"/>
          <w:rtl w:val="true"/>
          <w:lang w:bidi="ar-SA"/>
        </w:rPr>
        <w:t xml:space="preserve">، بل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ذلك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المورد مورد الشبهة والتحيّر ؛ لأنّ الدم إذا انقطع على العشرة ، يكون جميعه حيضاً بمقتضى الأدلّة ، وإذا تجاوز عنها تكون أيّام العادة كذلك ، فتكون </w:t>
      </w:r>
    </w:p>
    <w:p>
      <w:pPr>
        <w:pStyle w:val="BookText"/>
        <w:rPr/>
      </w:pPr>
      <w:r>
        <w:rPr>
          <w:rFonts w:ascii="Amiri" w:hAnsi="Amiri" w:eastAsia="Amiri" w:cs="Amiri"/>
          <w:color w:val="111111"/>
          <w:sz w:val="28"/>
          <w:sz w:val="28"/>
          <w:szCs w:val="28"/>
          <w:rtl w:val="true"/>
          <w:lang w:bidi="ar-SA"/>
        </w:rPr>
        <w:t xml:space="preserve">شاكّة في حيضية ما تجاوز عن العادة ؛ لأجل الشكّ في تجاوزه عن العشرة ، والأخبار الدالّة على أنّ الصفرة بعد أيّام العادة ليست بحيض ، حاكمة على أدلّة الاستظهار ونافية لموضوعها ؛ سواء كان بينها وبين أدلّة الاستظهار عموم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إذا حملت تلك الأخبار على من استمرّ بها الدم ، كما احتمله أو قرّبه الشيخ الأعظم</w:t>
      </w:r>
      <w:r>
        <w:rPr>
          <w:rStyle w:val="FootnoteAnchor"/>
          <w:rtl w:val="true"/>
        </w:rPr>
        <w:footnoteReference w:id="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عموم من وجه ؛ بناءً على إطلاقها كما هو الأقرب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إذا حملنا موثّقة أبي بصير ، عن 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المرأة ترى الصفرة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قبل الحيض بيومين فهو من الحيض ، وإن كان بعد الحيض بيومين فليس من الحيض</w:t>
      </w:r>
      <w:r>
        <w:rPr>
          <w:rFonts w:eastAsia="IRNazanin" w:cs="IRNazanin"/>
          <w:color w:val="111111"/>
          <w:sz w:val="28"/>
          <w:szCs w:val="28"/>
          <w:rtl w:val="true"/>
          <w:lang w:bidi="fa-IR"/>
        </w:rPr>
        <w:t>»</w:t>
      </w:r>
      <w:r>
        <w:rPr>
          <w:rStyle w:val="FootnoteAnchor"/>
          <w:rtl w:val="true"/>
        </w:rPr>
        <w:footnoteReference w:id="467"/>
      </w:r>
      <w:r>
        <w:rPr>
          <w:rFonts w:ascii="Amiri" w:hAnsi="Amiri" w:eastAsia="Amiri" w:cs="Amiri"/>
          <w:color w:val="111111"/>
          <w:sz w:val="28"/>
          <w:sz w:val="28"/>
          <w:szCs w:val="28"/>
          <w:rtl w:val="true"/>
          <w:lang w:bidi="ar-SA"/>
        </w:rPr>
        <w:t xml:space="preserve">على ما حدث بعد الأيّام ، كما لا يبعد بلحاظ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ترى الصفرة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وإلاّ فالوجه حمل مطلقات تلك الأخبار عليها فيمن استمرّ بها الدم ؛ أي تجاوز عن عادتها ، فحينئذٍ يمكن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بعد الحيض بيومين فليس من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أيّام الاستظهار ، فتكون مطابقة لما دلّ</w:t>
      </w:r>
      <w:r>
        <w:rPr>
          <w:rStyle w:val="FootnoteAnchor"/>
          <w:rtl w:val="true"/>
        </w:rPr>
        <w:footnoteReference w:id="468"/>
      </w:r>
      <w:r>
        <w:rPr>
          <w:rFonts w:ascii="Amiri" w:hAnsi="Amiri" w:eastAsia="Amiri" w:cs="Amiri"/>
          <w:color w:val="111111"/>
          <w:sz w:val="28"/>
          <w:sz w:val="28"/>
          <w:szCs w:val="28"/>
          <w:rtl w:val="true"/>
          <w:lang w:bidi="ar-SA"/>
        </w:rPr>
        <w:t xml:space="preserve">على أ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أيّام حيضها دون عشرة أيّام ، استظهرت بيوم أو يومين ثمّ هي مستحاضة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فيحمل عدم الحيضية على التكليف الظاهري بكونها مستحاضة ، لا على عدم الحيضية الواقعية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الوجه أقرب إلى جمع الأخبار وكلمات الأصحاب ؛ وإن لم يخلُ من إشكال </w:t>
      </w:r>
      <w:r>
        <w:rPr>
          <w:rFonts w:eastAsia="Amiri" w:cs="Amiri" w:ascii="Amiri" w:hAnsi="Amiri"/>
          <w:color w:val="111111"/>
          <w:sz w:val="28"/>
          <w:szCs w:val="28"/>
          <w:rtl w:val="true"/>
          <w:lang w:bidi="ar-SA"/>
        </w:rPr>
        <w:t xml:space="preserve">. </w:t>
      </w:r>
      <w:bookmarkStart w:id="305" w:name="pg15019_190717"/>
    </w:p>
    <w:p>
      <w:pPr>
        <w:pStyle w:val="Heading6"/>
        <w:numPr>
          <w:ilvl w:val="5"/>
          <w:numId w:val="1"/>
        </w:numPr>
        <w:rPr/>
      </w:pPr>
      <w:bookmarkStart w:id="306" w:name="__RefHeading___Toc686384_3406789950"/>
      <w:bookmarkStart w:id="307" w:name="_Toc110"/>
      <w:bookmarkEnd w:id="305"/>
      <w:bookmarkEnd w:id="306"/>
      <w:r>
        <w:rPr>
          <w:rtl w:val="true"/>
        </w:rPr>
        <w:t>الصورة الرابعة في حكم ذات العادة مع تلوّث القطنة بعد أيّامها</w:t>
      </w:r>
      <w:bookmarkEnd w:id="307"/>
    </w:p>
    <w:p>
      <w:pPr>
        <w:pStyle w:val="Heading6"/>
        <w:numPr>
          <w:ilvl w:val="5"/>
          <w:numId w:val="1"/>
        </w:numPr>
        <w:rPr/>
      </w:pPr>
      <w:bookmarkStart w:id="308" w:name="__RefHeading___Toc686386_3406789950"/>
      <w:bookmarkStart w:id="309" w:name="_Toc111"/>
      <w:bookmarkEnd w:id="308"/>
      <w:r>
        <w:rPr>
          <w:rtl w:val="true"/>
        </w:rPr>
        <w:t>اشارة</w:t>
      </w:r>
      <w:bookmarkEnd w:id="309"/>
    </w:p>
    <w:p>
      <w:pPr>
        <w:pStyle w:val="BookText"/>
        <w:rPr/>
      </w:pPr>
      <w:r>
        <w:rPr>
          <w:rFonts w:ascii="Amiri" w:hAnsi="Amiri" w:eastAsia="Amiri" w:cs="Amiri"/>
          <w:color w:val="111111"/>
          <w:sz w:val="28"/>
          <w:sz w:val="28"/>
          <w:szCs w:val="28"/>
          <w:rtl w:val="true"/>
          <w:lang w:bidi="ar-SA"/>
        </w:rPr>
        <w:t xml:space="preserve">إذا خرجت القطنة بعد أيّام عادتها ملوّثة بالدم ، بل بالصفرة بناءً على ما تقدّم آنفاً ففيه جهات من 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الورود فيها لا بأس بذكر ما تقتضي القاعدة </w:t>
      </w:r>
      <w:r>
        <w:rPr>
          <w:rFonts w:eastAsia="Amiri" w:cs="Amiri" w:ascii="Amiri" w:hAnsi="Amiri"/>
          <w:color w:val="111111"/>
          <w:sz w:val="28"/>
          <w:szCs w:val="28"/>
          <w:rtl w:val="true"/>
          <w:lang w:bidi="ar-SA"/>
        </w:rPr>
        <w:t>:</w:t>
      </w:r>
    </w:p>
    <w:p>
      <w:pPr>
        <w:pStyle w:val="Heading6"/>
        <w:numPr>
          <w:ilvl w:val="5"/>
          <w:numId w:val="1"/>
        </w:numPr>
        <w:rPr/>
      </w:pPr>
      <w:bookmarkStart w:id="310" w:name="__RefHeading___Toc686388_3406789950"/>
      <w:bookmarkStart w:id="311" w:name="_Toc112"/>
      <w:bookmarkEnd w:id="310"/>
      <w:r>
        <w:rPr>
          <w:rtl w:val="true"/>
        </w:rPr>
        <w:t>مقتضى القاعدة في المقام</w:t>
      </w:r>
      <w:bookmarkEnd w:id="311"/>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بجريان الاستصحاب في المقام ، فالظاهر جريان استصحاب استمرار الدم إلى ما بعد العشرة ، فيترتّب عليه كون العادة أيّامها ، ولا سنّة لها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قلنا بعدم جريانه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لعدم الجريان في التدريجيات ، أو لقطع الاستصحاب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فمقتضى القاعدة الجمع بين تروك الحائض وأعمال المستحاضة ؛ للعلم الإجمالي بكونها حائضاً أو مستحاضة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قلنا بالحرمة التشريعية في العبادات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 نّه لا يجب عليها للأصل ؛ لأنّ الشكّ بالنسبة إليها مرجعه إلى الشكّ في أصل التكليف ، والمرجع فيه البراءة</w:t>
      </w:r>
      <w:r>
        <w:rPr>
          <w:rFonts w:eastAsia="Amiri" w:cs="Amiri" w:ascii="Amiri" w:hAnsi="Amiri"/>
          <w:color w:val="111111"/>
          <w:sz w:val="28"/>
          <w:szCs w:val="28"/>
          <w:rtl w:val="true"/>
          <w:lang w:bidi="ar-SA"/>
        </w:rPr>
        <w:t>»</w:t>
      </w:r>
      <w:r>
        <w:rPr>
          <w:rStyle w:val="FootnoteAnchor"/>
          <w:rtl w:val="true"/>
        </w:rPr>
        <w:footnoteReference w:id="469"/>
      </w:r>
      <w:r>
        <w:rPr>
          <w:rFonts w:ascii="Amiri" w:hAnsi="Amiri" w:eastAsia="Amiri" w:cs="Amiri"/>
          <w:color w:val="111111"/>
          <w:sz w:val="28"/>
          <w:sz w:val="28"/>
          <w:szCs w:val="28"/>
          <w:rtl w:val="true"/>
          <w:lang w:bidi="ar-SA"/>
        </w:rPr>
        <w:t xml:space="preserve">في غير محلّه بعد العلم الإجمالي </w:t>
      </w:r>
      <w:r>
        <w:rPr>
          <w:rFonts w:eastAsia="Amiri" w:cs="Amiri" w:ascii="Amiri" w:hAnsi="Amiri"/>
          <w:color w:val="111111"/>
          <w:sz w:val="28"/>
          <w:szCs w:val="28"/>
          <w:rtl w:val="true"/>
          <w:lang w:bidi="ar-SA"/>
        </w:rPr>
        <w:t xml:space="preserve">. </w:t>
      </w:r>
      <w:bookmarkStart w:id="312" w:name="pg15019_190718"/>
    </w:p>
    <w:p>
      <w:pPr>
        <w:pStyle w:val="BookText"/>
        <w:rPr/>
      </w:pPr>
      <w:bookmarkEnd w:id="312"/>
      <w:r>
        <w:rPr>
          <w:rFonts w:ascii="Amiri" w:hAnsi="Amiri" w:eastAsia="Amiri" w:cs="Amiri"/>
          <w:color w:val="111111"/>
          <w:sz w:val="28"/>
          <w:sz w:val="28"/>
          <w:szCs w:val="28"/>
          <w:rtl w:val="true"/>
          <w:lang w:bidi="ar-SA"/>
        </w:rPr>
        <w:t xml:space="preserve">وأمّا إن قلنا بالحرمة الذاتية ففي العبادات يدور الأمر بين المحذورين ، فتتخيّر مع عدم الترجيح محتملاً واحتمالاً ، وإلاّ فتأخذ بأرجحهما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إلى محرّمات الحائض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كمسّ الكتابة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 بلزوم</w:t>
      </w:r>
    </w:p>
    <w:p>
      <w:pPr>
        <w:pStyle w:val="BookText"/>
        <w:rPr/>
      </w:pPr>
      <w:r>
        <w:rPr>
          <w:rFonts w:ascii="Amiri" w:hAnsi="Amiri" w:eastAsia="Amiri" w:cs="Amiri"/>
          <w:color w:val="111111"/>
          <w:sz w:val="28"/>
          <w:sz w:val="28"/>
          <w:szCs w:val="28"/>
          <w:rtl w:val="true"/>
          <w:lang w:bidi="ar-SA"/>
        </w:rPr>
        <w:t xml:space="preserve">تركها ؛ لكونها طرفاً للعلم الإجمالي ؛ وإن كان أحد الطرفين من قبيل الدوران بين المحذورين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الظاهر عدم لزومه ؛ لأنّ العلم ليس منجّزاً بالنسبة إلى أحد الطرفين ؛ أي العبادات التي دار أمرها بين المحذورين ، ومعه يكون الآخر في حكم الشبهة البدوية ؛ لأنّ من شروط تنجيز العلم تعلّقه بتكليف منجّز به على كلّ تقدير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التخيير العقلي في المقام استمراري لا بدوي ، فهي مخيّرة في كلّ واقعة في الأخذ بأيّ طرف شاءت ، إلاّ أن يلزم منه محذور ، كحصول العلم التفصيلي ببطلان عملها في بعض الصور ، كما لو تركت الظهر وأتت بالعصر ، فتعلم تفصيلاً ببطلانها ؛ لفقد الترتيب أو الطهور </w:t>
      </w:r>
      <w:r>
        <w:rPr>
          <w:rFonts w:eastAsia="Amiri" w:cs="Amiri" w:ascii="Amiri" w:hAnsi="Amiri"/>
          <w:color w:val="111111"/>
          <w:sz w:val="28"/>
          <w:szCs w:val="28"/>
          <w:rtl w:val="true"/>
          <w:lang w:bidi="ar-SA"/>
        </w:rPr>
        <w:t>.</w:t>
      </w:r>
    </w:p>
    <w:p>
      <w:pPr>
        <w:pStyle w:val="Heading6"/>
        <w:numPr>
          <w:ilvl w:val="5"/>
          <w:numId w:val="1"/>
        </w:numPr>
        <w:rPr/>
      </w:pPr>
      <w:bookmarkStart w:id="313" w:name="__RefHeading___Toc686390_3406789950"/>
      <w:bookmarkStart w:id="314" w:name="_Toc113"/>
      <w:bookmarkEnd w:id="313"/>
      <w:r>
        <w:rPr>
          <w:rtl w:val="true"/>
        </w:rPr>
        <w:t xml:space="preserve">الجهة الاُولى </w:t>
      </w:r>
      <w:r>
        <w:rPr>
          <w:rtl w:val="true"/>
        </w:rPr>
        <w:t xml:space="preserve">: </w:t>
      </w:r>
      <w:r>
        <w:rPr>
          <w:rtl w:val="true"/>
        </w:rPr>
        <w:t>في مصبّ أخبار الاستظهار وموردها</w:t>
      </w:r>
      <w:bookmarkEnd w:id="314"/>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إشكال في أنّ مصبّ أخبار الاستظهار</w:t>
      </w:r>
      <w:r>
        <w:rPr>
          <w:rStyle w:val="FootnoteAnchor"/>
          <w:rtl w:val="true"/>
        </w:rPr>
        <w:footnoteReference w:id="470"/>
      </w:r>
      <w:r>
        <w:rPr>
          <w:rFonts w:ascii="Amiri" w:hAnsi="Amiri" w:eastAsia="Amiri" w:cs="Amiri"/>
          <w:color w:val="111111"/>
          <w:sz w:val="28"/>
          <w:sz w:val="28"/>
          <w:szCs w:val="28"/>
          <w:rtl w:val="true"/>
          <w:lang w:bidi="ar-SA"/>
        </w:rPr>
        <w:t>هو الامرأة المتحيّرة ؛ أي التي تتحيّر في أ نّها حائض أو مستحاضة ، ومنشأ هذا الشكّ هو الشكّ في تجاوز دمها عن العشرة حتّى لا تكون لها سنّة إلاّ أيّامها ، كما سيأتي</w:t>
      </w:r>
      <w:r>
        <w:rPr>
          <w:rStyle w:val="FootnoteAnchor"/>
          <w:rtl w:val="true"/>
        </w:rPr>
        <w:footnoteReference w:id="471"/>
      </w:r>
      <w:r>
        <w:rPr>
          <w:rFonts w:ascii="Amiri" w:hAnsi="Amiri" w:eastAsia="Amiri" w:cs="Amiri"/>
          <w:color w:val="111111"/>
          <w:sz w:val="28"/>
          <w:sz w:val="28"/>
          <w:szCs w:val="28"/>
          <w:rtl w:val="true"/>
          <w:lang w:bidi="ar-SA"/>
        </w:rPr>
        <w:t xml:space="preserve">وعدمه حتّى </w:t>
      </w:r>
    </w:p>
    <w:p>
      <w:pPr>
        <w:pStyle w:val="BookText"/>
        <w:rPr/>
      </w:pPr>
      <w:r>
        <w:rPr>
          <w:rFonts w:ascii="Amiri" w:hAnsi="Amiri" w:eastAsia="Amiri" w:cs="Amiri"/>
          <w:color w:val="111111"/>
          <w:sz w:val="28"/>
          <w:sz w:val="28"/>
          <w:szCs w:val="28"/>
          <w:rtl w:val="true"/>
          <w:lang w:bidi="ar-SA"/>
        </w:rPr>
        <w:t>يكون المجموع حيضاً كما مرّ</w:t>
      </w:r>
      <w:r>
        <w:rPr>
          <w:rStyle w:val="FootnoteAnchor"/>
          <w:rtl w:val="true"/>
        </w:rPr>
        <w:footnoteReference w:id="472"/>
      </w:r>
      <w:r>
        <w:rPr>
          <w:rFonts w:ascii="Amiri" w:hAnsi="Amiri" w:eastAsia="Amiri" w:cs="Amiri"/>
          <w:color w:val="111111"/>
          <w:sz w:val="28"/>
          <w:sz w:val="28"/>
          <w:szCs w:val="28"/>
          <w:rtl w:val="true"/>
          <w:lang w:bidi="ar-SA"/>
        </w:rPr>
        <w:t xml:space="preserve">، وذلك لظهور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 وأخبار الباب تدور على هذين العنوانين ، فمن علمت أو اطمأ نّت بعدم تجاوز دمها عن العشرة أو تجاوزه ، فهي خارجة عن مصبّها ، فمثل المرأة التي يستمرّ بها الدم شهوراً أو أقلّ خارجة عن مصبّها ، كما يظهر بالتأمّل فيها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اقتضاء العنوانين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وردت الروايات في موردين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ورد فيه غالب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 غيره بالنسبة إليه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رأت الدم وقت حيضها أو قبله وجاز أيّامها ، وممّا ورد في ذلك موثّقتا سَماعة</w:t>
      </w:r>
      <w:r>
        <w:rPr>
          <w:rStyle w:val="FootnoteAnchor"/>
          <w:rtl w:val="true"/>
        </w:rPr>
        <w:footnoteReference w:id="473"/>
      </w:r>
      <w:r>
        <w:rPr>
          <w:rFonts w:ascii="Amiri" w:hAnsi="Amiri" w:eastAsia="Amiri" w:cs="Amiri"/>
          <w:color w:val="111111"/>
          <w:sz w:val="28"/>
          <w:sz w:val="28"/>
          <w:szCs w:val="28"/>
          <w:rtl w:val="true"/>
          <w:lang w:bidi="ar-SA"/>
        </w:rPr>
        <w:t>ورواية إسحاق بن جرير</w:t>
      </w:r>
      <w:r>
        <w:rPr>
          <w:rStyle w:val="FootnoteAnchor"/>
          <w:rtl w:val="true"/>
        </w:rPr>
        <w:footnoteReference w:id="474"/>
      </w:r>
      <w:r>
        <w:rPr>
          <w:rFonts w:ascii="Amiri" w:hAnsi="Amiri" w:eastAsia="Amiri" w:cs="Amiri"/>
          <w:color w:val="111111"/>
          <w:sz w:val="28"/>
          <w:sz w:val="28"/>
          <w:szCs w:val="28"/>
          <w:rtl w:val="true"/>
          <w:lang w:bidi="ar-SA"/>
        </w:rPr>
        <w:t>ومرسلة داود مولى أبي المغرا ، وصحيحتا سعيد بن يسار وابن أبي نصر ورواية محمّد بن عمرو وعبداللّه بن المغيرة ويونس بن يعقوب وزرارة ومحمّد بن مسلم</w:t>
      </w:r>
      <w:r>
        <w:rPr>
          <w:rStyle w:val="FootnoteAnchor"/>
          <w:rtl w:val="true"/>
        </w:rPr>
        <w:footnoteReference w:id="475"/>
      </w:r>
      <w:r>
        <w:rPr>
          <w:rFonts w:ascii="Amiri" w:hAnsi="Amiri" w:eastAsia="Amiri" w:cs="Amiri"/>
          <w:color w:val="111111"/>
          <w:sz w:val="28"/>
          <w:sz w:val="28"/>
          <w:szCs w:val="28"/>
          <w:rtl w:val="true"/>
          <w:lang w:bidi="ar-SA"/>
        </w:rPr>
        <w:t xml:space="preserve">وما وردت في النفساء ، كصحيحة زرارة ورواية يونس ومالك بن أعين وزرارة ويونس بن يعقوب وأبي بصير وغيرها </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الطائفة لا إشكال فيها من حيث كون مصبّها ما ذكرنا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وردت في المستحاضة ، كرواية إسماعيل الجُعفي عن </w:t>
      </w:r>
    </w:p>
    <w:p>
      <w:pPr>
        <w:pStyle w:val="BookText"/>
        <w:rPr/>
      </w:pPr>
      <w:r>
        <w:rPr>
          <w:rFonts w:ascii="IRNazanin" w:hAnsi="IRNazanin" w:eastAsia="IRNazanin"/>
          <w:color w:val="111111"/>
          <w:sz w:val="28"/>
          <w:sz w:val="28"/>
          <w:szCs w:val="28"/>
          <w:rtl w:val="true"/>
          <w:lang w:bidi="fa-IR"/>
        </w:rPr>
        <w:t xml:space="preserve">أبي جعفر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المستحاضة تقعد أيّام قرئها ، ثمّ تحتاط بيوم أو يومين ، فإن هي رأت طهراً اغتسلت</w:t>
      </w:r>
      <w:r>
        <w:rPr>
          <w:rFonts w:eastAsia="IRNazanin" w:cs="IRNazanin"/>
          <w:color w:val="111111"/>
          <w:sz w:val="28"/>
          <w:szCs w:val="28"/>
          <w:rtl w:val="true"/>
          <w:lang w:bidi="fa-IR"/>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ورواية زرارة ومحمّد بن مسلم ، عن أبي جعفر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يجب للمستحاضة أن تنظر بعض نسائها ، فتقتدي بأقرائها ، ثمّ تستظهر على ذلك بيوم</w:t>
      </w:r>
      <w:r>
        <w:rPr>
          <w:rFonts w:eastAsia="IRNazanin" w:cs="IRNazanin"/>
          <w:color w:val="111111"/>
          <w:sz w:val="28"/>
          <w:szCs w:val="28"/>
          <w:rtl w:val="true"/>
          <w:lang w:bidi="fa-IR"/>
        </w:rPr>
        <w:t>»</w:t>
      </w:r>
      <w:r>
        <w:rPr>
          <w:rStyle w:val="FootnoteAnchor"/>
          <w:rtl w:val="true"/>
        </w:rPr>
        <w:footnoteReference w:id="4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ورواية اُخرى لزرارة ، عنه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المستحاضة تستظهر بيوم أو يومين</w:t>
      </w:r>
      <w:r>
        <w:rPr>
          <w:rFonts w:eastAsia="IRNazanin" w:cs="IRNazanin"/>
          <w:color w:val="111111"/>
          <w:sz w:val="28"/>
          <w:szCs w:val="28"/>
          <w:rtl w:val="true"/>
          <w:lang w:bidi="fa-IR"/>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ورواية فضيل وزرارة ، عن أحدهما علیهما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المستحاضة تكفّ عن</w:t>
      </w:r>
    </w:p>
    <w:p>
      <w:pPr>
        <w:pStyle w:val="BookText"/>
        <w:rPr/>
      </w:pPr>
      <w:r>
        <w:rPr>
          <w:rFonts w:ascii="Amiri" w:hAnsi="Amiri" w:eastAsia="Amiri" w:cs="Amiri"/>
          <w:color w:val="111111"/>
          <w:sz w:val="28"/>
          <w:sz w:val="28"/>
          <w:szCs w:val="28"/>
          <w:rtl w:val="true"/>
          <w:lang w:bidi="ar-SA"/>
        </w:rPr>
        <w:t xml:space="preserve">الصلاة أيّام أقرائها ، وتحتاط بيوم أو اثنين ، ثمّ تغتسل </w:t>
      </w:r>
      <w:r>
        <w:rPr>
          <w:rFonts w:eastAsia="Amiri" w:cs="Amiri" w:ascii="Amiri" w:hAnsi="Amiri"/>
          <w:color w:val="111111"/>
          <w:sz w:val="28"/>
          <w:szCs w:val="28"/>
          <w:rtl w:val="true"/>
          <w:lang w:bidi="ar-SA"/>
        </w:rPr>
        <w:t>. . .»</w:t>
      </w:r>
      <w:r>
        <w:rPr>
          <w:rStyle w:val="FootnoteAnchor"/>
          <w:rtl w:val="true"/>
        </w:rPr>
        <w:footnoteReference w:id="480"/>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ورواية عبد الرحمان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المستحاضة ، أيطأها زوجها ، وهل تطوف بالبيت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تقعد قرءها الذي كانت تحيض فيه ، فإن كان قرؤها مستقيماً فلتأخذ به ، وإن كان فيه خلاف فلتحتط بيوم أو يومين ، ولتغتسل </w:t>
      </w:r>
      <w:r>
        <w:rPr>
          <w:rFonts w:eastAsia="IRNazanin" w:cs="IRNazanin"/>
          <w:color w:val="111111"/>
          <w:sz w:val="28"/>
          <w:szCs w:val="28"/>
          <w:rtl w:val="true"/>
          <w:lang w:bidi="fa-IR"/>
        </w:rPr>
        <w:t>. . .»</w:t>
      </w:r>
      <w:r>
        <w:rPr>
          <w:rStyle w:val="FootnoteAnchor"/>
          <w:rtl w:val="true"/>
        </w:rPr>
        <w:footnoteReference w:id="481"/>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والمستحاضة وإن كانت أعمّ ممّن يستمرّ بها الدم شهراً أو أزيد ، وممّن تجاوز دمها عن أيّام عادتها ، لكن لا بدّ من حملها في تلك الروايات على الثانية ؛</w:t>
      </w:r>
    </w:p>
    <w:p>
      <w:pPr>
        <w:pStyle w:val="BookText"/>
        <w:rPr/>
      </w:pPr>
      <w:r>
        <w:rPr>
          <w:rFonts w:ascii="Amiri" w:hAnsi="Amiri" w:eastAsia="Amiri" w:cs="Amiri"/>
          <w:color w:val="111111"/>
          <w:sz w:val="28"/>
          <w:sz w:val="28"/>
          <w:szCs w:val="28"/>
          <w:rtl w:val="true"/>
          <w:lang w:bidi="ar-SA"/>
        </w:rPr>
        <w:t xml:space="preserve">بقرينة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تستظهر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العنوانين لا ينطبقان إلاّ عليها ، وأمّا من استمرّ</w:t>
      </w:r>
    </w:p>
    <w:p>
      <w:pPr>
        <w:pStyle w:val="BookText"/>
        <w:rPr/>
      </w:pPr>
      <w:r>
        <w:rPr>
          <w:rFonts w:ascii="Amiri" w:hAnsi="Amiri" w:eastAsia="Amiri" w:cs="Amiri"/>
          <w:color w:val="111111"/>
          <w:sz w:val="28"/>
          <w:sz w:val="28"/>
          <w:szCs w:val="28"/>
          <w:rtl w:val="true"/>
          <w:lang w:bidi="ar-SA"/>
        </w:rPr>
        <w:t>بها الدم فلا يكون لها احتياط ؛ لكون عادتها هي الحيض ، والزائدِ عليها استحاضةً ، كما صرّح به في المرسلة الطويلة</w:t>
      </w:r>
      <w:r>
        <w:rPr>
          <w:rStyle w:val="FootnoteAnchor"/>
          <w:rtl w:val="true"/>
        </w:rPr>
        <w:footnoteReference w:id="482"/>
      </w:r>
      <w:r>
        <w:rPr>
          <w:rFonts w:ascii="Amiri" w:hAnsi="Amiri" w:eastAsia="Amiri" w:cs="Amiri"/>
          <w:color w:val="111111"/>
          <w:sz w:val="28"/>
          <w:sz w:val="28"/>
          <w:szCs w:val="28"/>
          <w:rtl w:val="true"/>
          <w:lang w:bidi="ar-SA"/>
        </w:rPr>
        <w:t xml:space="preserve">من غير ريب وشائبة 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الشيخ الأعظم ظهور بعض فقراتها في غير مستمرّة الدم</w:t>
      </w:r>
      <w:r>
        <w:rPr>
          <w:rStyle w:val="FootnoteAnchor"/>
          <w:rtl w:val="true"/>
        </w:rPr>
        <w:footnoteReference w:id="483"/>
      </w:r>
      <w:r>
        <w:rPr>
          <w:rFonts w:ascii="Amiri" w:hAnsi="Amiri" w:eastAsia="Amiri" w:cs="Amiri"/>
          <w:color w:val="111111"/>
          <w:sz w:val="28"/>
          <w:sz w:val="28"/>
          <w:szCs w:val="28"/>
          <w:rtl w:val="true"/>
          <w:lang w:bidi="ar-SA"/>
        </w:rPr>
        <w:t xml:space="preserve">، غير وجيهة ، كما يظهر للمتأمّل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ذكرنا هو الظاهر من روايات اُخر ، كصحيحة معاوية بن عمّار والحلبي وعبداللّه بن سنان وغيرها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إشكال في هذا الحمل في الروايات سوى موثّقة عبد الرحمان بن أبي عبداللّه حيث فصّل فيها بين استقامة القروء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كون المراد فيها مستمرّة الدم ، وهي لا</w:t>
      </w:r>
    </w:p>
    <w:p>
      <w:pPr>
        <w:pStyle w:val="BookText"/>
        <w:rPr/>
      </w:pPr>
      <w:r>
        <w:rPr>
          <w:rFonts w:ascii="Amiri" w:hAnsi="Amiri" w:eastAsia="Amiri" w:cs="Amiri"/>
          <w:color w:val="111111"/>
          <w:sz w:val="28"/>
          <w:sz w:val="28"/>
          <w:szCs w:val="28"/>
          <w:rtl w:val="true"/>
          <w:lang w:bidi="ar-SA"/>
        </w:rPr>
        <w:t xml:space="preserve">تنافي الروايات ؛ لأنّ صدرها موافق لمرسلة يونس وما هو بمضمونها ، وذيلها فرض آخر غير المفروض في سائر الروايات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بأس بالحكم بالاحتياط في مستمرّة الدم مع الخلاف في عادتها ، كما تدلّ عليه الرواية </w:t>
      </w:r>
      <w:r>
        <w:rPr>
          <w:rFonts w:eastAsia="Amiri" w:cs="Amiri" w:ascii="Amiri" w:hAnsi="Amiri"/>
          <w:color w:val="111111"/>
          <w:sz w:val="28"/>
          <w:szCs w:val="28"/>
          <w:rtl w:val="true"/>
          <w:lang w:bidi="ar-SA"/>
        </w:rPr>
        <w:t xml:space="preserve">. </w:t>
      </w:r>
      <w:bookmarkStart w:id="315" w:name="pg15019_190722"/>
    </w:p>
    <w:p>
      <w:pPr>
        <w:pStyle w:val="BookText"/>
        <w:rPr/>
      </w:pPr>
      <w:bookmarkEnd w:id="315"/>
      <w:r>
        <w:rPr>
          <w:rFonts w:ascii="Amiri" w:hAnsi="Amiri" w:eastAsia="Amiri" w:cs="Amiri"/>
          <w:color w:val="111111"/>
          <w:sz w:val="28"/>
          <w:sz w:val="28"/>
          <w:szCs w:val="28"/>
          <w:rtl w:val="true"/>
          <w:lang w:bidi="ar-SA"/>
        </w:rPr>
        <w:t xml:space="preserve">فتحصّل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مستمرّة الدم لا سنّة لها إلاّ أيّامها إذا كانت لها أيّام معلومة غير مختلفة ، ومع الاختلاف تحتاط بيوم أو يومين ، كما في موثّقة البصري وأنّ الحائض والنفساء إذا جاوز دمهما عن عادتهما شرع في حقّهما الاستظهار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للجمع موثّقة إسحاق بن جرير ؛ حيث فصّل فيها بين من تحيض وجازت أيّام حيضها ، فأمرها بالاستظهار ، وبين من استمرّ بها الشهر والشهرين والثلاثة ، فأمرها بالجلوس أيّام حيضها ، ثمّ الاغتسال للصلاة </w:t>
      </w:r>
      <w:r>
        <w:rPr>
          <w:rFonts w:eastAsia="Amiri" w:cs="Amiri" w:ascii="Amiri" w:hAnsi="Amiri"/>
          <w:color w:val="111111"/>
          <w:sz w:val="28"/>
          <w:szCs w:val="28"/>
          <w:rtl w:val="true"/>
          <w:lang w:bidi="ar-SA"/>
        </w:rPr>
        <w:t>.</w:t>
      </w:r>
    </w:p>
    <w:p>
      <w:pPr>
        <w:pStyle w:val="Heading6"/>
        <w:numPr>
          <w:ilvl w:val="5"/>
          <w:numId w:val="1"/>
        </w:numPr>
        <w:rPr/>
      </w:pPr>
      <w:bookmarkStart w:id="316" w:name="__RefHeading___Toc686392_3406789950"/>
      <w:bookmarkStart w:id="317" w:name="_Toc114"/>
      <w:bookmarkEnd w:id="316"/>
      <w:r>
        <w:rPr>
          <w:rtl w:val="true"/>
        </w:rPr>
        <w:t xml:space="preserve">الجهة الثانية </w:t>
      </w:r>
      <w:r>
        <w:rPr>
          <w:rtl w:val="true"/>
        </w:rPr>
        <w:t xml:space="preserve">: </w:t>
      </w:r>
      <w:r>
        <w:rPr>
          <w:rtl w:val="true"/>
        </w:rPr>
        <w:t>في اختلاف أخبار الاستظهار</w:t>
      </w:r>
      <w:bookmarkEnd w:id="317"/>
    </w:p>
    <w:p>
      <w:pPr>
        <w:pStyle w:val="BookText"/>
        <w:rPr/>
      </w:pPr>
      <w:r>
        <w:rPr>
          <w:rFonts w:ascii="Amiri" w:hAnsi="Amiri" w:eastAsia="Amiri" w:cs="Amiri"/>
          <w:color w:val="111111"/>
          <w:sz w:val="28"/>
          <w:sz w:val="28"/>
          <w:szCs w:val="28"/>
          <w:rtl w:val="true"/>
          <w:lang w:bidi="ar-SA"/>
        </w:rPr>
        <w:t xml:space="preserve">قد اختلفت الروايات في هذه المسألة غاية الاختلاف ، وهي على اختلافها على طوائف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ظاهرة في مستمرّة الدم ، كالمرسلة وأشباهها ممّا قد مرّ الكلام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ظاهرة أو صريحة في غير المستمرّة ، وقد حكم فيها بالاستظهار إمّا مطلقاً أو بيوم أو يومين أو ثلاثة أيّام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غير ذلك</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محمولة على الثانية ؛ لبعض القرائن الداخلية والخارجية ، وهي الروايات الواردة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المستحاضة تستظهر</w:t>
      </w:r>
      <w:r>
        <w:rPr>
          <w:rFonts w:eastAsia="Amiri" w:cs="Amiri" w:ascii="Amiri" w:hAnsi="Amiri"/>
          <w:color w:val="111111"/>
          <w:sz w:val="28"/>
          <w:szCs w:val="28"/>
          <w:rtl w:val="true"/>
          <w:lang w:bidi="ar-SA"/>
        </w:rPr>
        <w:t>»</w:t>
      </w:r>
      <w:r>
        <w:rPr>
          <w:rStyle w:val="FootnoteAnchor"/>
          <w:rtl w:val="true"/>
        </w:rPr>
        <w:footnoteReference w:id="486"/>
      </w:r>
      <w:r>
        <w:rPr>
          <w:rFonts w:ascii="Amiri" w:hAnsi="Amiri" w:eastAsia="Amiri" w:cs="Amiri"/>
          <w:color w:val="111111"/>
          <w:sz w:val="28"/>
          <w:sz w:val="28"/>
          <w:szCs w:val="28"/>
          <w:rtl w:val="true"/>
          <w:lang w:bidi="ar-SA"/>
        </w:rPr>
        <w:t xml:space="preserve">، كما مرّ الكلام فيها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وردت في غير مستمرّة الدم ، واُمر فيها بالاغتسال والصلاة بعد عادتها ، كصحيحة زرارة ، عن أحدهما علیهما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النفساء تكفّ عن الصلاة أيّامها التي كانت تمكث فيها ، ثمّ تغتسل وتعمل كما تعمل المستحاضة</w:t>
      </w:r>
      <w:r>
        <w:rPr>
          <w:rFonts w:eastAsia="IRNazanin" w:cs="IRNazanin"/>
          <w:color w:val="111111"/>
          <w:sz w:val="28"/>
          <w:szCs w:val="28"/>
          <w:rtl w:val="true"/>
          <w:lang w:bidi="fa-IR"/>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وكحسنة</w:t>
      </w:r>
      <w:r>
        <w:rPr>
          <w:rStyle w:val="FootnoteAnchor"/>
          <w:rtl w:val="true"/>
        </w:rPr>
        <w:footnoteReference w:id="488"/>
      </w:r>
      <w:r>
        <w:rPr>
          <w:rFonts w:ascii="IRNazanin" w:hAnsi="IRNazanin" w:eastAsia="IRNazanin"/>
          <w:color w:val="111111"/>
          <w:sz w:val="28"/>
          <w:sz w:val="28"/>
          <w:szCs w:val="28"/>
          <w:rtl w:val="true"/>
          <w:lang w:bidi="fa-IR"/>
        </w:rPr>
        <w:t xml:space="preserve">عبد الرحمان بن أعين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امرأة عبدالملك ولدت ، فعدّ لها أيّام حيضها ، ثمّ أمرها فاغتسلت واحتشت ، وأمرها أن تلبس ثوبين نظيفين ، وأمرها بالصلاة ، 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تطيب نفسي أن أدخل المسجد ، فدعني أقوم خارجاً عنه وأسجد فيه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أمر بذا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فانقطع الدم عن المرأة ورأت الطهر ، وأمر علي علیه السلام بهذا قبلكم ، فانقطع الدم عن المرأة ورأت الطهر ، فما فعلت صاحبتكم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أدري</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حيث تدلّ على أ نّه أمرها بعد عادتها وعدول الدم عنها بالاغتسال والصلاة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وسلم وأمير المؤمنين علیه السلام أمرا بذلك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وكمرسلة داود مولى أبي المغرا ،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يكون حيضها سبعة أيّام أو ثمانية أيّام ؛ حيضها دائم مستقيم ، ثمّ تحيض ثلاثة أيّام ، ثمّ ينقطع عنها الدم ، وترى البياض ؛ لا صفرةً ولا دماً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تغتسل وتصلّي</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تغتسل وتصلّي وتصوم ، ثمّ يعود الدم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رأت الدم أمسكت عن الصلاة والصيام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ترى الدم يوماً وتطهر يوماً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رأت الدم أمسكت ، وإذا رأت الطهر صلّت ، فإذا مضت أيّام حيضها واستمرّ بها الطهر صلّت ، فإذا رأت الدم فهي مستحاضة ، قد انتظمت لك أمرها كلّه</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وكصحيحة الصحّاف</w:t>
      </w:r>
      <w:r>
        <w:rPr>
          <w:rStyle w:val="FootnoteAnchor"/>
          <w:rtl w:val="true"/>
        </w:rPr>
        <w:footnoteReference w:id="491"/>
      </w:r>
      <w:r>
        <w:rPr>
          <w:rFonts w:ascii="IRNazanin" w:hAnsi="IRNazanin" w:eastAsia="IRNazanin"/>
          <w:color w:val="111111"/>
          <w:sz w:val="28"/>
          <w:sz w:val="28"/>
          <w:szCs w:val="28"/>
          <w:rtl w:val="true"/>
          <w:lang w:bidi="fa-IR"/>
        </w:rPr>
        <w:t xml:space="preserve">على بعض الوجوه والاحتمالات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واختلاف هذه الأخبار صار سبباً لاختلاف الأنظار في الجمع بينها في موضوع الاستظهار والاقتصار ، وفي حكم الاستظهار ومقداره ، وقد مرّ في الجهة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مصبّ أخبار الاستظهار هو ذات العادة التي تجاوز دمها عن عادتها ، وصارت متحيّرة لأجله ، وأنّ مصبّ طائفة من روايات الاقتصار هو مستمرّة الدم ، فموضوع كلٍّ غيرُ الآخر ، ولا اختلاف في الأخبار من هذه الجهة </w:t>
      </w:r>
      <w:r>
        <w:rPr>
          <w:rFonts w:eastAsia="Amiri" w:cs="Amiri" w:ascii="Amiri" w:hAnsi="Amiri"/>
          <w:color w:val="111111"/>
          <w:sz w:val="28"/>
          <w:szCs w:val="28"/>
          <w:rtl w:val="true"/>
          <w:lang w:bidi="ar-SA"/>
        </w:rPr>
        <w:t xml:space="preserve">. </w:t>
      </w:r>
      <w:bookmarkStart w:id="318" w:name="pg15019_190725"/>
    </w:p>
    <w:p>
      <w:pPr>
        <w:pStyle w:val="BookText"/>
        <w:rPr/>
      </w:pPr>
      <w:bookmarkEnd w:id="318"/>
      <w:r>
        <w:rPr>
          <w:rFonts w:ascii="IRNazanin" w:hAnsi="IRNazanin" w:eastAsia="IRNazanin"/>
          <w:color w:val="111111"/>
          <w:sz w:val="28"/>
          <w:sz w:val="28"/>
          <w:szCs w:val="28"/>
          <w:rtl w:val="true"/>
          <w:lang w:bidi="fa-IR"/>
        </w:rPr>
        <w:t xml:space="preserve">وأمّا الروايات الواردة في استظهار المستحاضة ، فهي ظاهرة في الطائفة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تجاوز دمها عن عادتها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بمقتضى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ومقتضى رواية الجُعفي ، عن أبي جعفر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المستحاضة تقعد أيّام قرئها ، ثمّ تحتاط بيوم أو يومين ، فإذا هي رأت طهراً اغتسلت ، وإن هي لم تَرَ طهراً اغتسلت واحتشت</w:t>
      </w:r>
      <w:r>
        <w:rPr>
          <w:rFonts w:eastAsia="IRNazanin" w:cs="IRNazanin"/>
          <w:color w:val="111111"/>
          <w:sz w:val="28"/>
          <w:szCs w:val="28"/>
          <w:rtl w:val="true"/>
          <w:lang w:bidi="fa-IR"/>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محمولة عليها بمقتضى مرسلة يونس التي نصّت على أنّ مستمرّة الدم إذا كانت لها عادة ، لا وقت لها ولا سنّة إلاّ أيّامها ، وهي على أيّامها </w:t>
      </w:r>
      <w:r>
        <w:rPr>
          <w:rFonts w:eastAsia="Amiri" w:cs="Amiri" w:ascii="Amiri" w:hAnsi="Amiri"/>
          <w:color w:val="111111"/>
          <w:sz w:val="28"/>
          <w:szCs w:val="28"/>
          <w:rtl w:val="true"/>
          <w:lang w:bidi="ar-SA"/>
        </w:rPr>
        <w:t>.</w:t>
      </w:r>
    </w:p>
    <w:p>
      <w:pPr>
        <w:pStyle w:val="Heading6"/>
        <w:numPr>
          <w:ilvl w:val="5"/>
          <w:numId w:val="1"/>
        </w:numPr>
        <w:rPr/>
      </w:pPr>
      <w:bookmarkStart w:id="319" w:name="__RefHeading___Toc686394_3406789950"/>
      <w:bookmarkStart w:id="320" w:name="_Toc115"/>
      <w:bookmarkEnd w:id="319"/>
      <w:r>
        <w:rPr>
          <w:rtl w:val="true"/>
        </w:rPr>
        <w:t>تعارض روايات الاستظهار مع أدلّة الاقتصار وبيان وجه الجمع بينها</w:t>
      </w:r>
      <w:bookmarkEnd w:id="320"/>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الروايات الواردة في الاقتصار ، فما هي ظاهرة في مستمرّة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كمرسلة يونس وصحيحة معاوية والحلبي وعبداللّه بن سنان</w:t>
      </w:r>
      <w:r>
        <w:rPr>
          <w:rStyle w:val="FootnoteAnchor"/>
          <w:rtl w:val="true"/>
        </w:rPr>
        <w:footnoteReference w:id="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فيها ، وما هي مطلقة يحفظ ظهورها في الوجوب بالنسبة إلى مستمرّة الدم ، ويرفع اليد عن وجوب الاقتصار بالنسبة إلى ذات العادة التي جازت أيّامها ، فتصير كالطائفة التي دلّت على الاقتصار في ذات العادة التي جازت أيّامها ، فحينئذٍ يقع التعارض ظاهراً بين روايات الاستظهار وهذه الطائفة من أدلّة الاقتصار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تكون ظاهرة في ذات العادة التي جازت أيّامها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بالإطلاق أو بالورود في هذا المورد ، كصحيحة زرارة ، فلا بدّ من الجمع بينهما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والأقرب في النظر حمل جميع الروايات على الإرشاد إلى حكم العقل ، وقد مرّ</w:t>
      </w:r>
      <w:r>
        <w:rPr>
          <w:rStyle w:val="FootnoteAnchor"/>
          <w:rtl w:val="true"/>
        </w:rPr>
        <w:footnoteReference w:id="494"/>
      </w:r>
      <w:r>
        <w:rPr>
          <w:rFonts w:ascii="Amiri" w:hAnsi="Amiri" w:eastAsia="Amiri" w:cs="Amiri"/>
          <w:color w:val="111111"/>
          <w:sz w:val="28"/>
          <w:sz w:val="28"/>
          <w:szCs w:val="28"/>
          <w:rtl w:val="true"/>
          <w:lang w:bidi="ar-SA"/>
        </w:rPr>
        <w:t>أنّ العقل في المقام يحكم بالتخيير ما دام لم يتّضح حالها ، ودار الأمر بين المحذورين ؛ بناءً على حرمة العبادات ذاتاً كما هو الأقوى ، وسيأتي الكلام فيه</w:t>
      </w:r>
      <w:r>
        <w:rPr>
          <w:rStyle w:val="FootnoteAnchor"/>
          <w:rtl w:val="true"/>
        </w:rPr>
        <w:footnoteReference w:id="495"/>
      </w:r>
      <w:r>
        <w:rPr>
          <w:rFonts w:ascii="Amiri" w:hAnsi="Amiri" w:eastAsia="Amiri" w:cs="Amiri"/>
          <w:color w:val="111111"/>
          <w:sz w:val="28"/>
          <w:sz w:val="28"/>
          <w:szCs w:val="28"/>
          <w:rtl w:val="true"/>
          <w:lang w:bidi="ar-SA"/>
        </w:rPr>
        <w:t xml:space="preserve">، فإذا 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مضيّ أيّام العادة وتحيّر المرأة بين انقطاع الدم على العشرة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بتخييرها بين الفعل والترك ، لم يبقَ ظهور في الروايات في إعمال التعبّد ، فلا يفهم منها إلاّ ما هو حكم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دلالة هذه الأخبار الكثيرة على وجوب الاستظهار بيوم واحد ؛ فإنّ الاستظهار بالأقلّ هو القدر المتيقّن الثابت بجميع الروايات ، فلا بدّ من الأخذ به</w:t>
      </w:r>
    </w:p>
    <w:p>
      <w:pPr>
        <w:pStyle w:val="BookText"/>
        <w:rPr/>
      </w:pPr>
      <w:r>
        <w:rPr>
          <w:rFonts w:ascii="Amiri" w:hAnsi="Amiri" w:eastAsia="Amiri" w:cs="Amiri"/>
          <w:color w:val="111111"/>
          <w:sz w:val="28"/>
          <w:sz w:val="28"/>
          <w:szCs w:val="28"/>
          <w:rtl w:val="true"/>
          <w:lang w:bidi="ar-SA"/>
        </w:rPr>
        <w:t xml:space="preserve">وحمل سائر المراتب على التخيير أو الاستحباب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مدفوع بما دلّ على الاقتصار على اليوم الأوّل في الموضوع الذي دلّت الروايات فيه على الاستظهار ، كصحيحة زرارة وموثّقة عبد الرحمان بن أعين وغيرهما ، ومعها لا بدّ من رفع اليد عن ظهور الروايات في الوجوب لو سلّم ظهورها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 نّه غير مسلّم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من ورودها في مورد حكم العقل ، وفي مثله لا يسلّم الظهور في التعبّد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هذا الاختلاف الفاحش فيها ، لا يبقى ظهور لها في الوجوب ، فضلاً عن التعييني ، فضلاً عنه في اليوم الواحد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رفع اليد عن الأوامر الكثيرة الواردة في الاستظهار</w:t>
      </w:r>
    </w:p>
    <w:p>
      <w:pPr>
        <w:pStyle w:val="BookText"/>
        <w:rPr/>
      </w:pPr>
      <w:r>
        <w:rPr>
          <w:rFonts w:ascii="Amiri" w:hAnsi="Amiri" w:eastAsia="Amiri" w:cs="Amiri"/>
          <w:color w:val="111111"/>
          <w:sz w:val="28"/>
          <w:sz w:val="28"/>
          <w:szCs w:val="28"/>
          <w:rtl w:val="true"/>
          <w:lang w:bidi="ar-SA"/>
        </w:rPr>
        <w:t xml:space="preserve">والاحتياط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 عدم بقاء ظهورها في الوجوب ، فلا محيص عن الحكم بالرجحان ، لا رجحان نفس الاستظهار والاحتياط ، بل يفهم منها ترجيح الشارع جانب الحرمة على جانب الوجوب ، فالرجحان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مناص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صحيح لو كانت أخبار الاستظهار خالية عن المعارض ، لكنّ الأمر ليس كذلك ؛ فإنّه في كلّ مورد من اليوم الأوّل إلى العاشر ممّا وردت رواية أو روايات في الأمر بالاستظهار ، وردت رواية أو روايات اُخر في الأمر بالاغتسال والصلاة وعمل الاستحاضة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اليوم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مضيّ أيّام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وردت روايات بالاستظهار ، وردت روايات بالاغتسال والصلاة وعمل المستحاضة ، كما 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اليوم الثاني أيضاً وردت روايات بالاستظهار ، مثل ما دلّ عليه بيوم أو يومين ، ووردت روايات على أ نّها مستحاضة ، وهي روايات الاقتصار ، والروايات التي دلّت على لزوم الاستظهار بيوم واحد ، ثمّ الحكم بأ نّها مستحاضة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اليوم الثالث دلّت الطوائف الثلاث على كونها مستحاضة ، وطائفة اُخرى على لزوم الاستظهار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كلّ مورد تعارضت الروايات ، فلا يبقى مجال للحمل على الرجحان في جانب منها </w:t>
      </w:r>
      <w:r>
        <w:rPr>
          <w:rFonts w:eastAsia="Amiri" w:cs="Amiri" w:ascii="Amiri" w:hAnsi="Amiri"/>
          <w:color w:val="111111"/>
          <w:sz w:val="28"/>
          <w:szCs w:val="28"/>
          <w:rtl w:val="true"/>
          <w:lang w:bidi="ar-SA"/>
        </w:rPr>
        <w:t xml:space="preserve">. </w:t>
      </w:r>
      <w:bookmarkStart w:id="321" w:name="pg15019_190728"/>
    </w:p>
    <w:p>
      <w:pPr>
        <w:pStyle w:val="Heading6"/>
        <w:numPr>
          <w:ilvl w:val="5"/>
          <w:numId w:val="1"/>
        </w:numPr>
        <w:rPr/>
      </w:pPr>
      <w:bookmarkStart w:id="322" w:name="__RefHeading___Toc686396_3406789950"/>
      <w:bookmarkStart w:id="323" w:name="_Toc116"/>
      <w:bookmarkEnd w:id="321"/>
      <w:bookmarkEnd w:id="322"/>
      <w:r>
        <w:rPr>
          <w:rtl w:val="true"/>
        </w:rPr>
        <w:t>رجحان الحمل على الإرشاد العقلي على ما ذكره المحقّقون</w:t>
      </w:r>
      <w:bookmarkEnd w:id="323"/>
    </w:p>
    <w:p>
      <w:pPr>
        <w:pStyle w:val="BookText"/>
        <w:rPr/>
      </w:pPr>
      <w:r>
        <w:rPr>
          <w:rFonts w:ascii="Amiri" w:hAnsi="Amiri" w:eastAsia="Amiri" w:cs="Amiri"/>
          <w:color w:val="111111"/>
          <w:sz w:val="28"/>
          <w:sz w:val="28"/>
          <w:szCs w:val="28"/>
          <w:rtl w:val="true"/>
          <w:lang w:bidi="ar-SA"/>
        </w:rPr>
        <w:t xml:space="preserve">ولا يخفى على المتأمّل في جميع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التوجّه إلى حكم العقل ، وتخالف الروايات هذا التخالف الفاحش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ذكرنا أولى ممّا ذكره المحقِّقون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كالحمل على الوجوب التخييري</w:t>
      </w:r>
      <w:r>
        <w:rPr>
          <w:rStyle w:val="FootnoteAnchor"/>
          <w:rtl w:val="true"/>
        </w:rPr>
        <w:footnoteReference w:id="496"/>
      </w:r>
      <w:r>
        <w:rPr>
          <w:rFonts w:ascii="Amiri" w:hAnsi="Amiri" w:eastAsia="Amiri" w:cs="Amiri"/>
          <w:color w:val="111111"/>
          <w:sz w:val="28"/>
          <w:sz w:val="28"/>
          <w:szCs w:val="28"/>
          <w:rtl w:val="true"/>
          <w:lang w:bidi="ar-SA"/>
        </w:rPr>
        <w:t xml:space="preserve">؛ فإنّه مع الإشكال في أصل التخيير كذلك ،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متعارضة في كلّ يوم يوم ، فكما ورد الأمر بالاستظهار يوماً أو يومين أو ثلاثة إلى عشرة ، كذلك وردت الروايات الآمرة بعمل الاستحاضة في كلّ يوم إلى العاشر ، فلا بدّ من حمل هذه الطائفة أيضاً على الوجوب التخييري ، فتتخيّر بعد العادة بين الاستظهار بيوم أو يومين إلى العاشر ؛ بمقتضى أدلّة الاستظهار على ما تقدّم ، وتتخيّر في عمل الاستحاضة بين يوم أو يومين إلى العاشر ، وهل هذا إلاّ حكم العقل بالتخيير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حكم العقل بالتخيير إنّما هو تساوي الاحتمالين ، وأمّا مع كون أحد احتمالي الحيض والاستحاضة أقوى ، يتعيّن الأخذ بالأقوى ، وقلنا بإطلاق الروايات بالنسبة إلى قوّة الاحتمال وعدمها ، كان لحمل الروايات على التخيير إلى اليوم العاشر وجه ، وعليه كان التخيير شرعياً لا عقلياً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وتوهّم عدم جواز التخيير بين فعل الواجب وتركه لا إلى بدل</w:t>
      </w:r>
      <w:r>
        <w:rPr>
          <w:rStyle w:val="FootnoteAnchor"/>
          <w:rtl w:val="true"/>
        </w:rPr>
        <w:footnoteReference w:id="497"/>
      </w:r>
      <w:r>
        <w:rPr>
          <w:rFonts w:ascii="Amiri" w:hAnsi="Amiri" w:eastAsia="Amiri" w:cs="Amiri"/>
          <w:color w:val="111111"/>
          <w:sz w:val="28"/>
          <w:sz w:val="28"/>
          <w:szCs w:val="28"/>
          <w:rtl w:val="true"/>
          <w:lang w:bidi="ar-SA"/>
        </w:rPr>
        <w:t xml:space="preserve">، فاسد ؛ لأنّ </w:t>
      </w:r>
    </w:p>
    <w:p>
      <w:pPr>
        <w:pStyle w:val="BookText"/>
        <w:rPr/>
      </w:pPr>
      <w:r>
        <w:rPr>
          <w:rFonts w:ascii="Amiri" w:hAnsi="Amiri" w:eastAsia="Amiri" w:cs="Amiri"/>
          <w:color w:val="111111"/>
          <w:sz w:val="28"/>
          <w:sz w:val="28"/>
          <w:szCs w:val="28"/>
          <w:rtl w:val="true"/>
          <w:lang w:bidi="ar-SA"/>
        </w:rPr>
        <w:t xml:space="preserve">العبادات في أيّام الحيض حرام ذاتي ، فيكون التخيير بين الحرام والواجب ، ومن قبيل الدوران بين المحذورين ؛ وإن كان الموضوع في الأخبار أعمّ من الموضوع العقلي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وكالحمل على الاستحباب</w:t>
      </w:r>
      <w:r>
        <w:rPr>
          <w:rStyle w:val="FootnoteAnchor"/>
          <w:rtl w:val="true"/>
        </w:rPr>
        <w:footnoteReference w:id="498"/>
      </w:r>
      <w:r>
        <w:rPr>
          <w:rFonts w:ascii="Amiri" w:hAnsi="Amiri" w:eastAsia="Amiri" w:cs="Amiri"/>
          <w:color w:val="111111"/>
          <w:sz w:val="28"/>
          <w:sz w:val="28"/>
          <w:szCs w:val="28"/>
          <w:rtl w:val="true"/>
          <w:lang w:bidi="ar-SA"/>
        </w:rPr>
        <w:t xml:space="preserve">وهو أسوأ من الأوّل ؛ لعدم رجحان في حمل أخبار الاستظهار على الاستحباب ، دون الأخبار الآمرة بالاغتسال وعمل الاستحاضة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وأبعد منهما ما صنعه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الأعظم من حمل الروايات على التنويع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 ما دلّ على استظهار يوم على من كانت عادتها تسعة أيّام ، وما دلّ على يومين على من كانت عادتها ثمانية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 ما دلّ على يوم على من تظهر حالها بيوم ، وما دلّ على يومين على من تظهر حالها بعد يومين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وهكذا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ولعمري ، إنّ الطرح أولى من مثل هذا الحمل الغريب البعيد عن الأذهان ، المستحيل ورود مثله من متكلّم يريد إفهام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وأغرب منه ما أيّد به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أنّ كلام المعصومين ككلام</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واحد من متكلّم واحد</w:t>
      </w:r>
      <w:r>
        <w:rPr>
          <w:rFonts w:eastAsia="Amiri" w:cs="Amiri" w:ascii="Amiri" w:hAnsi="Amiri"/>
          <w:color w:val="111111"/>
          <w:sz w:val="28"/>
          <w:szCs w:val="28"/>
          <w:rtl w:val="true"/>
          <w:lang w:bidi="ar-SA"/>
        </w:rPr>
        <w:t>»</w:t>
      </w:r>
      <w:r>
        <w:rPr>
          <w:rStyle w:val="FootnoteAnchor"/>
          <w:rtl w:val="true"/>
        </w:rPr>
        <w:footnoteReference w:id="500"/>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الالتزام به ، ولا معنى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 نّه مستلزم لمفاسد يختلّ بها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 نّه لا يصلح الحمل المذكور أيضاً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 الاستدلال بالاستصحاب وقاعدة الإمكان وما دلّ على أنّ ما رأت المرأة قبل عشرة أيّام من الحيضة الاُولى</w:t>
      </w:r>
      <w:r>
        <w:rPr>
          <w:rStyle w:val="FootnoteAnchor"/>
          <w:rtl w:val="true"/>
        </w:rPr>
        <w:footnoteReference w:id="501"/>
      </w:r>
      <w:r>
        <w:rPr>
          <w:rFonts w:ascii="Amiri" w:hAnsi="Amiri" w:eastAsia="Amiri" w:cs="Amiri"/>
          <w:color w:val="111111"/>
          <w:sz w:val="28"/>
          <w:sz w:val="28"/>
          <w:szCs w:val="28"/>
          <w:rtl w:val="true"/>
          <w:lang w:bidi="ar-SA"/>
        </w:rPr>
        <w:t xml:space="preserve">، في غير محلّه ؛ ضرورة أنّ الاستصحاب قد انقطع بالروايات ، وكذا قاعدة الإمكان ، والروايات الأخيرة لا بدّ وأن يكون موضوعها غير موضوع هذه الروايات ، وإلاّ فمع فرض الاستصحاب والقاعدة والروايات المذكورة ، لا يبقى مجال للاحتياط والاستظهار ، كما هو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موضوع الاستظهار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المرأة المتحيّرة لأجل الشكّ في قطع الدم على العشرة وعدمه</w:t>
      </w:r>
      <w:r>
        <w:rPr>
          <w:rStyle w:val="FootnoteAnchor"/>
          <w:rtl w:val="true"/>
        </w:rPr>
        <w:footnoteReference w:id="502"/>
      </w:r>
      <w:r>
        <w:rPr>
          <w:rFonts w:ascii="Amiri" w:hAnsi="Amiri" w:eastAsia="Amiri" w:cs="Amiri"/>
          <w:color w:val="111111"/>
          <w:sz w:val="28"/>
          <w:sz w:val="28"/>
          <w:szCs w:val="28"/>
          <w:rtl w:val="true"/>
          <w:lang w:bidi="ar-SA"/>
        </w:rPr>
        <w:t xml:space="preserve">، فمع فرض العلم أو الاطمئنان بأحد الطرفين ، تخرج عن موضوع الاستظهار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لا ينافي ما تقدّم منّا آنفاً من الإشكال على ما صنعه المحقّقان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الأعظم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ذكرنا ظهر ما هو الحقّ في الجهة الثالثة ؛ وهي مقدار الاستظهار ، وهو تابع لبقاء موضوعه </w:t>
      </w:r>
      <w:r>
        <w:rPr>
          <w:rFonts w:eastAsia="Amiri" w:cs="Amiri" w:ascii="Amiri" w:hAnsi="Amiri"/>
          <w:color w:val="111111"/>
          <w:sz w:val="28"/>
          <w:szCs w:val="28"/>
          <w:rtl w:val="true"/>
          <w:lang w:bidi="ar-SA"/>
        </w:rPr>
        <w:t xml:space="preserve">. </w:t>
      </w:r>
      <w:bookmarkStart w:id="324" w:name="pg15019_190731"/>
    </w:p>
    <w:p>
      <w:pPr>
        <w:pStyle w:val="Heading6"/>
        <w:numPr>
          <w:ilvl w:val="5"/>
          <w:numId w:val="1"/>
        </w:numPr>
        <w:rPr/>
      </w:pPr>
      <w:bookmarkStart w:id="325" w:name="__RefHeading___Toc686398_3406789950"/>
      <w:bookmarkStart w:id="326" w:name="_Toc117"/>
      <w:bookmarkEnd w:id="324"/>
      <w:bookmarkEnd w:id="325"/>
      <w:r>
        <w:rPr>
          <w:rtl w:val="true"/>
        </w:rPr>
        <w:t>تتميم</w:t>
      </w:r>
      <w:bookmarkEnd w:id="326"/>
    </w:p>
    <w:p>
      <w:pPr>
        <w:pStyle w:val="BookText"/>
        <w:rPr/>
      </w:pPr>
      <w:r>
        <w:rPr>
          <w:rFonts w:ascii="Amiri" w:hAnsi="Amiri" w:eastAsia="Amiri" w:cs="Amiri"/>
          <w:color w:val="111111"/>
          <w:sz w:val="28"/>
          <w:sz w:val="28"/>
          <w:szCs w:val="28"/>
          <w:rtl w:val="true"/>
          <w:lang w:bidi="ar-SA"/>
        </w:rPr>
        <w:t>في حكم انقطاع الدم على العشرة وتجاوزه</w:t>
      </w:r>
    </w:p>
    <w:p>
      <w:pPr>
        <w:pStyle w:val="BookText"/>
        <w:rPr/>
      </w:pPr>
      <w:r>
        <w:rPr>
          <w:rFonts w:ascii="Amiri" w:hAnsi="Amiri" w:eastAsia="Amiri" w:cs="Amiri"/>
          <w:color w:val="111111"/>
          <w:sz w:val="28"/>
          <w:sz w:val="28"/>
          <w:szCs w:val="28"/>
          <w:rtl w:val="true"/>
          <w:lang w:bidi="ar-SA"/>
        </w:rPr>
        <w:t>لو انقطع الدم على العشرة ، فهل المجموع حيض ، أو أيّام العادة ، أو هي مع أيّام الاستظهار دون ما بعدها ؟</w:t>
      </w:r>
    </w:p>
    <w:p>
      <w:pPr>
        <w:pStyle w:val="BookText"/>
        <w:rPr/>
      </w:pPr>
      <w:r>
        <w:rPr>
          <w:rFonts w:ascii="Amiri" w:hAnsi="Amiri" w:eastAsia="Amiri" w:cs="Amiri"/>
          <w:color w:val="111111"/>
          <w:sz w:val="28"/>
          <w:sz w:val="28"/>
          <w:szCs w:val="28"/>
          <w:rtl w:val="true"/>
          <w:lang w:bidi="ar-SA"/>
        </w:rPr>
        <w:t xml:space="preserve">وهذه المسألة غير ما سبقت من الرؤية ثلاثة أيّام مثلاً وانقطاع الدم ، ثمّ الرؤية ثانياً والانقطاع قبل عشرة أيّام ؛ وإن اشتركتا في بعض الأدلّة </w:t>
      </w:r>
      <w:r>
        <w:rPr>
          <w:rFonts w:eastAsia="Amiri" w:cs="Amiri" w:ascii="Amiri" w:hAnsi="Amiri"/>
          <w:color w:val="111111"/>
          <w:sz w:val="28"/>
          <w:szCs w:val="28"/>
          <w:rtl w:val="true"/>
          <w:lang w:bidi="ar-SA"/>
        </w:rPr>
        <w:t>.</w:t>
      </w:r>
    </w:p>
    <w:p>
      <w:pPr>
        <w:pStyle w:val="Heading6"/>
        <w:numPr>
          <w:ilvl w:val="5"/>
          <w:numId w:val="1"/>
        </w:numPr>
        <w:rPr/>
      </w:pPr>
      <w:bookmarkStart w:id="327" w:name="__RefHeading___Toc686400_3406789950"/>
      <w:bookmarkStart w:id="328" w:name="_Toc118"/>
      <w:bookmarkEnd w:id="327"/>
      <w:r>
        <w:rPr>
          <w:rtl w:val="true"/>
        </w:rPr>
        <w:t>حيضية جميع الأيّام فيما لو انقطع على العشرة</w:t>
      </w:r>
      <w:bookmarkEnd w:id="328"/>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كون الجميع حيضاً ، كما هو المشهور على ما في طهارة شيخنا الأعظم</w:t>
      </w:r>
      <w:r>
        <w:rPr>
          <w:rStyle w:val="FootnoteAnchor"/>
          <w:rtl w:val="true"/>
        </w:rPr>
        <w:footnoteReference w:id="503"/>
      </w:r>
      <w:r>
        <w:rPr>
          <w:rFonts w:ascii="IRNazanin" w:hAnsi="IRNazanin" w:eastAsia="IRNazanin"/>
          <w:color w:val="111111"/>
          <w:sz w:val="28"/>
          <w:sz w:val="28"/>
          <w:szCs w:val="28"/>
          <w:rtl w:val="true"/>
          <w:lang w:bidi="fa-IR"/>
        </w:rPr>
        <w:t>، بل نسب إلى الأصحاب</w:t>
      </w:r>
      <w:r>
        <w:rPr>
          <w:rStyle w:val="FootnoteAnchor"/>
          <w:rtl w:val="true"/>
        </w:rPr>
        <w:footnoteReference w:id="504"/>
      </w:r>
      <w:r>
        <w:rPr>
          <w:rFonts w:ascii="Amiri" w:hAnsi="Amiri" w:eastAsia="Amiri" w:cs="Amiri"/>
          <w:color w:val="111111"/>
          <w:sz w:val="28"/>
          <w:sz w:val="28"/>
          <w:szCs w:val="28"/>
          <w:rtl w:val="true"/>
          <w:lang w:bidi="ar-SA"/>
        </w:rPr>
        <w:t xml:space="preserve">، بل ادّعي الإجماع عليه ،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505"/>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50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حيضية الجميع في المسألة المتقدّمة المشار إليها آنفاً ، كروايتي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رأت المرأة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قبل عشرة أيّام فهو من الحيضة الاُولى</w:t>
      </w:r>
      <w:r>
        <w:rPr>
          <w:rFonts w:eastAsia="Amiri" w:cs="Amiri" w:ascii="Amiri" w:hAnsi="Amiri"/>
          <w:color w:val="111111"/>
          <w:sz w:val="28"/>
          <w:szCs w:val="28"/>
          <w:rtl w:val="true"/>
          <w:lang w:bidi="ar-SA"/>
        </w:rPr>
        <w:t>»</w:t>
      </w:r>
      <w:r>
        <w:rPr>
          <w:rStyle w:val="FootnoteAnchor"/>
          <w:rtl w:val="true"/>
        </w:rPr>
        <w:footnoteReference w:id="508"/>
      </w:r>
      <w:r>
        <w:rPr>
          <w:rFonts w:ascii="Amiri" w:hAnsi="Amiri" w:eastAsia="Amiri" w:cs="Amiri"/>
          <w:color w:val="111111"/>
          <w:sz w:val="28"/>
          <w:sz w:val="28"/>
          <w:szCs w:val="28"/>
          <w:rtl w:val="true"/>
          <w:lang w:bidi="ar-SA"/>
        </w:rPr>
        <w:t xml:space="preserve">على تأمّل فيه ، وقاعدة الإمكان ، في خصوص مثل </w:t>
      </w:r>
    </w:p>
    <w:p>
      <w:pPr>
        <w:pStyle w:val="BookText"/>
        <w:rPr/>
      </w:pP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وأخبار الاستبراء الدالّة على أنّ القطنة إذا خرجت ملوّثة ، لم تطهر</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في مقابلها إلاّ توهّم دلالة أدلّة الاستظهار على أنّ ما بعد أيّامه استحاضة</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كما ترى ؛ ضرورة أنّ هذه الروايات</w:t>
      </w:r>
      <w:r>
        <w:rPr>
          <w:rStyle w:val="FootnoteAnchor"/>
          <w:rtl w:val="true"/>
        </w:rPr>
        <w:footnoteReference w:id="511"/>
      </w:r>
      <w:r>
        <w:rPr>
          <w:rFonts w:ascii="Amiri" w:hAnsi="Amiri" w:eastAsia="Amiri" w:cs="Amiri"/>
          <w:color w:val="111111"/>
          <w:sz w:val="28"/>
          <w:sz w:val="28"/>
          <w:szCs w:val="28"/>
          <w:rtl w:val="true"/>
          <w:lang w:bidi="ar-SA"/>
        </w:rPr>
        <w:t xml:space="preserve">بنفسها ، تدلّ على أنّ الحكم بالاستحاضة ظاهري لا واقعي ؛ فإنّ جملة منها تدلّ على أ نّها في اليوم الثاني بعد الاستظهار مستحاضة وجملة منها تدلّ على أ نّها في اليوم الثاني مستظهِرة وكذا في اليوم الثالث تدلّ جملة على أ نّها مستحاضة وجملة على الترخيص في الاستظهار ، ومعه كيف يمكن القول بالاستحاضة الواقعية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 بالتنويع وقد مرّ تضعيفه</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ما ورد من أ نّها تعمل كما تعمل المستحاضة ، كموثّقة سماعة</w:t>
      </w:r>
      <w:r>
        <w:rPr>
          <w:rStyle w:val="FootnoteAnchor"/>
          <w:rtl w:val="true"/>
        </w:rPr>
        <w:footnoteReference w:id="513"/>
      </w:r>
      <w:r>
        <w:rPr>
          <w:rFonts w:ascii="IRNazanin" w:hAnsi="IRNazanin" w:eastAsia="IRNazanin"/>
          <w:color w:val="111111"/>
          <w:sz w:val="28"/>
          <w:sz w:val="28"/>
          <w:szCs w:val="28"/>
          <w:rtl w:val="true"/>
          <w:lang w:bidi="fa-IR"/>
        </w:rPr>
        <w:t>ورواية يعقوب الأحمر عن أبي بصير ، عن أبي عبداللّه علیه السلام في النفساء</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 xml:space="preserve">. </w:t>
      </w:r>
      <w:bookmarkStart w:id="329" w:name="pg15019_190733"/>
    </w:p>
    <w:p>
      <w:pPr>
        <w:pStyle w:val="BookText"/>
        <w:rPr/>
      </w:pPr>
      <w:bookmarkEnd w:id="329"/>
      <w:r>
        <w:rPr>
          <w:rFonts w:ascii="IRNazanin" w:hAnsi="IRNazanin" w:eastAsia="IRNazanin"/>
          <w:color w:val="111111"/>
          <w:sz w:val="28"/>
          <w:sz w:val="28"/>
          <w:szCs w:val="28"/>
          <w:rtl w:val="true"/>
          <w:lang w:bidi="fa-IR"/>
        </w:rPr>
        <w:t xml:space="preserve">وأوضح منهما رواية حُمران بن أعين ، عن أبي جعفر علیه السلام ففيها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حدّ النفساء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تقعد أيّامها التي كانت تطمث فيهنّ أيّام قرئها ، فإن هي طهرت ، وإلاّ استظهرت بيومين أو ثلاثة أيّام ، ثمّ اغتسلت واحتشت ، فإن كان انقطع الدم فقد طهرت ، وإن لم ينقطع الدم فهي بمنزلة المستحاضة</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فيحمل ما دلّت على أ نّها مستحاضة ، على أ نّها بمنزلة المستحاضة وتصنع كما تصنع المستحاضة ، وكذا يحمل على ذلك ما دلّت على أنّ الصفرة بعد أيّام الحيض بيومين ، ليس من الحيض ، كما سبقت الإشارة إليه</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30" w:name="__RefHeading___Toc686402_3406789950"/>
      <w:bookmarkStart w:id="331" w:name="_Toc119"/>
      <w:bookmarkEnd w:id="330"/>
      <w:r>
        <w:rPr>
          <w:rtl w:val="true"/>
        </w:rPr>
        <w:t>حيضية خصوص أيّام العادة مع تجاوز الدم عن العشرة</w:t>
      </w:r>
      <w:bookmarkEnd w:id="331"/>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هذه المسألة ، ولأجل ذلك يرفع الشكّ عن مسألة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كون أيّام العادة حيضاً دون غيرها إذا تجاوز الدم عن العشرة ؛ ضرورة أ نّه لو كان جميع العشرة حيضاً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انقطع الدم عليها ، أو تجاوز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للمرأة شكّ في حيضية ما بعد العادة ، ووقع جميع أخبار الاستظهار والاحتياط بلا مورد ، ولزم منه الحكم بالعبادة وعمل الاستحاضة في زمان الحيض المعلوم ، وهو واضح الفساد ، وسيأتي في الاستحاضة تحقيق المقام</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 xml:space="preserve">. </w:t>
      </w:r>
      <w:bookmarkStart w:id="332" w:name="pg15019_190734"/>
    </w:p>
    <w:p>
      <w:pPr>
        <w:pStyle w:val="Heading6"/>
        <w:numPr>
          <w:ilvl w:val="5"/>
          <w:numId w:val="1"/>
        </w:numPr>
        <w:rPr/>
      </w:pPr>
      <w:bookmarkStart w:id="333" w:name="__RefHeading___Toc686404_3406789950"/>
      <w:bookmarkStart w:id="334" w:name="_Toc120"/>
      <w:bookmarkEnd w:id="332"/>
      <w:bookmarkEnd w:id="333"/>
      <w:r>
        <w:rPr>
          <w:rtl w:val="true"/>
        </w:rPr>
        <w:t>لزوم قضاء الصوم مع انقطاع الدم على العشرة</w:t>
      </w:r>
      <w:bookmarkEnd w:id="334"/>
    </w:p>
    <w:p>
      <w:pPr>
        <w:pStyle w:val="BookText"/>
        <w:rPr/>
      </w:pPr>
      <w:r>
        <w:rPr>
          <w:rFonts w:ascii="Amiri" w:hAnsi="Amiri" w:eastAsia="Amiri" w:cs="Amiri"/>
          <w:color w:val="111111"/>
          <w:sz w:val="28"/>
          <w:sz w:val="28"/>
          <w:szCs w:val="28"/>
          <w:rtl w:val="true"/>
          <w:lang w:bidi="ar-SA"/>
        </w:rPr>
        <w:t xml:space="preserve">ثمّ إنّه إذا انقطع على العشرة ، هل يجب قضاء ما صامت بعد أيّام العادة ؛ لتبيّن فساده ، أو الأمر بالصيام موجب للإجزاء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التخييرَ شرعي ، والحكمَ بالاستحاضة وعملَ ما تعمله المستحاضة تعبّدي ظاهري ؛ فإنّ الأمر الظاهري بالصيام ، موجب للإجزاء وإلغاء اعتبار الطهارة من الحيض في الصيام ؟</w:t>
      </w:r>
    </w:p>
    <w:p>
      <w:pPr>
        <w:pStyle w:val="BookText"/>
        <w:rPr/>
      </w:pPr>
      <w:r>
        <w:rPr>
          <w:rFonts w:ascii="Amiri" w:hAnsi="Amiri" w:eastAsia="Amiri" w:cs="Amiri"/>
          <w:color w:val="111111"/>
          <w:sz w:val="28"/>
          <w:sz w:val="28"/>
          <w:szCs w:val="28"/>
          <w:rtl w:val="true"/>
          <w:lang w:bidi="ar-SA"/>
        </w:rPr>
        <w:t>ولو لا كون العبادة في أيّام الحيض محرّمة ذاتية عليها ، لم يكن الحكم بالإجزاء بعيداً ، كما رجّحنا في أمثال المقام</w:t>
      </w:r>
      <w:r>
        <w:rPr>
          <w:rStyle w:val="FootnoteAnchor"/>
          <w:rtl w:val="true"/>
        </w:rPr>
        <w:footnoteReference w:id="518"/>
      </w:r>
      <w:r>
        <w:rPr>
          <w:rFonts w:ascii="Amiri" w:hAnsi="Amiri" w:eastAsia="Amiri" w:cs="Amiri"/>
          <w:color w:val="111111"/>
          <w:sz w:val="28"/>
          <w:sz w:val="28"/>
          <w:szCs w:val="28"/>
          <w:rtl w:val="true"/>
          <w:lang w:bidi="ar-SA"/>
        </w:rPr>
        <w:t xml:space="preserve">لكن مع كونها محرّمة ذاتية ، وكون الأمر بالاستحاضة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الدوران بين ترك الواجب وفعل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كالدوران بين المحذورين عقلاً ، لا مجال للإجزاء ، ففي مثله لا يستفاد من الأمر بالصيام إلغاء اعتبار الطهور أو إلغاء مانعية الحيض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الإشكال في أصل المبنى ؛ أي كون التخيير شرعياً ، فعليها قضاء ما فعلته ، كما ادّعي عدم الخلاف</w:t>
      </w:r>
      <w:r>
        <w:rPr>
          <w:rStyle w:val="FootnoteAnchor"/>
          <w:rtl w:val="true"/>
        </w:rPr>
        <w:footnoteReference w:id="519"/>
      </w:r>
      <w:r>
        <w:rPr>
          <w:rFonts w:ascii="Amiri" w:hAnsi="Amiri" w:eastAsia="Amiri" w:cs="Amiri"/>
          <w:color w:val="111111"/>
          <w:sz w:val="28"/>
          <w:sz w:val="28"/>
          <w:szCs w:val="28"/>
          <w:rtl w:val="true"/>
          <w:lang w:bidi="ar-SA"/>
        </w:rPr>
        <w:t>بل الإجماع عليه</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35" w:name="__RefHeading___Toc686406_3406789950"/>
      <w:bookmarkStart w:id="336" w:name="_Toc121"/>
      <w:bookmarkEnd w:id="335"/>
      <w:r>
        <w:rPr>
          <w:rtl w:val="true"/>
        </w:rPr>
        <w:t>صحّة صيام ما بعد العادة مع تجاوز العشرة</w:t>
      </w:r>
      <w:bookmarkEnd w:id="336"/>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مع تجاوز الدم وكشف كون جميع ما بعد العادة استحاضة ، فلا إشكال في صحّة ما فعلت بعد أيّام الاستظهار ، وكذا قضاء ما تركت في أيّامه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ودعوى عدم وجوب القضاء ؛ لعدم وجوب الأداء ، وكون القضاء تابعاً له ، بل كون الأداء حراماً على فرض وجوب الاستظهار ، كما ترى ؛ ضرورة أنّ المستفاد من الأخبار أنّ الاستظهار والاحتياط بترك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كعمل المستحاضة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ظاهري ، كحكم العقل بالتخيير في الدوران بين المحذورين ، فيكون الحكم الواقعي محفوظاً ، فيجب قضاء ما تركت لدى انكشاف الخلاف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دعوى استفادة عدم القضاء من الأخبار الكثيرة الساكتة عنه ، في غير محلّها ؛ ضرورة أنّ الأخبار تكون في مقام بيان حكم آخر ، كدعوى فهم إلحاق أيّام الاستظهار بالحيض حكماً في جميع الآثار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الحكم ، كما هو المشهور نقلاً وتحصيلاً ، بل لعلّه لا خلاف فيه سوى ما عسى أن يظهر من المنقول عن العلاّمة</w:t>
      </w:r>
      <w:r>
        <w:rPr>
          <w:rStyle w:val="FootnoteAnchor"/>
          <w:rtl w:val="true"/>
        </w:rPr>
        <w:footnoteReference w:id="521"/>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 xml:space="preserve">. </w:t>
      </w:r>
      <w:bookmarkStart w:id="337" w:name="pg15019_190736"/>
    </w:p>
    <w:p>
      <w:pPr>
        <w:pStyle w:val="Heading4"/>
        <w:numPr>
          <w:ilvl w:val="3"/>
          <w:numId w:val="1"/>
        </w:numPr>
        <w:rPr/>
      </w:pPr>
      <w:bookmarkStart w:id="338" w:name="__RefHeading___Toc686408_3406789950"/>
      <w:bookmarkStart w:id="339" w:name="_Toc122"/>
      <w:bookmarkEnd w:id="337"/>
      <w:bookmarkEnd w:id="338"/>
      <w:r>
        <w:rPr>
          <w:rtl w:val="true"/>
        </w:rPr>
        <w:t>المطلب الرابع في بعض مهمّات أحكام الحيض والحائض</w:t>
      </w:r>
      <w:bookmarkEnd w:id="339"/>
    </w:p>
    <w:p>
      <w:pPr>
        <w:pStyle w:val="Heading5"/>
        <w:numPr>
          <w:ilvl w:val="4"/>
          <w:numId w:val="1"/>
        </w:numPr>
        <w:rPr/>
      </w:pPr>
      <w:bookmarkStart w:id="340" w:name="__RefHeading___Toc686410_3406789950"/>
      <w:bookmarkStart w:id="341" w:name="_Toc123"/>
      <w:bookmarkEnd w:id="340"/>
      <w:r>
        <w:rPr>
          <w:rtl w:val="true"/>
        </w:rPr>
        <w:t>اشارة</w:t>
      </w:r>
      <w:bookmarkEnd w:id="341"/>
    </w:p>
    <w:p>
      <w:pPr>
        <w:pStyle w:val="BookText"/>
        <w:rPr/>
      </w:pPr>
      <w:r>
        <w:rPr>
          <w:rFonts w:ascii="Amiri" w:hAnsi="Amiri" w:eastAsia="Amiri" w:cs="Amiri"/>
          <w:color w:val="111111"/>
          <w:sz w:val="28"/>
          <w:sz w:val="28"/>
          <w:szCs w:val="28"/>
          <w:rtl w:val="true"/>
          <w:lang w:bidi="ar-SA"/>
        </w:rPr>
        <w:t xml:space="preserve">ولمّا كان كثير من أحكامهما واضح المأخذ ، اقتصرنا على المهمّ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اُمور </w:t>
      </w:r>
      <w:r>
        <w:rPr>
          <w:rFonts w:eastAsia="Amiri" w:cs="Amiri" w:ascii="Amiri" w:hAnsi="Amiri"/>
          <w:color w:val="111111"/>
          <w:sz w:val="28"/>
          <w:szCs w:val="28"/>
          <w:rtl w:val="true"/>
          <w:lang w:bidi="ar-SA"/>
        </w:rPr>
        <w:t>:</w:t>
      </w:r>
    </w:p>
    <w:p>
      <w:pPr>
        <w:pStyle w:val="Heading5"/>
        <w:numPr>
          <w:ilvl w:val="4"/>
          <w:numId w:val="1"/>
        </w:numPr>
        <w:rPr/>
      </w:pPr>
      <w:bookmarkStart w:id="342" w:name="__RefHeading___Toc686412_3406789950"/>
      <w:bookmarkStart w:id="343" w:name="_Toc124"/>
      <w:bookmarkEnd w:id="342"/>
      <w:r>
        <w:rPr>
          <w:rtl w:val="true"/>
        </w:rPr>
        <w:t xml:space="preserve">الأمر الأوّل </w:t>
      </w:r>
      <w:r>
        <w:rPr>
          <w:rtl w:val="true"/>
        </w:rPr>
        <w:t xml:space="preserve">: </w:t>
      </w:r>
      <w:r>
        <w:rPr>
          <w:rtl w:val="true"/>
        </w:rPr>
        <w:t>حرمة الوط‌ء</w:t>
      </w:r>
      <w:bookmarkEnd w:id="343"/>
    </w:p>
    <w:p>
      <w:pPr>
        <w:pStyle w:val="Heading6"/>
        <w:numPr>
          <w:ilvl w:val="5"/>
          <w:numId w:val="1"/>
        </w:numPr>
        <w:rPr/>
      </w:pPr>
      <w:bookmarkStart w:id="344" w:name="__RefHeading___Toc686414_3406789950"/>
      <w:bookmarkStart w:id="345" w:name="_Toc125"/>
      <w:bookmarkEnd w:id="344"/>
      <w:r>
        <w:rPr>
          <w:rtl w:val="true"/>
        </w:rPr>
        <w:t>اشارة</w:t>
      </w:r>
      <w:bookmarkEnd w:id="345"/>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إشكال في حرمة وطئها في القبل حتّى تطهر كتاباً </w:t>
      </w:r>
      <w:r>
        <w:rPr>
          <w:rStyle w:val="FootnoteAnchor"/>
          <w:rtl w:val="true"/>
        </w:rPr>
        <w:footnoteReference w:id="523"/>
      </w:r>
      <w:r>
        <w:rPr>
          <w:rFonts w:ascii="Amiri" w:hAnsi="Amiri" w:eastAsia="Amiri" w:cs="Amiri"/>
          <w:color w:val="111111"/>
          <w:sz w:val="28"/>
          <w:sz w:val="28"/>
          <w:szCs w:val="28"/>
          <w:rtl w:val="true"/>
          <w:lang w:bidi="ar-SA"/>
        </w:rPr>
        <w:t>وسنّة</w:t>
      </w:r>
      <w:r>
        <w:rPr>
          <w:rStyle w:val="FootnoteAnchor"/>
          <w:rtl w:val="true"/>
        </w:rPr>
        <w:footnoteReference w:id="524"/>
      </w:r>
      <w:r>
        <w:rPr>
          <w:rFonts w:ascii="Amiri" w:hAnsi="Amiri" w:eastAsia="Amiri" w:cs="Amiri"/>
          <w:color w:val="111111"/>
          <w:sz w:val="28"/>
          <w:sz w:val="28"/>
          <w:szCs w:val="28"/>
          <w:rtl w:val="true"/>
          <w:lang w:bidi="ar-SA"/>
        </w:rPr>
        <w:t xml:space="preserve">وإجماعاً </w:t>
      </w:r>
      <w:r>
        <w:rPr>
          <w:rStyle w:val="FootnoteAnchor"/>
          <w:rtl w:val="true"/>
        </w:rPr>
        <w:footnoteReference w:id="525"/>
      </w:r>
      <w:r>
        <w:rPr>
          <w:rFonts w:ascii="Amiri" w:hAnsi="Amiri" w:eastAsia="Amiri" w:cs="Amiri"/>
          <w:color w:val="111111"/>
          <w:sz w:val="28"/>
          <w:sz w:val="28"/>
          <w:szCs w:val="28"/>
          <w:rtl w:val="true"/>
          <w:lang w:bidi="ar-SA"/>
        </w:rPr>
        <w:t xml:space="preserve">،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أجمع علماء الإسلام على تحريم وط‌ء الحائض قبلاً ، بل صرّح جمع من الأصحاب</w:t>
      </w:r>
      <w:r>
        <w:rPr>
          <w:rStyle w:val="FootnoteAnchor"/>
          <w:rtl w:val="true"/>
        </w:rPr>
        <w:footnoteReference w:id="526"/>
      </w:r>
      <w:r>
        <w:rPr>
          <w:rFonts w:ascii="Amiri" w:hAnsi="Amiri" w:eastAsia="Amiri" w:cs="Amiri"/>
          <w:color w:val="111111"/>
          <w:sz w:val="28"/>
          <w:sz w:val="28"/>
          <w:szCs w:val="28"/>
          <w:rtl w:val="true"/>
          <w:lang w:bidi="ar-SA"/>
        </w:rPr>
        <w:t xml:space="preserve">بكفر مستحلّه ما لم يدّعِ شبهة محتملة لإنكاره ما </w:t>
      </w:r>
    </w:p>
    <w:p>
      <w:pPr>
        <w:pStyle w:val="BookText"/>
        <w:rPr/>
      </w:pPr>
      <w:r>
        <w:rPr>
          <w:rFonts w:ascii="Amiri" w:hAnsi="Amiri" w:eastAsia="Amiri" w:cs="Amiri"/>
          <w:color w:val="111111"/>
          <w:sz w:val="28"/>
          <w:sz w:val="28"/>
          <w:szCs w:val="28"/>
          <w:rtl w:val="true"/>
          <w:lang w:bidi="ar-SA"/>
        </w:rPr>
        <w:t xml:space="preserve">علم من الدين 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فسق الواطئ بذلك ، ووجوب تعزيره بما يراه الحاكم مع علمه بالحيض وحكمه</w:t>
      </w:r>
      <w:r>
        <w:rPr>
          <w:rFonts w:eastAsia="Amiri" w:cs="Amiri" w:ascii="Amiri" w:hAnsi="Amiri"/>
          <w:color w:val="111111"/>
          <w:sz w:val="28"/>
          <w:szCs w:val="28"/>
          <w:rtl w:val="true"/>
          <w:lang w:bidi="ar-SA"/>
        </w:rPr>
        <w:t>»</w:t>
      </w:r>
      <w:r>
        <w:rPr>
          <w:rStyle w:val="FootnoteAnchor"/>
          <w:rtl w:val="true"/>
        </w:rPr>
        <w:footnoteReference w:id="527"/>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كون حرمة الوط‌ء من ضروريات الإسلام ، ففي محلّ المنع ؛ فإنّ معنى كون الشيء ضرورياً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واضحاً لدى قاطبة المسلمين ، كما أنّ كون الشيء ضرورياً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واضح لا يحتاج إلى الدليل لدى العقول ، ككون الواحد نصف الاثنين ، وكون الكلّ أعظم من جزئه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كون شيء ضرورياً واضحاً لقيام الأدلّة الواضحة عليه لدى طائفة خاصّة دون اُخرى ، فلا يوجب ضروريته ؛ لا في الاُمور العقلية ، ولا في الاُمور الشرعية ؛ فإنّ كثيراً من الأحكام الشرعية ضرورية واضحة لدى الفقهاء ، أو صارت ضرورية لدى المتعبّدين ، أو في بلدة غلب فيها العلماء ، مع أ نّها ليست ضرورية واضحة عند جميع المسلمين ، كمطهّرية المطر والشمس ، وما نحن فيه من هذا القبيل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إنكار الضروري لا يكون بنفسه موجباً للكفر ، بل إنّما يوجبه إذا كان مستلزماً لإنكار الاُلوهية أو التوحيد أو النبوّة ، كما حقّق في محلّه</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فسق الواطئ ، فمبتنٍ على أن يكون الفسق عبارة عن مطلق الخروج</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طاعة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 نّه عبارة عن ارتكاب الكبيرة أو الإصرار على الصغيرة فلا ؛ لعدم ثبوت كون الوط‌ء حال الحيض كبيرة ، وتحقيق المسألة موكول إلى محلّه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لا إشكال في الحرمة ظاهراً مع قيام أمارة على الحيضية ، ككون الدم في أيّام العادة ، أو متّصفاً بالصفات في مورد أماريتها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 نّه لو تمّت قاعدة الإمكان وجب ترتيب أحكام الحيضية ؛ للتعبّد بوجود الحيض مع إمكان كون الدم حيضاً 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التعبّد بحيضية الدم ، مستلزم عرفاً للتعبّد بحائضية المرأة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الظاهر أنّ ما اختارت المتحيّرة من أيّام الشهر للحيض ، يترتّب عليه أحكام الحيض ، لا لكون اختيارها طريقاً تعبّدياً شرعاً للحيضية ؛ ضرورة أ نّه ليست لاختيارها طريقية عقلائية أمضاها الشارع ، ولا دلّ دليل على طريقيته التعبّدية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لظهور قوله في المرسلة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تحيّضي في كلّ شهر في علم اللّه سبعة أيّام </w:t>
      </w:r>
      <w:r>
        <w:rPr>
          <w:rFonts w:eastAsia="Amiri" w:cs="Amiri" w:ascii="Amiri" w:hAnsi="Amiri"/>
          <w:color w:val="111111"/>
          <w:sz w:val="28"/>
          <w:szCs w:val="28"/>
          <w:rtl w:val="true"/>
          <w:lang w:bidi="ar-SA"/>
        </w:rPr>
        <w:t>. . .»</w:t>
      </w:r>
      <w:r>
        <w:rPr>
          <w:rStyle w:val="FootnoteAnchor"/>
          <w:rtl w:val="true"/>
        </w:rPr>
        <w:footnoteReference w:id="529"/>
      </w:r>
      <w:r>
        <w:rPr>
          <w:rFonts w:ascii="Amiri" w:hAnsi="Amiri" w:eastAsia="Amiri" w:cs="Amiri"/>
          <w:color w:val="111111"/>
          <w:sz w:val="28"/>
          <w:sz w:val="28"/>
          <w:szCs w:val="28"/>
          <w:rtl w:val="true"/>
          <w:lang w:bidi="ar-SA"/>
        </w:rPr>
        <w:t xml:space="preserve">في أنّ اختيارها موجب للزوم ترتّب جميع أحكام الحيض على المختار ، فتجب معاملة الحيضية مع ما اختارته ، 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التحيّض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 نفسها حائضاً في سبعة أيّام ، ومع جعلها تصير حائضاً تعبّداً بحسب الأحكام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اللهمّ إلاّ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تحيّضي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تكلّفي أعمال الحائض ، كما فسّره به أبو عبداللّه علیه السلام ، وحينئذٍ لا يدلّ على الحيضية التعبّدية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لا يبعد استفادتها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فوقتها سبع ، وطهرها ثلاث وعشرون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الوقت المقابل للطهر هو الحيض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فسنّتها السبع والثلاث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إشعار بها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أنّ مقتضى العلم الإجمالي بحيضها في الشهر أيّاماً مع عدم </w:t>
      </w:r>
      <w:bookmarkStart w:id="346" w:name="pg15019_190739"/>
    </w:p>
    <w:p>
      <w:pPr>
        <w:pStyle w:val="BookText"/>
        <w:rPr/>
      </w:pPr>
      <w:bookmarkEnd w:id="346"/>
      <w:r>
        <w:rPr>
          <w:rFonts w:ascii="Amiri" w:hAnsi="Amiri" w:eastAsia="Amiri" w:cs="Amiri"/>
          <w:color w:val="111111"/>
          <w:sz w:val="28"/>
          <w:sz w:val="28"/>
          <w:szCs w:val="28"/>
          <w:rtl w:val="true"/>
          <w:lang w:bidi="ar-SA"/>
        </w:rPr>
        <w:t>العلم بالتعيين ، لزوم الاحتياط في جميع الشهر للزوج ، لكن بعد اختيارها السبع</w:t>
      </w:r>
    </w:p>
    <w:p>
      <w:pPr>
        <w:pStyle w:val="BookText"/>
        <w:rPr/>
      </w:pPr>
      <w:r>
        <w:rPr>
          <w:rFonts w:ascii="Amiri" w:hAnsi="Amiri" w:eastAsia="Amiri" w:cs="Amiri"/>
          <w:color w:val="111111"/>
          <w:sz w:val="28"/>
          <w:sz w:val="28"/>
          <w:szCs w:val="28"/>
          <w:rtl w:val="true"/>
          <w:lang w:bidi="ar-SA"/>
        </w:rPr>
        <w:t xml:space="preserve">للحيض والثلاث والعشرين للطهر ، رخّص الشارع في وطئها أيّام اختيارها الطهر ؛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طهرها ثلاث وعشرون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ولقوله في بعض الروايات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w:t>
      </w:r>
    </w:p>
    <w:p>
      <w:pPr>
        <w:pStyle w:val="BookText"/>
        <w:rPr/>
      </w:pPr>
      <w:r>
        <w:rPr>
          <w:rFonts w:ascii="Amiri" w:hAnsi="Amiri" w:eastAsia="Amiri" w:cs="Amiri"/>
          <w:color w:val="111111"/>
          <w:sz w:val="28"/>
          <w:sz w:val="28"/>
          <w:szCs w:val="28"/>
          <w:rtl w:val="true"/>
          <w:lang w:bidi="ar-SA"/>
        </w:rPr>
        <w:t>استحلّت به الصلاة فليأتها زوجها</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47" w:name="__RefHeading___Toc686416_3406789950"/>
      <w:bookmarkStart w:id="348" w:name="_Toc126"/>
      <w:bookmarkEnd w:id="347"/>
      <w:r>
        <w:rPr>
          <w:rtl w:val="true"/>
        </w:rPr>
        <w:t>في لحوق أيّام الاستظهار بالحيض في جميع أحكامه</w:t>
      </w:r>
      <w:bookmarkEnd w:id="348"/>
    </w:p>
    <w:p>
      <w:pPr>
        <w:pStyle w:val="BookText"/>
        <w:rPr/>
      </w:pPr>
      <w:r>
        <w:rPr>
          <w:rFonts w:ascii="Amiri" w:hAnsi="Amiri" w:eastAsia="Amiri" w:cs="Amiri"/>
          <w:color w:val="111111"/>
          <w:sz w:val="28"/>
          <w:sz w:val="28"/>
          <w:szCs w:val="28"/>
          <w:rtl w:val="true"/>
          <w:lang w:bidi="ar-SA"/>
        </w:rPr>
        <w:t>مقتضى الأصل العملي في المقام</w:t>
      </w:r>
    </w:p>
    <w:p>
      <w:pPr>
        <w:pStyle w:val="BookText"/>
        <w:rPr/>
      </w:pPr>
      <w:r>
        <w:rPr>
          <w:rFonts w:ascii="Amiri" w:hAnsi="Amiri" w:eastAsia="Amiri" w:cs="Amiri"/>
          <w:color w:val="111111"/>
          <w:sz w:val="28"/>
          <w:sz w:val="28"/>
          <w:szCs w:val="28"/>
          <w:rtl w:val="true"/>
          <w:lang w:bidi="ar-SA"/>
        </w:rPr>
        <w:t>وأمّا أيّام الاستظهار ، فهل تلحق بالحيض ويترتّب عليها جميع أحكامه فلا يجوز للزوج وطؤها ؟</w:t>
      </w:r>
    </w:p>
    <w:p>
      <w:pPr>
        <w:pStyle w:val="BookText"/>
        <w:rPr/>
      </w:pPr>
      <w:r>
        <w:rPr>
          <w:rFonts w:ascii="Amiri" w:hAnsi="Amiri" w:eastAsia="Amiri" w:cs="Amiri"/>
          <w:color w:val="111111"/>
          <w:sz w:val="28"/>
          <w:sz w:val="28"/>
          <w:szCs w:val="28"/>
          <w:rtl w:val="true"/>
          <w:lang w:bidi="ar-SA"/>
        </w:rPr>
        <w:t xml:space="preserve">فيه إشكال ينشأ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استصحاب بقاء الدم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عشرة أيّام ، هو كون أيّام ما بعد العادة استحاضة ؛ فإنّ كون أيّام العادة حيضاً وما بعدها</w:t>
      </w:r>
    </w:p>
    <w:p>
      <w:pPr>
        <w:pStyle w:val="BookText"/>
        <w:rPr/>
      </w:pPr>
      <w:r>
        <w:rPr>
          <w:rFonts w:ascii="Amiri" w:hAnsi="Amiri" w:eastAsia="Amiri" w:cs="Amiri"/>
          <w:color w:val="111111"/>
          <w:sz w:val="28"/>
          <w:sz w:val="28"/>
          <w:szCs w:val="28"/>
          <w:rtl w:val="true"/>
          <w:lang w:bidi="ar-SA"/>
        </w:rPr>
        <w:t xml:space="preserve">استحاضة ، من الأحكام الشرعية المترتّبة على من استمرّ بها الدم ، وباستصحاب بقاء الدم واستمراره بها يثبت الموضوع ويترتّب عليه الأحكام ، فيكون حاكماً على استصحاب الحرمة الثابتة في أيّام الحيض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 نّه حاكم على استصحاب بقاء الحيض أيضاً ؛ لأنّ الشكّ في بقاء الحيضية وكون ما بعد الأيّام حيضاً ، ناشئ عن الشكّ في استمرار الدم وبقائه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العشرة ، وباستصحاب بقائه إلى ما بعدها ، يرفع هذا الشكّ بالدليل </w:t>
      </w:r>
      <w:bookmarkStart w:id="349" w:name="pg15019_190740"/>
    </w:p>
    <w:p>
      <w:pPr>
        <w:pStyle w:val="BookText"/>
        <w:rPr/>
      </w:pPr>
      <w:bookmarkEnd w:id="349"/>
      <w:r>
        <w:rPr>
          <w:rFonts w:ascii="Amiri" w:hAnsi="Amiri" w:eastAsia="Amiri" w:cs="Amiri"/>
          <w:color w:val="111111"/>
          <w:sz w:val="28"/>
          <w:sz w:val="28"/>
          <w:szCs w:val="28"/>
          <w:rtl w:val="true"/>
          <w:lang w:bidi="ar-SA"/>
        </w:rPr>
        <w:t>الاجتهادي المنقَّح موضوعه بالاستصحاب ، على ما حقّقنا في محلّه من سرّ تقدّم الأصل السببي على المسبّبي</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إذا لم نقل بعدم كون الاستصحاب في المقام معوّلاً عليه ، وإلاّ فإن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الإرجاع إلى الاستظهار والاحتياط ، دليل على عدم كون الأصل مرجعاً في المقام ، فمقتضى أصل البراءة مع الشكّ في انقطاع الدم على العشرة وعدمه ، هو جواز الوط‌ء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حال الأصل </w:t>
      </w:r>
      <w:r>
        <w:rPr>
          <w:rFonts w:eastAsia="Amiri" w:cs="Amiri" w:ascii="Amiri" w:hAnsi="Amiri"/>
          <w:color w:val="111111"/>
          <w:sz w:val="28"/>
          <w:szCs w:val="28"/>
          <w:rtl w:val="true"/>
          <w:lang w:bidi="ar-SA"/>
        </w:rPr>
        <w:t>.</w:t>
      </w:r>
    </w:p>
    <w:p>
      <w:pPr>
        <w:pStyle w:val="Heading6"/>
        <w:numPr>
          <w:ilvl w:val="5"/>
          <w:numId w:val="1"/>
        </w:numPr>
        <w:rPr/>
      </w:pPr>
      <w:bookmarkStart w:id="350" w:name="__RefHeading___Toc686418_3406789950"/>
      <w:bookmarkStart w:id="351" w:name="_Toc127"/>
      <w:bookmarkEnd w:id="350"/>
      <w:r>
        <w:rPr>
          <w:rtl w:val="true"/>
        </w:rPr>
        <w:t>مقتضى أدلّة الاستظهار</w:t>
      </w:r>
      <w:bookmarkEnd w:id="351"/>
    </w:p>
    <w:p>
      <w:pPr>
        <w:pStyle w:val="BookText"/>
        <w:rPr/>
      </w:pPr>
      <w:r>
        <w:rPr>
          <w:rFonts w:ascii="Amiri" w:hAnsi="Amiri" w:eastAsia="Amiri" w:cs="Amiri"/>
          <w:color w:val="111111"/>
          <w:sz w:val="28"/>
          <w:sz w:val="28"/>
          <w:szCs w:val="28"/>
          <w:rtl w:val="true"/>
          <w:lang w:bidi="ar-SA"/>
        </w:rPr>
        <w:t>وأمّا حال أدلّة الاستظهار</w:t>
      </w:r>
      <w:r>
        <w:rPr>
          <w:rStyle w:val="FootnoteAnchor"/>
          <w:rtl w:val="true"/>
        </w:rPr>
        <w:footnoteReference w:id="532"/>
      </w:r>
      <w:r>
        <w:rPr>
          <w:rFonts w:ascii="Amiri" w:hAnsi="Amiri" w:eastAsia="Amiri" w:cs="Amiri"/>
          <w:color w:val="111111"/>
          <w:sz w:val="28"/>
          <w:sz w:val="28"/>
          <w:szCs w:val="28"/>
          <w:rtl w:val="true"/>
          <w:lang w:bidi="ar-SA"/>
        </w:rPr>
        <w:t xml:space="preserve">، فلا يفهم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كثرتها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أيّام الاستظهار حيض ، أو يترتّب عليها جميع أحكام الحيض حتّى بالنسبة إلى الزوج ؛ ضرورة أنّ مفادها الاحتياط والاستظهار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قلنا بوجوب الاستظهار ، لم يفهم منها إلاّ وجوب الاحتياط على المرأة ، وأمّا على الزوج فلا يفهم من مجرّد الأمرِ بالاستظهار ووجوبِ الاحتياط على المرأة ، وجوبُه عليه ؛ لاختصاص الأدلّة بها ، وللفرق بينهما ؛ فإنّ المرأة تعلم إجمالاً إمّا بحرمة الصلاة عليها ، أو وجوبها ، فيكون المورد من دوران الأمر بين المحذورين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القول بالحرمة الذاتية ، كما هو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فرجّح الشارع جانب الحرمة ، وأمّا الزوج فمقتضى الاُصول جواز الوط‌ء له ، فلا يقاس حاله بحالها </w:t>
      </w:r>
      <w:r>
        <w:rPr>
          <w:rFonts w:eastAsia="Amiri" w:cs="Amiri" w:ascii="Amiri" w:hAnsi="Amiri"/>
          <w:color w:val="111111"/>
          <w:sz w:val="28"/>
          <w:szCs w:val="28"/>
          <w:rtl w:val="true"/>
          <w:lang w:bidi="ar-SA"/>
        </w:rPr>
        <w:t xml:space="preserve">. </w:t>
      </w:r>
      <w:bookmarkStart w:id="352" w:name="pg15019_190741"/>
    </w:p>
    <w:p>
      <w:pPr>
        <w:pStyle w:val="Heading6"/>
        <w:numPr>
          <w:ilvl w:val="5"/>
          <w:numId w:val="1"/>
        </w:numPr>
        <w:rPr/>
      </w:pPr>
      <w:bookmarkStart w:id="353" w:name="__RefHeading___Toc686420_3406789950"/>
      <w:bookmarkStart w:id="354" w:name="_Toc128"/>
      <w:bookmarkEnd w:id="352"/>
      <w:bookmarkEnd w:id="353"/>
      <w:r>
        <w:rPr>
          <w:rtl w:val="true"/>
        </w:rPr>
        <w:t>الروايات التي يمكن استفادة الحرمة منها وجوابها</w:t>
      </w:r>
      <w:bookmarkEnd w:id="354"/>
    </w:p>
    <w:p>
      <w:pPr>
        <w:pStyle w:val="BookText"/>
        <w:rPr/>
      </w:pPr>
      <w:r>
        <w:rPr>
          <w:rFonts w:ascii="Amiri" w:hAnsi="Amiri" w:eastAsia="Amiri" w:cs="Amiri"/>
          <w:color w:val="111111"/>
          <w:sz w:val="28"/>
          <w:sz w:val="28"/>
          <w:szCs w:val="28"/>
          <w:rtl w:val="true"/>
          <w:lang w:bidi="ar-SA"/>
        </w:rPr>
        <w:t xml:space="preserve">نعم ، هنا روايات يمكن استفادة الحرمة منها ، لكن بناءً على وجوب الاحتياط والاستظهار دون استحبابه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الفضيل وزرارة ، عن أحدهما علیهما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يبعد كونها موثّقة ؛ للكلام المتقدّم في الزبيري</w:t>
      </w:r>
      <w:r>
        <w:rPr>
          <w:rStyle w:val="FootnoteAnchor"/>
          <w:rtl w:val="true"/>
        </w:rPr>
        <w:footnoteReference w:id="533"/>
      </w:r>
      <w:r>
        <w:rPr>
          <w:rFonts w:ascii="Amiri" w:hAnsi="Amiri" w:eastAsia="Amiri" w:cs="Amiri"/>
          <w:color w:val="111111"/>
          <w:sz w:val="28"/>
          <w:sz w:val="28"/>
          <w:szCs w:val="28"/>
          <w:rtl w:val="true"/>
          <w:lang w:bidi="ar-SA"/>
        </w:rPr>
        <w:t>، ولتوثيق جمعٍ محمّد بن عبداللّه بن زرارة</w:t>
      </w:r>
      <w:r>
        <w:rPr>
          <w:rStyle w:val="FootnoteAnchor"/>
          <w:rtl w:val="true"/>
        </w:rPr>
        <w:footnoteReference w:id="5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المستحاضة تكفّ عن الصلاة أيّام أقرائها ، وتحتاط بيوم أو اثنين ، ثمّ تغتسل كلّ يوم وليلة ثلاث مرّات ، وتحتشي لصلاة الغداة ، وتغتسل وتجمع بين الظهر والعصر بغسل ، وتجمع بين المغرب والعشاء بغسل ، فإذا حلّت لها الصلاة حلّ لزوجها أن يغشاها</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فإنّها تدلّ على أنّ حلّية الغشيان ، ملازمة لحلّية الصلاة أو مترتّبة عليها ؛ فإن وجب عليها الاستظهار كانت الحلّية بعده ، وأمّا مع الاستحباب فيكون الحلّ بعد أيّام الأقراء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ومجرّد اختيار الاستظهار لا يوجب حرمة الصلاة عليها ؛ لعدم الدليل على صيرورتها حائضاً أو بحكم الحائض بالاختيار ، ففي اليوم الأوّل لها الاحتياط بترك العبادات ، ولها إتيانها ، وبالاختيار لا تصير حراماً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تكون الرواية ناظرة إلى ترتّب جواز الوط‌ء على الحلّية الفعلية التي هي أعمّ من الذاتية والتشريعية ، ويكون المراد ترتّب الحلّية على الغسل ، أو عليه مع سائر أعمال المستحاضة ، فتكون خارجة عمّا نحن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بناءً على حرمة الصلاة ظاهراً ووجوب الاحتياط عليها ، تستفاد حرمة الوط‌ء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احتمال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كونها مربوطة بالمستحاضة المستمرّة الدم ؛ أي في غير الدورة الاُولى ، فالحكم فيها وجوب الاستظهار بعد أيّام العادة يوماً أو يومين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بعد تقييدها بموثّقة عبد الرحمان بن أبي عبداللّه‌</w:t>
      </w:r>
      <w:r>
        <w:rPr>
          <w:rStyle w:val="FootnoteAnchor"/>
          <w:rtl w:val="true"/>
        </w:rPr>
        <w:footnoteReference w:id="536"/>
      </w:r>
      <w:r>
        <w:rPr>
          <w:rFonts w:ascii="Amiri" w:hAnsi="Amiri" w:eastAsia="Amiri" w:cs="Amiri"/>
          <w:color w:val="111111"/>
          <w:sz w:val="28"/>
          <w:sz w:val="28"/>
          <w:szCs w:val="28"/>
          <w:rtl w:val="true"/>
          <w:lang w:bidi="ar-SA"/>
        </w:rPr>
        <w:t xml:space="preserve">؛ حيث فصّلت بين كون قرئها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مستقيماً فلتأخذ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كونه غير 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خلاف فلتحتط</w:t>
      </w:r>
    </w:p>
    <w:p>
      <w:pPr>
        <w:pStyle w:val="BookText"/>
        <w:rPr/>
      </w:pPr>
      <w:r>
        <w:rPr>
          <w:rFonts w:ascii="Amiri" w:hAnsi="Amiri" w:eastAsia="Amiri" w:cs="Amiri"/>
          <w:color w:val="111111"/>
          <w:sz w:val="28"/>
          <w:sz w:val="28"/>
          <w:szCs w:val="28"/>
          <w:rtl w:val="true"/>
          <w:lang w:bidi="ar-SA"/>
        </w:rPr>
        <w:t>بيوم أو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قلنا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بأس بالعمل بتلك الموثّقة</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محمّد بن مسلم المرويّة عن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المشيخة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للحسن بن محبوب عن 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الحائض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رأت دماً بعد أيّامها التي كانت </w:t>
      </w:r>
    </w:p>
    <w:p>
      <w:pPr>
        <w:pStyle w:val="BookText"/>
        <w:rPr/>
      </w:pPr>
      <w:r>
        <w:rPr>
          <w:rFonts w:ascii="Amiri" w:hAnsi="Amiri" w:eastAsia="Amiri" w:cs="Amiri"/>
          <w:color w:val="111111"/>
          <w:sz w:val="28"/>
          <w:sz w:val="28"/>
          <w:szCs w:val="28"/>
          <w:rtl w:val="true"/>
          <w:lang w:bidi="ar-SA"/>
        </w:rPr>
        <w:t>ترى الدم فيها ، فلتقعد عن الصلاة يوماً أو يومين ، ثمّ تمسك قطنة ، فإن صبغ القطنة دم لا ينقطع فلتجمع بين كلّ صلاتين بغسل ، ويصيب منها زوجها إن أحبّ ، وحلّت لها الصلاة</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الرواية راجعة إلى الدورة الاُولى ، لكن دلالتها على حرمة الوط‌ء في أيّام الاستظهار وعلى وجوب الاستظهار ، أضعف من الاُولى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مالك بن أعين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النفساء ، يغشاها زوجها وهي في نفاسها من الدم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 إذا مضى لها منذ يوم وضعت بقدر أيّام عدّة حيضها ، ثمّ تستظهر بيوم ، فلا بأس بعدُ أن يغشاها زوجها ؛ يأمرها فتغتسل ، ثمّ يغشاها إن أحبّ</w:t>
      </w:r>
      <w:r>
        <w:rPr>
          <w:rFonts w:eastAsia="IRNazanin" w:cs="IRNazanin"/>
          <w:color w:val="111111"/>
          <w:sz w:val="28"/>
          <w:szCs w:val="28"/>
          <w:rtl w:val="true"/>
          <w:lang w:bidi="fa-IR"/>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تدلّ على ثبوت البأس قبل الاستظهار بيوم ، وهو أعمّ من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 نّها ظاهرة في لزوم الاستظهار ، وقد فرغنا عن عدم لزومه</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دليل على حرمة الوط‌ء في أيّام الاستظهار لو قلنا بعدم وجوبه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توقّف الحلّية على الغسل ، فمسألة اُخرى سيأتي إن شاء اللّه التعرّض لها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 xml:space="preserve">. </w:t>
      </w:r>
      <w:bookmarkStart w:id="355" w:name="pg15019_190744"/>
    </w:p>
    <w:p>
      <w:pPr>
        <w:pStyle w:val="Heading5"/>
        <w:numPr>
          <w:ilvl w:val="4"/>
          <w:numId w:val="1"/>
        </w:numPr>
        <w:rPr/>
      </w:pPr>
      <w:bookmarkStart w:id="356" w:name="__RefHeading___Toc686422_3406789950"/>
      <w:bookmarkStart w:id="357" w:name="_Toc129"/>
      <w:bookmarkEnd w:id="355"/>
      <w:bookmarkEnd w:id="356"/>
      <w:r>
        <w:rPr>
          <w:rtl w:val="true"/>
        </w:rPr>
        <w:t>الأمر الثاني فيما يجوز الاستمتاع به من الحائض</w:t>
      </w:r>
      <w:bookmarkEnd w:id="357"/>
    </w:p>
    <w:p>
      <w:pPr>
        <w:pStyle w:val="Heading6"/>
        <w:numPr>
          <w:ilvl w:val="5"/>
          <w:numId w:val="1"/>
        </w:numPr>
        <w:rPr/>
      </w:pPr>
      <w:bookmarkStart w:id="358" w:name="__RefHeading___Toc686424_3406789950"/>
      <w:bookmarkStart w:id="359" w:name="_Toc130"/>
      <w:bookmarkEnd w:id="358"/>
      <w:r>
        <w:rPr>
          <w:rtl w:val="true"/>
        </w:rPr>
        <w:t>اشارة</w:t>
      </w:r>
      <w:bookmarkEnd w:id="359"/>
    </w:p>
    <w:p>
      <w:pPr>
        <w:pStyle w:val="BookText"/>
        <w:rPr/>
      </w:pPr>
      <w:r>
        <w:rPr>
          <w:rFonts w:ascii="Amiri" w:hAnsi="Amiri" w:eastAsia="Amiri" w:cs="Amiri"/>
          <w:color w:val="111111"/>
          <w:sz w:val="28"/>
          <w:sz w:val="28"/>
          <w:szCs w:val="28"/>
          <w:rtl w:val="true"/>
          <w:lang w:bidi="ar-SA"/>
        </w:rPr>
        <w:t>لا إشكال في جواز استمتاع الزوج من زوجته الحائض بما فوق السرّة ودون الركبة ، بل الظاهر أنّ الحكم مسلّم بين الفريقين</w:t>
      </w:r>
      <w:r>
        <w:rPr>
          <w:rStyle w:val="FootnoteAnchor"/>
          <w:rtl w:val="true"/>
        </w:rPr>
        <w:footnoteReference w:id="542"/>
      </w:r>
      <w:r>
        <w:rPr>
          <w:rFonts w:ascii="Amiri" w:hAnsi="Amiri" w:eastAsia="Amiri" w:cs="Amiri"/>
          <w:color w:val="111111"/>
          <w:sz w:val="28"/>
          <w:sz w:val="28"/>
          <w:szCs w:val="28"/>
          <w:rtl w:val="true"/>
          <w:lang w:bidi="ar-SA"/>
        </w:rPr>
        <w:t>، فما في بعض الروايات من عدم جواز مطلق الاستمتاع</w:t>
      </w:r>
      <w:r>
        <w:rPr>
          <w:rStyle w:val="FootnoteAnchor"/>
          <w:rtl w:val="true"/>
        </w:rPr>
        <w:footnoteReference w:id="543"/>
      </w:r>
      <w:r>
        <w:rPr>
          <w:rFonts w:ascii="Amiri" w:hAnsi="Amiri" w:eastAsia="Amiri" w:cs="Amiri"/>
          <w:color w:val="111111"/>
          <w:sz w:val="28"/>
          <w:sz w:val="28"/>
          <w:szCs w:val="28"/>
          <w:rtl w:val="true"/>
          <w:lang w:bidi="ar-SA"/>
        </w:rPr>
        <w:t xml:space="preserve">شاذّ مطروح أو مأوّل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الاستمتاع بما بينهما ، ففيه خلاف بين الفريقين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الحنفية والشافعية حرمة الاستمتاع بما بين السرّة والركبة بغير حائل ، وجوازه بحائل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الوط‌ء فغير جائز مطلقاً ولو بحائل</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المالكية عدم جواز التمتّع بما بينهما بوط‌ء ، وأمّا الاستمتاع بغيره ففيه</w:t>
      </w:r>
    </w:p>
    <w:p>
      <w:pPr>
        <w:pStyle w:val="BookText"/>
        <w:rPr/>
      </w:pPr>
      <w:r>
        <w:rPr>
          <w:rFonts w:ascii="Amiri" w:hAnsi="Amiri" w:eastAsia="Amiri" w:cs="Amiri"/>
          <w:color w:val="111111"/>
          <w:sz w:val="28"/>
          <w:sz w:val="28"/>
          <w:szCs w:val="28"/>
          <w:rtl w:val="true"/>
          <w:lang w:bidi="ar-SA"/>
        </w:rPr>
        <w:t xml:space="preserve">قولان، والمشهور بينهم عدم الجواز ولو بحائل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بعضهم الجواز بغير حائل</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الحنابلة</w:t>
      </w:r>
      <w:r>
        <w:rPr>
          <w:rStyle w:val="FootnoteAnchor"/>
          <w:rtl w:val="true"/>
        </w:rPr>
        <w:footnoteReference w:id="546"/>
      </w:r>
      <w:r>
        <w:rPr>
          <w:rFonts w:ascii="Amiri" w:hAnsi="Amiri" w:eastAsia="Amiri" w:cs="Amiri"/>
          <w:color w:val="111111"/>
          <w:sz w:val="28"/>
          <w:sz w:val="28"/>
          <w:szCs w:val="28"/>
          <w:rtl w:val="true"/>
          <w:lang w:bidi="ar-SA"/>
        </w:rPr>
        <w:t>حرمة الوط‌ء فقط ، وأمّا الاستمتاع بما بينهما بغير حائل</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فجائز عندهم </w:t>
      </w:r>
      <w:r>
        <w:rPr>
          <w:rFonts w:eastAsia="IRNazanin" w:cs="IRNazanin"/>
          <w:color w:val="111111"/>
          <w:sz w:val="28"/>
          <w:szCs w:val="28"/>
          <w:rtl w:val="true"/>
          <w:lang w:bidi="fa-IR"/>
        </w:rPr>
        <w:t xml:space="preserve">. </w:t>
      </w:r>
      <w:bookmarkStart w:id="360" w:name="pg15019_190745"/>
    </w:p>
    <w:p>
      <w:pPr>
        <w:pStyle w:val="BookText"/>
        <w:rPr/>
      </w:pPr>
      <w:bookmarkEnd w:id="360"/>
      <w:r>
        <w:rPr>
          <w:rFonts w:ascii="Amiri" w:hAnsi="Amiri" w:eastAsia="Amiri" w:cs="Amiri"/>
          <w:color w:val="111111"/>
          <w:sz w:val="28"/>
          <w:sz w:val="28"/>
          <w:szCs w:val="28"/>
          <w:rtl w:val="true"/>
          <w:lang w:bidi="ar-SA"/>
        </w:rPr>
        <w:t xml:space="preserve">والمشهور بين أصحابنا </w:t>
      </w:r>
      <w:r>
        <w:rPr>
          <w:rStyle w:val="FootnoteAnchor"/>
          <w:rtl w:val="true"/>
        </w:rPr>
        <w:footnoteReference w:id="5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ادّعى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Style w:val="FootnoteAnchor"/>
          <w:rtl w:val="true"/>
        </w:rPr>
        <w:footnoteReference w:id="5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الاستمتاع بما بينهما مطلقاً ؛ حتّى الوط‌ء في الدبر ، وعن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الإجماع عليه</w:t>
      </w:r>
      <w:r>
        <w:rPr>
          <w:rStyle w:val="FootnoteAnchor"/>
          <w:rtl w:val="true"/>
        </w:rPr>
        <w:footnoteReference w:id="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لما نقل عن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تحريم الوط‌ء في الدبر ، بل مطلق الاستمتاع بما بين السرّة والركبة</w:t>
      </w:r>
      <w:r>
        <w:rPr>
          <w:rStyle w:val="FootnoteAnchor"/>
          <w:rtl w:val="true"/>
        </w:rPr>
        <w:footnoteReference w:id="550"/>
      </w:r>
      <w:r>
        <w:rPr>
          <w:rFonts w:ascii="Amiri" w:hAnsi="Amiri" w:eastAsia="Amiri" w:cs="Amiri"/>
          <w:color w:val="111111"/>
          <w:sz w:val="28"/>
          <w:sz w:val="28"/>
          <w:szCs w:val="28"/>
          <w:rtl w:val="true"/>
          <w:lang w:bidi="ar-SA"/>
        </w:rPr>
        <w:t>، وعن الأردبيلي الميل إليه</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61" w:name="__RefHeading___Toc686426_3406789950"/>
      <w:bookmarkStart w:id="362" w:name="_Toc131"/>
      <w:bookmarkEnd w:id="361"/>
      <w:r>
        <w:rPr>
          <w:rtl w:val="true"/>
        </w:rPr>
        <w:t>عدم دلالة آية المحيض إلاّ على حرمة الوط‌ء في الفرج</w:t>
      </w:r>
      <w:bookmarkEnd w:id="362"/>
    </w:p>
    <w:p>
      <w:pPr>
        <w:pStyle w:val="BookText"/>
        <w:rPr/>
      </w:pPr>
      <w:r>
        <w:rPr>
          <w:rFonts w:ascii="Amiri" w:hAnsi="Amiri" w:eastAsia="Amiri" w:cs="Amiri"/>
          <w:color w:val="111111"/>
          <w:sz w:val="28"/>
          <w:sz w:val="28"/>
          <w:szCs w:val="28"/>
          <w:rtl w:val="true"/>
          <w:lang w:bidi="ar-SA"/>
        </w:rPr>
        <w:t xml:space="preserve">والأولى بيان ما يستفاد من الآية الكريمة ، ثمّ النظر في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 لُونَكَ عَنِ الْمَحِيضِ قُلْ هُوَ أَذًى فَاعْتَزِلُوا النِّسَاءَ فِى المَحِيضِ وَلاَ تَقْرَبُوهُنَّ حَتّى يَطْهُرْنَ فَإِذا تَطَهَّرْنَ فَأْتُوهُنَّ مِنْ حَيْثُ أَمَرَكُمُ اللّه‌ُ</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إشكال بين المسلمين في جواز معاشرة النساء بغير الاستمتاعات في أيّام الحيض ، فلا يمكن الأخذ بالمعنى اللغوي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للاعتزال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بدّ من أن تكون الجملتان كناية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جعلهما كناية عن مطلق الاستمتاعات ولو بمثل القبلة ولمس ما فوق السرّة والأخذ بالساق ؛ لإجماع الفريقن على جوازه ، </w:t>
      </w:r>
    </w:p>
    <w:p>
      <w:pPr>
        <w:pStyle w:val="BookText"/>
        <w:rPr/>
      </w:pPr>
      <w:r>
        <w:rPr>
          <w:rFonts w:ascii="Amiri" w:hAnsi="Amiri" w:eastAsia="Amiri" w:cs="Amiri"/>
          <w:color w:val="111111"/>
          <w:sz w:val="28"/>
          <w:sz w:val="28"/>
          <w:szCs w:val="28"/>
          <w:rtl w:val="true"/>
          <w:lang w:bidi="ar-SA"/>
        </w:rPr>
        <w:t xml:space="preserve">فلا بدّ من جعلهما كناية عن أحد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الإدخال في القبل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الأعمّ منه ومن الدبر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هما مع الاستمتاع بما بين السرّة والركبة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والأرجح هو الأوّل ؛ لأنّ التكنية عنه مناسبة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هو المتفاهم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القذارة التي ابتلي بها الفرج خاصّة في زمان الحيض ؛ ولقوله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يَطْهُرْنَ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مرّ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النقاء من الدم ، فمناسبة الحكم والموضوع قرينة على المعنى المكني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التكنية عن حدّ خاصّ ، مثل الاستمتاع بما بين السرّة والركبة بلا حائل ، كما قال المخالفون أو عن الوط‌ء في الدبر والقبل أو عنهما وعن التفخيذ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قيام شاهد وقرينة وتناسب تدلّ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 صحيح ، وبعيد عن الكلام المتعارف ، فضلاً عن القرآن الكريم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رفع اليد عن المعنى اللغوي والحقيقي وعن الكناية عن مطلق الاستمتاع المتعارف بين الرجال والنساء ، لا يمكن التكنية عن غير إتيان الفرج والقبل ؛ لعدم التناسب وعدم القرينة ، وأمّا هو فموافق للفهم العرفي ، ومناسب لكون المحيض أذىً ولسائر الجمل التي في الآية صدراً وذيلاً ؛ لو لم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الاعتزال عن النساء وعدم القرب بنفسهما ، كناية عرفاً عن الدخول المتعارف ولم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عن مكان الحيض ، كما قال الشيخ الطوسي رحمه الله علیه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 xml:space="preserve">. </w:t>
      </w:r>
      <w:bookmarkStart w:id="363" w:name="pg15019_190747"/>
    </w:p>
    <w:p>
      <w:pPr>
        <w:pStyle w:val="Heading6"/>
        <w:numPr>
          <w:ilvl w:val="5"/>
          <w:numId w:val="1"/>
        </w:numPr>
        <w:rPr/>
      </w:pPr>
      <w:bookmarkStart w:id="364" w:name="__RefHeading___Toc686428_3406789950"/>
      <w:bookmarkStart w:id="365" w:name="_Toc132"/>
      <w:bookmarkEnd w:id="363"/>
      <w:bookmarkEnd w:id="364"/>
      <w:r>
        <w:rPr>
          <w:rtl w:val="true"/>
        </w:rPr>
        <w:t>دلالة الأخبار على جواز الاستمتاع بغير الفرج</w:t>
      </w:r>
      <w:bookmarkEnd w:id="365"/>
    </w:p>
    <w:p>
      <w:pPr>
        <w:pStyle w:val="BookText"/>
        <w:rPr/>
      </w:pPr>
      <w:r>
        <w:rPr>
          <w:rFonts w:ascii="Amiri" w:hAnsi="Amiri" w:eastAsia="Amiri" w:cs="Amiri"/>
          <w:color w:val="111111"/>
          <w:sz w:val="28"/>
          <w:sz w:val="28"/>
          <w:szCs w:val="28"/>
          <w:rtl w:val="true"/>
          <w:lang w:bidi="ar-SA"/>
        </w:rPr>
        <w:t xml:space="preserve">وتدلّ على المقصود روايات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حسنة عبد الملك بن عمرو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لصاحب المرأة الحائض منها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ما عدا القبل منها بعينه</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 xml:space="preserve">الطهارة ، أبواب الحيض ، الباب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ابن بكير ، عن أبي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حاضت المرأة فليأتها</w:t>
      </w:r>
    </w:p>
    <w:p>
      <w:pPr>
        <w:pStyle w:val="BookText"/>
        <w:rPr/>
      </w:pPr>
      <w:r>
        <w:rPr>
          <w:rFonts w:ascii="Amiri" w:hAnsi="Amiri" w:eastAsia="Amiri" w:cs="Amiri"/>
          <w:color w:val="111111"/>
          <w:sz w:val="28"/>
          <w:sz w:val="28"/>
          <w:szCs w:val="28"/>
          <w:rtl w:val="true"/>
          <w:lang w:bidi="ar-SA"/>
        </w:rPr>
        <w:t>زوجها حيث شاء ما اتقى موضع الدم</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هشام بن سالم ، عن 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الرجل يأتي المرأة فيما دون الفرج وهي حائض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إذا اجتنب ذلك الموضع</w:t>
      </w:r>
      <w:r>
        <w:rPr>
          <w:rFonts w:eastAsia="IRNazanin" w:cs="IRNazanin"/>
          <w:color w:val="111111"/>
          <w:sz w:val="28"/>
          <w:szCs w:val="28"/>
          <w:rtl w:val="true"/>
          <w:lang w:bidi="fa-IR"/>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إشكال في أنّ 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موضع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تفسّر ما في رواية عبداللّه بن سِنان</w:t>
      </w:r>
      <w:r>
        <w:rPr>
          <w:rStyle w:val="FootnoteAnchor"/>
          <w:rtl w:val="true"/>
        </w:rPr>
        <w:footnoteReference w:id="557"/>
      </w:r>
      <w:r>
        <w:rPr>
          <w:rFonts w:ascii="Amiri" w:hAnsi="Amiri" w:eastAsia="Amiri" w:cs="Amiri"/>
          <w:color w:val="111111"/>
          <w:sz w:val="28"/>
          <w:sz w:val="28"/>
          <w:szCs w:val="28"/>
          <w:rtl w:val="true"/>
          <w:lang w:bidi="ar-SA"/>
        </w:rPr>
        <w:t>وموثّقة معاوية بن عمّار</w:t>
      </w:r>
      <w:r>
        <w:rPr>
          <w:rStyle w:val="FootnoteAnchor"/>
          <w:rtl w:val="true"/>
        </w:rPr>
        <w:footnoteReference w:id="558"/>
      </w:r>
      <w:r>
        <w:rPr>
          <w:rFonts w:ascii="Amiri" w:hAnsi="Amiri" w:eastAsia="Amiri" w:cs="Amiri"/>
          <w:color w:val="111111"/>
          <w:sz w:val="28"/>
          <w:sz w:val="28"/>
          <w:szCs w:val="28"/>
          <w:rtl w:val="true"/>
          <w:lang w:bidi="ar-SA"/>
        </w:rPr>
        <w:t xml:space="preserve">ممّا دلّت على حلّية ما دون الفرج لو سلّم أعمّيته عرفاً من الدبر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 نّه في موضع المنع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ويرفع </w:t>
      </w:r>
      <w:bookmarkStart w:id="366" w:name="pg15019_190748"/>
    </w:p>
    <w:p>
      <w:pPr>
        <w:pStyle w:val="BookText"/>
        <w:rPr/>
      </w:pPr>
      <w:bookmarkEnd w:id="366"/>
      <w:r>
        <w:rPr>
          <w:rFonts w:ascii="Amiri" w:hAnsi="Amiri" w:eastAsia="Amiri" w:cs="Amiri"/>
          <w:color w:val="111111"/>
          <w:sz w:val="28"/>
          <w:sz w:val="28"/>
          <w:szCs w:val="28"/>
          <w:rtl w:val="true"/>
          <w:lang w:bidi="ar-SA"/>
        </w:rPr>
        <w:t xml:space="preserve">الإجمال المتوهّم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دون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باحتمال كون المراد منه ما دون ، مقابل ما فوق ؛ وإن كان فيه ما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اُخرى لعبد الملك بن عمرو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يحلّ للرجل من المرأة وهي حائض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غير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المرأة لعبة الرجل</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يبعد أن تكون إحدى الروايتين نقلاً بالمعنى عن الاُخرى ؛ لبعد سؤاله من</w:t>
      </w:r>
    </w:p>
    <w:p>
      <w:pPr>
        <w:pStyle w:val="BookText"/>
        <w:rPr/>
      </w:pPr>
      <w:r>
        <w:rPr>
          <w:rFonts w:ascii="IRNazanin" w:hAnsi="IRNazanin" w:eastAsia="IRNazanin"/>
          <w:color w:val="111111"/>
          <w:sz w:val="28"/>
          <w:sz w:val="28"/>
          <w:szCs w:val="28"/>
          <w:rtl w:val="true"/>
          <w:lang w:bidi="fa-IR"/>
        </w:rPr>
        <w:t xml:space="preserve">أبي عبداللّه علیه السلام هذه المسألة مرّتين ، فحينئذٍ تدلّ تلك الرواية على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القبل ولو انصرافاً في تلك الأزمنة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فدلالة تلك الروايات المتقدّمة على المقصود واضحة </w:t>
      </w:r>
      <w:r>
        <w:rPr>
          <w:rFonts w:eastAsia="IRNazanin" w:cs="IRNazanin"/>
          <w:color w:val="111111"/>
          <w:sz w:val="28"/>
          <w:szCs w:val="28"/>
          <w:rtl w:val="true"/>
          <w:lang w:bidi="fa-IR"/>
        </w:rPr>
        <w:t>.</w:t>
      </w:r>
    </w:p>
    <w:p>
      <w:pPr>
        <w:pStyle w:val="Heading6"/>
        <w:numPr>
          <w:ilvl w:val="5"/>
          <w:numId w:val="1"/>
        </w:numPr>
        <w:rPr/>
      </w:pPr>
      <w:bookmarkStart w:id="367" w:name="__RefHeading___Toc686430_3406789950"/>
      <w:bookmarkStart w:id="368" w:name="_Toc133"/>
      <w:bookmarkEnd w:id="367"/>
      <w:r>
        <w:rPr>
          <w:rtl w:val="true"/>
        </w:rPr>
        <w:t>الروايات التي قد يتوهّم معارضتها لما سبق وبيان وجه الجمع بينهما</w:t>
      </w:r>
      <w:bookmarkEnd w:id="368"/>
    </w:p>
    <w:p>
      <w:pPr>
        <w:pStyle w:val="BookText"/>
        <w:rPr/>
      </w:pPr>
      <w:r>
        <w:rPr>
          <w:rFonts w:ascii="IRNazanin" w:hAnsi="IRNazanin" w:eastAsia="IRNazanin"/>
          <w:color w:val="111111"/>
          <w:sz w:val="28"/>
          <w:sz w:val="28"/>
          <w:szCs w:val="28"/>
          <w:rtl w:val="true"/>
          <w:lang w:bidi="fa-IR"/>
        </w:rPr>
        <w:t xml:space="preserve">ولا يعارضها ما دلّ على أنّ الاستمتاع مقصور على ما بين الفخذين أو بين الألْيين ، كرواية عمر بن حنظلة وصحيحة عمر بن يزيد ، ففي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للرجل من الحائض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بين الفخذين</w:t>
      </w:r>
      <w:r>
        <w:rPr>
          <w:rFonts w:eastAsia="IRNazanin" w:cs="IRNazanin"/>
          <w:color w:val="111111"/>
          <w:sz w:val="28"/>
          <w:szCs w:val="28"/>
          <w:rtl w:val="true"/>
          <w:lang w:bidi="fa-IR"/>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للرجل من الحائض ؟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ألْيتيها ، ولا يوقب</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وكذا ما دلّ على لزوم الاتّزار ، كصحيحة الحلبي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سأل أبا عبداللّه علیه السلام عن الحائض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يحلّ لزوجها منها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تتّزر بإزار إلى الركبتين ، وتُخرج سُرّتها ، ثمّ له ما فوق الإزار</w:t>
      </w:r>
      <w:r>
        <w:rPr>
          <w:rFonts w:eastAsia="IRNazanin" w:cs="IRNazanin"/>
          <w:color w:val="111111"/>
          <w:sz w:val="28"/>
          <w:szCs w:val="28"/>
          <w:rtl w:val="true"/>
          <w:lang w:bidi="fa-IR"/>
        </w:rPr>
        <w:t>»</w:t>
      </w:r>
      <w:r>
        <w:rPr>
          <w:rStyle w:val="FootnoteAnchor"/>
          <w:rtl w:val="true"/>
        </w:rPr>
        <w:footnoteReference w:id="5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منها غيرها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وجوه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العقلائي بينها ؛ لصراحة الأخبار المتقدّمة بعدم البأس بما عدا القبل بعينه ، وظهور هذه في الحرمة ، والجمع بينهما بحملها على الكراهة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مضمونها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صحيحة الحلبي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لمذهب أبي حنيفة والشافعي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مخالفتها للمشهور بين الأصحاب ولإطلاق الكتاب ، ولهذا يُشكل</w:t>
      </w:r>
    </w:p>
    <w:p>
      <w:pPr>
        <w:pStyle w:val="BookText"/>
        <w:rPr/>
      </w:pPr>
      <w:r>
        <w:rPr>
          <w:rFonts w:ascii="IRNazanin" w:hAnsi="IRNazanin" w:eastAsia="IRNazanin"/>
          <w:color w:val="111111"/>
          <w:sz w:val="28"/>
          <w:sz w:val="28"/>
          <w:szCs w:val="28"/>
          <w:rtl w:val="true"/>
          <w:lang w:bidi="fa-IR"/>
        </w:rPr>
        <w:t xml:space="preserve">القول بالكراهة بواسطة تلك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لا يبعد القول بها ؛ لغيرها ممّا يحكي فعل النبي صلی الله علیه و آله وسلم </w:t>
      </w:r>
      <w:r>
        <w:rPr>
          <w:rStyle w:val="FootnoteAnchor"/>
          <w:rtl w:val="true"/>
        </w:rPr>
        <w:footnoteReference w:id="564"/>
      </w:r>
      <w:r>
        <w:rPr>
          <w:rFonts w:ascii="Amiri" w:hAnsi="Amiri" w:eastAsia="Amiri" w:cs="Amiri"/>
          <w:color w:val="111111"/>
          <w:sz w:val="28"/>
          <w:sz w:val="28"/>
          <w:szCs w:val="28"/>
          <w:rtl w:val="true"/>
          <w:lang w:bidi="ar-SA"/>
        </w:rPr>
        <w:t>، مع أنّ كراهة الإتيان في الدبر كراهة شديدة ثابتة ، فالمسألة</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بلا إشكال ، والاحتياط حسن على كلّ حال </w:t>
      </w:r>
      <w:r>
        <w:rPr>
          <w:rFonts w:eastAsia="Amiri" w:cs="Amiri" w:ascii="Amiri" w:hAnsi="Amiri"/>
          <w:color w:val="111111"/>
          <w:sz w:val="28"/>
          <w:szCs w:val="28"/>
          <w:rtl w:val="true"/>
          <w:lang w:bidi="ar-SA"/>
        </w:rPr>
        <w:t xml:space="preserve">. </w:t>
      </w:r>
      <w:bookmarkStart w:id="369" w:name="pg15019_190750"/>
    </w:p>
    <w:p>
      <w:pPr>
        <w:pStyle w:val="Heading5"/>
        <w:numPr>
          <w:ilvl w:val="4"/>
          <w:numId w:val="1"/>
        </w:numPr>
        <w:rPr/>
      </w:pPr>
      <w:bookmarkStart w:id="370" w:name="__RefHeading___Toc686432_3406789950"/>
      <w:bookmarkStart w:id="371" w:name="_Toc134"/>
      <w:bookmarkEnd w:id="369"/>
      <w:bookmarkEnd w:id="370"/>
      <w:r>
        <w:rPr>
          <w:rtl w:val="true"/>
        </w:rPr>
        <w:t>الأمر الثالث في كفّارة وط‌ء الحائض</w:t>
      </w:r>
      <w:bookmarkEnd w:id="371"/>
    </w:p>
    <w:p>
      <w:pPr>
        <w:pStyle w:val="Heading6"/>
        <w:numPr>
          <w:ilvl w:val="5"/>
          <w:numId w:val="1"/>
        </w:numPr>
        <w:rPr/>
      </w:pPr>
      <w:bookmarkStart w:id="372" w:name="__RefHeading___Toc686434_3406789950"/>
      <w:bookmarkStart w:id="373" w:name="_Toc135"/>
      <w:bookmarkEnd w:id="372"/>
      <w:r>
        <w:rPr>
          <w:rtl w:val="true"/>
        </w:rPr>
        <w:t>اشارة</w:t>
      </w:r>
      <w:bookmarkEnd w:id="373"/>
    </w:p>
    <w:p>
      <w:pPr>
        <w:pStyle w:val="BookText"/>
        <w:rPr/>
      </w:pPr>
      <w:r>
        <w:rPr>
          <w:rFonts w:ascii="Amiri" w:hAnsi="Amiri" w:eastAsia="Amiri" w:cs="Amiri"/>
          <w:color w:val="111111"/>
          <w:sz w:val="28"/>
          <w:sz w:val="28"/>
          <w:szCs w:val="28"/>
          <w:rtl w:val="true"/>
          <w:lang w:bidi="ar-SA"/>
        </w:rPr>
        <w:t xml:space="preserve">إن وطأها الزوج قبلاً في أيّام الحيض وجبت عليه الكفّارة دونها وإن كانت مطاوعة ، كما هو خيرة قدماء أصحابنا </w:t>
      </w:r>
      <w:r>
        <w:rPr>
          <w:rStyle w:val="FootnoteAnchor"/>
          <w:rtl w:val="true"/>
        </w:rPr>
        <w:footnoteReference w:id="565"/>
      </w:r>
      <w:r>
        <w:rPr>
          <w:rFonts w:ascii="Amiri" w:hAnsi="Amiri" w:eastAsia="Amiri" w:cs="Amiri"/>
          <w:color w:val="111111"/>
          <w:sz w:val="28"/>
          <w:sz w:val="28"/>
          <w:szCs w:val="28"/>
          <w:rtl w:val="true"/>
          <w:lang w:bidi="ar-SA"/>
        </w:rPr>
        <w:t xml:space="preserve">بل هو المجمع عليه ،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566"/>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 نّه الأظهر في المذهب</w:t>
      </w:r>
      <w:r>
        <w:rPr>
          <w:rFonts w:eastAsia="Amiri" w:cs="Amiri" w:ascii="Amiri" w:hAnsi="Amiri"/>
          <w:color w:val="111111"/>
          <w:sz w:val="28"/>
          <w:szCs w:val="28"/>
          <w:rtl w:val="true"/>
          <w:lang w:bidi="ar-SA"/>
        </w:rPr>
        <w:t>»</w:t>
      </w:r>
      <w:r>
        <w:rPr>
          <w:rStyle w:val="FootnoteAnchor"/>
          <w:rtl w:val="true"/>
        </w:rPr>
        <w:footnoteReference w:id="567"/>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 نّه المشهور</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الجعفرية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 نّه مذهب الأكثر</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 اتّفاق قدماء الأصحاب عليه</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مذهب أكثر المتأخّرين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المفاتيح</w:t>
      </w:r>
      <w:r>
        <w:rPr>
          <w:rFonts w:eastAsia="Amiri" w:cs="Amiri" w:ascii="Amiri" w:hAnsi="Amiri"/>
          <w:color w:val="111111"/>
          <w:sz w:val="28"/>
          <w:szCs w:val="28"/>
          <w:rtl w:val="true"/>
          <w:lang w:bidi="ar-SA"/>
        </w:rPr>
        <w:t>»</w:t>
      </w:r>
      <w:r>
        <w:rPr>
          <w:rStyle w:val="FootnoteAnchor"/>
          <w:rtl w:val="true"/>
        </w:rPr>
        <w:footnoteReference w:id="571"/>
      </w:r>
      <w:r>
        <w:rPr>
          <w:rFonts w:ascii="Amiri" w:hAnsi="Amiri" w:eastAsia="Amiri" w:cs="Amiri"/>
          <w:color w:val="111111"/>
          <w:sz w:val="28"/>
          <w:sz w:val="28"/>
          <w:szCs w:val="28"/>
          <w:rtl w:val="true"/>
          <w:lang w:bidi="ar-SA"/>
        </w:rPr>
        <w:t xml:space="preserve">وهو 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w:t>
      </w:r>
      <w:r>
        <w:rPr>
          <w:rStyle w:val="FootnoteAnchor"/>
          <w:rtl w:val="true"/>
        </w:rPr>
        <w:footnoteReference w:id="572"/>
      </w:r>
      <w:r>
        <w:rPr>
          <w:rFonts w:ascii="Amiri" w:hAnsi="Amiri" w:eastAsia="Amiri" w:cs="Amiri"/>
          <w:color w:val="111111"/>
          <w:sz w:val="28"/>
          <w:sz w:val="28"/>
          <w:szCs w:val="28"/>
          <w:rtl w:val="true"/>
          <w:lang w:bidi="ar-SA"/>
        </w:rPr>
        <w:t xml:space="preserve">وخيرة </w:t>
      </w:r>
      <w:bookmarkStart w:id="374" w:name="pg15019_190751"/>
    </w:p>
    <w:p>
      <w:pPr>
        <w:pStyle w:val="BookText"/>
        <w:rPr/>
      </w:pPr>
      <w:bookmarkEnd w:id="3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Style w:val="FootnoteAnchor"/>
          <w:rtl w:val="true"/>
        </w:rPr>
        <w:footnoteReference w:id="573"/>
      </w:r>
      <w:r>
        <w:rPr>
          <w:rFonts w:ascii="Amiri" w:hAnsi="Amiri" w:eastAsia="Amiri" w:cs="Amiri"/>
          <w:color w:val="111111"/>
          <w:sz w:val="28"/>
          <w:sz w:val="28"/>
          <w:szCs w:val="28"/>
          <w:rtl w:val="true"/>
          <w:lang w:bidi="ar-SA"/>
        </w:rPr>
        <w:t xml:space="preserve">بناءً على أنّ مراده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الاستحباب ، كما عن تلميذه</w:t>
      </w:r>
      <w:r>
        <w:rPr>
          <w:rStyle w:val="FootnoteAnchor"/>
          <w:rtl w:val="true"/>
        </w:rPr>
        <w:footnoteReference w:id="574"/>
      </w:r>
      <w:r>
        <w:rPr>
          <w:rFonts w:ascii="Amiri" w:hAnsi="Amiri" w:eastAsia="Amiri" w:cs="Amiri"/>
          <w:color w:val="111111"/>
          <w:sz w:val="28"/>
          <w:sz w:val="28"/>
          <w:szCs w:val="28"/>
          <w:rtl w:val="true"/>
          <w:lang w:bidi="ar-SA"/>
        </w:rPr>
        <w:t xml:space="preserve">وفيه إشكال </w:t>
      </w:r>
      <w:r>
        <w:rPr>
          <w:rFonts w:eastAsia="Amiri" w:cs="Amiri" w:ascii="Amiri" w:hAnsi="Amiri"/>
          <w:color w:val="111111"/>
          <w:sz w:val="28"/>
          <w:szCs w:val="28"/>
          <w:rtl w:val="true"/>
          <w:lang w:bidi="ar-SA"/>
        </w:rPr>
        <w:t>.</w:t>
      </w:r>
    </w:p>
    <w:p>
      <w:pPr>
        <w:pStyle w:val="Heading6"/>
        <w:numPr>
          <w:ilvl w:val="5"/>
          <w:numId w:val="1"/>
        </w:numPr>
        <w:rPr/>
      </w:pPr>
      <w:bookmarkStart w:id="375" w:name="__RefHeading___Toc686436_3406789950"/>
      <w:bookmarkStart w:id="376" w:name="_Toc136"/>
      <w:bookmarkEnd w:id="375"/>
      <w:r>
        <w:rPr>
          <w:rtl w:val="true"/>
        </w:rPr>
        <w:t>الروايات الدالّة على مختار القدماء من أصحابنا</w:t>
      </w:r>
      <w:bookmarkEnd w:id="376"/>
    </w:p>
    <w:p>
      <w:pPr>
        <w:pStyle w:val="BookText"/>
        <w:rPr/>
      </w:pPr>
      <w:r>
        <w:rPr>
          <w:rFonts w:ascii="Amiri" w:hAnsi="Amiri" w:eastAsia="Amiri" w:cs="Amiri"/>
          <w:color w:val="111111"/>
          <w:sz w:val="28"/>
          <w:sz w:val="28"/>
          <w:szCs w:val="28"/>
          <w:rtl w:val="true"/>
          <w:lang w:bidi="ar-SA"/>
        </w:rPr>
        <w:t>وتدلّ على الأوّل رواية داود بن فرقد التي فيها إرسال وضعف</w:t>
      </w:r>
      <w:r>
        <w:rPr>
          <w:rStyle w:val="FootnoteAnchor"/>
          <w:rtl w:val="true"/>
        </w:rPr>
        <w:footnoteReference w:id="575"/>
      </w:r>
      <w:r>
        <w:rPr>
          <w:rFonts w:ascii="IRNazanin" w:hAnsi="IRNazanin" w:eastAsia="IRNazanin"/>
          <w:color w:val="111111"/>
          <w:sz w:val="28"/>
          <w:sz w:val="28"/>
          <w:szCs w:val="28"/>
          <w:rtl w:val="true"/>
          <w:lang w:bidi="fa-IR"/>
        </w:rPr>
        <w:t xml:space="preserve">، عن أبي عبداللّه علیه السلام في كفّارة الطمث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نّه يتصدّق إذا كان في أوّله بدينار ، وفي وسطه نصف دينار ، وفي آخره ربع دينار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يكن عنده ما يكفّر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فليتصدّق على مسكين واحد ، وإلاّ استغفر اللّه ولا يعود ؛ فإنّ الاستغفار توبة وكفّارة لكلّ من لم يجد السبيل إلى شيء من الكفّارة</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الرضوي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ومتى ما جامعتها وهي حائض فعليك أن تتصدّق </w:t>
      </w:r>
    </w:p>
    <w:p>
      <w:pPr>
        <w:pStyle w:val="BookText"/>
        <w:rPr/>
      </w:pPr>
      <w:r>
        <w:rPr>
          <w:rFonts w:ascii="Amiri" w:hAnsi="Amiri" w:eastAsia="Amiri" w:cs="Amiri"/>
          <w:color w:val="111111"/>
          <w:sz w:val="28"/>
          <w:sz w:val="28"/>
          <w:szCs w:val="28"/>
          <w:rtl w:val="true"/>
          <w:lang w:bidi="ar-SA"/>
        </w:rPr>
        <w:t>بدينار ، وإن جامعت أمتك وهي حائض فعليك أن تتصدّق بثلاثة أمداد من</w:t>
      </w:r>
    </w:p>
    <w:p>
      <w:pPr>
        <w:pStyle w:val="BookText"/>
        <w:rPr/>
      </w:pPr>
      <w:r>
        <w:rPr>
          <w:rFonts w:ascii="Amiri" w:hAnsi="Amiri" w:eastAsia="Amiri" w:cs="Amiri"/>
          <w:color w:val="111111"/>
          <w:sz w:val="28"/>
          <w:sz w:val="28"/>
          <w:szCs w:val="28"/>
          <w:rtl w:val="true"/>
          <w:lang w:bidi="ar-SA"/>
        </w:rPr>
        <w:t xml:space="preserve">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جامعت امرأتك في أوّل الحيض تصدّقت بدينار ، وإن كان في وسطه فنصف دينار ، وإن كان في آخره فربع دينار</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جامعها في أوّل الحيض فعليه أن يتصدّق بدينار </w:t>
      </w:r>
      <w:r>
        <w:rPr>
          <w:rFonts w:eastAsia="Amiri" w:cs="Amiri" w:ascii="Amiri" w:hAnsi="Amiri"/>
          <w:color w:val="111111"/>
          <w:sz w:val="28"/>
          <w:szCs w:val="28"/>
          <w:rtl w:val="true"/>
          <w:lang w:bidi="ar-SA"/>
        </w:rPr>
        <w:t>. . .»</w:t>
      </w:r>
      <w:r>
        <w:rPr>
          <w:rStyle w:val="FootnoteAnchor"/>
          <w:rtl w:val="true"/>
        </w:rPr>
        <w:footnoteReference w:id="578"/>
      </w:r>
      <w:r>
        <w:rPr>
          <w:rFonts w:ascii="Amiri" w:hAnsi="Amiri" w:eastAsia="Amiri" w:cs="Amiri"/>
          <w:color w:val="111111"/>
          <w:sz w:val="28"/>
          <w:sz w:val="28"/>
          <w:szCs w:val="28"/>
          <w:rtl w:val="true"/>
          <w:lang w:bidi="ar-SA"/>
        </w:rPr>
        <w:t xml:space="preserve">إلى آخر التفصيل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الرجل أتى المرأة وهي حائض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يجب عليه في استقبال الحيض دينار ، وفي وسطه</w:t>
      </w:r>
      <w:r>
        <w:rPr>
          <w:rStyle w:val="FootnoteAnchor"/>
          <w:rtl w:val="true"/>
        </w:rPr>
        <w:footnoteReference w:id="579"/>
      </w:r>
      <w:r>
        <w:rPr>
          <w:rFonts w:ascii="Amiri" w:hAnsi="Amiri" w:eastAsia="Amiri" w:cs="Amiri"/>
          <w:color w:val="111111"/>
          <w:sz w:val="28"/>
          <w:sz w:val="28"/>
          <w:szCs w:val="28"/>
          <w:rtl w:val="true"/>
          <w:lang w:bidi="ar-SA"/>
        </w:rPr>
        <w:t>نصف دينار</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الروايات تدلّ على ما هو المشهور بين القدماء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ربّما يحتمل في رواية داود بن فرقد كونها بصدد بيان مقدار الكفّارة بعد فرض ثبوتها ، فلا تدلّ على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ضعيف ؛ لعدم مسبوقيتها بالسؤال ، بل الظاهر منها أنّ البيان ابتدائي ، وهو ظاهر في الوجوب ، خصوصاً قوله في ذيلها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فليتصدّق على 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هو ظاهر في الوجوب بلا إشكال ، ويرفع الاحتمال المتقدّم على ضعفه ؛ ضرورة أنّ وجوب البدل دليل على وجوب المبدل منه </w:t>
      </w:r>
      <w:r>
        <w:rPr>
          <w:rFonts w:eastAsia="Amiri" w:cs="Amiri" w:ascii="Amiri" w:hAnsi="Amiri"/>
          <w:color w:val="111111"/>
          <w:sz w:val="28"/>
          <w:szCs w:val="28"/>
          <w:rtl w:val="true"/>
          <w:lang w:bidi="ar-SA"/>
        </w:rPr>
        <w:t xml:space="preserve">. </w:t>
      </w:r>
      <w:bookmarkStart w:id="377" w:name="pg15019_190753"/>
    </w:p>
    <w:p>
      <w:pPr>
        <w:pStyle w:val="Heading6"/>
        <w:numPr>
          <w:ilvl w:val="5"/>
          <w:numId w:val="1"/>
        </w:numPr>
        <w:rPr/>
      </w:pPr>
      <w:bookmarkStart w:id="378" w:name="__RefHeading___Toc686438_3406789950"/>
      <w:bookmarkStart w:id="379" w:name="_Toc137"/>
      <w:bookmarkEnd w:id="377"/>
      <w:bookmarkEnd w:id="378"/>
      <w:r>
        <w:rPr>
          <w:rtl w:val="true"/>
        </w:rPr>
        <w:t>الروايات المنافية للطائفة السابقة وبيان إعراض الأصحاب عنها</w:t>
      </w:r>
      <w:bookmarkEnd w:id="379"/>
    </w:p>
    <w:p>
      <w:pPr>
        <w:pStyle w:val="BookText"/>
        <w:rPr/>
      </w:pPr>
      <w:r>
        <w:rPr>
          <w:rFonts w:ascii="Amiri" w:hAnsi="Amiri" w:eastAsia="Amiri" w:cs="Amiri"/>
          <w:color w:val="111111"/>
          <w:sz w:val="28"/>
          <w:sz w:val="28"/>
          <w:szCs w:val="28"/>
          <w:rtl w:val="true"/>
          <w:lang w:bidi="ar-SA"/>
        </w:rPr>
        <w:t xml:space="preserve">نعم ، بإزاء هذه الروايات روايات اُخر إمّا دالّة على وجوب الكفّارة ، لكن لا يمكن جمعها معها ، أو معارضة معها في وجوبها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محمّد بن مسلم التي لا يبعد أن تكون صحيحة</w:t>
      </w:r>
      <w:r>
        <w:rPr>
          <w:rStyle w:val="FootnoteAnchor"/>
          <w:rtl w:val="true"/>
        </w:rPr>
        <w:footnoteReference w:id="58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عمّن أتى امرأته وهي طامث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يتصدّق بدينار ويستغفر اللّه</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وموثّقة أبي بصير ، عن أبي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أتى حائضاً فعليه نصف دينار ، يتصدّق به</w:t>
      </w:r>
      <w:r>
        <w:rPr>
          <w:rFonts w:eastAsia="IRNazanin" w:cs="IRNazanin"/>
          <w:color w:val="111111"/>
          <w:sz w:val="28"/>
          <w:szCs w:val="28"/>
          <w:rtl w:val="true"/>
          <w:lang w:bidi="fa-IR"/>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موثّقة الحلبي التصدّق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مسكين بقدر شبعه</w:t>
      </w:r>
      <w:r>
        <w:rPr>
          <w:rFonts w:eastAsia="Amiri" w:cs="Amiri" w:ascii="Amiri" w:hAnsi="Amiri"/>
          <w:color w:val="111111"/>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مرسلة علي بن إبراهيم التصدّق بدينار في أوّل الحيض ، وبنصف دينار في آخره</w:t>
      </w:r>
      <w:r>
        <w:rPr>
          <w:rStyle w:val="FootnoteAnchor"/>
          <w:rtl w:val="true"/>
        </w:rPr>
        <w:footnoteReference w:id="585"/>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عيص بن القاسم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رجل</w:t>
      </w:r>
    </w:p>
    <w:p>
      <w:pPr>
        <w:pStyle w:val="BookText"/>
        <w:rPr/>
      </w:pPr>
      <w:r>
        <w:rPr>
          <w:rFonts w:ascii="Amiri" w:hAnsi="Amiri" w:eastAsia="Amiri" w:cs="Amiri"/>
          <w:color w:val="111111"/>
          <w:sz w:val="28"/>
          <w:sz w:val="28"/>
          <w:szCs w:val="28"/>
          <w:rtl w:val="true"/>
          <w:lang w:bidi="ar-SA"/>
        </w:rPr>
        <w:t xml:space="preserve">واقع امرأته وهي طامث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يلتمس فعل ذلك وقد نهى اللّه أن يقربها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فعل أعليه كفّارة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أعلم فيه شيئاً</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موثّقة زرارة ، عن أحدهما 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الحائض يأتيها زوجها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عليه شيء ، يستغفر اللّه ، ولا يعود</w:t>
      </w:r>
      <w:r>
        <w:rPr>
          <w:rFonts w:eastAsia="IRNazanin" w:cs="IRNazanin"/>
          <w:color w:val="111111"/>
          <w:sz w:val="28"/>
          <w:szCs w:val="28"/>
          <w:rtl w:val="true"/>
          <w:lang w:bidi="fa-IR"/>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رواية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وقوع الرجل على امرأته وهي طامث خطأً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عليه شيء ، وقد عصى ربّه</w:t>
      </w:r>
      <w:r>
        <w:rPr>
          <w:rFonts w:eastAsia="IRNazanin" w:cs="IRNazanin"/>
          <w:color w:val="111111"/>
          <w:sz w:val="28"/>
          <w:szCs w:val="28"/>
          <w:rtl w:val="true"/>
          <w:lang w:bidi="fa-IR"/>
        </w:rPr>
        <w:t>»</w:t>
      </w:r>
      <w:r>
        <w:rPr>
          <w:rStyle w:val="FootnoteAnchor"/>
          <w:rtl w:val="true"/>
        </w:rPr>
        <w:footnoteReference w:id="588"/>
      </w:r>
      <w:r>
        <w:rPr>
          <w:rFonts w:ascii="Amiri" w:hAnsi="Amiri" w:eastAsia="Amiri" w:cs="Amiri"/>
          <w:color w:val="111111"/>
          <w:sz w:val="28"/>
          <w:sz w:val="28"/>
          <w:szCs w:val="28"/>
          <w:rtl w:val="true"/>
          <w:lang w:bidi="ar-SA"/>
        </w:rPr>
        <w:t xml:space="preserve">بناءً على 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العصيان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الجمع بينها ؛ لا بين الروايات الدالّة</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مقدار الكفّارة ؛ ضرورة أنّ حمل الدينار بقول مطلق في رواية محمّد بن مسلم ونصف دينار كذلك في رواية أبي بصير والتصدّق على مسكين كذلك في </w:t>
      </w:r>
    </w:p>
    <w:p>
      <w:pPr>
        <w:pStyle w:val="BookText"/>
        <w:rPr/>
      </w:pPr>
      <w:r>
        <w:rPr>
          <w:rFonts w:ascii="Amiri" w:hAnsi="Amiri" w:eastAsia="Amiri" w:cs="Amiri"/>
          <w:color w:val="111111"/>
          <w:sz w:val="28"/>
          <w:sz w:val="28"/>
          <w:szCs w:val="28"/>
          <w:rtl w:val="true"/>
          <w:lang w:bidi="ar-SA"/>
        </w:rPr>
        <w:t>رواية الحلبي على التفصيل في رواية داود ، ليس جمعاً عقلائياً مقبولاً ، ولهذا</w:t>
      </w:r>
    </w:p>
    <w:p>
      <w:p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الاختلافات في نفس تلك الروايات ، شاهدة على أنّ الحكم ليس بإلزامي ، بل حكم استحبابي ولو مع الغضّ عن الروايات المعارضة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بين الطائفة الأخيرة مع الروايات الدالّة على لزوم الكفّارة ؛ ضرورة معارضة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أعلم فيه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أعليه كفّارة ؟ مع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أن يتصدّق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عليه في استقبال الحيض دينار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ولو حاول أحدٌ الجمع بينهما بحمل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أعلم فيه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العلم بثبوت شيء على نحو الوجوب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ثبوته استحباباً ، لما بقي مورد للتعارض بين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ميزان الجمع وعدم التعارض هو نظر العرف ، ولا إشكال في معارضة هذه الأخبار بنظر العرف ؛ إذ ليس بينها جمع مقبول عقلائي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لا الجهات الخارجية لكان المتعيّن إعمال باب التعارض والعلاج ، لكنّ الظاهر عدم وصول النوبة إلى ذلك ؛ ضرورة أنّ إعراضَ قدماء أصحابنا عن مثل صحيحة عيص وموثّقة زرارة ممّا هي معتبرة الإسناد صريحة الدلالة ، والعملَ بمثل رواية داود بن فرقد ممّا هي مرسلة ضعيفة</w:t>
      </w:r>
      <w:r>
        <w:rPr>
          <w:rStyle w:val="FootnoteAnchor"/>
          <w:rtl w:val="true"/>
        </w:rPr>
        <w:footnoteReference w:id="589"/>
      </w:r>
      <w:r>
        <w:rPr>
          <w:rFonts w:ascii="IRNazanin" w:hAnsi="IRNazanin" w:eastAsia="IRNazanin"/>
          <w:color w:val="111111"/>
          <w:sz w:val="28"/>
          <w:sz w:val="28"/>
          <w:szCs w:val="28"/>
          <w:rtl w:val="true"/>
          <w:lang w:bidi="fa-IR"/>
        </w:rPr>
        <w:t>غير صريحة في المفاد ، يوجب الوثوق بثبوت الحكم يداً بيد وجيلاً من جيل إلى عصر المعصوم علیه السلام</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خصوصاً بالنظر إلى أنّ العامل بها أو بمضمونها والمدّعي للإجماع</w:t>
      </w:r>
      <w:r>
        <w:rPr>
          <w:rStyle w:val="FootnoteAnchor"/>
          <w:rtl w:val="true"/>
        </w:rPr>
        <w:footnoteReference w:id="590"/>
      </w:r>
      <w:r>
        <w:rPr>
          <w:rFonts w:ascii="Amiri" w:hAnsi="Amiri" w:eastAsia="Amiri" w:cs="Amiri"/>
          <w:color w:val="111111"/>
          <w:sz w:val="28"/>
          <w:sz w:val="28"/>
          <w:szCs w:val="28"/>
          <w:rtl w:val="true"/>
          <w:lang w:bidi="ar-SA"/>
        </w:rPr>
        <w:t xml:space="preserve">أو الأظهرية </w:t>
      </w:r>
      <w:bookmarkStart w:id="380" w:name="pg15019_190756"/>
    </w:p>
    <w:p>
      <w:pPr>
        <w:pStyle w:val="BookText"/>
        <w:rPr/>
      </w:pPr>
      <w:bookmarkEnd w:id="380"/>
      <w:r>
        <w:rPr>
          <w:rFonts w:ascii="Amiri" w:hAnsi="Amiri" w:eastAsia="Amiri" w:cs="Amiri"/>
          <w:color w:val="111111"/>
          <w:sz w:val="28"/>
          <w:sz w:val="28"/>
          <w:szCs w:val="28"/>
          <w:rtl w:val="true"/>
          <w:lang w:bidi="ar-SA"/>
        </w:rPr>
        <w:t>في المذهب</w:t>
      </w:r>
      <w:r>
        <w:rPr>
          <w:rStyle w:val="FootnoteAnchor"/>
          <w:rtl w:val="true"/>
        </w:rPr>
        <w:footnoteReference w:id="591"/>
      </w:r>
      <w:r>
        <w:rPr>
          <w:rFonts w:ascii="Amiri" w:hAnsi="Amiri" w:eastAsia="Amiri" w:cs="Amiri"/>
          <w:color w:val="111111"/>
          <w:sz w:val="28"/>
          <w:sz w:val="28"/>
          <w:szCs w:val="28"/>
          <w:rtl w:val="true"/>
          <w:lang w:bidi="ar-SA"/>
        </w:rPr>
        <w:t>، من تكون طريقته العمل بالقطعيات</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الدليل على العمل بخبر الواحد ليس إلاّ طريقة العقلاء ، وما ورد من الشارع في هذا الباب ليس إلاّ الإنفاذ لما عليه العقلاء ، ولا تأسيس ولا تعبّد للشارع في العمل به ، وليس بناء العقلاء على العمل بمثل تلك الروايات ، التي خرجت عن تحت نظر كبراء الأصحاب وفقهاء المذاهب مع تمامية السند والدلالة ، ولم يعملوا بها مع كونها موافقة للأصل والقاعدة ، وإنّما عملوا على رواية مرسلة ضعيفة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الإعراض والجبر لو كان لهما محلّ ، فهذا هو محلّهما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وأضعف شيء في المقام هو حمل الروايات الأخيرة على نفي الوجوب والأوّلة على الاستحباب ، مع أنّ التعارض وعدم الجمع العقلائي بينهما كالنار على المنار ، فلا بدّ لهم من طرح تلك الروايات المعمول بها ، والعمل بما هي معرض عنها بين الأصحاب ، وإلاّ فلا مجال للجمع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مع ذلك إنّ المسألة مشكلة ، فلا بدّ من أخذ طريق الاحتياط فيها </w:t>
      </w:r>
      <w:r>
        <w:rPr>
          <w:rFonts w:eastAsia="Amiri" w:cs="Amiri" w:ascii="Amiri" w:hAnsi="Amiri"/>
          <w:color w:val="111111"/>
          <w:sz w:val="28"/>
          <w:szCs w:val="28"/>
          <w:rtl w:val="true"/>
          <w:lang w:bidi="ar-SA"/>
        </w:rPr>
        <w:t>.</w:t>
      </w:r>
    </w:p>
    <w:p>
      <w:pPr>
        <w:pStyle w:val="Heading6"/>
        <w:numPr>
          <w:ilvl w:val="5"/>
          <w:numId w:val="1"/>
        </w:numPr>
        <w:rPr/>
      </w:pPr>
      <w:bookmarkStart w:id="381" w:name="__RefHeading___Toc686440_3406789950"/>
      <w:bookmarkStart w:id="382" w:name="_Toc138"/>
      <w:bookmarkEnd w:id="381"/>
      <w:r>
        <w:rPr>
          <w:rtl w:val="true"/>
        </w:rPr>
        <w:t>تكرّر الكفّارة بتكرّر الوط‌ء في وقت واحد</w:t>
      </w:r>
      <w:bookmarkEnd w:id="382"/>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لا إشكال في تكرّر الكفّارة مع تكرّر الوط‌ء منه في أوّل الحيض ووسطه وآخره ؛ بمعنى كون التكرار مع اختلاف الزمان </w:t>
      </w:r>
      <w:r>
        <w:rPr>
          <w:rFonts w:eastAsia="Amiri" w:cs="Amiri" w:ascii="Amiri" w:hAnsi="Amiri"/>
          <w:color w:val="111111"/>
          <w:sz w:val="28"/>
          <w:szCs w:val="28"/>
          <w:rtl w:val="true"/>
          <w:lang w:bidi="ar-SA"/>
        </w:rPr>
        <w:t xml:space="preserve">. </w:t>
      </w:r>
      <w:bookmarkStart w:id="383" w:name="pg15019_190757"/>
    </w:p>
    <w:p>
      <w:pPr>
        <w:pStyle w:val="BookText"/>
        <w:rPr/>
      </w:pPr>
      <w:bookmarkEnd w:id="383"/>
      <w:r>
        <w:rPr>
          <w:rFonts w:ascii="Amiri" w:hAnsi="Amiri" w:eastAsia="Amiri" w:cs="Amiri"/>
          <w:color w:val="111111"/>
          <w:sz w:val="28"/>
          <w:sz w:val="28"/>
          <w:szCs w:val="28"/>
          <w:rtl w:val="true"/>
          <w:lang w:bidi="ar-SA"/>
        </w:rPr>
        <w:t xml:space="preserve">وأمّا إذا تكرّر في وقت واحد كالثلث الأوّل ، فهل تتكرّر مطلقاً ، أو لا كذلك ، أو يفصّل بين ما إذا تخلّل التكفير فتتكرّر ، وما لم يتخلّل فلا ؟ وجوه </w:t>
      </w:r>
      <w:r>
        <w:rPr>
          <w:rFonts w:eastAsia="Amiri" w:cs="Amiri" w:ascii="Amiri" w:hAnsi="Amiri"/>
          <w:color w:val="111111"/>
          <w:sz w:val="28"/>
          <w:szCs w:val="28"/>
          <w:rtl w:val="true"/>
          <w:lang w:bidi="ar-SA"/>
        </w:rPr>
        <w:t>.</w:t>
      </w:r>
    </w:p>
    <w:p>
      <w:pPr>
        <w:pStyle w:val="Heading6"/>
        <w:numPr>
          <w:ilvl w:val="5"/>
          <w:numId w:val="1"/>
        </w:numPr>
        <w:rPr/>
      </w:pPr>
      <w:bookmarkStart w:id="384" w:name="__RefHeading___Toc686442_3406789950"/>
      <w:bookmarkStart w:id="385" w:name="_Toc139"/>
      <w:bookmarkEnd w:id="384"/>
      <w:r>
        <w:rPr>
          <w:rtl w:val="true"/>
        </w:rPr>
        <w:t>مقتضى مقام الثبوت والتصوّر</w:t>
      </w:r>
      <w:bookmarkEnd w:id="3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حال السبب للكفّارة</w:t>
      </w:r>
    </w:p>
    <w:p>
      <w:pPr>
        <w:pStyle w:val="BookText"/>
        <w:rPr/>
      </w:pPr>
      <w:r>
        <w:rPr>
          <w:rFonts w:ascii="Amiri" w:hAnsi="Amiri" w:eastAsia="Amiri" w:cs="Amiri"/>
          <w:color w:val="111111"/>
          <w:sz w:val="28"/>
          <w:sz w:val="28"/>
          <w:szCs w:val="28"/>
          <w:rtl w:val="true"/>
          <w:lang w:bidi="ar-SA"/>
        </w:rPr>
        <w:t xml:space="preserve">وقبل النظر في مقام الإثبات ، لا بأس بذكر ما يتصوّر ثبوتاً ولوازمه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السبب للكفّارة صِرف وجود الوط‌ء ،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أخذ الطبيعة بقيود لا تنطبق إلاّ على أوّل الوجود ، ولازم ذلك عدم تكرّر السبب بتكرّر أفراد الطبيعة ؛ لأنّ تكرّرها لا يوجب تكرّره ، فوجود الثاني وجود للطبيعة وفرد لها ، لا لما اُخذ سبباً ؛ لعدم انطباق السبب إلاّ على أوّل الوجودات ، ومع عدم تكرّر السبب لا وجه لتكرّر الكفّارة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السبب أفراد الطبيعة ؛ سواء كانت الأفراد هي الأفراد الذاتية بنفسها ، أو مع الخصوصيات الفردية المقارنة أو المتّحدة معها خارجاً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المأخوذ سبباً في الأوّل هو نفس ما ينطبق عليه العنوان ذاتاً ، وتكون الخصوصيات اللاحقة للأفراد في الخارج ، غيرَ دخيلة في موضوع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كلّ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الموضوع للحكم بوجوب الإكرام ، هو ما ينطبق عليه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بالذات ، وهو الفرد بما أ نّه عالم ، فتكون حيثية العدالة والرومية والزنجية وأمثالها ، خارجةً عن الموضوع ، فيكون تمام الموضوع هو العالم بما أ نّه عالم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الموضوع هو الهوية الخارجية مع جميع خصوصياتها </w:t>
      </w:r>
    </w:p>
    <w:p>
      <w:pPr>
        <w:pStyle w:val="BookText"/>
        <w:rPr/>
      </w:pPr>
      <w:r>
        <w:rPr>
          <w:rFonts w:ascii="Amiri" w:hAnsi="Amiri" w:eastAsia="Amiri" w:cs="Amiri"/>
          <w:color w:val="111111"/>
          <w:sz w:val="28"/>
          <w:sz w:val="28"/>
          <w:szCs w:val="28"/>
          <w:rtl w:val="true"/>
          <w:lang w:bidi="ar-SA"/>
        </w:rPr>
        <w:t xml:space="preserve">ومتّحداتها ، فيكون الفرد بجميع خصوصياته موضوعاً للحكم ، وحيثية العالم جزءَ موضوعٍ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ولازم أخذ الموضوع أفرادَ الطبيعة بكلتا الصورتين ، هو استقلال كلّ فرد بالسببية ؛ وجد قبله مصداق آخر أو لا ، لكن تكرّر المسبّب يحتاج إلى جهات اُخر ، كإمكان تكرّره ، وعدم التداخل في الامتثال ، وغير ذلك ممّا تأتي الإشارة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السبب هو نفس الطبيعة بلا نظر إلى أفرادها ، ولا أخذها مع قيد لا تنطبق معه إلاّ على أوّل الوجودات ، فهل لازم ذلك تكرّر السبب بتكرّر وجود الطبيعة أو لا ؟</w:t>
      </w:r>
    </w:p>
    <w:p>
      <w:pPr>
        <w:pStyle w:val="BookText"/>
        <w:rPr/>
      </w:pPr>
      <w:r>
        <w:rPr>
          <w:rFonts w:ascii="Amiri" w:hAnsi="Amiri" w:eastAsia="Amiri" w:cs="Amiri"/>
          <w:color w:val="111111"/>
          <w:sz w:val="28"/>
          <w:sz w:val="28"/>
          <w:szCs w:val="28"/>
          <w:rtl w:val="true"/>
          <w:lang w:bidi="ar-SA"/>
        </w:rPr>
        <w:t xml:space="preserve">قولان مبنيّان على أنّ الطبيعة في الخارج متكثّرة ، أو واحدة ، وإنّما التكثّر لأفرادها لا لنفسها ، فعلى الأوّل يتكرّر السبب بتكرّر المصاديق ، دون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هو الأوّل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عقلاً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فواضح لدى أهله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العرف أيضاً يرى أنّ كلّ فرد من أفراد الإنسان إنسان ، وكذا سائر الطبائع ، ويرى تكرّر الإنسان وسائر الطبائع بتكرّر الأفراد ، فزيد عند العرف إنسان ، وعمرو إنسان آخر ، وبكر كذلك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الموضوع 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طبيعة البيع ، فكلّ فرد وجد في الخارج يحكم العرف بحلّيته ؛ لكونه بيعاً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w:t>
      </w:r>
      <w:r>
        <w:rPr>
          <w:rStyle w:val="FootnoteAnchor"/>
          <w:rtl w:val="true"/>
        </w:rPr>
        <w:footnoteReference w:id="5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أفراد البيع؛ لما حقّق في محلّه من أنّ الطبائع لا يمكن أن تكون مرآة لخصوصيات </w:t>
      </w:r>
    </w:p>
    <w:p>
      <w:pPr>
        <w:pStyle w:val="BookText"/>
        <w:rPr/>
      </w:pPr>
      <w:r>
        <w:rPr>
          <w:rFonts w:ascii="IRNazanin" w:hAnsi="IRNazanin" w:eastAsia="IRNazanin"/>
          <w:color w:val="111111"/>
          <w:sz w:val="28"/>
          <w:sz w:val="28"/>
          <w:szCs w:val="28"/>
          <w:rtl w:val="true"/>
          <w:lang w:bidi="fa-IR"/>
        </w:rPr>
        <w:t>الأفراد</w:t>
      </w:r>
      <w:r>
        <w:rPr>
          <w:rStyle w:val="FootnoteAnchor"/>
          <w:rtl w:val="true"/>
        </w:rPr>
        <w:footnoteReference w:id="594"/>
      </w:r>
      <w:r>
        <w:rPr>
          <w:rFonts w:ascii="Amiri" w:hAnsi="Amiri" w:eastAsia="Amiri" w:cs="Amiri"/>
          <w:color w:val="111111"/>
          <w:sz w:val="28"/>
          <w:sz w:val="28"/>
          <w:szCs w:val="28"/>
          <w:rtl w:val="true"/>
          <w:lang w:bidi="ar-SA"/>
        </w:rPr>
        <w:t xml:space="preserve">، بل المتفاهم العرفي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كون البيع بنفسه موضوعاً ، فإذا وجد في الخارج مصداق وجد به طبيعة البيع التي هي الموضوع ، وبمصداق آخر أيضاً توجد الطبيعة ، فتصير محكومة بالحلّية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كانت طبيعة المجامعة موضوعة لحكم التكفير وسبباً له ، فكلّ مجامعة في الخارج عين الطبيعة ، وتتكرّر الطبيعة بتكرّره ، فيقال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وُجدت مجامعات كثيرة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والشيخ الأعظم قد أصاب الحقّ في أوّل كلامه</w:t>
      </w:r>
      <w:r>
        <w:rPr>
          <w:rStyle w:val="FootnoteAnchor"/>
          <w:rtl w:val="true"/>
        </w:rPr>
        <w:footnoteReference w:id="595"/>
      </w:r>
      <w:r>
        <w:rPr>
          <w:rFonts w:ascii="Amiri" w:hAnsi="Amiri" w:eastAsia="Amiri" w:cs="Amiri"/>
          <w:color w:val="111111"/>
          <w:sz w:val="28"/>
          <w:sz w:val="28"/>
          <w:szCs w:val="28"/>
          <w:rtl w:val="true"/>
          <w:lang w:bidi="ar-SA"/>
        </w:rPr>
        <w:t>وحقٌّ له أن يصيب ، لكنّه رجع في آخر كلامه</w:t>
      </w:r>
      <w:r>
        <w:rPr>
          <w:rStyle w:val="FootnoteAnchor"/>
          <w:rtl w:val="true"/>
        </w:rPr>
        <w:footnoteReference w:id="596"/>
      </w:r>
      <w:r>
        <w:rPr>
          <w:rFonts w:ascii="Amiri" w:hAnsi="Amiri" w:eastAsia="Amiri" w:cs="Amiri"/>
          <w:color w:val="111111"/>
          <w:sz w:val="28"/>
          <w:sz w:val="28"/>
          <w:szCs w:val="28"/>
          <w:rtl w:val="true"/>
          <w:lang w:bidi="ar-SA"/>
        </w:rPr>
        <w:t xml:space="preserve">إلى غير ما هو التحقيق ، وتبعه المحقّق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تعليق الجزاء على طبيعة الشرط ، لا يقتضي إلاّ سببية ماهية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هي بلحاظ تحقّقها في الخارج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الجزاء من دون أن يكون لأفرادها من حيث خصوصياتها الشخصية ، مدخلية في الحكم ، ومن المعلوم أنّ الطبيعة من حيث هي لا تقبل التكرار ، وإنّما المتكرّر أفرادها التي لا مدخلية لخصوصياتها في ثبوت الجزاء ، فيكون تحقّق الطبيعة في ضمن الفرد الثاني من الأفراد المتعاقبة ، بمنزلة تحقّقها في ضمن الفرد الأوّل بعد حصول المسمّى ، فكما أ نّه لا أثر لتحقّق الطبيعة في ضمن الفرد الأوّل بعد حصول المسمّى عند استدامته إلى الزمان الثاني ، كذا لا أثر لتحقّقها في ضمن الفرد الثاني </w:t>
      </w:r>
    </w:p>
    <w:p>
      <w:pPr>
        <w:pStyle w:val="BookText"/>
        <w:rPr/>
      </w:pPr>
      <w:r>
        <w:rPr>
          <w:rFonts w:ascii="Amiri" w:hAnsi="Amiri" w:eastAsia="Amiri" w:cs="Amiri"/>
          <w:color w:val="111111"/>
          <w:sz w:val="28"/>
          <w:sz w:val="28"/>
          <w:szCs w:val="28"/>
          <w:rtl w:val="true"/>
          <w:lang w:bidi="ar-SA"/>
        </w:rPr>
        <w:t xml:space="preserve">بعد كونه مسبوقاً بتحقّقها في ضمن الفرد الأوّل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الكلام قويّ جدّاً</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الإنصاف أنّ هذا الكلام بمكان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الضعف ، ولا يساعد عليه العقل ولا العرف ؛ فإنّ تكرّر الطبائع بتكرّر الأفراد من المرتكزات العرفية التي تساعد عليها العقول ؛ ألا ترى أنّ علامة التثنية والجمع الداخلة على الطبائع ، إنّما هي لتكثير مدخولها ، وليس في نظر العرف العامّ وأهل اللغات في مثلها مسامحة وتجوّز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ذلك إلاّ لما ارتكز في أذهانهم من قبول الطبائع الكثرة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قرع الأسماع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الماهية من حيث هي ليست إلاّ هي</w:t>
      </w:r>
      <w:r>
        <w:rPr>
          <w:rFonts w:eastAsia="Amiri" w:cs="Amiri" w:ascii="Amiri" w:hAnsi="Amiri"/>
          <w:color w:val="111111"/>
          <w:sz w:val="28"/>
          <w:szCs w:val="28"/>
          <w:rtl w:val="true"/>
          <w:lang w:bidi="ar-SA"/>
        </w:rPr>
        <w:t>»</w:t>
      </w:r>
      <w:r>
        <w:rPr>
          <w:rStyle w:val="FootnoteAnchor"/>
          <w:rtl w:val="true"/>
        </w:rPr>
        <w:footnoteReference w:id="598"/>
      </w:r>
      <w:r>
        <w:rPr>
          <w:rFonts w:ascii="Amiri" w:hAnsi="Amiri" w:eastAsia="Amiri" w:cs="Amiri"/>
          <w:color w:val="111111"/>
          <w:sz w:val="28"/>
          <w:sz w:val="28"/>
          <w:szCs w:val="28"/>
          <w:rtl w:val="true"/>
          <w:lang w:bidi="ar-SA"/>
        </w:rPr>
        <w:t xml:space="preserve">أمر غير مربوط بالمقام ، وليس المراد منه أ نّها لا تقبل الكثرة ، كما أشار إليه في صدر كلامه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الطبيعة من حيث هي لا تقبل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قال بعض أئمّة الفنّ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الماهية لمّا لم تكن كثيرة ولا واحدة ، كثيرة وواحدة</w:t>
      </w:r>
      <w:r>
        <w:rPr>
          <w:rFonts w:eastAsia="Amiri" w:cs="Amiri" w:ascii="Amiri" w:hAnsi="Amiri"/>
          <w:color w:val="111111"/>
          <w:sz w:val="28"/>
          <w:szCs w:val="28"/>
          <w:rtl w:val="true"/>
          <w:lang w:bidi="ar-SA"/>
        </w:rPr>
        <w:t>»</w:t>
      </w:r>
      <w:r>
        <w:rPr>
          <w:rStyle w:val="FootnoteAnchor"/>
          <w:rtl w:val="true"/>
        </w:rPr>
        <w:footnoteReference w:id="599"/>
      </w:r>
      <w:r>
        <w:rPr>
          <w:rFonts w:ascii="Amiri" w:hAnsi="Amiri" w:eastAsia="Amiri" w:cs="Amiri"/>
          <w:color w:val="111111"/>
          <w:sz w:val="28"/>
          <w:sz w:val="28"/>
          <w:szCs w:val="28"/>
          <w:rtl w:val="true"/>
          <w:lang w:bidi="ar-SA"/>
        </w:rPr>
        <w:t>، وما أفاد وفصّل هذا المحقّق الهمداني هو ما ذهب إليه الرجل الهمداني الذي صادف الشيخ أبا علي بمدينة همدان</w:t>
      </w:r>
      <w:r>
        <w:rPr>
          <w:rStyle w:val="FootnoteAnchor"/>
          <w:rtl w:val="true"/>
        </w:rPr>
        <w:footnoteReference w:id="600"/>
      </w:r>
      <w:r>
        <w:rPr>
          <w:rFonts w:ascii="Amiri" w:hAnsi="Amiri" w:eastAsia="Amiri" w:cs="Amiri"/>
          <w:color w:val="111111"/>
          <w:sz w:val="28"/>
          <w:sz w:val="28"/>
          <w:szCs w:val="28"/>
          <w:rtl w:val="true"/>
          <w:lang w:bidi="ar-SA"/>
        </w:rPr>
        <w:t xml:space="preserve">، ونحن لسنا بصدد إثبات المطلوب بالوجوه العقلية البعيدة عن هذا المضمار ، لكنّ المدّعى أنّ العرف أيضاً مساعد على ما عليه العقل في هذا المقام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فتحصّل ممّا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إثبات استقلال كلّ مصداق للطبيعة بالسببية ، لا نحتاج إلى إثبات جعل السببية للأفراد ، بل جعل السببية لنفس الطبيعة بلا قيد يثبت المطلوب ، فما في تقريرات بعض أعاظم فنّ الاُصول من إتعاب النفس لإرجاع القضايا الشرطية إلى القضايا الحقيقية ، وإثبات أنّ كلّ فرد سبب مستقلّ</w:t>
      </w:r>
      <w:r>
        <w:rPr>
          <w:rStyle w:val="FootnoteAnchor"/>
          <w:rtl w:val="true"/>
        </w:rPr>
        <w:footnoteReference w:id="601"/>
      </w:r>
      <w:r>
        <w:rPr>
          <w:rFonts w:ascii="Amiri" w:hAnsi="Amiri" w:eastAsia="Amiri" w:cs="Amiri"/>
          <w:color w:val="111111"/>
          <w:sz w:val="28"/>
          <w:sz w:val="28"/>
          <w:szCs w:val="28"/>
          <w:rtl w:val="true"/>
          <w:lang w:bidi="ar-SA"/>
        </w:rPr>
        <w:t xml:space="preserve">، غير محتاج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أصل الدعوى غير تامّ ، كما حقّق في محلّه</w:t>
      </w:r>
      <w:r>
        <w:rPr>
          <w:rStyle w:val="FootnoteAnchor"/>
          <w:rtl w:val="true"/>
        </w:rPr>
        <w:footnoteReference w:id="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حال السبب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حال المسبّب</w:t>
      </w:r>
    </w:p>
    <w:p>
      <w:pPr>
        <w:pStyle w:val="BookText"/>
        <w:rPr/>
      </w:pPr>
      <w:r>
        <w:rPr>
          <w:rFonts w:ascii="Amiri" w:hAnsi="Amiri" w:eastAsia="Amiri" w:cs="Amiri"/>
          <w:color w:val="111111"/>
          <w:sz w:val="28"/>
          <w:sz w:val="28"/>
          <w:szCs w:val="28"/>
          <w:rtl w:val="true"/>
          <w:lang w:bidi="ar-SA"/>
        </w:rPr>
        <w:t xml:space="preserve">وأمّا المسبّب في المقام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حكماً تكليفياً ، 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عليه في استقبال الحيض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يتصدّق بدينار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أن يتصدّق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هو بمنزلة إيجاب التصدّق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حكماً وضعياً ، كقوله في رواية أبي بصير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أتى حائضاً فعليه نصف دينار ، ويتصدّق به</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الجزاء على النحو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هو ظاهر في الوضع ، ويستفاد منه العهدة والضمان لنفس الدينار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التعارض بين إطلاق الجزاء وإطلاق الشرط ، ولازم إطلاق الشرط هو سببية الطبيعة مطلقاً للضمان ، ولازم إطلاق الجزاء هو كون الجزاء نفس الطبيعة ، وليس الضمان لنفس طبيعة الدينار متكثِّراً ، إلاّ بعلّة توجب العهدة للطبيعة بوجود آخر ، فلا بدّ من تقييد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دينار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وإلاّ فالدينار لا يمكن أن يقع في العهدة مرّتين إلاّ بتبع وجود آخر ، وهو ينافي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ذكرنا هاهنا لا ينافي ما تقدّم منّا آنفاً من كون الطبيعة قابلة للتكرار ، تأمّل ، تعرف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الجزاء من قبيل الحكم التكليفي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إيجاب التصدّق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فلأحد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معارضة بين الجزاء والشرط ؛ لأنّ كلّ فرد من الطبيعة علّة لإيجاب نفس الدينار ، وتصير النتيجة التأكيد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التأكيد خلاف الظاهر ؛ لأنّ الهيئة تستعمل في باب التأكيد في معناها المستعمل فيه أوّلاً ؛ أي معناها الحقيقي ، وهو البعث الصادر عن الإرادة الأكيدة ، وليس معنى التأكيد استعمال الهيئة في هذا المعنى الاسمي ، بل هو أمر انتزاعي من استعمال الهيئة مرّة ثانية فيما استعملت أوّلاً فيه متعلّقةً بما تعلّقت به في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يكون خلاف ظاهر إلاّ لما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التأسيس أولى من التأكيد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على فرض كونه ظهوراً سياقياً ، لا يقاوم ظهور الإطلاق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لكنّ 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بمساعدة الاُمور المرتكزة في ذهنه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رأى دلالة الصدر على سببية الطبيعة لجميع مصاديقها ، لا ينقدح في ذهنه أنّ في تكرّر المسبّب خلاف ظاهر ؛ من غير فرق بين كون المسبّب أمراً وضعياً أو تكليفياً ، ولا يحمل الأمر على التأكيد ، ويكون الصدر عند العرف قرينة على الذيل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الارتكاز الذي حصل في ذهنه من العلل الطبيعية ، كما احتملناه في الاُصول وحقّقنا المسألة بجميع شؤونها فيه</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حال مقام الثبوت </w:t>
      </w:r>
      <w:r>
        <w:rPr>
          <w:rFonts w:eastAsia="IRNazanin" w:cs="IRNazanin"/>
          <w:color w:val="111111"/>
          <w:sz w:val="28"/>
          <w:szCs w:val="28"/>
          <w:rtl w:val="true"/>
          <w:lang w:bidi="fa-IR"/>
        </w:rPr>
        <w:t xml:space="preserve">. </w:t>
      </w:r>
      <w:bookmarkStart w:id="386" w:name="pg15019_190763"/>
    </w:p>
    <w:p>
      <w:pPr>
        <w:pStyle w:val="Heading6"/>
        <w:numPr>
          <w:ilvl w:val="5"/>
          <w:numId w:val="1"/>
        </w:numPr>
        <w:rPr/>
      </w:pPr>
      <w:bookmarkStart w:id="387" w:name="__RefHeading___Toc686444_3406789950"/>
      <w:bookmarkStart w:id="388" w:name="_Toc140"/>
      <w:bookmarkEnd w:id="386"/>
      <w:bookmarkEnd w:id="387"/>
      <w:r>
        <w:rPr>
          <w:rtl w:val="true"/>
        </w:rPr>
        <w:t>مقتضى مقام الإثبات والدلالة</w:t>
      </w:r>
      <w:bookmarkEnd w:id="388"/>
    </w:p>
    <w:p>
      <w:pPr>
        <w:pStyle w:val="BookText"/>
        <w:rPr/>
      </w:pPr>
      <w:r>
        <w:rPr>
          <w:rFonts w:ascii="Amiri" w:hAnsi="Amiri" w:eastAsia="Amiri" w:cs="Amiri"/>
          <w:color w:val="111111"/>
          <w:sz w:val="28"/>
          <w:sz w:val="28"/>
          <w:szCs w:val="28"/>
          <w:rtl w:val="true"/>
          <w:lang w:bidi="ar-SA"/>
        </w:rPr>
        <w:t>وأمّا حال الدلالة ومقام الإثبات ، فالظاهر أنّ مستند المشهور في أصل الحكم هو رواية داود بن فرقد</w:t>
      </w:r>
      <w:r>
        <w:rPr>
          <w:rStyle w:val="FootnoteAnchor"/>
          <w:rtl w:val="true"/>
        </w:rPr>
        <w:footnoteReference w:id="605"/>
      </w:r>
      <w:r>
        <w:rPr>
          <w:rFonts w:ascii="Amiri" w:hAnsi="Amiri" w:eastAsia="Amiri" w:cs="Amiri"/>
          <w:color w:val="111111"/>
          <w:sz w:val="28"/>
          <w:sz w:val="28"/>
          <w:szCs w:val="28"/>
          <w:rtl w:val="true"/>
          <w:lang w:bidi="ar-SA"/>
        </w:rPr>
        <w:t>كما تمسّك بها شيخ الطائفة</w:t>
      </w:r>
      <w:r>
        <w:rPr>
          <w:rStyle w:val="FootnoteAnchor"/>
          <w:rtl w:val="true"/>
        </w:rPr>
        <w:footnoteReference w:id="6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أن تكون مرسلة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r>
        <w:rPr>
          <w:rStyle w:val="FootnoteAnchor"/>
          <w:rtl w:val="true"/>
        </w:rPr>
        <w:footnoteReference w:id="607"/>
      </w:r>
      <w:r>
        <w:rPr>
          <w:rFonts w:ascii="Amiri" w:hAnsi="Amiri" w:eastAsia="Amiri" w:cs="Amiri"/>
          <w:color w:val="111111"/>
          <w:sz w:val="28"/>
          <w:sz w:val="28"/>
          <w:szCs w:val="28"/>
          <w:rtl w:val="true"/>
          <w:lang w:bidi="ar-SA"/>
        </w:rPr>
        <w:t xml:space="preserve">أيضاً إشارة إليها وإن كان يحتمل كونها مرسلة اُخرى مستقلّة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المتفاهم عرفاً منها أنّ الإتيان في حال الطمث ، موضوع لحكم الكفّارة ، وتكون الرواية من هذه الجهة في مقام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يضرّ عدم ذكر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بالمقصود بعد القطع بأنّ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نحو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لمرسلة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إطلاقاً في مقام البيان ، ومفاده أنّ المجامعة تمام الموضوع لوجوب الكفّارة ، كإطلاق معاقد الإجماعات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فدعوى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 نّها في مقام الإهمال</w:t>
      </w:r>
      <w:r>
        <w:rPr>
          <w:rFonts w:eastAsia="Amiri" w:cs="Amiri" w:ascii="Amiri" w:hAnsi="Amiri"/>
          <w:color w:val="111111"/>
          <w:sz w:val="28"/>
          <w:szCs w:val="28"/>
          <w:rtl w:val="true"/>
          <w:lang w:bidi="ar-SA"/>
        </w:rPr>
        <w:t>»</w:t>
      </w:r>
      <w:r>
        <w:rPr>
          <w:rStyle w:val="FootnoteAnchor"/>
          <w:rtl w:val="true"/>
        </w:rPr>
        <w:footnoteReference w:id="608"/>
      </w:r>
      <w:r>
        <w:rPr>
          <w:rFonts w:ascii="Amiri" w:hAnsi="Amiri" w:eastAsia="Amiri" w:cs="Amiri"/>
          <w:color w:val="111111"/>
          <w:sz w:val="28"/>
          <w:sz w:val="28"/>
          <w:szCs w:val="28"/>
          <w:rtl w:val="true"/>
          <w:lang w:bidi="ar-SA"/>
        </w:rPr>
        <w:t xml:space="preserve">في غير محلّها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 نّه على فرض الإهمال لا وجه للفرق بين تخلّل الكفّارة وعدمه ، وتشبّثه بوجود المقتضي وعدم المانع ممّا لا مجال له ؛ لعدم ثبوت المقتضي بعد فرض إهمال الأدلّة وكون مفادها أنّ الوط‌ء في الجملة سبب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إهمال في الروايات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قيل بعدم ثبوت كون مستند المشهور هو رواية داود أو مرسلة </w:t>
      </w:r>
      <w:bookmarkStart w:id="389" w:name="pg15019_190764"/>
    </w:p>
    <w:p>
      <w:pPr>
        <w:pStyle w:val="BookText"/>
        <w:rPr/>
      </w:pPr>
      <w:bookmarkEnd w:id="38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والقدر المتيقّن من الإجماع هو ثبوت السببية في الجملة ، لكان للقول بعدم التكرّر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مع التخلّل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الاحتمال ضعيف ؛ لحصول الوثوق بكون مستندهم هو رواية داود ، أو هي مع مرسلة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w:t>
      </w:r>
      <w:r>
        <w:rPr>
          <w:rStyle w:val="FootnoteAnchor"/>
          <w:rtl w:val="true"/>
        </w:rPr>
        <w:footnoteReference w:id="609"/>
      </w:r>
      <w:r>
        <w:rPr>
          <w:rFonts w:ascii="Amiri" w:hAnsi="Amiri" w:eastAsia="Amiri" w:cs="Amiri"/>
          <w:color w:val="111111"/>
          <w:sz w:val="28"/>
          <w:sz w:val="28"/>
          <w:szCs w:val="28"/>
          <w:rtl w:val="true"/>
          <w:lang w:bidi="ar-SA"/>
        </w:rPr>
        <w:t xml:space="preserve">، خصوصاً بعد تمسّك الشيخ بها </w:t>
      </w:r>
      <w:r>
        <w:rPr>
          <w:rFonts w:eastAsia="Amiri" w:cs="Amiri" w:ascii="Amiri" w:hAnsi="Amiri"/>
          <w:color w:val="111111"/>
          <w:sz w:val="28"/>
          <w:szCs w:val="28"/>
          <w:rtl w:val="true"/>
          <w:lang w:bidi="ar-SA"/>
        </w:rPr>
        <w:t>.</w:t>
      </w:r>
    </w:p>
    <w:p>
      <w:pPr>
        <w:pStyle w:val="Heading6"/>
        <w:numPr>
          <w:ilvl w:val="5"/>
          <w:numId w:val="1"/>
        </w:numPr>
        <w:rPr/>
      </w:pPr>
      <w:bookmarkStart w:id="390" w:name="__RefHeading___Toc686446_3406789950"/>
      <w:bookmarkStart w:id="391" w:name="_Toc141"/>
      <w:bookmarkEnd w:id="390"/>
      <w:r>
        <w:rPr>
          <w:rtl w:val="true"/>
        </w:rPr>
        <w:t>هل يتعدّى الحكم إلى الأجنبيّة المشتبهة أو المزنيّ بها ؟</w:t>
      </w:r>
      <w:bookmarkEnd w:id="391"/>
    </w:p>
    <w:p>
      <w:pPr>
        <w:pStyle w:val="BookText"/>
        <w:rPr/>
      </w:pPr>
      <w:r>
        <w:rPr>
          <w:rFonts w:ascii="Amiri" w:hAnsi="Amiri" w:eastAsia="Amiri" w:cs="Amiri"/>
          <w:color w:val="111111"/>
          <w:sz w:val="28"/>
          <w:sz w:val="28"/>
          <w:szCs w:val="28"/>
          <w:rtl w:val="true"/>
          <w:lang w:bidi="ar-SA"/>
        </w:rPr>
        <w:t xml:space="preserve">ومع إطلاقها لا يبعد إلحاق الزنا والشبهة في وجوب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الانصراف</w:t>
      </w:r>
      <w:r>
        <w:rPr>
          <w:rStyle w:val="FootnoteAnchor"/>
          <w:rtl w:val="true"/>
        </w:rPr>
        <w:footnoteReference w:id="610"/>
      </w:r>
      <w:r>
        <w:rPr>
          <w:rFonts w:ascii="Amiri" w:hAnsi="Amiri" w:eastAsia="Amiri" w:cs="Amiri"/>
          <w:color w:val="111111"/>
          <w:sz w:val="28"/>
          <w:sz w:val="28"/>
          <w:szCs w:val="28"/>
          <w:rtl w:val="true"/>
          <w:lang w:bidi="ar-SA"/>
        </w:rPr>
        <w:t xml:space="preserve">في غير محلّها بعد تعليق الحكم على الطمث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 أن يكون للوقاع في حال الطمث كفّارة ، وللزنا حدّ من غير كفّارة ، ومع اجتماع العنوانين في محلّ يرتّب الحكمان عليه ، فلا تكون الكفّارة للزنا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الزنا أعظم</w:t>
      </w:r>
    </w:p>
    <w:p>
      <w:pPr>
        <w:pStyle w:val="BookText"/>
        <w:rPr/>
      </w:pPr>
      <w:r>
        <w:rPr>
          <w:rFonts w:ascii="Amiri" w:hAnsi="Amiri" w:eastAsia="Amiri" w:cs="Amiri"/>
          <w:color w:val="111111"/>
          <w:sz w:val="28"/>
          <w:sz w:val="28"/>
          <w:szCs w:val="28"/>
          <w:rtl w:val="true"/>
          <w:lang w:bidi="ar-SA"/>
        </w:rPr>
        <w:t xml:space="preserve">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دعوى الأولوية</w:t>
      </w:r>
      <w:r>
        <w:rPr>
          <w:rStyle w:val="FootnoteAnchor"/>
          <w:rtl w:val="true"/>
        </w:rPr>
        <w:footnoteReference w:id="611"/>
      </w:r>
      <w:r>
        <w:rPr>
          <w:rFonts w:ascii="Amiri" w:hAnsi="Amiri" w:eastAsia="Amiri" w:cs="Amiri"/>
          <w:color w:val="111111"/>
          <w:sz w:val="28"/>
          <w:sz w:val="28"/>
          <w:szCs w:val="28"/>
          <w:rtl w:val="true"/>
          <w:lang w:bidi="ar-SA"/>
        </w:rPr>
        <w:t xml:space="preserve">في غير محلّها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الوسوسة في الإطلاق أو تخيّل الانصراف ، غير وجيهين </w:t>
      </w:r>
      <w:r>
        <w:rPr>
          <w:rFonts w:eastAsia="Amiri" w:cs="Amiri" w:ascii="Amiri" w:hAnsi="Amiri"/>
          <w:color w:val="111111"/>
          <w:sz w:val="28"/>
          <w:szCs w:val="28"/>
          <w:rtl w:val="true"/>
          <w:lang w:bidi="ar-SA"/>
        </w:rPr>
        <w:t>.</w:t>
      </w:r>
    </w:p>
    <w:p>
      <w:pPr>
        <w:pStyle w:val="Heading6"/>
        <w:numPr>
          <w:ilvl w:val="5"/>
          <w:numId w:val="1"/>
        </w:numPr>
        <w:rPr/>
      </w:pPr>
      <w:bookmarkStart w:id="392" w:name="__RefHeading___Toc686448_3406789950"/>
      <w:bookmarkStart w:id="393" w:name="_Toc142"/>
      <w:bookmarkEnd w:id="392"/>
      <w:r>
        <w:rPr>
          <w:rtl w:val="true"/>
        </w:rPr>
        <w:t>المراد ب</w:t>
      </w:r>
      <w:r>
        <w:rPr>
          <w:rtl w:val="true"/>
        </w:rPr>
        <w:t>- «</w:t>
      </w:r>
      <w:r>
        <w:rPr>
          <w:rtl w:val="true"/>
        </w:rPr>
        <w:t>الدينار</w:t>
      </w:r>
      <w:r>
        <w:rPr>
          <w:rtl w:val="true"/>
        </w:rPr>
        <w:t xml:space="preserve">» </w:t>
      </w:r>
      <w:r>
        <w:rPr>
          <w:rtl w:val="true"/>
        </w:rPr>
        <w:t>في المقام</w:t>
      </w:r>
      <w:bookmarkEnd w:id="393"/>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الشرعي المسكوك المتداول في عصر صدور الروايات ، لكن لمّا كان الرائج في تلك الأعصار هو الدرهم والدينار ، وكانا ثمنين متداولين </w:t>
      </w:r>
      <w:bookmarkStart w:id="394" w:name="pg15019_190765"/>
    </w:p>
    <w:p>
      <w:pPr>
        <w:pStyle w:val="BookText"/>
        <w:rPr/>
      </w:pPr>
      <w:bookmarkEnd w:id="394"/>
      <w:r>
        <w:rPr>
          <w:rFonts w:ascii="Amiri" w:hAnsi="Amiri" w:eastAsia="Amiri" w:cs="Amiri"/>
          <w:color w:val="111111"/>
          <w:sz w:val="28"/>
          <w:sz w:val="28"/>
          <w:szCs w:val="28"/>
          <w:rtl w:val="true"/>
          <w:lang w:bidi="ar-SA"/>
        </w:rPr>
        <w:t>بين الناس ، لا يفهم من الأدلّة خصوصية لعين الدينار ، فيجوز قيمته بالأثمان</w:t>
      </w:r>
    </w:p>
    <w:p>
      <w:pPr>
        <w:pStyle w:val="BookText"/>
        <w:rPr/>
      </w:pPr>
      <w:r>
        <w:rPr>
          <w:rFonts w:ascii="Amiri" w:hAnsi="Amiri" w:eastAsia="Amiri" w:cs="Amiri"/>
          <w:color w:val="111111"/>
          <w:sz w:val="28"/>
          <w:sz w:val="28"/>
          <w:szCs w:val="28"/>
          <w:rtl w:val="true"/>
          <w:lang w:bidi="ar-SA"/>
        </w:rPr>
        <w:t xml:space="preserve">لا بالعروض ، وكذا في كلّ مورد حكم بالدينار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كان عصر الصدور كعصرنا في كونِ الدينار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الذهب المسكوك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رائج في المعاملات ، وكونِ حكمه حكم العروض ، لكان لاحتمال الخصوصية وجه ، لكن من المعلوم خلافه ، فلا ينبغي الإشكال في كفاية الثمن الرائج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ينبغي الإشكال في اعتبار القيمة يوم الأداء ؛ لأنّ التكليف متعلّق بالتصدّق بدينار ، فيجب التصدّق بدينار وقت الأداء </w:t>
      </w:r>
      <w:r>
        <w:rPr>
          <w:rFonts w:eastAsia="Amiri" w:cs="Amiri" w:ascii="Amiri" w:hAnsi="Amiri"/>
          <w:color w:val="111111"/>
          <w:sz w:val="28"/>
          <w:szCs w:val="28"/>
          <w:rtl w:val="true"/>
          <w:lang w:bidi="ar-SA"/>
        </w:rPr>
        <w:t>.</w:t>
      </w:r>
    </w:p>
    <w:p>
      <w:pPr>
        <w:pStyle w:val="Heading6"/>
        <w:numPr>
          <w:ilvl w:val="5"/>
          <w:numId w:val="1"/>
        </w:numPr>
        <w:rPr/>
      </w:pPr>
      <w:bookmarkStart w:id="395" w:name="__RefHeading___Toc686450_3406789950"/>
      <w:bookmarkStart w:id="396" w:name="_Toc143"/>
      <w:bookmarkEnd w:id="395"/>
      <w:r>
        <w:rPr>
          <w:rtl w:val="true"/>
        </w:rPr>
        <w:t>تحديد أوّل الحيض ووسطه وآخره</w:t>
      </w:r>
      <w:bookmarkEnd w:id="396"/>
    </w:p>
    <w:p>
      <w:pPr>
        <w:pStyle w:val="BookText"/>
        <w:rPr/>
      </w:pPr>
      <w:r>
        <w:rPr>
          <w:rFonts w:ascii="Amiri" w:hAnsi="Amiri" w:eastAsia="Amiri" w:cs="Amiri"/>
          <w:color w:val="111111"/>
          <w:sz w:val="28"/>
          <w:sz w:val="28"/>
          <w:szCs w:val="28"/>
          <w:rtl w:val="true"/>
          <w:lang w:bidi="ar-SA"/>
        </w:rPr>
        <w:t>ثمّ إنّه لا إشكال في أنّ لكلّ حيض أوّلاً ووسطاً وآخراً ، ولو لا تسلّم الحكم بين الأصحاب</w:t>
      </w:r>
      <w:r>
        <w:rPr>
          <w:rStyle w:val="FootnoteAnchor"/>
          <w:rtl w:val="true"/>
        </w:rPr>
        <w:footnoteReference w:id="612"/>
      </w:r>
      <w:r>
        <w:rPr>
          <w:rFonts w:ascii="Amiri" w:hAnsi="Amiri" w:eastAsia="Amiri" w:cs="Amiri"/>
          <w:color w:val="111111"/>
          <w:sz w:val="28"/>
          <w:sz w:val="28"/>
          <w:szCs w:val="28"/>
          <w:rtl w:val="true"/>
          <w:lang w:bidi="ar-SA"/>
        </w:rPr>
        <w:t xml:space="preserve">وادّعاء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على أنّ في الثلث الأوّل ديناراً وفي الثلث الوسط نصفاً وفي الثلث الآخر ربعاً </w:t>
      </w:r>
      <w:r>
        <w:rPr>
          <w:rStyle w:val="FootnoteAnchor"/>
          <w:rtl w:val="true"/>
        </w:rPr>
        <w:footnoteReference w:id="613"/>
      </w:r>
      <w:r>
        <w:rPr>
          <w:rFonts w:ascii="Amiri" w:hAnsi="Amiri" w:eastAsia="Amiri" w:cs="Amiri"/>
          <w:color w:val="111111"/>
          <w:sz w:val="28"/>
          <w:sz w:val="28"/>
          <w:szCs w:val="28"/>
          <w:rtl w:val="true"/>
          <w:lang w:bidi="ar-SA"/>
        </w:rPr>
        <w:t xml:space="preserve">، لكان للإشكال في تعيينها مجال ؛ فإنّ أوّل الحيض ووسطه وآخره كأوّل الشهر ووسطه وآخره ، فكما أنّ المتفاهم من الثاني اليوم الأوّل والوسط والآخر ، فكذا في الأوّل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الحيض أمر ممتدّ إلى ستّة أيّام مثلاً ، لكان الأوّل منه والوسط والآخر ، غيرَ الثلث الأوّل والوسط والآخر عرفاً ، خصوصاً على نسخة </w:t>
      </w:r>
      <w:bookmarkStart w:id="397" w:name="pg15019_190766"/>
    </w:p>
    <w:p>
      <w:pPr>
        <w:pStyle w:val="BookText"/>
        <w:rPr/>
      </w:pPr>
      <w:bookmarkEnd w:id="39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نقل فيها مرسلة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النصف</w:t>
      </w:r>
      <w:r>
        <w:rPr>
          <w:rFonts w:eastAsia="Amiri" w:cs="Amiri" w:ascii="Amiri" w:hAnsi="Amiri"/>
          <w:color w:val="111111"/>
          <w:sz w:val="28"/>
          <w:szCs w:val="28"/>
          <w:rtl w:val="true"/>
          <w:lang w:bidi="ar-SA"/>
        </w:rPr>
        <w:t>»</w:t>
      </w:r>
      <w:r>
        <w:rPr>
          <w:rStyle w:val="FootnoteAnchor"/>
          <w:rtl w:val="true"/>
        </w:rPr>
        <w:footnoteReference w:id="614"/>
      </w:r>
      <w:r>
        <w:rPr>
          <w:rFonts w:ascii="Amiri" w:hAnsi="Amiri" w:eastAsia="Amiri" w:cs="Amiri"/>
          <w:color w:val="111111"/>
          <w:sz w:val="28"/>
          <w:sz w:val="28"/>
          <w:szCs w:val="28"/>
          <w:rtl w:val="true"/>
          <w:lang w:bidi="ar-SA"/>
        </w:rPr>
        <w:t xml:space="preserve">، ولكنّ الظاهر خطأ النسخة ؛ لأنّ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الوسط</w:t>
      </w:r>
      <w:r>
        <w:rPr>
          <w:rFonts w:eastAsia="Amiri" w:cs="Amiri" w:ascii="Amiri" w:hAnsi="Amiri"/>
          <w:color w:val="111111"/>
          <w:sz w:val="28"/>
          <w:szCs w:val="28"/>
          <w:rtl w:val="true"/>
          <w:lang w:bidi="ar-SA"/>
        </w:rPr>
        <w:t>»</w:t>
      </w:r>
      <w:r>
        <w:rPr>
          <w:rStyle w:val="FootnoteAnchor"/>
          <w:rtl w:val="true"/>
        </w:rPr>
        <w:footnoteReference w:id="615"/>
      </w:r>
      <w:r>
        <w:rPr>
          <w:rFonts w:ascii="Amiri" w:hAnsi="Amiri" w:eastAsia="Amiri" w:cs="Amiri"/>
          <w:color w:val="111111"/>
          <w:sz w:val="28"/>
          <w:sz w:val="28"/>
          <w:szCs w:val="28"/>
          <w:rtl w:val="true"/>
          <w:lang w:bidi="ar-SA"/>
        </w:rPr>
        <w:t>كما في سائر الروايات</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بعد تسلّم كون ما بين اليوم الأوّل والوسط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ما بين الوسط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خالٍ عن الكفّارة ، لا يبعد دعوى فهم العرف التثليث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احتمال كون الوسط بين اليوم الأوّل والآخر أيَّ مقدار كان ، فضعيف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نعم ، لو كان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والآخر وما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ظاهراً في ذلك ،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الاحتمال الأوّل ، وبعد ثبوت الكفّارة في جميع أيّامه لا محيص من التثليث </w:t>
      </w:r>
      <w:r>
        <w:rPr>
          <w:rFonts w:eastAsia="Amiri" w:cs="Amiri" w:ascii="Amiri" w:hAnsi="Amiri"/>
          <w:color w:val="111111"/>
          <w:sz w:val="28"/>
          <w:szCs w:val="28"/>
          <w:rtl w:val="true"/>
          <w:lang w:bidi="ar-SA"/>
        </w:rPr>
        <w:t>.</w:t>
      </w:r>
    </w:p>
    <w:p>
      <w:pPr>
        <w:pStyle w:val="Heading6"/>
        <w:numPr>
          <w:ilvl w:val="5"/>
          <w:numId w:val="1"/>
        </w:numPr>
        <w:rPr/>
      </w:pPr>
      <w:bookmarkStart w:id="398" w:name="__RefHeading___Toc686452_3406789950"/>
      <w:bookmarkStart w:id="399" w:name="_Toc144"/>
      <w:bookmarkEnd w:id="398"/>
      <w:r>
        <w:rPr>
          <w:rtl w:val="true"/>
        </w:rPr>
        <w:t>عدم إلحاق وط‌ء النفساء بالحائض في ثبوت الكفّارة</w:t>
      </w:r>
      <w:bookmarkEnd w:id="399"/>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إلحاق النفاس بالحيض في ذلك ممّا لا دليل عليه ، ودعوى الإجماع المتكرّرة على أنّ النفاس في جميع الأحكام كالحيض</w:t>
      </w:r>
      <w:r>
        <w:rPr>
          <w:rStyle w:val="FootnoteAnchor"/>
          <w:rtl w:val="true"/>
        </w:rPr>
        <w:footnoteReference w:id="6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استثناء موارد كثيرة واختلافهما في الأحكام العديدة</w:t>
      </w:r>
      <w:r>
        <w:rPr>
          <w:rStyle w:val="FootnoteAnchor"/>
          <w:rtl w:val="true"/>
        </w:rPr>
        <w:footnoteReference w:id="6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الاتّكال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إمكان أن يكون الاشتراك المدّعى في التكليفيات </w:t>
      </w:r>
      <w:r>
        <w:rPr>
          <w:rFonts w:eastAsia="Amiri" w:cs="Amiri" w:ascii="Amiri" w:hAnsi="Amiri"/>
          <w:color w:val="111111"/>
          <w:sz w:val="28"/>
          <w:szCs w:val="28"/>
          <w:rtl w:val="true"/>
          <w:lang w:bidi="ar-SA"/>
        </w:rPr>
        <w:t xml:space="preserve">. </w:t>
      </w:r>
      <w:bookmarkStart w:id="400" w:name="pg15019_190767"/>
    </w:p>
    <w:p>
      <w:pPr>
        <w:pStyle w:val="Heading5"/>
        <w:numPr>
          <w:ilvl w:val="4"/>
          <w:numId w:val="1"/>
        </w:numPr>
        <w:rPr/>
      </w:pPr>
      <w:bookmarkStart w:id="401" w:name="__RefHeading___Toc686454_3406789950"/>
      <w:bookmarkStart w:id="402" w:name="_Toc145"/>
      <w:bookmarkEnd w:id="400"/>
      <w:bookmarkEnd w:id="401"/>
      <w:r>
        <w:rPr>
          <w:rtl w:val="true"/>
        </w:rPr>
        <w:t>الأمر الرابع في جواز وط‌ء الزوجة قبلاً بعد نقائها وقبل الغسل</w:t>
      </w:r>
      <w:bookmarkEnd w:id="402"/>
    </w:p>
    <w:p>
      <w:pPr>
        <w:pStyle w:val="Heading6"/>
        <w:numPr>
          <w:ilvl w:val="5"/>
          <w:numId w:val="1"/>
        </w:numPr>
        <w:rPr/>
      </w:pPr>
      <w:bookmarkStart w:id="403" w:name="__RefHeading___Toc686456_3406789950"/>
      <w:bookmarkStart w:id="404" w:name="_Toc146"/>
      <w:bookmarkEnd w:id="403"/>
      <w:r>
        <w:rPr>
          <w:rtl w:val="true"/>
        </w:rPr>
        <w:t>اشارة</w:t>
      </w:r>
      <w:bookmarkEnd w:id="404"/>
    </w:p>
    <w:p>
      <w:pPr>
        <w:pStyle w:val="BookText"/>
        <w:rPr/>
      </w:pPr>
      <w:r>
        <w:rPr>
          <w:rFonts w:ascii="Amiri" w:hAnsi="Amiri" w:eastAsia="Amiri" w:cs="Amiri"/>
          <w:color w:val="111111"/>
          <w:sz w:val="28"/>
          <w:sz w:val="28"/>
          <w:szCs w:val="28"/>
          <w:rtl w:val="true"/>
          <w:lang w:bidi="ar-SA"/>
        </w:rPr>
        <w:t xml:space="preserve">إذا طهرت الحائض جاز لزوجها وطؤها قبلاً قبل الغسل ، ولا يجب عليها الغسل للوط‌ء ، كما هو المشهور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مجمع البيان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السائر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روض الجنان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فقه القرآن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الصدوق عدم الجواز قبل اغتسالها ، لكنّه قال في آخر كلامه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إن كان زوجها شَبِقاً أو مستعجلاً ، وأراد وطأها قبل الغسل ، أمرها أن تغسل فرجها ، ثمّ يجامعها</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كما ترى ، خصوصاً بملاحظة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مراده الكراهة الشديدة ، لا الحرمة </w:t>
      </w:r>
      <w:r>
        <w:rPr>
          <w:rFonts w:eastAsia="Amiri" w:cs="Amiri" w:ascii="Amiri" w:hAnsi="Amiri"/>
          <w:color w:val="111111"/>
          <w:sz w:val="28"/>
          <w:szCs w:val="28"/>
          <w:rtl w:val="true"/>
          <w:lang w:bidi="ar-SA"/>
        </w:rPr>
        <w:t xml:space="preserve">. </w:t>
      </w:r>
      <w:bookmarkStart w:id="405" w:name="pg15019_190768"/>
    </w:p>
    <w:p>
      <w:pPr>
        <w:pStyle w:val="Heading6"/>
        <w:numPr>
          <w:ilvl w:val="5"/>
          <w:numId w:val="1"/>
        </w:numPr>
        <w:rPr/>
      </w:pPr>
      <w:bookmarkStart w:id="406" w:name="__RefHeading___Toc686458_3406789950"/>
      <w:bookmarkStart w:id="407" w:name="_Toc147"/>
      <w:bookmarkEnd w:id="405"/>
      <w:bookmarkEnd w:id="406"/>
      <w:r>
        <w:rPr>
          <w:rtl w:val="true"/>
        </w:rPr>
        <w:t>دلالة آية المحيض على الجواز</w:t>
      </w:r>
      <w:bookmarkEnd w:id="407"/>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فيدلّ على المشهور الآية الشريفة ، وهي قوله عزّ وعلا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 لُونَكَ عَنِ الْمَحِيضِ قُلْ هُوَ أَذًى فَاعْتَزِلُوا النِّساءَ فِى ا لمَحِيضِ وَلا تَقْرَبُوهُنَّ حَتَّى يَطْهُرْنَ فَإِذا تَطَهَّرْنَ فأتُوهُنَّ مِنْ حَيْثُ أَمَرَكُمُ اللّه‌ُ إِنَّ اللّه‌َ يُحِبُّ التَّوَّابِينَ وَيُحِبُّ الْمُتَطَهِّرِينَ</w:t>
      </w:r>
      <w:r>
        <w:rPr>
          <w:rFonts w:eastAsia="Amiri" w:cs="Amiri" w:ascii="Amiri" w:hAnsi="Amiri"/>
          <w:color w:val="111111"/>
          <w:sz w:val="28"/>
          <w:szCs w:val="28"/>
          <w:rtl w:val="true"/>
          <w:lang w:bidi="ar-SA"/>
        </w:rPr>
        <w:t>(</w:t>
      </w:r>
      <w:r>
        <w:rPr>
          <w:rStyle w:val="FootnoteAnchor"/>
          <w:rtl w:val="true"/>
        </w:rPr>
        <w:footnoteReference w:id="622"/>
      </w:r>
      <w:r>
        <w:rPr>
          <w:rFonts w:ascii="Amiri" w:hAnsi="Amiri" w:eastAsia="Amiri" w:cs="Amiri"/>
          <w:color w:val="111111"/>
          <w:sz w:val="28"/>
          <w:sz w:val="28"/>
          <w:szCs w:val="28"/>
          <w:rtl w:val="true"/>
          <w:lang w:bidi="ar-SA"/>
        </w:rPr>
        <w:t xml:space="preserve">سواء في ذلك قراءة التخفيف والتضعيف </w:t>
      </w:r>
      <w:r>
        <w:rPr>
          <w:rFonts w:eastAsia="Amiri" w:cs="Amiri" w:ascii="Amiri" w:hAnsi="Amiri"/>
          <w:color w:val="111111"/>
          <w:sz w:val="28"/>
          <w:szCs w:val="28"/>
          <w:rtl w:val="true"/>
          <w:lang w:bidi="ar-SA"/>
        </w:rPr>
        <w:t>:</w:t>
      </w:r>
    </w:p>
    <w:p>
      <w:pPr>
        <w:pStyle w:val="Heading6"/>
        <w:numPr>
          <w:ilvl w:val="5"/>
          <w:numId w:val="1"/>
        </w:numPr>
        <w:rPr/>
      </w:pPr>
      <w:bookmarkStart w:id="408" w:name="__RefHeading___Toc686460_3406789950"/>
      <w:bookmarkStart w:id="409" w:name="_Toc148"/>
      <w:bookmarkEnd w:id="408"/>
      <w:r>
        <w:rPr>
          <w:rtl w:val="true"/>
        </w:rPr>
        <w:t>تقريب دلالة الآية بناءً على قراءة التخفيف</w:t>
      </w:r>
      <w:bookmarkEnd w:id="409"/>
    </w:p>
    <w:p>
      <w:pPr>
        <w:pStyle w:val="BookText"/>
        <w:rPr/>
      </w:pPr>
      <w:r>
        <w:rPr>
          <w:rFonts w:ascii="Amiri" w:hAnsi="Amiri" w:eastAsia="Amiri" w:cs="Amiri"/>
          <w:color w:val="111111"/>
          <w:sz w:val="28"/>
          <w:sz w:val="28"/>
          <w:szCs w:val="28"/>
          <w:rtl w:val="true"/>
          <w:lang w:bidi="ar-SA"/>
        </w:rPr>
        <w:t xml:space="preserve">أمّا الاُولى فظاهر ؛ ضرورة أنّ صدر الآية يدلّ على أنّ وجوب الاعتزال ، متفرّع على الأذى ، وأنّ المحيض بما أ نّه أذىً صار سبباً لإيجابه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كونه بياناً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فَاعْتَزِلُوا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لأمر آخر غير مربوط بالحيض والأذى ، فكأ 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المحيض لمّا كان أذىً فاعتزلوهنّ ولا تقربوهنّ حتّى يرتفع الأذى ويطهرن من الطمث</w:t>
      </w:r>
      <w:r>
        <w:rPr>
          <w:rFonts w:eastAsia="Amiri" w:cs="Amiri" w:ascii="Amiri" w:hAnsi="Amiri"/>
          <w:color w:val="111111"/>
          <w:sz w:val="28"/>
          <w:szCs w:val="28"/>
          <w:rtl w:val="true"/>
          <w:lang w:bidi="ar-SA"/>
        </w:rPr>
        <w:t>»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تَطَهَّرْنَ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تفريع على ذلك ، وليس مطلباً مستأنفاً مستقلاًّ ؛ بشهادة فاء التفريع والفهم العرفي ، فيكون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صرن طاهرات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أحد معاني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والحمل على الاغتسال أو الوضوء أو غسل الفرج يدفعه السياق والتفريع ، وينافي صدر الآية الذي هو ظاهر في علّية نفس المحيض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الاعتزال وحرمة القرب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قيل</w:t>
      </w:r>
      <w:r>
        <w:rPr>
          <w:rStyle w:val="FootnoteAnchor"/>
          <w:rtl w:val="true"/>
        </w:rPr>
        <w:footnoteReference w:id="62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التطهّر فعل اختياري ، ويشهد به ذيل الآية ؛ لأنّ تعلّق الحبّ إنّما هو بفعل اختياري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محلّه إن اُريد ظهوره في ذلك ؛ ضرورة أنّ لصيغة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وموارد للاستعمال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بعضها مشهور ، وبعضها غير مشهور ، كالمجيء للصيرورة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تأيّمت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صارت أيّماً ، أو للانتساب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انتسب إلى البادية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بمناسبة التفريع على ما سبق ، وبما أنّ الظاهر من الآية أنّ المحيض هو تمام الموضوع للحكم بالاعتزال وعدم القرب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كونه بمعنى الصيرورة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عدم تعلّق الحبّ إلاّ بالفعل الاختياري غير وجيهة ، كما ورد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جميل يحبّ الجمال</w:t>
      </w:r>
      <w:r>
        <w:rPr>
          <w:rFonts w:eastAsia="Amiri" w:cs="Amiri" w:ascii="Amiri" w:hAnsi="Amiri"/>
          <w:color w:val="111111"/>
          <w:sz w:val="28"/>
          <w:szCs w:val="28"/>
          <w:rtl w:val="true"/>
          <w:lang w:bidi="ar-SA"/>
        </w:rPr>
        <w:t>»</w:t>
      </w:r>
      <w:r>
        <w:rPr>
          <w:rStyle w:val="FootnoteAnchor"/>
          <w:rtl w:val="true"/>
        </w:rPr>
        <w:footnoteReference w:id="624"/>
      </w:r>
      <w:r>
        <w:rPr>
          <w:rFonts w:ascii="Amiri" w:hAnsi="Amiri" w:eastAsia="Amiri" w:cs="Amiri"/>
          <w:color w:val="111111"/>
          <w:sz w:val="28"/>
          <w:sz w:val="28"/>
          <w:szCs w:val="28"/>
          <w:rtl w:val="true"/>
          <w:lang w:bidi="ar-SA"/>
        </w:rPr>
        <w:t xml:space="preserve">، ولا إشكال في تعلّق الحبّ باُمور غير اختيارية إلى ما شاء اللّه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وأغرب من ذلك دعوى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شرعية في الطهارات الثلاث</w:t>
      </w:r>
      <w:r>
        <w:rPr>
          <w:rStyle w:val="FootnoteAnchor"/>
          <w:rtl w:val="true"/>
        </w:rPr>
        <w:footnoteReference w:id="62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ضرورة أنّ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المقابل للطمث شائع لغة</w:t>
      </w:r>
      <w:r>
        <w:rPr>
          <w:rStyle w:val="FootnoteAnchor"/>
          <w:rtl w:val="true"/>
        </w:rPr>
        <w:footnoteReference w:id="626"/>
      </w:r>
      <w:r>
        <w:rPr>
          <w:rFonts w:ascii="Amiri" w:hAnsi="Amiri" w:eastAsia="Amiri" w:cs="Amiri"/>
          <w:color w:val="111111"/>
          <w:sz w:val="28"/>
          <w:sz w:val="28"/>
          <w:szCs w:val="28"/>
          <w:rtl w:val="true"/>
          <w:lang w:bidi="ar-SA"/>
        </w:rPr>
        <w:t>وعرفاً وفي الأخبار المتظافرة</w:t>
      </w:r>
      <w:r>
        <w:rPr>
          <w:rStyle w:val="FootnoteAnchor"/>
          <w:rtl w:val="true"/>
        </w:rPr>
        <w:footnoteReference w:id="627"/>
      </w:r>
      <w:r>
        <w:rPr>
          <w:rFonts w:ascii="Amiri" w:hAnsi="Amiri" w:eastAsia="Amiri" w:cs="Amiri"/>
          <w:color w:val="111111"/>
          <w:sz w:val="28"/>
          <w:sz w:val="28"/>
          <w:szCs w:val="28"/>
          <w:rtl w:val="true"/>
          <w:lang w:bidi="ar-SA"/>
        </w:rPr>
        <w:t xml:space="preserve">، فاختصاصه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تسليم الحقيقة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حصول الحقيقة الشرعية عند نزول الآية ممنوع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الحقيقة الشرعية على </w:t>
      </w:r>
      <w:bookmarkStart w:id="410" w:name="pg15019_190770"/>
    </w:p>
    <w:p>
      <w:pPr>
        <w:pStyle w:val="BookText"/>
        <w:rPr/>
      </w:pPr>
      <w:bookmarkEnd w:id="410"/>
      <w:r>
        <w:rPr>
          <w:rFonts w:ascii="Amiri" w:hAnsi="Amiri" w:eastAsia="Amiri" w:cs="Amiri"/>
          <w:color w:val="111111"/>
          <w:sz w:val="28"/>
          <w:sz w:val="28"/>
          <w:szCs w:val="28"/>
          <w:rtl w:val="true"/>
          <w:lang w:bidi="ar-SA"/>
        </w:rPr>
        <w:t>العرفية واللغوية</w:t>
      </w:r>
      <w:r>
        <w:rPr>
          <w:rStyle w:val="FootnoteAnchor"/>
          <w:rtl w:val="true"/>
        </w:rPr>
        <w:footnoteReference w:id="628"/>
      </w:r>
      <w:r>
        <w:rPr>
          <w:rFonts w:ascii="Amiri" w:hAnsi="Amiri" w:eastAsia="Amiri" w:cs="Amiri"/>
          <w:color w:val="111111"/>
          <w:sz w:val="28"/>
          <w:sz w:val="28"/>
          <w:szCs w:val="28"/>
          <w:rtl w:val="true"/>
          <w:lang w:bidi="ar-SA"/>
        </w:rPr>
        <w:t xml:space="preserve">، لا يخلو من منع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تأمّل الآية الكريمة وخصوصياتها صدراً وذيلاً ، لا يشكّ في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زوال الأذى الذي هو المحيض </w:t>
      </w:r>
      <w:r>
        <w:rPr>
          <w:rFonts w:eastAsia="Amiri" w:cs="Amiri" w:ascii="Amiri" w:hAnsi="Amiri"/>
          <w:color w:val="111111"/>
          <w:sz w:val="28"/>
          <w:szCs w:val="28"/>
          <w:rtl w:val="true"/>
          <w:lang w:bidi="ar-SA"/>
        </w:rPr>
        <w:t>.</w:t>
      </w:r>
    </w:p>
    <w:p>
      <w:pPr>
        <w:pStyle w:val="Heading6"/>
        <w:numPr>
          <w:ilvl w:val="5"/>
          <w:numId w:val="1"/>
        </w:numPr>
        <w:rPr/>
      </w:pPr>
      <w:bookmarkStart w:id="411" w:name="__RefHeading___Toc686462_3406789950"/>
      <w:bookmarkStart w:id="412" w:name="_Toc149"/>
      <w:bookmarkEnd w:id="411"/>
      <w:r>
        <w:rPr>
          <w:rtl w:val="true"/>
        </w:rPr>
        <w:t>تقريب دلالة الآية بناءً على قراءة التضعيف</w:t>
      </w:r>
      <w:bookmarkEnd w:id="412"/>
    </w:p>
    <w:p>
      <w:pPr>
        <w:pStyle w:val="BookText"/>
        <w:rPr/>
      </w:pPr>
      <w:r>
        <w:rPr>
          <w:rFonts w:ascii="Amiri" w:hAnsi="Amiri" w:eastAsia="Amiri" w:cs="Amiri"/>
          <w:color w:val="111111"/>
          <w:sz w:val="28"/>
          <w:sz w:val="28"/>
          <w:szCs w:val="28"/>
          <w:rtl w:val="true"/>
          <w:lang w:bidi="ar-SA"/>
        </w:rPr>
        <w:t xml:space="preserve">وممّا ذكرنا يظهر تقريب الدلالة على قراءة التضعيف ؛ فإنّ صدر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أنّ المحيض الذي هو أذىً موجب لوجوب الاعتزال ، ومعه تكون الغاية لرفعه هو ارتفاع الأذى ، فيصير ذلك قرينة على تعيين أحد المعاني 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الصيرورة ، وليس في هذا ارتكاب خلاف ظاهر بوجه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يمكن العكس بحمل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الاغتسال ، ورفع اليد عن ظهور الصدر ؛ لأنّ حمله عليه بلا 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مع القرينة على 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جائز ، ويلزم منه حمل صدر الآية على خلاف ظاهره ؛ ضرورة أ نّه مع كون غاية الحرمة هي الاغتسال ، لا يكون المحيض الذي هو أذىً سبباً لوجوب الاعتزال ، بل لا بدّ وأن يكون حدث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هو باقٍ بعد 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 نّه خلافُ ظاهرٍ بارد بلا قرينة وشاهد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الأمر بين حفظ ظهور الصدر وقرينيته لتعيين أحد المعاني للفظ المشترك ، وبين حملِ اللفظ المشترك على بعض معانيه بلا قرينة ، ورفعِ اليد عن ظاهر آخر بلا وجه </w:t>
      </w:r>
      <w:r>
        <w:rPr>
          <w:rFonts w:eastAsia="Amiri" w:cs="Amiri" w:ascii="Amiri" w:hAnsi="Amiri"/>
          <w:color w:val="111111"/>
          <w:sz w:val="28"/>
          <w:szCs w:val="28"/>
          <w:rtl w:val="true"/>
          <w:lang w:bidi="ar-SA"/>
        </w:rPr>
        <w:t xml:space="preserve">. </w:t>
      </w:r>
      <w:bookmarkStart w:id="413" w:name="pg15019_190771"/>
    </w:p>
    <w:p>
      <w:pPr>
        <w:pStyle w:val="BookText"/>
        <w:rPr/>
      </w:pPr>
      <w:bookmarkEnd w:id="413"/>
      <w:r>
        <w:rPr>
          <w:rFonts w:ascii="Amiri" w:hAnsi="Amiri" w:eastAsia="Amiri" w:cs="Amiri"/>
          <w:color w:val="111111"/>
          <w:sz w:val="28"/>
          <w:sz w:val="28"/>
          <w:szCs w:val="28"/>
          <w:rtl w:val="true"/>
          <w:lang w:bidi="ar-SA"/>
        </w:rPr>
        <w:t xml:space="preserve">فتحصّل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عليه أصحابنا هو الظاهر من الآية الشريفة ؛ بعد ملاحظة الصدر والذيل وقرينية بعض الكلام المبارك على بعض ، وعليه فلا مجال للدعاوي التي في الباب ، خصوصاً ما فصّل شيخنا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الوجوه الكثيرة ، وتبعه في بعضها الشيخ الأعظم</w:t>
      </w:r>
      <w:r>
        <w:rPr>
          <w:rStyle w:val="FootnoteAnchor"/>
          <w:rtl w:val="true"/>
        </w:rPr>
        <w:footnoteReference w:id="629"/>
      </w:r>
      <w:r>
        <w:rPr>
          <w:rFonts w:ascii="Amiri" w:hAnsi="Amiri" w:eastAsia="Amiri" w:cs="Amiri"/>
          <w:color w:val="111111"/>
          <w:sz w:val="28"/>
          <w:sz w:val="28"/>
          <w:szCs w:val="28"/>
          <w:rtl w:val="true"/>
          <w:lang w:bidi="ar-SA"/>
        </w:rPr>
        <w:t xml:space="preserve">مع إضافات غير وجيهة </w:t>
      </w:r>
      <w:r>
        <w:rPr>
          <w:rFonts w:eastAsia="Amiri" w:cs="Amiri" w:ascii="Amiri" w:hAnsi="Amiri"/>
          <w:color w:val="111111"/>
          <w:sz w:val="28"/>
          <w:szCs w:val="28"/>
          <w:rtl w:val="true"/>
          <w:lang w:bidi="ar-SA"/>
        </w:rPr>
        <w:t>.</w:t>
      </w:r>
    </w:p>
    <w:p>
      <w:pPr>
        <w:pStyle w:val="Heading6"/>
        <w:numPr>
          <w:ilvl w:val="5"/>
          <w:numId w:val="1"/>
        </w:numPr>
        <w:rPr/>
      </w:pPr>
      <w:bookmarkStart w:id="414" w:name="__RefHeading___Toc686464_3406789950"/>
      <w:bookmarkStart w:id="415" w:name="_Toc150"/>
      <w:bookmarkEnd w:id="414"/>
      <w:r>
        <w:rPr>
          <w:rtl w:val="true"/>
        </w:rPr>
        <w:t>ترجيح قراءة التخفيف وإبطال القراءات السبع أو العشر</w:t>
      </w:r>
      <w:bookmarkEnd w:id="415"/>
    </w:p>
    <w:p>
      <w:pPr>
        <w:pStyle w:val="BookText"/>
        <w:rPr/>
      </w:pPr>
      <w:r>
        <w:rPr>
          <w:rFonts w:ascii="Amiri" w:hAnsi="Amiri" w:eastAsia="Amiri" w:cs="Amiri"/>
          <w:color w:val="111111"/>
          <w:sz w:val="28"/>
          <w:sz w:val="28"/>
          <w:szCs w:val="28"/>
          <w:rtl w:val="true"/>
          <w:lang w:bidi="ar-SA"/>
        </w:rPr>
        <w:t xml:space="preserve">هذا مع أنّ ترجيح قراءة التخفيف على التضعيف ، كالنار على المنار عند اُولي الأبصار ؛ ضرورة أنّ ما هو الآن بين أيدينا من الكتاب العزيز ، متواتر فوق حدّ التواتر بالاُلوف والآلاف ؛ فإنّ كلّ طبقة من المسلمين وغيرهم ممّن يبلغ الملايين ، أخذوا هذا القرآن بهذه المادّة والهيئة عن طبقة سابقة مثلهم في العدد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وهكذا إلى صدر الإسلام ، وقلّما يكون شيء في العالم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القراءات السبع أو العشر لم تمسّ كرامة القرآن رأساً ، ولم يعتنِ المسلمون بها وبقرّائها ، فسورة الحمد هذه ممّا يقرأها الملايين من المسلمين في الصلوات آناء الليل وأطراف النهار ، وقرأها كلّ جيل على جيل ، وأخذ كلّ طائفة قراءةً وسماعاً من طائفة قبلها إلى زمان الوحي ، ترى أنّ القرّاء تلاعبوا بها</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بما شاؤوا ، ومع ذلك بقيت على سيطرتها ، ولم يمسّ كرامتها هذا التلاعب الفضيح وهذا الدسّ القبيح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أدلّ دليل على عدم الأساس لتواتر القراءات</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إن كان المراد تواترها عن النبي الأكرم صلی الله علیه و آله وسلم مؤيّداً بحديث وضعه بعض أهل الضلال والجهل</w:t>
      </w:r>
      <w:r>
        <w:rPr>
          <w:rStyle w:val="FootnoteAnchor"/>
          <w:rtl w:val="true"/>
        </w:rPr>
        <w:footnoteReference w:id="631"/>
      </w:r>
      <w:r>
        <w:rPr>
          <w:rFonts w:ascii="Amiri" w:hAnsi="Amiri" w:eastAsia="Amiri" w:cs="Amiri"/>
          <w:color w:val="111111"/>
          <w:sz w:val="28"/>
          <w:sz w:val="28"/>
          <w:szCs w:val="28"/>
          <w:rtl w:val="true"/>
          <w:lang w:bidi="ar-SA"/>
        </w:rPr>
        <w:t xml:space="preserve">، وقد كذّبه أولياء العصمة وأهل بيت الوحي بقولهم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القرآن واحد من عند واحد</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مع أنّ كلاًّ من القرّاء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استبدّ برأيه بترجيحات</w:t>
      </w:r>
    </w:p>
    <w:p>
      <w:pPr>
        <w:pStyle w:val="BookText"/>
        <w:rPr/>
      </w:pPr>
      <w:r>
        <w:rPr>
          <w:rFonts w:ascii="Amiri" w:hAnsi="Amiri" w:eastAsia="Amiri" w:cs="Amiri"/>
          <w:color w:val="111111"/>
          <w:sz w:val="28"/>
          <w:sz w:val="28"/>
          <w:szCs w:val="28"/>
          <w:rtl w:val="true"/>
          <w:lang w:bidi="ar-SA"/>
        </w:rPr>
        <w:t>أدبية</w:t>
      </w:r>
      <w:r>
        <w:rPr>
          <w:rStyle w:val="FootnoteAnchor"/>
          <w:rtl w:val="true"/>
        </w:rPr>
        <w:footnoteReference w:id="633"/>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دَخَلَتْ اُمَّةٌ لَعَنَتْ اُخْتَها</w:t>
      </w:r>
      <w:r>
        <w:rPr>
          <w:rFonts w:eastAsia="Amiri" w:cs="Amiri" w:ascii="Amiri" w:hAnsi="Amiri"/>
          <w:color w:val="111111"/>
          <w:sz w:val="28"/>
          <w:szCs w:val="28"/>
          <w:rtl w:val="true"/>
          <w:lang w:bidi="ar-SA"/>
        </w:rPr>
        <w:t>(</w:t>
      </w:r>
      <w:r>
        <w:rPr>
          <w:rStyle w:val="FootnoteAnchor"/>
          <w:rtl w:val="true"/>
        </w:rPr>
        <w:footnoteReference w:id="634"/>
      </w:r>
      <w:r>
        <w:rPr>
          <w:rFonts w:ascii="IRNazanin" w:hAnsi="IRNazanin" w:eastAsia="IRNazanin"/>
          <w:color w:val="111111"/>
          <w:sz w:val="28"/>
          <w:sz w:val="28"/>
          <w:szCs w:val="28"/>
          <w:rtl w:val="true"/>
          <w:lang w:bidi="fa-IR"/>
        </w:rPr>
        <w:t xml:space="preserve">وظنّي أنّ سوق القراءة لمّا كان رائجاً في تلك الأعصار فتح كلٌّ دكّةً لترويج متاعه ، واللّه تعالى بريء من المشركين ورسولُه صلی الله علیه و آله وسلم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ما هو المتواتر هو القرآن الكريم الموجود بين أيدي المسلمين وغيرهم ، وأمّا غيره من القراءات والدعاوي فخرافات فوق خرافات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ظُلُمَاتٌ بَعْضُهَا فَوْقَ بَعْضٍ</w:t>
      </w:r>
      <w:r>
        <w:rPr>
          <w:rFonts w:eastAsia="Amiri" w:cs="Amiri" w:ascii="Amiri" w:hAnsi="Amiri"/>
          <w:color w:val="111111"/>
          <w:sz w:val="28"/>
          <w:szCs w:val="28"/>
          <w:rtl w:val="true"/>
          <w:lang w:bidi="ar-SA"/>
        </w:rPr>
        <w:t>(</w:t>
      </w:r>
      <w:r>
        <w:rPr>
          <w:rStyle w:val="FootnoteAnchor"/>
          <w:rtl w:val="true"/>
        </w:rPr>
        <w:footnoteReference w:id="635"/>
      </w:r>
      <w:r>
        <w:rPr>
          <w:rFonts w:ascii="Amiri" w:hAnsi="Amiri" w:eastAsia="Amiri" w:cs="Amiri"/>
          <w:color w:val="111111"/>
          <w:sz w:val="28"/>
          <w:sz w:val="28"/>
          <w:szCs w:val="28"/>
          <w:rtl w:val="true"/>
          <w:lang w:bidi="ar-SA"/>
        </w:rPr>
        <w:t xml:space="preserve">وهو تعالى نزّل الذكر وحفظه أيَّ حفظ ، فإنّك لو ترى القرآن في أقصى بلاد الكفر ، لرأيته كما تراه في مركز الإسلام وأيدي المسلمين ، وأيُّ حفظ أعظم من ذلك </w:t>
      </w:r>
      <w:r>
        <w:rPr>
          <w:rFonts w:eastAsia="Amiri" w:cs="Amiri" w:ascii="Amiri" w:hAnsi="Amiri"/>
          <w:color w:val="111111"/>
          <w:sz w:val="28"/>
          <w:szCs w:val="28"/>
          <w:rtl w:val="true"/>
          <w:lang w:bidi="ar-SA"/>
        </w:rPr>
        <w:t xml:space="preserve">! </w:t>
      </w:r>
      <w:bookmarkStart w:id="416" w:name="pg15019_190773"/>
    </w:p>
    <w:p>
      <w:pPr>
        <w:pStyle w:val="Heading6"/>
        <w:numPr>
          <w:ilvl w:val="5"/>
          <w:numId w:val="1"/>
        </w:numPr>
        <w:rPr/>
      </w:pPr>
      <w:bookmarkStart w:id="417" w:name="__RefHeading___Toc686466_3406789950"/>
      <w:bookmarkStart w:id="418" w:name="_Toc151"/>
      <w:bookmarkEnd w:id="416"/>
      <w:bookmarkEnd w:id="417"/>
      <w:r>
        <w:rPr>
          <w:rtl w:val="true"/>
        </w:rPr>
        <w:t>بيان وجه الجمع العقلائي بين قراءتي التخفيف والتضعيف</w:t>
      </w:r>
      <w:bookmarkEnd w:id="418"/>
    </w:p>
    <w:p>
      <w:pPr>
        <w:pStyle w:val="BookText"/>
        <w:rPr/>
      </w:pPr>
      <w:r>
        <w:rPr>
          <w:rFonts w:ascii="Amiri" w:hAnsi="Amiri" w:eastAsia="Amiri" w:cs="Amiri"/>
          <w:color w:val="111111"/>
          <w:sz w:val="28"/>
          <w:sz w:val="28"/>
          <w:szCs w:val="28"/>
          <w:rtl w:val="true"/>
          <w:lang w:bidi="ar-SA"/>
        </w:rPr>
        <w:t xml:space="preserve">ثمّ إنّه لو فرضنا تواتر القراءات والإجماع على وجوب العمل بكلّ قراءة ، وقع التعارض ظاهراً بين القراءتين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التأمّل فيما أسلفناه ، يقضي بالجمع العقلائي بينهما بحمل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الطهر بعد الحيض ؛ فإنّ رفعَ اليد عن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الفعل الاختياري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وحفظَ ظهور الصدر الدالّ على أنّ المحيض بما هو أذىً علّة أو موضوع لحرمة الوط‌ء ووجوب الاعتزال ، أهون من رفع اليد عن الظهور السياقي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 مقابل الحيض ، وعن الظهور القويّ للصدر المشعر بالعلّية أو الظاهر فيها ؛ فإنّ الغاية إذا كانت هي الاغتسال ، فلا بدّ أن تكون العلّةُ</w:t>
      </w:r>
    </w:p>
    <w:p>
      <w:pPr>
        <w:pStyle w:val="BookText"/>
        <w:rPr/>
      </w:pPr>
      <w:r>
        <w:rPr>
          <w:rFonts w:ascii="Amiri" w:hAnsi="Amiri" w:eastAsia="Amiri" w:cs="Amiri"/>
          <w:color w:val="111111"/>
          <w:sz w:val="28"/>
          <w:sz w:val="28"/>
          <w:szCs w:val="28"/>
          <w:rtl w:val="true"/>
          <w:lang w:bidi="ar-SA"/>
        </w:rPr>
        <w:t xml:space="preserve">أو الموضوعُ حدثَ الحيض ، لا الحيض الذي اُخذ في الآية موضوعاً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لا بدّ وأن يحمل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التعبّدي ، لا العرفي المعلوم للعقلاء ، وكلّ</w:t>
      </w:r>
    </w:p>
    <w:p>
      <w:pPr>
        <w:pStyle w:val="BookText"/>
        <w:rPr/>
      </w:pPr>
      <w:r>
        <w:rPr>
          <w:rFonts w:ascii="Amiri" w:hAnsi="Amiri" w:eastAsia="Amiri" w:cs="Amiri"/>
          <w:color w:val="111111"/>
          <w:sz w:val="28"/>
          <w:sz w:val="28"/>
          <w:szCs w:val="28"/>
          <w:rtl w:val="true"/>
          <w:lang w:bidi="ar-SA"/>
        </w:rPr>
        <w:t xml:space="preserve">ذلك خلاف الظاهر ، وارتكابه بعيد ، وأمّا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صيرورتها طاهرة ، فغير بعيد بعد قضاء مناسبة الحكم والموضوع له ، فترجيح الشيخ الأعظم</w:t>
      </w:r>
      <w:r>
        <w:rPr>
          <w:rStyle w:val="FootnoteAnchor"/>
          <w:rtl w:val="true"/>
        </w:rPr>
        <w:footnoteReference w:id="636"/>
      </w:r>
      <w:r>
        <w:rPr>
          <w:rFonts w:ascii="Amiri" w:hAnsi="Amiri" w:eastAsia="Amiri" w:cs="Amiri"/>
          <w:color w:val="111111"/>
          <w:sz w:val="28"/>
          <w:sz w:val="28"/>
          <w:szCs w:val="28"/>
          <w:rtl w:val="true"/>
          <w:lang w:bidi="ar-SA"/>
        </w:rPr>
        <w:t xml:space="preserve">كأ نّه وقع في غير محلّه </w:t>
      </w:r>
      <w:r>
        <w:rPr>
          <w:rFonts w:eastAsia="Amiri" w:cs="Amiri" w:ascii="Amiri" w:hAnsi="Amiri"/>
          <w:color w:val="111111"/>
          <w:sz w:val="28"/>
          <w:szCs w:val="28"/>
          <w:rtl w:val="true"/>
          <w:lang w:bidi="ar-SA"/>
        </w:rPr>
        <w:t>.</w:t>
      </w:r>
    </w:p>
    <w:p>
      <w:pPr>
        <w:pStyle w:val="Heading6"/>
        <w:numPr>
          <w:ilvl w:val="5"/>
          <w:numId w:val="1"/>
        </w:numPr>
        <w:rPr/>
      </w:pPr>
      <w:bookmarkStart w:id="419" w:name="__RefHeading___Toc686468_3406789950"/>
      <w:bookmarkStart w:id="420" w:name="_Toc152"/>
      <w:bookmarkEnd w:id="419"/>
      <w:r>
        <w:rPr>
          <w:rtl w:val="true"/>
        </w:rPr>
        <w:t>دلالة عموم الكتاب والسنّة على جواز الوط‌ء قبل الغسل</w:t>
      </w:r>
      <w:bookmarkEnd w:id="420"/>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مع الغضّ عن دلالة الآية الشريفة ، فمقتضى عموم الكتاب والسنّة أو إطلاقهما هو جواز إتيان النساء في كلّ زمان ، خرج منه أيّام المحيض ، وبقي </w:t>
      </w:r>
    </w:p>
    <w:p>
      <w:pPr>
        <w:pStyle w:val="BookText"/>
        <w:rPr/>
      </w:pPr>
      <w:r>
        <w:rPr>
          <w:rFonts w:ascii="Amiri" w:hAnsi="Amiri" w:eastAsia="Amiri" w:cs="Amiri"/>
          <w:color w:val="111111"/>
          <w:sz w:val="28"/>
          <w:sz w:val="28"/>
          <w:szCs w:val="28"/>
          <w:rtl w:val="true"/>
          <w:lang w:bidi="ar-SA"/>
        </w:rPr>
        <w:t xml:space="preserve">الباقي تحت العموم أو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للتمسّك باستصحاب حكم المخصّص ، كما حقّق في محلّه</w:t>
      </w:r>
      <w:r>
        <w:rPr>
          <w:rStyle w:val="FootnoteAnchor"/>
          <w:rtl w:val="true"/>
        </w:rPr>
        <w:footnoteReference w:id="637"/>
      </w:r>
      <w:r>
        <w:rPr>
          <w:rFonts w:ascii="Amiri" w:hAnsi="Amiri" w:eastAsia="Amiri" w:cs="Amiri"/>
          <w:color w:val="111111"/>
          <w:sz w:val="28"/>
          <w:sz w:val="28"/>
          <w:szCs w:val="28"/>
          <w:rtl w:val="true"/>
          <w:lang w:bidi="ar-SA"/>
        </w:rPr>
        <w:t xml:space="preserve">خصوصاً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فَأْتُوا</w:t>
      </w:r>
    </w:p>
    <w:p>
      <w:pPr>
        <w:pStyle w:val="BookText"/>
        <w:rPr/>
      </w:pPr>
      <w:r>
        <w:rPr>
          <w:rFonts w:ascii="Amiri" w:hAnsi="Amiri" w:eastAsia="Amiri" w:cs="Amiri"/>
          <w:color w:val="111111"/>
          <w:sz w:val="28"/>
          <w:sz w:val="28"/>
          <w:szCs w:val="28"/>
          <w:rtl w:val="true"/>
          <w:lang w:bidi="ar-SA"/>
        </w:rPr>
        <w:t>حَرْثَكُمْ أَ نَّى شِئْتُمْ</w:t>
      </w:r>
      <w:r>
        <w:rPr>
          <w:rFonts w:eastAsia="Amiri" w:cs="Amiri" w:ascii="Amiri" w:hAnsi="Amiri"/>
          <w:color w:val="111111"/>
          <w:sz w:val="28"/>
          <w:szCs w:val="28"/>
          <w:rtl w:val="true"/>
          <w:lang w:bidi="ar-SA"/>
        </w:rPr>
        <w:t>(</w:t>
      </w:r>
      <w:r>
        <w:rPr>
          <w:rStyle w:val="FootnoteAnchor"/>
          <w:rtl w:val="true"/>
        </w:rPr>
        <w:footnoteReference w:id="638"/>
      </w:r>
      <w:r>
        <w:rPr>
          <w:rFonts w:ascii="IRNazanin" w:hAnsi="IRNazanin" w:eastAsia="IRNazanin"/>
          <w:color w:val="111111"/>
          <w:sz w:val="28"/>
          <w:sz w:val="28"/>
          <w:szCs w:val="28"/>
          <w:rtl w:val="true"/>
          <w:lang w:bidi="fa-IR"/>
        </w:rPr>
        <w:t xml:space="preserve">بمعنى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شئتم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الإشكال في أصل جريان الاستصحاب بدعوى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الحرمة منوطة بأيّام الحيض أو بالحائض ، وقد ارتفع المناط على كلّ تقدير بعد الطهر من الحيض</w:t>
      </w:r>
      <w:r>
        <w:rPr>
          <w:rFonts w:eastAsia="Amiri" w:cs="Amiri" w:ascii="Amiri" w:hAnsi="Amiri"/>
          <w:color w:val="111111"/>
          <w:sz w:val="28"/>
          <w:szCs w:val="28"/>
          <w:rtl w:val="true"/>
          <w:lang w:bidi="ar-SA"/>
        </w:rPr>
        <w:t>»</w:t>
      </w:r>
      <w:r>
        <w:rPr>
          <w:rStyle w:val="FootnoteAnchor"/>
          <w:rtl w:val="true"/>
        </w:rPr>
        <w:footnoteReference w:id="639"/>
      </w:r>
      <w:r>
        <w:rPr>
          <w:rFonts w:ascii="Amiri" w:hAnsi="Amiri" w:eastAsia="Amiri" w:cs="Amiri"/>
          <w:color w:val="111111"/>
          <w:sz w:val="28"/>
          <w:sz w:val="28"/>
          <w:szCs w:val="28"/>
          <w:rtl w:val="true"/>
          <w:lang w:bidi="ar-SA"/>
        </w:rPr>
        <w:t xml:space="preserve">فغير وجيه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الموضوع لوجوب الاعتزال وحرمة القرب هو النساء بعلّية الحيض ، ومع الشكّ في كون العلّة واسطة في الثبوت أو العروض ، لا إشكال في جريان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دلالة الآية على قطع الحرمة عند رفع الحيض ، خروج عن محلّ البحث الذي هو التمسّك بالأصل عند فقدان الدليل الاجتهادي</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 نّه لو فرضنا أنّ الحكم تعلّق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بعد انطباق العنوان على الخارج ، تكون المرأة الحائض موضوعاً له ، وبعد ارتفاع صفتها بقي موضوع الاستصحاب وإن لم يبقَ موضوع الدليل ، فمناقشة الشيخ الأعظم في الاستصحاب وتمسّكه بأصل الإباحة ، كأ نّها على خلاف مبناه في الاُصول</w:t>
      </w:r>
      <w:r>
        <w:rPr>
          <w:rStyle w:val="FootnoteAnchor"/>
          <w:rtl w:val="true"/>
        </w:rPr>
        <w:footnoteReference w:id="6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مع قطع النظر عن الأخبار </w:t>
      </w:r>
      <w:r>
        <w:rPr>
          <w:rFonts w:eastAsia="Amiri" w:cs="Amiri" w:ascii="Amiri" w:hAnsi="Amiri"/>
          <w:color w:val="111111"/>
          <w:sz w:val="28"/>
          <w:szCs w:val="28"/>
          <w:rtl w:val="true"/>
          <w:lang w:bidi="ar-SA"/>
        </w:rPr>
        <w:t xml:space="preserve">. </w:t>
      </w:r>
      <w:bookmarkStart w:id="421" w:name="pg15019_190775"/>
    </w:p>
    <w:p>
      <w:pPr>
        <w:pStyle w:val="Heading6"/>
        <w:numPr>
          <w:ilvl w:val="5"/>
          <w:numId w:val="1"/>
        </w:numPr>
        <w:rPr/>
      </w:pPr>
      <w:bookmarkStart w:id="422" w:name="__RefHeading___Toc686470_3406789950"/>
      <w:bookmarkStart w:id="423" w:name="_Toc153"/>
      <w:bookmarkEnd w:id="421"/>
      <w:bookmarkEnd w:id="422"/>
      <w:r>
        <w:rPr>
          <w:rtl w:val="true"/>
        </w:rPr>
        <w:t>دلالة الأخبار الخاصّة على جواز الوط‌ء قبل الغسل</w:t>
      </w:r>
      <w:bookmarkEnd w:id="423"/>
    </w:p>
    <w:p>
      <w:pPr>
        <w:pStyle w:val="BookText"/>
        <w:rPr/>
      </w:pPr>
      <w:r>
        <w:rPr>
          <w:rFonts w:ascii="Amiri" w:hAnsi="Amiri" w:eastAsia="Amiri" w:cs="Amiri"/>
          <w:color w:val="111111"/>
          <w:sz w:val="28"/>
          <w:sz w:val="28"/>
          <w:szCs w:val="28"/>
          <w:rtl w:val="true"/>
          <w:lang w:bidi="ar-SA"/>
        </w:rPr>
        <w:t xml:space="preserve">وأمّا بالنظر إليها فالحكم أوضح ؛ لدلالة روايات ابن بكير وابن يقطين وابن المغيرة على الجواز صراحة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الاُولى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التي لا يبعد كونها موثّقة</w:t>
      </w:r>
      <w:r>
        <w:rPr>
          <w:rStyle w:val="FootnoteAnchor"/>
          <w:rtl w:val="true"/>
        </w:rPr>
        <w:footnoteReference w:id="6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انقطع الدم ولم تغتسل فليأتها زوجها إن شاء</w:t>
      </w:r>
      <w:r>
        <w:rPr>
          <w:rFonts w:eastAsia="IRNazanin" w:cs="IRNazanin"/>
          <w:color w:val="111111"/>
          <w:sz w:val="28"/>
          <w:szCs w:val="28"/>
          <w:rtl w:val="true"/>
          <w:lang w:bidi="fa-IR"/>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التي سندها كذلك</w:t>
      </w:r>
      <w:r>
        <w:rPr>
          <w:rStyle w:val="FootnoteAnchor"/>
          <w:rtl w:val="true"/>
        </w:rPr>
        <w:footnoteReference w:id="6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الحائض ترى الطهر ، أيقع بها زوجها قبل أن تغتسل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 وبعد الغسل أحبّ إليّ</w:t>
      </w:r>
      <w:r>
        <w:rPr>
          <w:rFonts w:eastAsia="IRNazanin" w:cs="IRNazanin"/>
          <w:color w:val="111111"/>
          <w:sz w:val="28"/>
          <w:szCs w:val="28"/>
          <w:rtl w:val="true"/>
          <w:lang w:bidi="fa-IR"/>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 فيها إرسال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العبد الصالح في المرأة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طهرت من الحيض ولم تمسّ الماء ، فلا يقع عليها زوجها حتّى تغتسل ، وإن فعل </w:t>
      </w:r>
    </w:p>
    <w:p>
      <w:pPr>
        <w:pStyle w:val="BookText"/>
        <w:rPr/>
      </w:pPr>
      <w:r>
        <w:rPr>
          <w:rFonts w:ascii="Amiri" w:hAnsi="Amiri" w:eastAsia="Amiri" w:cs="Amiri"/>
          <w:color w:val="111111"/>
          <w:sz w:val="28"/>
          <w:sz w:val="28"/>
          <w:szCs w:val="28"/>
          <w:rtl w:val="true"/>
          <w:lang w:bidi="ar-SA"/>
        </w:rPr>
        <w:t>فلا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تمسّ الماء أحبّ إليّ</w:t>
      </w:r>
      <w:r>
        <w:rPr>
          <w:rFonts w:eastAsia="Amiri" w:cs="Amiri" w:ascii="Amiri" w:hAnsi="Amiri"/>
          <w:color w:val="111111"/>
          <w:sz w:val="28"/>
          <w:szCs w:val="28"/>
          <w:rtl w:val="true"/>
          <w:lang w:bidi="ar-SA"/>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تعارضها رواية أبي بصير ،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امرأة كانت طامثاً فرأت الطهر ، أيقع عليها زوجها قبل أن تغتسل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 حتّى تغتسل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امرأة حاضت في السفر ، ثمّ طهرت فلم تجد ماءً يوماً واثنين ، أيحلّ لزوجها أن يجامعها قبل أن تغتسل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حتّى تغتسل</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ورواية سعيد بن يسار ،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تحرم عليها الصلاة ، ثمّ تطهر ، فتوضّأ من غير أن تغتسل ، أفلزوجها أن يأتيها قبل أن تغتسل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 حتّى تغتسل</w:t>
      </w:r>
      <w:r>
        <w:rPr>
          <w:rFonts w:eastAsia="IRNazanin" w:cs="IRNazanin"/>
          <w:color w:val="111111"/>
          <w:sz w:val="28"/>
          <w:szCs w:val="28"/>
          <w:rtl w:val="true"/>
          <w:lang w:bidi="fa-IR"/>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أبي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الأصحّ</w:t>
      </w:r>
      <w:r>
        <w:rPr>
          <w:rStyle w:val="FootnoteAnchor"/>
          <w:rtl w:val="true"/>
        </w:rPr>
        <w:footnoteReference w:id="6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فيأتيها زوجها في تلك الحال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 إذا غسلت فرجها وتيمّمت فلا بأس</w:t>
      </w:r>
      <w:r>
        <w:rPr>
          <w:rFonts w:eastAsia="IRNazanin" w:cs="IRNazanin"/>
          <w:color w:val="111111"/>
          <w:sz w:val="28"/>
          <w:szCs w:val="28"/>
          <w:rtl w:val="true"/>
          <w:lang w:bidi="fa-IR"/>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وموثّقة عبد الرحمان بن أبي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امرأة </w:t>
      </w:r>
    </w:p>
    <w:p>
      <w:pPr>
        <w:pStyle w:val="BookText"/>
        <w:rPr/>
      </w:pPr>
      <w:r>
        <w:rPr>
          <w:rFonts w:ascii="Amiri" w:hAnsi="Amiri" w:eastAsia="Amiri" w:cs="Amiri"/>
          <w:color w:val="111111"/>
          <w:sz w:val="28"/>
          <w:sz w:val="28"/>
          <w:szCs w:val="28"/>
          <w:rtl w:val="true"/>
          <w:lang w:bidi="ar-SA"/>
        </w:rPr>
        <w:t>حاضت ، ثمّ طهرت في سفر ، فلم تجد الماء يومين أو ثلاثاً ، هل لزوجها أن يقع</w:t>
      </w:r>
    </w:p>
    <w:p>
      <w:pPr>
        <w:pStyle w:val="BookText"/>
        <w:rPr/>
      </w:pPr>
      <w:r>
        <w:rPr>
          <w:rFonts w:ascii="Amiri" w:hAnsi="Amiri" w:eastAsia="Amiri" w:cs="Amiri"/>
          <w:color w:val="111111"/>
          <w:sz w:val="28"/>
          <w:sz w:val="28"/>
          <w:szCs w:val="28"/>
          <w:rtl w:val="true"/>
          <w:lang w:bidi="ar-SA"/>
        </w:rPr>
        <w:t xml:space="preserve">عليها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لزوجها أن يقع عليها حتّى تغتسل</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وجوه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أقربها وجود الجمع العقلائي المقبول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روايات المنع إشعار أو دلالة على 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موافقتها للعامّة</w:t>
      </w:r>
      <w:r>
        <w:rPr>
          <w:rStyle w:val="FootnoteAnchor"/>
          <w:rtl w:val="true"/>
        </w:rPr>
        <w:footnoteReference w:id="651"/>
      </w:r>
      <w:r>
        <w:rPr>
          <w:rFonts w:ascii="Amiri" w:hAnsi="Amiri" w:eastAsia="Amiri" w:cs="Amiri"/>
          <w:color w:val="111111"/>
          <w:sz w:val="28"/>
          <w:sz w:val="28"/>
          <w:szCs w:val="28"/>
          <w:rtl w:val="true"/>
          <w:lang w:bidi="ar-SA"/>
        </w:rPr>
        <w:t>ومخالفتها للكتاب</w:t>
      </w:r>
      <w:r>
        <w:rPr>
          <w:rStyle w:val="FootnoteAnchor"/>
          <w:rtl w:val="true"/>
        </w:rPr>
        <w:footnoteReference w:id="652"/>
      </w:r>
      <w:r>
        <w:rPr>
          <w:rFonts w:ascii="Amiri" w:hAnsi="Amiri" w:eastAsia="Amiri" w:cs="Amiri"/>
          <w:color w:val="111111"/>
          <w:sz w:val="28"/>
          <w:sz w:val="28"/>
          <w:szCs w:val="28"/>
          <w:rtl w:val="true"/>
          <w:lang w:bidi="ar-SA"/>
        </w:rPr>
        <w:t>والشهرة</w:t>
      </w:r>
      <w:r>
        <w:rPr>
          <w:rStyle w:val="FootnoteAnchor"/>
          <w:rtl w:val="true"/>
        </w:rPr>
        <w:footnoteReference w:id="653"/>
      </w:r>
      <w:r>
        <w:rPr>
          <w:rFonts w:ascii="Amiri" w:hAnsi="Amiri" w:eastAsia="Amiri" w:cs="Amiri"/>
          <w:color w:val="111111"/>
          <w:sz w:val="28"/>
          <w:sz w:val="28"/>
          <w:szCs w:val="28"/>
          <w:rtl w:val="true"/>
          <w:lang w:bidi="ar-SA"/>
        </w:rPr>
        <w:t xml:space="preserve">، فلا إشكال في الحكم من هذه الجهة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صحيحة محمّد بن مسلم ، عن 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المرأة ينقطع عنها الدم دم الحيض في آخر أيّامها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أصاب زوجها شَبق فليأمرها فلتغسل فرجها ، ثمّ يمسّها إن شاء قبل أن تغتسل</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 xml:space="preserve">الطهارة ، أبواب الحيض ، الباب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فغير صالحة للشهادة بالجمع بين الأخبار والتفصيل بين الشبِق وغيره ، كما عن الصدوق</w:t>
      </w:r>
      <w:r>
        <w:rPr>
          <w:rStyle w:val="FootnoteAnchor"/>
          <w:rtl w:val="true"/>
        </w:rPr>
        <w:footnoteReference w:id="655"/>
      </w:r>
      <w:r>
        <w:rPr>
          <w:rFonts w:ascii="Amiri" w:hAnsi="Amiri" w:eastAsia="Amiri" w:cs="Amiri"/>
          <w:color w:val="111111"/>
          <w:sz w:val="28"/>
          <w:sz w:val="28"/>
          <w:szCs w:val="28"/>
          <w:rtl w:val="true"/>
          <w:lang w:bidi="ar-SA"/>
        </w:rPr>
        <w:t xml:space="preserve">؛ ضرورة أنّ نفس تلك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بتعليق الحكم على الشبق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دالّة على أنّ الحكم على سبيل الكراهة لا الحرمة ، وإلاّ فلم يكن يعلّقه على شدّة الميل والشبق </w:t>
      </w:r>
      <w:r>
        <w:rPr>
          <w:rFonts w:eastAsia="Amiri" w:cs="Amiri" w:ascii="Amiri" w:hAnsi="Amiri"/>
          <w:color w:val="111111"/>
          <w:sz w:val="28"/>
          <w:szCs w:val="28"/>
          <w:rtl w:val="true"/>
          <w:lang w:bidi="ar-SA"/>
        </w:rPr>
        <w:t xml:space="preserve">. </w:t>
      </w:r>
      <w:bookmarkStart w:id="424" w:name="pg15019_190778"/>
    </w:p>
    <w:p>
      <w:pPr>
        <w:pStyle w:val="Heading6"/>
        <w:numPr>
          <w:ilvl w:val="5"/>
          <w:numId w:val="1"/>
        </w:numPr>
        <w:rPr/>
      </w:pPr>
      <w:bookmarkStart w:id="425" w:name="__RefHeading___Toc686472_3406789950"/>
      <w:bookmarkStart w:id="426" w:name="_Toc154"/>
      <w:bookmarkEnd w:id="424"/>
      <w:bookmarkEnd w:id="425"/>
      <w:r>
        <w:rPr>
          <w:rtl w:val="true"/>
        </w:rPr>
        <w:t>اعتبار وقوع الانقطاع في آخر أيّام الحيض لا بعد أيّامه</w:t>
      </w:r>
      <w:bookmarkEnd w:id="426"/>
    </w:p>
    <w:p>
      <w:pPr>
        <w:pStyle w:val="BookText"/>
        <w:rPr/>
      </w:pPr>
      <w:r>
        <w:rPr>
          <w:rFonts w:ascii="Amiri" w:hAnsi="Amiri" w:eastAsia="Amiri" w:cs="Amiri"/>
          <w:color w:val="111111"/>
          <w:sz w:val="28"/>
          <w:sz w:val="28"/>
          <w:szCs w:val="28"/>
          <w:rtl w:val="true"/>
          <w:lang w:bidi="ar-SA"/>
        </w:rPr>
        <w:t xml:space="preserve">ثمّ إنّ ظاهر الصحيحة هو كون الانقطاع في آخر أيّام الحيض ، لا بعد أيّامه ، كما هو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أيّامها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يشعر به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ينقطع عنها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الدليل والفتوى شاملان للانقطاع قبل انقطاع العادة</w:t>
      </w:r>
      <w:r>
        <w:rPr>
          <w:rFonts w:eastAsia="Amiri" w:cs="Amiri" w:ascii="Amiri" w:hAnsi="Amiri"/>
          <w:color w:val="111111"/>
          <w:sz w:val="28"/>
          <w:szCs w:val="28"/>
          <w:rtl w:val="true"/>
          <w:lang w:bidi="ar-SA"/>
        </w:rPr>
        <w:t>»</w:t>
      </w:r>
      <w:r>
        <w:rPr>
          <w:rStyle w:val="FootnoteAnchor"/>
          <w:rtl w:val="true"/>
        </w:rPr>
        <w:footnoteReference w:id="656"/>
      </w:r>
      <w:r>
        <w:rPr>
          <w:rFonts w:ascii="Amiri" w:hAnsi="Amiri" w:eastAsia="Amiri" w:cs="Amiri"/>
          <w:color w:val="111111"/>
          <w:sz w:val="28"/>
          <w:sz w:val="28"/>
          <w:szCs w:val="28"/>
          <w:rtl w:val="true"/>
          <w:lang w:bidi="ar-SA"/>
        </w:rPr>
        <w:t>وجيه؛ لما ذكرنا ، ولإطلاق بعض الأدلّة</w:t>
      </w:r>
      <w:r>
        <w:rPr>
          <w:rStyle w:val="FootnoteAnchor"/>
          <w:rtl w:val="true"/>
        </w:rPr>
        <w:footnoteReference w:id="657"/>
      </w:r>
      <w:r>
        <w:rPr>
          <w:rFonts w:ascii="Amiri" w:hAnsi="Amiri" w:eastAsia="Amiri" w:cs="Amiri"/>
          <w:color w:val="111111"/>
          <w:sz w:val="28"/>
          <w:sz w:val="28"/>
          <w:szCs w:val="28"/>
          <w:rtl w:val="true"/>
          <w:lang w:bidi="ar-SA"/>
        </w:rPr>
        <w:t xml:space="preserve">، فما ربّما يستشكل من جهة احتمال معاودة الدم ؛ لأنّ عوده في العادة من الاُمور الجِبِلّية ، بخلافه بعدها </w:t>
      </w:r>
      <w:r>
        <w:rPr>
          <w:rStyle w:val="FootnoteAnchor"/>
          <w:rtl w:val="true"/>
        </w:rPr>
        <w:footnoteReference w:id="658"/>
      </w:r>
      <w:r>
        <w:rPr>
          <w:rFonts w:ascii="Amiri" w:hAnsi="Amiri" w:eastAsia="Amiri" w:cs="Amiri"/>
          <w:color w:val="111111"/>
          <w:sz w:val="28"/>
          <w:sz w:val="28"/>
          <w:szCs w:val="28"/>
          <w:rtl w:val="true"/>
          <w:lang w:bidi="ar-SA"/>
        </w:rPr>
        <w:t xml:space="preserve">، في غير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كانت عادتها الرجوع بعد الانقطاع ولو بالعادة الشرعية ، لكان الإشكال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خروج مثله عن موضوع أدلّة الجواز ، ودخوله في أيّام العادة ، كما مرّ الكلام فيه</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27" w:name="__RefHeading___Toc686474_3406789950"/>
      <w:bookmarkStart w:id="428" w:name="_Toc155"/>
      <w:bookmarkEnd w:id="427"/>
      <w:r>
        <w:rPr>
          <w:rtl w:val="true"/>
        </w:rPr>
        <w:t>جواز الوط‌ء قبل غسل الفرج</w:t>
      </w:r>
      <w:bookmarkEnd w:id="428"/>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ظاهر صحيحة محمّد بن مسلم</w:t>
      </w:r>
      <w:r>
        <w:rPr>
          <w:rStyle w:val="FootnoteAnchor"/>
          <w:rtl w:val="true"/>
        </w:rPr>
        <w:footnoteReference w:id="660"/>
      </w:r>
      <w:r>
        <w:rPr>
          <w:rFonts w:ascii="IRNazanin" w:hAnsi="IRNazanin" w:eastAsia="IRNazanin"/>
          <w:color w:val="111111"/>
          <w:sz w:val="28"/>
          <w:sz w:val="28"/>
          <w:szCs w:val="28"/>
          <w:rtl w:val="true"/>
          <w:lang w:bidi="fa-IR"/>
        </w:rPr>
        <w:t xml:space="preserve">وجوب غسل الفرج شرطاً لجواز </w:t>
      </w:r>
    </w:p>
    <w:p>
      <w:pPr>
        <w:pStyle w:val="BookText"/>
        <w:rPr/>
      </w:pPr>
      <w:r>
        <w:rPr>
          <w:rFonts w:ascii="Amiri" w:hAnsi="Amiri" w:eastAsia="Amiri" w:cs="Amiri"/>
          <w:color w:val="111111"/>
          <w:sz w:val="28"/>
          <w:sz w:val="28"/>
          <w:szCs w:val="28"/>
          <w:rtl w:val="true"/>
          <w:lang w:bidi="ar-SA"/>
        </w:rPr>
        <w:t>إتيان الزوج ، كما عن ظاهر الأكثر</w:t>
      </w:r>
      <w:r>
        <w:rPr>
          <w:rStyle w:val="FootnoteAnchor"/>
          <w:rtl w:val="true"/>
        </w:rPr>
        <w:footnoteReference w:id="661"/>
      </w:r>
      <w:r>
        <w:rPr>
          <w:rFonts w:ascii="Amiri" w:hAnsi="Amiri" w:eastAsia="Amiri" w:cs="Amiri"/>
          <w:color w:val="111111"/>
          <w:sz w:val="28"/>
          <w:sz w:val="28"/>
          <w:szCs w:val="28"/>
          <w:rtl w:val="true"/>
          <w:lang w:bidi="ar-SA"/>
        </w:rPr>
        <w:t xml:space="preserve">وصريح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w:t>
      </w:r>
      <w:r>
        <w:rPr>
          <w:rStyle w:val="FootnoteAnchor"/>
          <w:rtl w:val="true"/>
        </w:rPr>
        <w:footnoteReference w:id="663"/>
      </w:r>
      <w:r>
        <w:rPr>
          <w:rFonts w:ascii="Amiri" w:hAnsi="Amiri" w:eastAsia="Amiri" w:cs="Amiri"/>
          <w:color w:val="111111"/>
          <w:sz w:val="28"/>
          <w:sz w:val="28"/>
          <w:szCs w:val="28"/>
          <w:rtl w:val="true"/>
          <w:lang w:bidi="ar-SA"/>
        </w:rPr>
        <w:t xml:space="preserve">وعن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w:t>
      </w:r>
      <w:r>
        <w:rPr>
          <w:rStyle w:val="FootnoteAnchor"/>
          <w:rtl w:val="true"/>
        </w:rPr>
        <w:footnoteReference w:id="66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الراوندي</w:t>
      </w:r>
      <w:r>
        <w:rPr>
          <w:rFonts w:eastAsia="Amiri" w:cs="Amiri" w:ascii="Amiri" w:hAnsi="Amiri"/>
          <w:color w:val="111111"/>
          <w:sz w:val="28"/>
          <w:szCs w:val="28"/>
          <w:rtl w:val="true"/>
          <w:lang w:bidi="ar-SA"/>
        </w:rPr>
        <w:t>»</w:t>
      </w:r>
      <w:r>
        <w:rPr>
          <w:rStyle w:val="FootnoteAnchor"/>
          <w:rtl w:val="true"/>
        </w:rPr>
        <w:footnoteReference w:id="665"/>
      </w:r>
      <w:r>
        <w:rPr>
          <w:rFonts w:ascii="Amiri" w:hAnsi="Amiri" w:eastAsia="Amiri" w:cs="Amiri"/>
          <w:color w:val="111111"/>
          <w:sz w:val="28"/>
          <w:sz w:val="28"/>
          <w:szCs w:val="28"/>
          <w:rtl w:val="true"/>
          <w:lang w:bidi="ar-SA"/>
        </w:rPr>
        <w:t xml:space="preserve">توقّفه على أحد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الفرج ، أو الوضوء ، ولم يتّضح دليل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الحلّي 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والشهيد الندب</w:t>
      </w:r>
      <w:r>
        <w:rPr>
          <w:rStyle w:val="FootnoteAnchor"/>
          <w:rtl w:val="true"/>
        </w:rPr>
        <w:footnoteReference w:id="666"/>
      </w:r>
      <w:r>
        <w:rPr>
          <w:rFonts w:ascii="Amiri" w:hAnsi="Amiri" w:eastAsia="Amiri" w:cs="Amiri"/>
          <w:color w:val="111111"/>
          <w:sz w:val="28"/>
          <w:sz w:val="28"/>
          <w:szCs w:val="28"/>
          <w:rtl w:val="true"/>
          <w:lang w:bidi="ar-SA"/>
        </w:rPr>
        <w:t xml:space="preserve">، وهو الأقوى ؛ لقوّة ظهور الآية الشريفة في عدم دخل شيء غير ارتفاع الحيض وحصول الطهر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كالتعليل المستفاد من تفريع الاعتزال على الأذى الذي هو المحيض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جعل الغاية لحرمة القرب ، الطهر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تفريع التطهّر عليه ، وقد مرّ ترجيح حمله على حصول الطهر</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ظهور الآية في علّية التطهّر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حصول الطهر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لجواز الإتيان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ولعموم آية حرثية النساء أو إطلاقها ، وإطلاقات الروايات التي في مقام البيان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جعل غسل الفرج قريناً للتيمّم في صحيحة أبي عبيدة المتقدّمة</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 xml:space="preserve">. </w:t>
      </w:r>
      <w:bookmarkStart w:id="429" w:name="pg15019_190780"/>
    </w:p>
    <w:p>
      <w:pPr>
        <w:pStyle w:val="BookText"/>
        <w:rPr/>
      </w:pPr>
      <w:bookmarkEnd w:id="429"/>
      <w:r>
        <w:rPr>
          <w:rFonts w:ascii="Amiri" w:hAnsi="Amiri" w:eastAsia="Amiri" w:cs="Amiri"/>
          <w:color w:val="111111"/>
          <w:sz w:val="28"/>
          <w:sz w:val="28"/>
          <w:szCs w:val="28"/>
          <w:rtl w:val="true"/>
          <w:lang w:bidi="ar-SA"/>
        </w:rPr>
        <w:t>ولا إشكال في عدم شرطية التيمّم وجوباً ؛ لأ نّه بدل الغسل الذي قد عرفت</w:t>
      </w:r>
    </w:p>
    <w:p>
      <w:pPr>
        <w:pStyle w:val="BookText"/>
        <w:rPr/>
      </w:pPr>
      <w:r>
        <w:rPr>
          <w:rFonts w:ascii="Amiri" w:hAnsi="Amiri" w:eastAsia="Amiri" w:cs="Amiri"/>
          <w:color w:val="111111"/>
          <w:sz w:val="28"/>
          <w:sz w:val="28"/>
          <w:szCs w:val="28"/>
          <w:rtl w:val="true"/>
          <w:lang w:bidi="ar-SA"/>
        </w:rPr>
        <w:t xml:space="preserve">عدم شرطيته للجواز ، فنفس هذا الاقتران يشعر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كون الغسل من قبيل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جعل الجزاء عدم البأس ، مشعر أو دالّ على الكراهة مع فقدانهما أو فقدان أحدهما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جميع ذلك يعلم تعيّن حمل صحيحة ابن مسلم على الرجحان ، أو رفع الكراهة ، فيستفاد من مجموع الروايات كون الكراهة ذات مراتب ، يرفع جميعها بالغسل ، وبعضها بالتيمّم وغسل الفرج ، ثمّ بالتيمّم فقط ، أو غسل الفرج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الوضوء وإن لم نعثر على دليله ، لكن لا</w:t>
      </w:r>
    </w:p>
    <w:p>
      <w:pPr>
        <w:pStyle w:val="BookText"/>
        <w:rPr/>
      </w:pPr>
      <w:r>
        <w:rPr>
          <w:rFonts w:ascii="Amiri" w:hAnsi="Amiri" w:eastAsia="Amiri" w:cs="Amiri"/>
          <w:color w:val="111111"/>
          <w:sz w:val="28"/>
          <w:sz w:val="28"/>
          <w:szCs w:val="28"/>
          <w:rtl w:val="true"/>
          <w:lang w:bidi="ar-SA"/>
        </w:rPr>
        <w:t xml:space="preserve">بأس باستحبابه بعد ظهور فتوى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وبعد نسبة الطبرسي ذلك إلى مذهبنا ، والأولى الإتيان به رجاءً </w:t>
      </w:r>
      <w:r>
        <w:rPr>
          <w:rFonts w:eastAsia="Amiri" w:cs="Amiri" w:ascii="Amiri" w:hAnsi="Amiri"/>
          <w:color w:val="111111"/>
          <w:sz w:val="28"/>
          <w:szCs w:val="28"/>
          <w:rtl w:val="true"/>
          <w:lang w:bidi="ar-SA"/>
        </w:rPr>
        <w:t>.</w:t>
      </w:r>
    </w:p>
    <w:p>
      <w:pPr>
        <w:pStyle w:val="Heading6"/>
        <w:numPr>
          <w:ilvl w:val="5"/>
          <w:numId w:val="1"/>
        </w:numPr>
        <w:rPr/>
      </w:pPr>
      <w:bookmarkStart w:id="430" w:name="__RefHeading___Toc686476_3406789950"/>
      <w:bookmarkStart w:id="431" w:name="_Toc156"/>
      <w:bookmarkEnd w:id="430"/>
      <w:r>
        <w:rPr>
          <w:rtl w:val="true"/>
        </w:rPr>
        <w:t>ارتفاع المنع أو المرجوحية مع تيمّم المرأة</w:t>
      </w:r>
      <w:bookmarkEnd w:id="431"/>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الظاهر من أدلّة بدلية التيمّم للغسل</w:t>
      </w:r>
      <w:r>
        <w:rPr>
          <w:rStyle w:val="FootnoteAnchor"/>
          <w:rtl w:val="true"/>
        </w:rPr>
        <w:footnoteReference w:id="669"/>
      </w:r>
      <w:r>
        <w:rPr>
          <w:rFonts w:ascii="IRNazanin" w:hAnsi="IRNazanin" w:eastAsia="IRNazanin"/>
          <w:color w:val="111111"/>
          <w:sz w:val="28"/>
          <w:sz w:val="28"/>
          <w:szCs w:val="28"/>
          <w:rtl w:val="true"/>
          <w:lang w:bidi="fa-IR"/>
        </w:rPr>
        <w:t>والتراب للماء</w:t>
      </w:r>
      <w:r>
        <w:rPr>
          <w:rStyle w:val="FootnoteAnchor"/>
          <w:rtl w:val="true"/>
        </w:rPr>
        <w:footnoteReference w:id="670"/>
      </w:r>
      <w:r>
        <w:rPr>
          <w:rFonts w:ascii="Amiri" w:hAnsi="Amiri" w:eastAsia="Amiri" w:cs="Amiri"/>
          <w:color w:val="111111"/>
          <w:sz w:val="28"/>
          <w:sz w:val="28"/>
          <w:szCs w:val="28"/>
          <w:rtl w:val="true"/>
          <w:lang w:bidi="ar-SA"/>
        </w:rPr>
        <w:t>وكونه أحد الطهورين</w:t>
      </w:r>
      <w:r>
        <w:rPr>
          <w:rStyle w:val="FootnoteAnchor"/>
          <w:rtl w:val="true"/>
        </w:rPr>
        <w:footnoteReference w:id="671"/>
      </w:r>
      <w:r>
        <w:rPr>
          <w:rFonts w:ascii="Amiri" w:hAnsi="Amiri" w:eastAsia="Amiri" w:cs="Amiri"/>
          <w:color w:val="111111"/>
          <w:sz w:val="28"/>
          <w:sz w:val="28"/>
          <w:szCs w:val="28"/>
          <w:rtl w:val="true"/>
          <w:lang w:bidi="ar-SA"/>
        </w:rPr>
        <w:t>وربّه وربّ الماء واحد</w:t>
      </w:r>
      <w:r>
        <w:rPr>
          <w:rStyle w:val="FootnoteAnchor"/>
          <w:rtl w:val="true"/>
        </w:rPr>
        <w:footnoteReference w:id="672"/>
      </w:r>
      <w:r>
        <w:rPr>
          <w:rFonts w:ascii="Amiri" w:hAnsi="Amiri" w:eastAsia="Amiri" w:cs="Amiri"/>
          <w:color w:val="111111"/>
          <w:sz w:val="28"/>
          <w:sz w:val="28"/>
          <w:szCs w:val="28"/>
          <w:rtl w:val="true"/>
          <w:lang w:bidi="ar-SA"/>
        </w:rPr>
        <w:t xml:space="preserve">هو قيامه مقامه في زوال المنع على </w:t>
      </w:r>
    </w:p>
    <w:p>
      <w:pPr>
        <w:pStyle w:val="BookText"/>
        <w:rPr/>
      </w:pPr>
      <w:r>
        <w:rPr>
          <w:rFonts w:ascii="Amiri" w:hAnsi="Amiri" w:eastAsia="Amiri" w:cs="Amiri"/>
          <w:color w:val="111111"/>
          <w:sz w:val="28"/>
          <w:sz w:val="28"/>
          <w:szCs w:val="28"/>
          <w:rtl w:val="true"/>
          <w:lang w:bidi="ar-SA"/>
        </w:rPr>
        <w:t>القول به وفي زوال الكراهة على المشهور لو لا بعض الأخبار الدالّة على بقاء</w:t>
      </w:r>
    </w:p>
    <w:p>
      <w:pPr>
        <w:pStyle w:val="BookText"/>
        <w:rPr/>
      </w:pPr>
      <w:r>
        <w:rPr>
          <w:rFonts w:ascii="Amiri" w:hAnsi="Amiri" w:eastAsia="Amiri" w:cs="Amiri"/>
          <w:color w:val="111111"/>
          <w:sz w:val="28"/>
          <w:sz w:val="28"/>
          <w:szCs w:val="28"/>
          <w:rtl w:val="true"/>
          <w:lang w:bidi="ar-SA"/>
        </w:rPr>
        <w:t xml:space="preserve">الكراهة بمرتبة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بدليته له إنّما هي فيما يشترط بالطهر ، دون مطلق الأغسال</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نحن فيه أيضاً كذلك ؛ لأنّ الظاهر من الأدلّة هو اشتراط الجواز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فرضه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وزوال الكراهة بالطهور الذي هو شرط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أثر التيمّم يزول بالجماع ، ومعه لا معنى له</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سيأتي في محلّه</w:t>
      </w:r>
      <w:r>
        <w:rPr>
          <w:rStyle w:val="FootnoteAnchor"/>
          <w:rtl w:val="true"/>
        </w:rPr>
        <w:footnoteReference w:id="6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زوال أثره ؛ أي رفع حدث الحيض عن موضوع الفاقد كسائر الأحداث ، وأنّ التيمّم رافع لا مبيح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صحيحة أبي عبيدة</w:t>
      </w:r>
      <w:r>
        <w:rPr>
          <w:rStyle w:val="FootnoteAnchor"/>
          <w:rtl w:val="true"/>
        </w:rPr>
        <w:footnoteReference w:id="676"/>
      </w:r>
      <w:r>
        <w:rPr>
          <w:rFonts w:ascii="Amiri" w:hAnsi="Amiri" w:eastAsia="Amiri" w:cs="Amiri"/>
          <w:color w:val="111111"/>
          <w:sz w:val="28"/>
          <w:sz w:val="28"/>
          <w:szCs w:val="28"/>
          <w:rtl w:val="true"/>
          <w:lang w:bidi="ar-SA"/>
        </w:rPr>
        <w:t>ورواية الساباطي</w:t>
      </w:r>
      <w:r>
        <w:rPr>
          <w:rStyle w:val="FootnoteAnchor"/>
          <w:rtl w:val="true"/>
        </w:rPr>
        <w:footnoteReference w:id="677"/>
      </w:r>
      <w:r>
        <w:rPr>
          <w:rFonts w:ascii="IRNazanin" w:hAnsi="IRNazanin" w:eastAsia="IRNazanin"/>
          <w:color w:val="111111"/>
          <w:sz w:val="28"/>
          <w:sz w:val="28"/>
          <w:szCs w:val="28"/>
          <w:rtl w:val="true"/>
          <w:lang w:bidi="fa-IR"/>
        </w:rPr>
        <w:t xml:space="preserve">تدلاّن على المقصود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والمناقشة في سند الاُولى</w:t>
      </w:r>
      <w:r>
        <w:rPr>
          <w:rStyle w:val="FootnoteAnchor"/>
          <w:rtl w:val="true"/>
        </w:rPr>
        <w:footnoteReference w:id="678"/>
      </w:r>
      <w:r>
        <w:rPr>
          <w:rFonts w:ascii="Amiri" w:hAnsi="Amiri" w:eastAsia="Amiri" w:cs="Amiri"/>
          <w:color w:val="111111"/>
          <w:sz w:val="28"/>
          <w:sz w:val="28"/>
          <w:szCs w:val="28"/>
          <w:rtl w:val="true"/>
          <w:lang w:bidi="ar-SA"/>
        </w:rPr>
        <w:t xml:space="preserve">في غير محلّها ؛ فإنّ سهل بن زياد وإن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ضُعّف</w:t>
      </w:r>
      <w:r>
        <w:rPr>
          <w:rStyle w:val="FootnoteAnchor"/>
          <w:rtl w:val="true"/>
        </w:rPr>
        <w:footnoteReference w:id="679"/>
      </w:r>
      <w:r>
        <w:rPr>
          <w:rFonts w:ascii="Amiri" w:hAnsi="Amiri" w:eastAsia="Amiri" w:cs="Amiri"/>
          <w:color w:val="111111"/>
          <w:sz w:val="28"/>
          <w:sz w:val="28"/>
          <w:szCs w:val="28"/>
          <w:rtl w:val="true"/>
          <w:lang w:bidi="ar-SA"/>
        </w:rPr>
        <w:t xml:space="preserve">لكنّ المتتبّع في رواياته يطمئنّ بوثاقته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كثرة رواياته وإتقانها واعتناء المشايخ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ما يطمئنّ من توثيق أصحاب الرجال ، كما رجّحنا بذلك وثاقة إبراهيم بن هاشم القمّي ومحمّد بن إسماعيل النيسابوري راوية الفضل بن شاذان وغيرهما </w:t>
      </w:r>
      <w:r>
        <w:rPr>
          <w:rStyle w:val="FootnoteAnchor"/>
          <w:rtl w:val="true"/>
        </w:rPr>
        <w:footnoteReference w:id="6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أستبعد كون الزبيري أيضاً من هذا القبيل </w:t>
      </w:r>
      <w:r>
        <w:rPr>
          <w:rFonts w:eastAsia="Amiri" w:cs="Amiri" w:ascii="Amiri" w:hAnsi="Amiri"/>
          <w:color w:val="111111"/>
          <w:sz w:val="28"/>
          <w:szCs w:val="28"/>
          <w:rtl w:val="true"/>
          <w:lang w:bidi="ar-SA"/>
        </w:rPr>
        <w:t xml:space="preserve">. </w:t>
      </w:r>
      <w:bookmarkStart w:id="432" w:name="pg15019_190783"/>
    </w:p>
    <w:p>
      <w:pPr>
        <w:pStyle w:val="Heading5"/>
        <w:numPr>
          <w:ilvl w:val="4"/>
          <w:numId w:val="1"/>
        </w:numPr>
        <w:rPr/>
      </w:pPr>
      <w:bookmarkStart w:id="433" w:name="__RefHeading___Toc686478_3406789950"/>
      <w:bookmarkStart w:id="434" w:name="_Toc157"/>
      <w:bookmarkEnd w:id="432"/>
      <w:bookmarkEnd w:id="433"/>
      <w:r>
        <w:rPr>
          <w:rtl w:val="true"/>
        </w:rPr>
        <w:t>الأمر الخامس عدم إجزاء غسل الحيض عن الوضوء</w:t>
      </w:r>
      <w:bookmarkEnd w:id="434"/>
    </w:p>
    <w:p>
      <w:pPr>
        <w:pStyle w:val="Heading6"/>
        <w:numPr>
          <w:ilvl w:val="5"/>
          <w:numId w:val="1"/>
        </w:numPr>
        <w:rPr/>
      </w:pPr>
      <w:bookmarkStart w:id="435" w:name="__RefHeading___Toc686480_3406789950"/>
      <w:bookmarkStart w:id="436" w:name="_Toc158"/>
      <w:bookmarkEnd w:id="435"/>
      <w:r>
        <w:rPr>
          <w:rtl w:val="true"/>
        </w:rPr>
        <w:t>اشارة</w:t>
      </w:r>
      <w:bookmarkEnd w:id="436"/>
    </w:p>
    <w:p>
      <w:pPr>
        <w:pStyle w:val="BookText"/>
        <w:rPr/>
      </w:pPr>
      <w:r>
        <w:rPr>
          <w:rFonts w:ascii="Amiri" w:hAnsi="Amiri" w:eastAsia="Amiri" w:cs="Amiri"/>
          <w:color w:val="111111"/>
          <w:sz w:val="28"/>
          <w:sz w:val="28"/>
          <w:szCs w:val="28"/>
          <w:rtl w:val="true"/>
          <w:lang w:bidi="ar-SA"/>
        </w:rPr>
        <w:t>في الوجوب الشرطي لغسل الحيض</w:t>
      </w:r>
    </w:p>
    <w:p>
      <w:pPr>
        <w:pStyle w:val="BookText"/>
        <w:rPr/>
      </w:pPr>
      <w:r>
        <w:rPr>
          <w:rFonts w:ascii="Amiri" w:hAnsi="Amiri" w:eastAsia="Amiri" w:cs="Amiri"/>
          <w:color w:val="111111"/>
          <w:sz w:val="28"/>
          <w:sz w:val="28"/>
          <w:szCs w:val="28"/>
          <w:rtl w:val="true"/>
          <w:lang w:bidi="ar-SA"/>
        </w:rPr>
        <w:t xml:space="preserve">إذا طهرت وجب عليها الغسل للغايات المشروطة بالطهارة وجوباً شرطياً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الوجوب المقدّمي ؛ لما قد ذكرنا في محلّه من عدم وجوب المقدّمة شرعاً ، بل أثبتنا عدم تعقّل وجوبها الشرعي</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الوجوب الشرطي للطهور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بمعنى نفس الأغسال والوضوء ، أو أمراً حاصلاً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منه ؛ لكونه إرشاداً إلى الحكم الوضعي ، لا</w:t>
      </w:r>
    </w:p>
    <w:p>
      <w:pPr>
        <w:pStyle w:val="BookText"/>
        <w:rPr/>
      </w:pPr>
      <w:r>
        <w:rPr>
          <w:rFonts w:ascii="Amiri" w:hAnsi="Amiri" w:eastAsia="Amiri" w:cs="Amiri"/>
          <w:color w:val="111111"/>
          <w:sz w:val="28"/>
          <w:sz w:val="28"/>
          <w:szCs w:val="28"/>
          <w:rtl w:val="true"/>
          <w:lang w:bidi="ar-SA"/>
        </w:rPr>
        <w:t xml:space="preserve">بمعنى استعمال الهيئات الموضوعة للبعث والإغراء في المعنى الوضعي ، بل بمعنى استعمالها في معانيها لغرض إفهام التوقّف والحكم الوضعي ، فقوله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w:t>
      </w:r>
    </w:p>
    <w:p>
      <w:pPr>
        <w:pStyle w:val="BookText"/>
        <w:rPr/>
      </w:pPr>
      <w:r>
        <w:rPr>
          <w:rFonts w:ascii="Amiri" w:hAnsi="Amiri" w:eastAsia="Amiri" w:cs="Amiri"/>
          <w:color w:val="111111"/>
          <w:sz w:val="28"/>
          <w:sz w:val="28"/>
          <w:szCs w:val="28"/>
          <w:rtl w:val="true"/>
          <w:lang w:bidi="ar-SA"/>
        </w:rPr>
        <w:t xml:space="preserve">قُمْتُمْ إِلَى الصّلَوةِ فَاغْسِلُوا وُجُوهَكُمْ </w:t>
      </w:r>
      <w:r>
        <w:rPr>
          <w:rFonts w:eastAsia="Amiri" w:cs="Amiri" w:ascii="Amiri" w:hAnsi="Amiri"/>
          <w:color w:val="111111"/>
          <w:sz w:val="28"/>
          <w:szCs w:val="28"/>
          <w:rtl w:val="true"/>
          <w:lang w:bidi="ar-SA"/>
        </w:rPr>
        <w:t>. . .(</w:t>
      </w:r>
      <w:r>
        <w:rPr>
          <w:rStyle w:val="FootnoteAnchor"/>
          <w:rtl w:val="true"/>
        </w:rPr>
        <w:footnoteReference w:id="682"/>
      </w:r>
      <w:r>
        <w:rPr>
          <w:rFonts w:ascii="Amiri" w:hAnsi="Amiri" w:eastAsia="Amiri" w:cs="Amiri"/>
          <w:color w:val="111111"/>
          <w:sz w:val="28"/>
          <w:sz w:val="28"/>
          <w:szCs w:val="28"/>
          <w:rtl w:val="true"/>
          <w:lang w:bidi="ar-SA"/>
        </w:rPr>
        <w:t xml:space="preserve">إلى آخره ، بعث وإغراء إلى الغسل والمسح ، لكن لغرض إفهام اشتراط الصلاة بهما ، أو بما يحصل منهما ، وبهذا المعنى يقال للوضوء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للغسل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المستعملة في الروايات على الوضوء</w:t>
      </w:r>
      <w:r>
        <w:rPr>
          <w:rStyle w:val="FootnoteAnchor"/>
          <w:rtl w:val="true"/>
        </w:rPr>
        <w:footnoteReference w:id="683"/>
      </w:r>
      <w:r>
        <w:rPr>
          <w:rFonts w:ascii="IRNazanin" w:hAnsi="IRNazanin" w:eastAsia="IRNazanin"/>
          <w:color w:val="111111"/>
          <w:sz w:val="28"/>
          <w:sz w:val="28"/>
          <w:szCs w:val="28"/>
          <w:rtl w:val="true"/>
          <w:lang w:bidi="fa-IR"/>
        </w:rPr>
        <w:t>والغسل</w:t>
      </w:r>
      <w:r>
        <w:rPr>
          <w:rStyle w:val="FootnoteAnchor"/>
          <w:rtl w:val="true"/>
        </w:rPr>
        <w:footnoteReference w:id="684"/>
      </w:r>
      <w:r>
        <w:rPr>
          <w:rFonts w:ascii="Amiri" w:hAnsi="Amiri" w:eastAsia="Amiri" w:cs="Amiri"/>
          <w:color w:val="111111"/>
          <w:sz w:val="28"/>
          <w:sz w:val="28"/>
          <w:szCs w:val="28"/>
          <w:rtl w:val="true"/>
          <w:lang w:bidi="ar-SA"/>
        </w:rPr>
        <w:t xml:space="preserve">هو الفريضة في الصلاة ؛ أي ما هو لازم للصلاة ، كما يشهد </w:t>
      </w:r>
    </w:p>
    <w:p>
      <w:pPr>
        <w:pStyle w:val="BookText"/>
        <w:rPr/>
      </w:pPr>
      <w:r>
        <w:rPr>
          <w:rFonts w:ascii="IRNazanin" w:hAnsi="IRNazanin" w:eastAsia="IRNazanin"/>
          <w:color w:val="111111"/>
          <w:sz w:val="28"/>
          <w:sz w:val="28"/>
          <w:szCs w:val="28"/>
          <w:rtl w:val="true"/>
          <w:lang w:bidi="fa-IR"/>
        </w:rPr>
        <w:t xml:space="preserve">بذلك صحيحة زرارة في باب الوضوء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الفرض في الصلاة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الوقت ، والطهور ، والقبلة ، والتوجّه ، والركوع ، والسجود ، والدعاء</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 xml:space="preserve">الطهارة ، أبواب الوضوء ، 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فمقارنة الوقت بسائر المذكورات ، دليل على أنّ الفرض فيها كالفرض فيه ، ومعلوم أنّ المراد بكون الوقت فرضاً في الصلاة ، ليس إلاّ كون الوقت شرطاً فيها ، أو كون الصلاة المقيّدة به واجبة ، لا أنّ الوقت واجب نفسي أو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وحال سائر المذكورات كحاله ، فلا يكون الوضوء والغسل فريضة نفسية أو غيرية ، بل هما مستحبّان عباديان ، وجُعلا شرطاً للصلاة بما هما كذلك ، ولهذا لا يقعان بلا قصد التقرّب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يمكن أن يكون ذلك لأجل الأمر الغيري المقدّمي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إمكان هذا الأمر وتحقّقه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أنّ الأمر الغيري لا يتعلّق إلاّ بما هو موقوف عليه ، وبه يتوصّل إلى ذي المقدّمة ، فلو توقّفت الصلاة على الغسل مطلقاً لم يدعُ الأمر إلاّ إليه ، ولازمه صحّته ولو بلا قصد التقرّب ، كسائر 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توقّفت على الغسل العبادي ، فلا بدّ من تقدّم عباديته على الأمر الغيري ، ولا يعقل أن يكون الأمر الغيري مصحّحاً لعباديته ، والتفصيل موكول إلى محلّه</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فالتحقيق عدم وقوع الطهارات إلاّ مستحبّة نفسية ، ولا تخرج بواسطة وقوعها مقدّمة للواجب عمّا هي عليه ، كما لا يوجب تعلّق النذر </w:t>
      </w:r>
      <w:bookmarkStart w:id="437" w:name="pg15019_190785"/>
    </w:p>
    <w:p>
      <w:pPr>
        <w:pStyle w:val="BookText"/>
        <w:rPr/>
      </w:pPr>
      <w:bookmarkEnd w:id="437"/>
      <w:r>
        <w:rPr>
          <w:rFonts w:ascii="Amiri" w:hAnsi="Amiri" w:eastAsia="Amiri" w:cs="Amiri"/>
          <w:color w:val="111111"/>
          <w:sz w:val="28"/>
          <w:sz w:val="28"/>
          <w:szCs w:val="28"/>
          <w:rtl w:val="true"/>
          <w:lang w:bidi="ar-SA"/>
        </w:rPr>
        <w:t>والعهد بها انقلابَها عمّا هي عليه ؛ ضرورة أنّ متعلّق وجوب النذر هو عنوان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اتّحد العنوانان في الخارج ، والاتّحاد في ظرف العين لا يمكن أن يكون موجباً لسراية الوجوب من عنوان إلى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فالواجب المقدّمي الغيري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إلاّ حيثية ما يتوصّل به إلى ذي المقدّمة ، لا ذات المقدّمة ؛ على ما هو التحقيق من وجوب المقدّمة الموصلة بما أ نّها موصلة على فرض وجوبها </w:t>
      </w:r>
      <w:r>
        <w:rPr>
          <w:rStyle w:val="FootnoteAnchor"/>
          <w:rtl w:val="true"/>
        </w:rPr>
        <w:footnoteReference w:id="687"/>
      </w:r>
      <w:r>
        <w:rPr>
          <w:rFonts w:ascii="Amiri" w:hAnsi="Amiri" w:eastAsia="Amiri" w:cs="Amiri"/>
          <w:color w:val="111111"/>
          <w:sz w:val="28"/>
          <w:sz w:val="28"/>
          <w:szCs w:val="28"/>
          <w:rtl w:val="true"/>
          <w:lang w:bidi="ar-SA"/>
        </w:rPr>
        <w:t>، وهي متّحدة في الخارج مع ذات المقدّمة ، ولا يسري الوجوب من موضوعه إلى موضوع آخر ولو اتّحد العنوانان في الخارج ، كما حقّق في محلّه</w:t>
      </w:r>
      <w:r>
        <w:rPr>
          <w:rStyle w:val="FootnoteAnchor"/>
          <w:rtl w:val="true"/>
        </w:rPr>
        <w:footnoteReference w:id="688"/>
      </w:r>
      <w:r>
        <w:rPr>
          <w:rFonts w:ascii="Amiri" w:hAnsi="Amiri" w:eastAsia="Amiri" w:cs="Amiri"/>
          <w:color w:val="111111"/>
          <w:sz w:val="28"/>
          <w:sz w:val="28"/>
          <w:szCs w:val="28"/>
          <w:rtl w:val="true"/>
          <w:lang w:bidi="ar-SA"/>
        </w:rPr>
        <w:t xml:space="preserve">، فلا يكون الغسل واجباً غيرياً ، كما لا يكون واجباً نفسياً ، ولا يمكن استفادة الوجوب النفسي من الأوامر المتعلّقة به ؛ ضرورة ظهورها في الإرشاد بالمعنى المتقدّم في أمثال المقام ، فما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تقوية الوجوب لذاته</w:t>
      </w:r>
      <w:r>
        <w:rPr>
          <w:rStyle w:val="FootnoteAnchor"/>
          <w:rtl w:val="true"/>
        </w:rPr>
        <w:footnoteReference w:id="689"/>
      </w:r>
      <w:r>
        <w:rPr>
          <w:rFonts w:ascii="Amiri" w:hAnsi="Amiri" w:eastAsia="Amiri" w:cs="Amiri"/>
          <w:color w:val="111111"/>
          <w:sz w:val="28"/>
          <w:sz w:val="28"/>
          <w:szCs w:val="28"/>
          <w:rtl w:val="true"/>
          <w:lang w:bidi="ar-SA"/>
        </w:rPr>
        <w:t xml:space="preserve">في غير محلّه </w:t>
      </w:r>
      <w:r>
        <w:rPr>
          <w:rFonts w:eastAsia="Amiri" w:cs="Amiri" w:ascii="Amiri" w:hAnsi="Amiri"/>
          <w:color w:val="111111"/>
          <w:sz w:val="28"/>
          <w:szCs w:val="28"/>
          <w:rtl w:val="true"/>
          <w:lang w:bidi="ar-SA"/>
        </w:rPr>
        <w:t>.</w:t>
      </w:r>
    </w:p>
    <w:p>
      <w:pPr>
        <w:pStyle w:val="Heading6"/>
        <w:numPr>
          <w:ilvl w:val="5"/>
          <w:numId w:val="1"/>
        </w:numPr>
        <w:rPr/>
      </w:pPr>
      <w:bookmarkStart w:id="438" w:name="__RefHeading___Toc686482_3406789950"/>
      <w:bookmarkStart w:id="439" w:name="_Toc159"/>
      <w:bookmarkEnd w:id="438"/>
      <w:r>
        <w:rPr>
          <w:rtl w:val="true"/>
        </w:rPr>
        <w:t>عدم إجزاء سائر الأغسال عن الوضوء عدا غسل الجنابة</w:t>
      </w:r>
      <w:bookmarkEnd w:id="439"/>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المشهور عدم إجزاء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الوضوء للصلاة وغيرها ممّا هي مشروطة بالطهور</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 xml:space="preserve">. </w:t>
      </w:r>
      <w:bookmarkStart w:id="440" w:name="pg15019_190786"/>
    </w:p>
    <w:p>
      <w:pPr>
        <w:pStyle w:val="BookText"/>
        <w:rPr/>
      </w:pPr>
      <w:bookmarkEnd w:id="440"/>
      <w:r>
        <w:rPr>
          <w:rFonts w:ascii="Amiri" w:hAnsi="Amiri" w:eastAsia="Amiri" w:cs="Amiri"/>
          <w:color w:val="111111"/>
          <w:sz w:val="28"/>
          <w:sz w:val="28"/>
          <w:szCs w:val="28"/>
          <w:rtl w:val="true"/>
          <w:lang w:bidi="ar-SA"/>
        </w:rPr>
        <w:t xml:space="preserve">بل عن الصدوق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لزوم الوضوء معه من دين الإمامية</w:t>
      </w:r>
      <w:r>
        <w:rPr>
          <w:rFonts w:eastAsia="Amiri" w:cs="Amiri" w:ascii="Amiri" w:hAnsi="Amiri"/>
          <w:color w:val="111111"/>
          <w:sz w:val="28"/>
          <w:szCs w:val="28"/>
          <w:rtl w:val="true"/>
          <w:lang w:bidi="ar-SA"/>
        </w:rPr>
        <w:t>»</w:t>
      </w:r>
      <w:r>
        <w:rPr>
          <w:rStyle w:val="FootnoteAnchor"/>
          <w:rtl w:val="true"/>
        </w:rPr>
        <w:footnoteReference w:id="691"/>
      </w:r>
      <w:r>
        <w:rPr>
          <w:rFonts w:ascii="Amiri" w:hAnsi="Amiri" w:eastAsia="Amiri" w:cs="Amiri"/>
          <w:color w:val="111111"/>
          <w:sz w:val="28"/>
          <w:sz w:val="28"/>
          <w:szCs w:val="28"/>
          <w:rtl w:val="true"/>
          <w:lang w:bidi="ar-SA"/>
        </w:rPr>
        <w:t>، ولم ينقل الخلاف عن المتقدّمين إلاّ عن السيّد وأبي علي</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والأقوى ما هو المشهور حتّى مع قطع النظر عن الشهرة التي هي في مثل تلك المسألة حجّة برأسها ؛ للعمومات الدالّة على لزوم الوضوء عند عروض أسبابه</w:t>
      </w:r>
      <w:r>
        <w:rPr>
          <w:rStyle w:val="FootnoteAnchor"/>
          <w:rtl w:val="true"/>
        </w:rPr>
        <w:footnoteReference w:id="693"/>
      </w:r>
      <w:r>
        <w:rPr>
          <w:rFonts w:ascii="Amiri" w:hAnsi="Amiri" w:eastAsia="Amiri" w:cs="Amiri"/>
          <w:color w:val="111111"/>
          <w:sz w:val="28"/>
          <w:sz w:val="28"/>
          <w:szCs w:val="28"/>
          <w:rtl w:val="true"/>
          <w:lang w:bidi="ar-SA"/>
        </w:rPr>
        <w:t xml:space="preserve">، ولا يمكن تخلّفه فيما نحن فيه حتّى نحتاج إلى عدم القول بالفصل ، مع عدم تمامية أدلّة الخصم ، فلا بدّ من بيان حال الروايات حتّى يتّضح الحال </w:t>
      </w:r>
      <w:r>
        <w:rPr>
          <w:rFonts w:eastAsia="Amiri" w:cs="Amiri" w:ascii="Amiri" w:hAnsi="Amiri"/>
          <w:color w:val="111111"/>
          <w:sz w:val="28"/>
          <w:szCs w:val="28"/>
          <w:rtl w:val="true"/>
          <w:lang w:bidi="ar-SA"/>
        </w:rPr>
        <w:t>:</w:t>
      </w:r>
    </w:p>
    <w:p>
      <w:pPr>
        <w:pStyle w:val="Heading6"/>
        <w:numPr>
          <w:ilvl w:val="5"/>
          <w:numId w:val="1"/>
        </w:numPr>
        <w:rPr/>
      </w:pPr>
      <w:bookmarkStart w:id="441" w:name="__RefHeading___Toc686484_3406789950"/>
      <w:bookmarkStart w:id="442" w:name="_Toc160"/>
      <w:bookmarkEnd w:id="441"/>
      <w:r>
        <w:rPr>
          <w:rtl w:val="true"/>
        </w:rPr>
        <w:t>حول الأخبار الواردة في المقام</w:t>
      </w:r>
      <w:bookmarkEnd w:id="442"/>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الأخبار على طوائف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يدلّ على أنّ الغسل يجزي عن الوضوء من غير قيد ، كصحيحة محمّد بن مسلم ، عن أبي جعفر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الغسل يجزي عن الوضوء ، وأيّ وضوء أطهر من الغسل ؟ </w:t>
      </w:r>
      <w:r>
        <w:rPr>
          <w:rFonts w:eastAsia="IRNazanin" w:cs="IRNazanin"/>
          <w:color w:val="111111"/>
          <w:sz w:val="28"/>
          <w:szCs w:val="28"/>
          <w:rtl w:val="true"/>
          <w:lang w:bidi="fa-IR"/>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ومرسلة الكليني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وضوء أطهر من الغسل ؟ </w:t>
      </w:r>
      <w:r>
        <w:rPr>
          <w:rFonts w:eastAsia="Amiri" w:cs="Amiri" w:ascii="Amiri" w:hAnsi="Amiri"/>
          <w:color w:val="111111"/>
          <w:sz w:val="28"/>
          <w:szCs w:val="28"/>
          <w:rtl w:val="true"/>
          <w:lang w:bidi="ar-SA"/>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وصحيحة حكم بن حكيم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غسل الجنابة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يتوضّأ وضوء الصلاة قبل الغسل ، فضحك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وأيُّ وضوء أنقى من الغسل وأبلغ ؟ </w:t>
      </w:r>
      <w:r>
        <w:rPr>
          <w:rFonts w:eastAsia="IRNazanin" w:cs="IRNazanin"/>
          <w:color w:val="111111"/>
          <w:sz w:val="28"/>
          <w:szCs w:val="28"/>
          <w:rtl w:val="true"/>
          <w:lang w:bidi="fa-IR"/>
        </w:rPr>
        <w:t>!»</w:t>
      </w:r>
      <w:r>
        <w:rPr>
          <w:rStyle w:val="FootnoteAnchor"/>
          <w:rtl w:val="true"/>
        </w:rPr>
        <w:footnoteReference w:id="696"/>
      </w:r>
      <w:r>
        <w:rPr>
          <w:rFonts w:ascii="Amiri" w:hAnsi="Amiri" w:eastAsia="Amiri" w:cs="Amiri"/>
          <w:color w:val="111111"/>
          <w:sz w:val="28"/>
          <w:sz w:val="28"/>
          <w:szCs w:val="28"/>
          <w:rtl w:val="true"/>
          <w:lang w:bidi="ar-SA"/>
        </w:rPr>
        <w:t xml:space="preserve">بناءً على كون الذيل بصدد بيان الماهية ، لا غسل الجنابة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على أنّ الوضوء معه بدعة ، كصحيحة سليمان بن خالد عن أبي جعفر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بعد الغسل بدعة</w:t>
      </w:r>
      <w:r>
        <w:rPr>
          <w:rFonts w:eastAsia="IRNazanin" w:cs="IRNazanin"/>
          <w:color w:val="111111"/>
          <w:sz w:val="28"/>
          <w:szCs w:val="28"/>
          <w:rtl w:val="true"/>
          <w:lang w:bidi="fa-IR"/>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ورواية عبداللّه بن سليمان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بعد الغسل بدعة</w:t>
      </w:r>
      <w:r>
        <w:rPr>
          <w:rFonts w:eastAsia="IRNazanin" w:cs="IRNazanin"/>
          <w:color w:val="111111"/>
          <w:sz w:val="28"/>
          <w:szCs w:val="28"/>
          <w:rtl w:val="true"/>
          <w:lang w:bidi="fa-IR"/>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محمّد بن أحمد بن يحيى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الوضوء قبل الغسل وبعده بدعة</w:t>
      </w:r>
      <w:r>
        <w:rPr>
          <w:rFonts w:eastAsia="Amiri" w:cs="Amiri" w:ascii="Amiri" w:hAnsi="Amiri"/>
          <w:color w:val="111111"/>
          <w:sz w:val="28"/>
          <w:szCs w:val="28"/>
          <w:rtl w:val="true"/>
          <w:lang w:bidi="ar-SA"/>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في خصوص غسل الجنابة ، كصحيحة زرارة ، عن أبي عبداللّه علیه السلام ذكر فيها كيفية غسل الجنابة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قبله ولا بعده وضوء</w:t>
      </w:r>
      <w:r>
        <w:rPr>
          <w:rFonts w:eastAsia="IRNazanin" w:cs="IRNazanin"/>
          <w:color w:val="111111"/>
          <w:sz w:val="28"/>
          <w:szCs w:val="28"/>
          <w:rtl w:val="true"/>
          <w:lang w:bidi="fa-IR"/>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ورواية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الكوفة يروون عن علي علیه السلام أ نّه كان يأمر بالوضوء قبل الغسل من الجنابة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كذبوا على علي علیه السلام ، ما وجدوا ذلك في كتاب علي علیه السلام ، قال اللّه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كُنْتُمْ جُنُبَاً فَاطَّهَّرُوا</w:t>
      </w:r>
      <w:r>
        <w:rPr>
          <w:rFonts w:eastAsia="IRNazanin" w:cs="IRNazanin"/>
          <w:color w:val="111111"/>
          <w:sz w:val="28"/>
          <w:szCs w:val="28"/>
          <w:rtl w:val="true"/>
          <w:lang w:bidi="fa-IR"/>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وصحيحة البزنطي ، عن أبي الحسن علیه السلام قال بعد ذكر كيفية غسل الجنابة وآدابه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وضوء فيه</w:t>
      </w:r>
      <w:r>
        <w:rPr>
          <w:rFonts w:eastAsia="IRNazanin" w:cs="IRNazanin"/>
          <w:color w:val="111111"/>
          <w:sz w:val="28"/>
          <w:szCs w:val="28"/>
          <w:rtl w:val="true"/>
          <w:lang w:bidi="fa-IR"/>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فصّل بين غسل الجنابة وغيره ، كمرسلة ابن أبي عمير ، عن أبي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غسل قبله وضوء إلاّ غسل الجنابة</w:t>
      </w:r>
      <w:r>
        <w:rPr>
          <w:rFonts w:eastAsia="IRNazanin" w:cs="IRNazanin"/>
          <w:color w:val="111111"/>
          <w:sz w:val="28"/>
          <w:szCs w:val="28"/>
          <w:rtl w:val="true"/>
          <w:lang w:bidi="fa-IR"/>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وروايته الاُخرى الصحيحة إليه ، عن حمّاد بن عثمان أو غيره ، عن أبي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كلّ غسل وضوء إلاّ الجنابة</w:t>
      </w:r>
      <w:r>
        <w:rPr>
          <w:rFonts w:eastAsia="IRNazanin" w:cs="IRNazanin"/>
          <w:color w:val="111111"/>
          <w:sz w:val="28"/>
          <w:szCs w:val="28"/>
          <w:rtl w:val="true"/>
          <w:lang w:bidi="fa-IR"/>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قابلة للجمع العقلائي ؛ بحمل الروايات المطلقة</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غسل الجنابة بشهادة الطوائف الاُخر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يبعد هذا الجمع بعد كون غسل الجنابة هو الغسل المتداول الأكثري المحتاج إليه جميع طوائف المكلّفين ، بخلاف سائر الأغسال ، كالحيض والنفاس ممّا يحتاج إليهما طائفة منهم في بعض أوقاتها ، وكغسل الاستحاضة الذي يكون الاحتياج إليه نادراً لبعض المكلّفين ، وكغسل الجمعة وغيره ممّا لا يكون إلاّ في بعض الأحيان ولبعض المكلّفين ، فلا يكون الحمل المذكور موجباً لحمل المطلق على الفرد النادر البشيع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مضافاً إلى أنّ الظاهر من صحيحة حكم بن 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قال فيها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الناس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يتوضّأ وضوء الصلاة قبل الغسل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إلى آخره ، ورواية محمّد بن مسلم حيث قال فيها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أهل الكوفة يروون عن علي 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كون الوضوء قبل غسل الجنابة ، كان مورداً للبحث بين الناس ، حتّى كذبوا على علي علیه السلام بأ نّه كان يأمر بالوضوء قبل الغسل من الجنابة ،</w:t>
      </w:r>
    </w:p>
    <w:p>
      <w:pPr>
        <w:pStyle w:val="BookText"/>
        <w:rPr/>
      </w:pPr>
      <w:r>
        <w:rPr>
          <w:rFonts w:ascii="Amiri" w:hAnsi="Amiri" w:eastAsia="Amiri" w:cs="Amiri"/>
          <w:color w:val="111111"/>
          <w:sz w:val="28"/>
          <w:sz w:val="28"/>
          <w:szCs w:val="28"/>
          <w:rtl w:val="true"/>
          <w:lang w:bidi="ar-SA"/>
        </w:rPr>
        <w:t xml:space="preserve">وهو يوجب قرب الحمل المذكور ، وقرب احتمال أن يكون تلك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الوضوء قبل الغسل وبعده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 يجزي عن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وضوء أطهر من الغسل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ناظرةً إلى الكذب المذكور والخلاف المعهود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أحد قولي الشافعي أيضاً وجوب الوضوء قبل الغسل من الجنابة أو بعده</w:t>
      </w:r>
      <w:r>
        <w:rPr>
          <w:rStyle w:val="FootnoteAnchor"/>
          <w:rtl w:val="true"/>
        </w:rPr>
        <w:footnoteReference w:id="7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فلا أرى بأساً بهذا الجمع بعد التنبّه إلى ما ذكرنا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هنا طائفة اُخرى من الروايات متعرّضة للأغسال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ضعيفةٌ </w:t>
      </w:r>
    </w:p>
    <w:p>
      <w:pPr>
        <w:pStyle w:val="BookText"/>
        <w:rPr/>
      </w:pPr>
      <w:r>
        <w:rPr>
          <w:rFonts w:ascii="Amiri" w:hAnsi="Amiri" w:eastAsia="Amiri" w:cs="Amiri"/>
          <w:color w:val="111111"/>
          <w:sz w:val="28"/>
          <w:sz w:val="28"/>
          <w:szCs w:val="28"/>
          <w:rtl w:val="true"/>
          <w:lang w:bidi="ar-SA"/>
        </w:rPr>
        <w:t xml:space="preserve">سنداً وإن كانت تامّة الدلالة ، أو معتبرةٌ سنداً ، ضعيفةٌ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 xml:space="preserve">بدّ من التعرّض 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إبراهيم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محمّد بن عبد الرحمان الهمداني كتب إلى أبي الحسن الثالث علیه السلام يسأله عن الوضوء للصلاة في غسل الجمعة ، فكتب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وضوء للصلاة في غسل يوم الجمعة وغيره</w:t>
      </w:r>
      <w:r>
        <w:rPr>
          <w:rFonts w:eastAsia="IRNazanin" w:cs="IRNazanin"/>
          <w:color w:val="111111"/>
          <w:sz w:val="28"/>
          <w:szCs w:val="28"/>
          <w:rtl w:val="true"/>
          <w:lang w:bidi="fa-IR"/>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الرواية وإن كانت صريحة الدلالة ، إلاّ أنّ ضعف سندها </w:t>
      </w:r>
      <w:r>
        <w:rPr>
          <w:rStyle w:val="FootnoteAnchor"/>
          <w:rtl w:val="true"/>
        </w:rPr>
        <w:footnoteReference w:id="708"/>
      </w:r>
      <w:r>
        <w:rPr>
          <w:rFonts w:ascii="Amiri" w:hAnsi="Amiri" w:eastAsia="Amiri" w:cs="Amiri"/>
          <w:color w:val="111111"/>
          <w:sz w:val="28"/>
          <w:sz w:val="28"/>
          <w:szCs w:val="28"/>
          <w:rtl w:val="true"/>
          <w:lang w:bidi="ar-SA"/>
        </w:rPr>
        <w:t>مانع عن العمل بها ، كمرسلة حمّاد بن عثمان الضعيفة</w:t>
      </w:r>
      <w:r>
        <w:rPr>
          <w:rStyle w:val="FootnoteAnchor"/>
          <w:rtl w:val="true"/>
        </w:rPr>
        <w:footnoteReference w:id="709"/>
      </w:r>
      <w:r>
        <w:rPr>
          <w:rFonts w:ascii="IRNazanin" w:hAnsi="IRNazanin" w:eastAsia="IRNazanin"/>
          <w:color w:val="111111"/>
          <w:sz w:val="28"/>
          <w:sz w:val="28"/>
          <w:szCs w:val="28"/>
          <w:rtl w:val="true"/>
          <w:lang w:bidi="fa-IR"/>
        </w:rPr>
        <w:t xml:space="preserve">زائداً على الإرسال عن 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الرجل يغتسل للجمعة أو غير ذلك ، أيجزيه من الوضوء ؟ </w:t>
      </w:r>
    </w:p>
    <w:p>
      <w:pPr>
        <w:pStyle w:val="BookText"/>
        <w:rPr/>
      </w:pPr>
      <w:r>
        <w:rPr>
          <w:rFonts w:ascii="IRNazanin" w:hAnsi="IRNazanin" w:eastAsia="IRNazanin"/>
          <w:color w:val="111111"/>
          <w:sz w:val="28"/>
          <w:sz w:val="28"/>
          <w:szCs w:val="28"/>
          <w:rtl w:val="true"/>
          <w:lang w:bidi="fa-IR"/>
        </w:rPr>
        <w:t xml:space="preserve">فقال أبو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وأيُّ وضوء أطهر من الغسل</w:t>
      </w:r>
      <w:r>
        <w:rPr>
          <w:rFonts w:eastAsia="IRNazanin" w:cs="IRNazanin"/>
          <w:color w:val="111111"/>
          <w:sz w:val="28"/>
          <w:szCs w:val="28"/>
          <w:rtl w:val="true"/>
          <w:lang w:bidi="fa-IR"/>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عمّار الساباطي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عبداللّه علیه السلام عن الرجل إذا اغتسل من جنابة أو يوم جمعة أو يوم عيد ، هل عليه الوضوء قبل ذلك أو بعده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 ليس عليه قبلُ ولا بعدُ ، قد أجزأه الغسل ، والمرأة مثل ذلك ؛ إذا اغتسلت من حيض أو غير ذلك فليس عليها الوضوء لا قبلُ ولا بعدُ ، قد أجزأها الغسل</w:t>
      </w:r>
      <w:r>
        <w:rPr>
          <w:rFonts w:eastAsia="IRNazanin" w:cs="IRNazanin"/>
          <w:color w:val="111111"/>
          <w:sz w:val="28"/>
          <w:szCs w:val="28"/>
          <w:rtl w:val="true"/>
          <w:lang w:bidi="fa-IR"/>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الرواية وإن كانت معتبرة سنداً ، لكن في دلالتها ضعف ومناقشة ؛ لقرب احتمال كون المراد منها أنّ الأغسال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جنابة كانت أو جمعة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فيها الوضوء ؛ لا قبلُ ولا بعدُ ، فليست الرواية بصدد بيان حكم الصلاة ، بل بصدد بيان حكم الغسل ؛ وأنّ الغسل هل يتمّ بلا وضوء ، ويجزي غسل الجنابة عن رفع الحدث ، وكذا غسل الحيض ، ويجزي غسل الجمعة عن الوظيفة المستحبّة ، أو يحتاج إلى ضمّ وضوء قبله أو بعده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والشاهد على قرب هذا الاحتمال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يشعر بارتباط بين الوضوء والغسل ، وإلاّ فوضوء الصلاة غير مرتبط بالغسل ، فكان على السائل أن يسأل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الغسل مجزٍ عن الوضوء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مكاتبة الهمداني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وعليه يمكن حمل الروايات الواردة في أنّ الوضوء قبل الغسل أو بعده بدعة على هذا المعنى ؛ أي على أنّ الوضوء لأجل تتميم الغسل قبله أو بعده بدعة ، وهو كذلك في جميع الأغسال من غير فرق بين غسل الجنابة وغيره ، وهو غير مربوط بإجزاء الغسل عن الوضوء للصلاة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ويشهد لما ذكرنا ملاحظة سائر الروايات الواردة في هذا المضمار ، كصحيحة يعقوب بن يقطين ، عن أبي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غسل الجنابة ، فيه وضوء أم لا فيما نزل به جبرئيل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الجنب يغتسل ؛ يبدأ فيغسل يديه إلى المرفقين قبل أن يغمسهما في الماء ، ثمّ يغسل ما أصابه من أذىً ثمّ يصبّ على رأسه وعلى وجهه وعلى جسده كلّه ، ثمّ قد قضى الغسل ، ولا وضوء عليه</w:t>
      </w:r>
      <w:r>
        <w:rPr>
          <w:rFonts w:eastAsia="IRNazanin" w:cs="IRNazanin"/>
          <w:color w:val="111111"/>
          <w:sz w:val="28"/>
          <w:szCs w:val="28"/>
          <w:rtl w:val="true"/>
          <w:lang w:bidi="fa-IR"/>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حيث إنّ الظاهر من سؤاله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غسل الجنابة فيه وضوء أم لا ؟ وأنّ جبرئيل</w:t>
      </w:r>
    </w:p>
    <w:p>
      <w:pPr>
        <w:pStyle w:val="BookText"/>
        <w:rPr/>
      </w:pPr>
      <w:r>
        <w:rPr>
          <w:rFonts w:ascii="Amiri" w:hAnsi="Amiri" w:eastAsia="Amiri" w:cs="Amiri"/>
          <w:color w:val="111111"/>
          <w:sz w:val="28"/>
          <w:sz w:val="28"/>
          <w:szCs w:val="28"/>
          <w:rtl w:val="true"/>
          <w:lang w:bidi="ar-SA"/>
        </w:rPr>
        <w:t xml:space="preserve">كيف بيّن ماهية غسل الجنابة وشرح كيفيته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نزل به جبرئيل هل هو مع الوضوء بحيث يكون الوضوء شرطاً له أم لا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ويشهد لذلك كيفية الجواب ؛ حيث شرع في بيان كيفية الغسل ، وقال بعد تمام الكيفية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قد قضى الغسل ، ولا وضوء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تمّ الغسل من غير مدخل للوضوء في تحقّقه وتماميته ، وهو أمر آخر غير إجزاء الغسل عن الوضوء للصلاة ، ولو كان السؤال عنه لما كان بهذه العبارة ، كما أنّ الجواب لا يناسب ذلك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ومثلها صحيحة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غسل الجنابة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تبدأ فتغسل كفّيك ، ثمّ تفرغ بيمينك على شمالك فتغسل فرجك ومرافقك ثمّ تمضمض واستنشق ، ثمّ تغسل جسدك من لدن قرنك إلى قدميك ، ليس قبله ولا بعده وضوء ، وكلّ شيء أمسسته الماء فقد أنقيته ، ولو أنّ رجلاً جنباً ارتمس في الماء ارتماسة واحدة ، أجزأه ذلك وإن لم يدلك جسده</w:t>
      </w:r>
      <w:r>
        <w:rPr>
          <w:rFonts w:eastAsia="IRNazanin" w:cs="IRNazanin"/>
          <w:color w:val="111111"/>
          <w:sz w:val="28"/>
          <w:szCs w:val="28"/>
          <w:rtl w:val="true"/>
          <w:lang w:bidi="fa-IR"/>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زرارة سأله عن كيفية غسل الجنابة ، وهو علیه السلام بصدد بيانها ، وذكر عدم الوضوء قبله وبعده ، خصوصاً في خلال بيان الكيفية ، وبالأخصّ مع تعقيبه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وكلّ شيء أمسسته الماء فقد أنقيته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يوجب الظهور في أنّ المراد عدم دخل الوضوء في كيفية الغسل وتحقّقه ورفع الجنابة ، وهو أمر غير احتياج الصلاة إلى الوضوء وعدمه بعد رفع الجنابة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أوضح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حكم بن حكيم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غسل الجنابة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أفِضْ على كفّك اليمنى من الماء فاغسلها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وذكر كيفية الغسل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يقولون يتوضّأ وضوء الصلاة قبل الغسل ، فضحك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وأيُّ وضوءٍ أنقى من الغسل وأبلغ ؟ </w:t>
      </w:r>
      <w:r>
        <w:rPr>
          <w:rFonts w:eastAsia="IRNazanin" w:cs="IRNazanin"/>
          <w:color w:val="111111"/>
          <w:sz w:val="28"/>
          <w:szCs w:val="28"/>
          <w:rtl w:val="true"/>
          <w:lang w:bidi="fa-IR"/>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إنّ السائل سأل عن الكيفية ، وبعد ما رأى عدم ذكر الوضوء في كيفية </w:t>
      </w:r>
    </w:p>
    <w:p>
      <w:pPr>
        <w:pStyle w:val="BookText"/>
        <w:rPr/>
      </w:pPr>
      <w:r>
        <w:rPr>
          <w:rFonts w:ascii="Amiri" w:hAnsi="Amiri" w:eastAsia="Amiri" w:cs="Amiri"/>
          <w:color w:val="111111"/>
          <w:sz w:val="28"/>
          <w:sz w:val="28"/>
          <w:szCs w:val="28"/>
          <w:rtl w:val="true"/>
          <w:lang w:bidi="ar-SA"/>
        </w:rPr>
        <w:t xml:space="preserve">الغسل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الناس يقولون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 ومراده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الناس يزعمون في كيفية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للغسل وضوءاً كوضوء الصلاة ، فكما أنّ الصلاة لا تصحّ بلا وضوء كذلك الغسل ، وهذا كالصريح فيما ذكرنا من عدم كون السائل والمجيب في مقام بيان إجزاء الغسل عن الوضوء ، بل بصدد السؤال والجواب عن دخله في تحقّق الغسل وصحّته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وضوءٍ أنقى من الغسل وأبلغ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دخل له في النقاء ، والغسل أبلغ في حصول الطهارة والرافعية من الوضوء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ذكرنا يظهر حال سائر الروايات ؛ حتّى أنّ رواية أبي بكر الحضرمي عن 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تخالف تلك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تشهد بما ذكرنا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أصنع إذا أجنبت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 كفّك وفرجك ، وتوضّأ وضوء الصلاة ، ثمّ اغتسل</w:t>
      </w:r>
      <w:r>
        <w:rPr>
          <w:rFonts w:eastAsia="IRNazanin" w:cs="IRNazanin"/>
          <w:color w:val="111111"/>
          <w:sz w:val="28"/>
          <w:szCs w:val="28"/>
          <w:rtl w:val="true"/>
          <w:lang w:bidi="fa-IR"/>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 الظاهر منها أنّ هذا الأمر ، كان معهوداً في تلك الأعصار ؛ وأنّ اشتراط تحقّق الغسل بالوضوء كان مورد البحث والكلام ، فورود تلك الروايات لرفع الشبهة المذكورة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وحينئذٍ لا يبعد أن تكون مرسلة ابن أبي عمير ، عن أبي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غسل قبله وضوء إلاّ غسل الجنابة</w:t>
      </w:r>
      <w:r>
        <w:rPr>
          <w:rFonts w:eastAsia="IRNazanin" w:cs="IRNazanin"/>
          <w:color w:val="111111"/>
          <w:sz w:val="28"/>
          <w:szCs w:val="28"/>
          <w:rtl w:val="true"/>
          <w:lang w:bidi="fa-IR"/>
        </w:rPr>
        <w:t>»</w:t>
      </w:r>
      <w:r>
        <w:rPr>
          <w:rStyle w:val="FootnoteAnchor"/>
          <w:rtl w:val="true"/>
        </w:rPr>
        <w:footnoteReference w:id="716"/>
      </w:r>
      <w:r>
        <w:rPr>
          <w:rFonts w:ascii="IRNazanin" w:hAnsi="IRNazanin" w:eastAsia="IRNazanin"/>
          <w:color w:val="111111"/>
          <w:sz w:val="28"/>
          <w:sz w:val="28"/>
          <w:szCs w:val="28"/>
          <w:rtl w:val="true"/>
          <w:lang w:bidi="fa-IR"/>
        </w:rPr>
        <w:t xml:space="preserve">ومرسلته الاُخرى أو </w:t>
      </w:r>
    </w:p>
    <w:p>
      <w:pPr>
        <w:pStyle w:val="BookText"/>
        <w:rPr/>
      </w:pPr>
      <w:r>
        <w:rPr>
          <w:rFonts w:ascii="Amiri" w:hAnsi="Amiri" w:eastAsia="Amiri" w:cs="Amiri"/>
          <w:color w:val="111111"/>
          <w:sz w:val="28"/>
          <w:sz w:val="28"/>
          <w:szCs w:val="28"/>
          <w:rtl w:val="true"/>
          <w:lang w:bidi="ar-SA"/>
        </w:rPr>
        <w:t>صحيحته عنه</w:t>
      </w:r>
      <w:r>
        <w:rPr>
          <w:rStyle w:val="FootnoteAnchor"/>
          <w:rtl w:val="true"/>
        </w:rPr>
        <w:footnoteReference w:id="71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غسل وضوء إلاّ الجنابة</w:t>
      </w:r>
      <w:r>
        <w:rPr>
          <w:rFonts w:eastAsia="Amiri" w:cs="Amiri" w:ascii="Amiri" w:hAnsi="Amiri"/>
          <w:color w:val="111111"/>
          <w:sz w:val="28"/>
          <w:szCs w:val="28"/>
          <w:rtl w:val="true"/>
          <w:lang w:bidi="ar-SA"/>
        </w:rPr>
        <w:t>»</w:t>
      </w:r>
      <w:r>
        <w:rPr>
          <w:rStyle w:val="FootnoteAnchor"/>
          <w:rtl w:val="true"/>
        </w:rPr>
        <w:footnoteReference w:id="718"/>
      </w:r>
      <w:r>
        <w:rPr>
          <w:rFonts w:ascii="Amiri" w:hAnsi="Amiri" w:eastAsia="Amiri" w:cs="Amiri"/>
          <w:color w:val="111111"/>
          <w:sz w:val="28"/>
          <w:sz w:val="28"/>
          <w:szCs w:val="28"/>
          <w:rtl w:val="true"/>
          <w:lang w:bidi="ar-SA"/>
        </w:rPr>
        <w:t xml:space="preserve">أيضاً من هذا الوادي ، ولا تكون ناظرة إلى إجزائه عنه للصلاة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فتبقى صحيحة محمّد بن مسلم المتقدّمة ، عن أبي جعفر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الغسل يجزي عن الوضوء ، وأيُّ وضوءٍ أطهر من الغسل ؟ </w:t>
      </w:r>
      <w:r>
        <w:rPr>
          <w:rFonts w:eastAsia="IRNazanin" w:cs="IRNazanin"/>
          <w:color w:val="111111"/>
          <w:sz w:val="28"/>
          <w:szCs w:val="28"/>
          <w:rtl w:val="true"/>
          <w:lang w:bidi="fa-IR"/>
        </w:rPr>
        <w:t>!»</w:t>
      </w:r>
      <w:r>
        <w:rPr>
          <w:rStyle w:val="FootnoteAnchor"/>
          <w:rtl w:val="true"/>
        </w:rPr>
        <w:footnoteReference w:id="719"/>
      </w:r>
      <w:r>
        <w:rPr>
          <w:rFonts w:ascii="IRNazanin" w:hAnsi="IRNazanin" w:eastAsia="IRNazanin"/>
          <w:color w:val="111111"/>
          <w:sz w:val="28"/>
          <w:sz w:val="28"/>
          <w:szCs w:val="28"/>
          <w:rtl w:val="true"/>
          <w:lang w:bidi="fa-IR"/>
        </w:rPr>
        <w:t xml:space="preserve">بلا معارض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كون جميع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رواية واحدة هي مكاتبة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مربوطة بتلك المسألة ؛ أي بدخل الوضوء في تحقّق الغسل ، وأنّ تلك المسألة كانت مطرحاً في ذلك العصر ، لم يبقَ ظهور للصحيحة في إجزاء الغسل عن الوضوء للصلاة ، بل من المحتمل قويّاً كونها بصدد بيان ما تكون سائر الروايات بصدده ؛ من إجزاء كلّ غسل وكفايته عن الوضوء في رفع الجنابة أو حدث الحيض أو حصول وظيفة الجمعة والعيد ، خصوصاً مع ورود نظير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وضوءٍ أطهر من الغسل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حكم بن حكيم التي عرفت ظهورها في عدم شرطية الوضوء للغسل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فحينئذٍ يبقى إجزاء غسل الجنابة عن الوضوء للصلاة بلا دليل إلاّ قوله تعالى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كُنْتُمْ جُنُباً فَاطَّهَّرُوا</w:t>
      </w:r>
      <w:r>
        <w:rPr>
          <w:rFonts w:eastAsia="Amiri" w:cs="Amiri" w:ascii="Amiri" w:hAnsi="Amiri"/>
          <w:color w:val="111111"/>
          <w:sz w:val="28"/>
          <w:szCs w:val="28"/>
          <w:rtl w:val="true"/>
          <w:lang w:bidi="ar-SA"/>
        </w:rPr>
        <w:t>(</w:t>
      </w:r>
      <w:r>
        <w:rPr>
          <w:rStyle w:val="FootnoteAnchor"/>
          <w:rtl w:val="true"/>
        </w:rPr>
        <w:footnoteReference w:id="720"/>
      </w:r>
      <w:r>
        <w:rPr>
          <w:rFonts w:ascii="Amiri" w:hAnsi="Amiri" w:eastAsia="Amiri" w:cs="Amiri"/>
          <w:color w:val="111111"/>
          <w:sz w:val="28"/>
          <w:sz w:val="28"/>
          <w:szCs w:val="28"/>
          <w:rtl w:val="true"/>
          <w:lang w:bidi="ar-SA"/>
        </w:rPr>
        <w:t xml:space="preserve">على تأمّل في دلالته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الحكم واضح لا يحتاج إلى إقامة دليل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سائر الأغسال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فمقتضى القاعدة والعمومات عدم كفايتها للصلاة مع الابتلاء بالحدث الأصغر ، وفي غير مورده يتمّ بعدم القول بالفصل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المقصود في خصوص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أعمّ منه ومن غسل الاستحاضة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الروايات ، كمرسلة يونس الطويلة ، وفيها في السنّة الاُولى من السنن الثلاث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وسئل عن المستحاضة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عِرق غابر أو رَكْضة من الشيطان ، فلتدع الصلاة أيّام أقرائها ثمّ تغتسل ، وتتوضّأ لكلّ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سال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سال مثل الشِّعْب</w:t>
      </w:r>
      <w:r>
        <w:rPr>
          <w:rFonts w:eastAsia="Amiri" w:cs="Amiri" w:ascii="Amiri" w:hAnsi="Amiri"/>
          <w:color w:val="111111"/>
          <w:sz w:val="28"/>
          <w:szCs w:val="28"/>
          <w:rtl w:val="true"/>
          <w:lang w:bidi="ar-SA"/>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الظاهر أنّ الغسل هو غسل الحيض وقد أمرها بالوضوء لكلّ صلاة ،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لعدم الاحتياج إلى الوضوء بإطلاق الأوامر الواردة في الأغسال من غير ذكر وضوء</w:t>
      </w:r>
      <w:r>
        <w:rPr>
          <w:rStyle w:val="FootnoteAnchor"/>
          <w:rtl w:val="true"/>
        </w:rPr>
        <w:footnoteReference w:id="7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محلّ المنع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وردت روايات في باب الاستحاضة لا يبعد إطلاقها ، وسيأتي الكلام فيها إن شاء اللّه‌</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 xml:space="preserve">. </w:t>
      </w:r>
      <w:bookmarkStart w:id="443" w:name="pg15019_190797"/>
    </w:p>
    <w:p>
      <w:pPr>
        <w:pStyle w:val="BookText"/>
        <w:rPr/>
      </w:pPr>
      <w:bookmarkEnd w:id="443"/>
      <w:r>
        <w:rPr>
          <w:rFonts w:ascii="IRNazanin" w:hAnsi="IRNazanin" w:eastAsia="IRNazanin"/>
          <w:color w:val="111111"/>
          <w:sz w:val="28"/>
          <w:sz w:val="28"/>
          <w:szCs w:val="28"/>
          <w:rtl w:val="true"/>
          <w:lang w:bidi="fa-IR"/>
        </w:rPr>
        <w:t xml:space="preserve">هذا كلّه مع قطع النظر عن اشتهار الحكم بين الأصحاب ؛ ممّا يُشرف المنصف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بالنظر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القطع بكون الحكم معروفاً من الصدر الأوّل ، ومأخوذاً من الطبقات المعاصرة لزمن المعصومين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وخلاف ابن الجنيد</w:t>
      </w:r>
      <w:r>
        <w:rPr>
          <w:rStyle w:val="FootnoteAnchor"/>
          <w:rtl w:val="true"/>
        </w:rPr>
        <w:footnoteReference w:id="724"/>
      </w:r>
      <w:r>
        <w:rPr>
          <w:rFonts w:ascii="Amiri" w:hAnsi="Amiri" w:eastAsia="Amiri" w:cs="Amiri"/>
          <w:color w:val="111111"/>
          <w:sz w:val="28"/>
          <w:sz w:val="28"/>
          <w:szCs w:val="28"/>
          <w:rtl w:val="true"/>
          <w:lang w:bidi="ar-SA"/>
        </w:rPr>
        <w:t>غير معتدّ به ، وخلاف السيّد</w:t>
      </w:r>
      <w:r>
        <w:rPr>
          <w:rStyle w:val="FootnoteAnchor"/>
          <w:rtl w:val="true"/>
        </w:rPr>
        <w:footnoteReference w:id="725"/>
      </w:r>
      <w:r>
        <w:rPr>
          <w:rFonts w:ascii="Amiri" w:hAnsi="Amiri" w:eastAsia="Amiri" w:cs="Amiri"/>
          <w:color w:val="111111"/>
          <w:sz w:val="28"/>
          <w:sz w:val="28"/>
          <w:szCs w:val="28"/>
          <w:rtl w:val="true"/>
          <w:lang w:bidi="ar-SA"/>
        </w:rPr>
        <w:t>لا يضرّ بعد عدم موافق له من المتقدّمين ، كخلاف الأردبيلي</w:t>
      </w:r>
    </w:p>
    <w:p>
      <w:pPr>
        <w:pStyle w:val="BookText"/>
        <w:rPr/>
      </w:pPr>
      <w:r>
        <w:rPr>
          <w:rFonts w:ascii="IRNazanin" w:hAnsi="IRNazanin" w:eastAsia="IRNazanin"/>
          <w:color w:val="111111"/>
          <w:sz w:val="28"/>
          <w:sz w:val="28"/>
          <w:szCs w:val="28"/>
          <w:rtl w:val="true"/>
          <w:lang w:bidi="fa-IR"/>
        </w:rPr>
        <w:t>وأتباعه</w:t>
      </w:r>
      <w:r>
        <w:rPr>
          <w:rStyle w:val="FootnoteAnchor"/>
          <w:rtl w:val="true"/>
        </w:rPr>
        <w:footnoteReference w:id="726"/>
      </w:r>
      <w:r>
        <w:rPr>
          <w:rFonts w:ascii="Amiri" w:hAnsi="Amiri" w:eastAsia="Amiri" w:cs="Amiri"/>
          <w:color w:val="111111"/>
          <w:sz w:val="28"/>
          <w:sz w:val="28"/>
          <w:szCs w:val="28"/>
          <w:rtl w:val="true"/>
          <w:lang w:bidi="ar-SA"/>
        </w:rPr>
        <w:t xml:space="preserve">ممّن لا يعتنون بالشهرات والإجماعات </w:t>
      </w:r>
      <w:r>
        <w:rPr>
          <w:rFonts w:eastAsia="Amiri" w:cs="Amiri" w:ascii="Amiri" w:hAnsi="Amiri"/>
          <w:color w:val="111111"/>
          <w:sz w:val="28"/>
          <w:szCs w:val="28"/>
          <w:rtl w:val="true"/>
          <w:lang w:bidi="ar-SA"/>
        </w:rPr>
        <w:t>.</w:t>
      </w:r>
    </w:p>
    <w:p>
      <w:pPr>
        <w:pStyle w:val="Heading6"/>
        <w:numPr>
          <w:ilvl w:val="5"/>
          <w:numId w:val="1"/>
        </w:numPr>
        <w:rPr/>
      </w:pPr>
      <w:bookmarkStart w:id="444" w:name="__RefHeading___Toc686486_3406789950"/>
      <w:bookmarkStart w:id="445" w:name="_Toc161"/>
      <w:bookmarkEnd w:id="444"/>
      <w:r>
        <w:rPr>
          <w:rtl w:val="true"/>
        </w:rPr>
        <w:t>حول وجوب تقديم الوضوء على الغسل وجوباً شرطياً</w:t>
      </w:r>
      <w:bookmarkEnd w:id="445"/>
    </w:p>
    <w:p>
      <w:pPr>
        <w:pStyle w:val="BookText"/>
        <w:rPr/>
      </w:pPr>
      <w:r>
        <w:rPr>
          <w:rFonts w:ascii="Amiri" w:hAnsi="Amiri" w:eastAsia="Amiri" w:cs="Amiri"/>
          <w:color w:val="111111"/>
          <w:sz w:val="28"/>
          <w:sz w:val="28"/>
          <w:szCs w:val="28"/>
          <w:rtl w:val="true"/>
          <w:lang w:bidi="ar-SA"/>
        </w:rPr>
        <w:t xml:space="preserve">وممّا ذكرنا يظهر الحال في خلاف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وجوب تقديم الوضوء على الغسل وجوباً شرطياً في خصوص الأغسال الواجبة ، أو فيها وفي المستحبّة</w:t>
      </w:r>
      <w:r>
        <w:rPr>
          <w:rStyle w:val="FootnoteAnchor"/>
          <w:rtl w:val="true"/>
        </w:rPr>
        <w:footnoteReference w:id="727"/>
      </w:r>
      <w:r>
        <w:rPr>
          <w:rFonts w:ascii="Amiri" w:hAnsi="Amiri" w:eastAsia="Amiri" w:cs="Amiri"/>
          <w:color w:val="111111"/>
          <w:sz w:val="28"/>
          <w:sz w:val="28"/>
          <w:szCs w:val="28"/>
          <w:rtl w:val="true"/>
          <w:lang w:bidi="ar-SA"/>
        </w:rPr>
        <w:t>أو وجوب التقديم شرعياً لا شرطياً ، كما عن المولى البهبهاني</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ووجه اللزوم شرطياً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الاستظهار من مرسلتي ابن أبي عمير وحمل المطلق على المقيّد ؛ أي إحدى المرسلتين على الاُخرى ، فمع دعوى اختصاصهما بالواجبات تكونان مبنى الأوّل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التعميم مؤيّداً برواية علي بن يقطين ، عن أبي الحسن الأوّل علیه السلام قال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أن تغتسل للجمعة فتوضّأ واغتسل</w:t>
      </w:r>
      <w:r>
        <w:rPr>
          <w:rFonts w:eastAsia="Amiri" w:cs="Amiri" w:ascii="Amiri" w:hAnsi="Amiri"/>
          <w:color w:val="111111"/>
          <w:sz w:val="28"/>
          <w:szCs w:val="28"/>
          <w:rtl w:val="true"/>
          <w:lang w:bidi="ar-SA"/>
        </w:rPr>
        <w:t>»</w:t>
      </w:r>
      <w:r>
        <w:rPr>
          <w:rStyle w:val="FootnoteAnchor"/>
          <w:rtl w:val="true"/>
        </w:rPr>
        <w:footnoteReference w:id="729"/>
      </w:r>
      <w:r>
        <w:rPr>
          <w:rFonts w:ascii="Amiri" w:hAnsi="Amiri" w:eastAsia="Amiri" w:cs="Amiri"/>
          <w:color w:val="111111"/>
          <w:sz w:val="28"/>
          <w:sz w:val="28"/>
          <w:szCs w:val="28"/>
          <w:rtl w:val="true"/>
          <w:lang w:bidi="ar-SA"/>
        </w:rPr>
        <w:t xml:space="preserve">تكونان مبنى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إنكار الظهور في الشرطية مبنى الثالث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قد عرفت كون جميع روايات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وادٍ واحد ؛ هو إثبات الشرطية ونفيها ، فحينئذٍ يقع التعارض بين ما تقدّم وبين موثّقة عمّار الساباطي ؛ حيث صرّح فيها بعدم الوضوء قبل غسل الجنابة والجمعة والعيد والحيض وبعدها </w:t>
      </w:r>
      <w:r>
        <w:rPr>
          <w:rStyle w:val="FootnoteAnchor"/>
          <w:rtl w:val="true"/>
        </w:rPr>
        <w:footnoteReference w:id="730"/>
      </w:r>
      <w:r>
        <w:rPr>
          <w:rFonts w:ascii="Amiri" w:hAnsi="Amiri" w:eastAsia="Amiri" w:cs="Amiri"/>
          <w:color w:val="111111"/>
          <w:sz w:val="28"/>
          <w:sz w:val="28"/>
          <w:szCs w:val="28"/>
          <w:rtl w:val="true"/>
          <w:lang w:bidi="ar-SA"/>
        </w:rPr>
        <w:t xml:space="preserve">، فلا بدّ من حمل المرسلتين ورواية ابن يقطين على الاستحباب جمعاً ، وإن كان القول بالاستحباب أيضاً لا يخلو من مناقشة ؛ لما دلّ على أنّ الوضوء قبل الغسل وبعده بدعة ، ولعدم ذكر الوضوء في شيء من الروايات الواردة في باب الأغسال الواجبة والمستحبّة ، مع كثرتها جدّاً ، وكون كثير منها في مقام بيان الآداب ، وبعد عدم التنبيه على هذا الأدب الذي لو كان مستحبّاً لكان أهمّ من سائر الآداب ، وإنّما ذكر ذلك في رواية واحدة هي رواية ابن يقطين ومرسلةٍ يمكن أن تكون عين تلك الرواية، مع ظهورها في الشرطية التي قد عرفت حالها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فممّا يوجب الجزم بعدم شرطية الوضوء للأغسال الواجبة</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والمستحبّة ، هو تلك الروايات الكثيرة الواردة في مقام بيان كيفية الغسل ، كروايات غسل الميّت</w:t>
      </w:r>
      <w:r>
        <w:rPr>
          <w:rStyle w:val="FootnoteAnchor"/>
          <w:rtl w:val="true"/>
        </w:rPr>
        <w:footnoteReference w:id="731"/>
      </w:r>
      <w:r>
        <w:rPr>
          <w:rFonts w:ascii="Amiri" w:hAnsi="Amiri" w:eastAsia="Amiri" w:cs="Amiri"/>
          <w:color w:val="111111"/>
          <w:sz w:val="28"/>
          <w:sz w:val="28"/>
          <w:szCs w:val="28"/>
          <w:rtl w:val="true"/>
          <w:lang w:bidi="ar-SA"/>
        </w:rPr>
        <w:t>وغسل المسّ</w:t>
      </w:r>
      <w:r>
        <w:rPr>
          <w:rStyle w:val="FootnoteAnchor"/>
          <w:rtl w:val="true"/>
        </w:rPr>
        <w:footnoteReference w:id="732"/>
      </w:r>
      <w:r>
        <w:rPr>
          <w:rFonts w:ascii="Amiri" w:hAnsi="Amiri" w:eastAsia="Amiri" w:cs="Amiri"/>
          <w:color w:val="111111"/>
          <w:sz w:val="28"/>
          <w:sz w:val="28"/>
          <w:szCs w:val="28"/>
          <w:rtl w:val="true"/>
          <w:lang w:bidi="ar-SA"/>
        </w:rPr>
        <w:t xml:space="preserve">وما ورد في الأغسال المستحبّة </w:t>
      </w:r>
      <w:bookmarkStart w:id="446" w:name="pg15019_190799"/>
    </w:p>
    <w:p>
      <w:pPr>
        <w:pStyle w:val="BookText"/>
        <w:rPr/>
      </w:pPr>
      <w:bookmarkEnd w:id="446"/>
      <w:r>
        <w:rPr>
          <w:rFonts w:ascii="Amiri" w:hAnsi="Amiri" w:eastAsia="Amiri" w:cs="Amiri"/>
          <w:color w:val="111111"/>
          <w:sz w:val="28"/>
          <w:sz w:val="28"/>
          <w:szCs w:val="28"/>
          <w:rtl w:val="true"/>
          <w:lang w:bidi="ar-SA"/>
        </w:rPr>
        <w:t xml:space="preserve">على كثرتها </w:t>
      </w:r>
      <w:r>
        <w:rPr>
          <w:rStyle w:val="FootnoteAnchor"/>
          <w:rtl w:val="true"/>
        </w:rPr>
        <w:footnoteReference w:id="733"/>
      </w:r>
      <w:r>
        <w:rPr>
          <w:rFonts w:ascii="Amiri" w:hAnsi="Amiri" w:eastAsia="Amiri" w:cs="Amiri"/>
          <w:color w:val="111111"/>
          <w:sz w:val="28"/>
          <w:sz w:val="28"/>
          <w:szCs w:val="28"/>
          <w:rtl w:val="true"/>
          <w:lang w:bidi="ar-SA"/>
        </w:rPr>
        <w:t xml:space="preserve">؛ فإنّ عدم ذكره فيها دليل قطعي على عدم اشتراطها به ، وعدم وجوبه قبلها </w:t>
      </w:r>
      <w:r>
        <w:rPr>
          <w:rFonts w:eastAsia="Amiri" w:cs="Amiri" w:ascii="Amiri" w:hAnsi="Amiri"/>
          <w:color w:val="111111"/>
          <w:sz w:val="28"/>
          <w:szCs w:val="28"/>
          <w:rtl w:val="true"/>
          <w:lang w:bidi="ar-SA"/>
        </w:rPr>
        <w:t>.</w:t>
      </w:r>
    </w:p>
    <w:p>
      <w:pPr>
        <w:pStyle w:val="Heading6"/>
        <w:numPr>
          <w:ilvl w:val="5"/>
          <w:numId w:val="1"/>
        </w:numPr>
        <w:rPr/>
      </w:pPr>
      <w:bookmarkStart w:id="447" w:name="__RefHeading___Toc686488_3406789950"/>
      <w:bookmarkStart w:id="448" w:name="_Toc162"/>
      <w:bookmarkEnd w:id="447"/>
      <w:r>
        <w:rPr>
          <w:rtl w:val="true"/>
        </w:rPr>
        <w:t>في كيفية رفع غسل الحيض والوضوء الحدثين</w:t>
      </w:r>
      <w:bookmarkEnd w:id="448"/>
    </w:p>
    <w:p>
      <w:pPr>
        <w:pStyle w:val="BookText"/>
        <w:rPr/>
      </w:pPr>
      <w:r>
        <w:rPr>
          <w:rFonts w:ascii="Amiri" w:hAnsi="Amiri" w:eastAsia="Amiri" w:cs="Amiri"/>
          <w:color w:val="111111"/>
          <w:sz w:val="28"/>
          <w:sz w:val="28"/>
          <w:szCs w:val="28"/>
          <w:rtl w:val="true"/>
          <w:lang w:bidi="ar-SA"/>
        </w:rPr>
        <w:t xml:space="preserve">بقي الكلام في شيء تعرّض 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الغسل والوضوء هل هما مشتركان في رفع الحدثين ، أو هما رافعان على التوزيع ؛ فالغسل للأكبر ، والوضوء للأصغر ؟</w:t>
      </w:r>
      <w:r>
        <w:rPr>
          <w:rFonts w:eastAsia="Amiri" w:cs="Amiri" w:ascii="Amiri" w:hAnsi="Amiri"/>
          <w:color w:val="111111"/>
          <w:sz w:val="28"/>
          <w:szCs w:val="28"/>
          <w:rtl w:val="true"/>
          <w:lang w:bidi="ar-SA"/>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وتفصيل الكلام بحسب مقام التصوّر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قد يقع الكلام فيما إذا وجد سبب الأصغر والأكبر ، وتقدّم أحدهما على الآخر أو تأخّر أو تقارنا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يقع فيما إذا وجد سبب الأكبر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الحدثان ماهيتين متباينتين ؛ فيؤثّر الأصغر في ماهية ، والأكبر في ماهية مباينة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يؤثّر كلٌّ في ماهية متخالفة مع الاُخرى ؛ قابلة للانطباق على وجود خارجي في القدر المشترك ،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الحدث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عنواناً منطبقاً على مرتبة من الحدث الأكبر ، ويكون الأكبر ذا مراتب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مرتبة غير منطبق عليها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ومرتبة منطبق عليها عنوانه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يكون المقدار المشترك وجوداً شخصياً ؛ إن قدّم سبب الأصغر في </w:t>
      </w:r>
    </w:p>
    <w:p>
      <w:pPr>
        <w:pStyle w:val="BookText"/>
        <w:rPr/>
      </w:pPr>
      <w:r>
        <w:rPr>
          <w:rFonts w:ascii="Amiri" w:hAnsi="Amiri" w:eastAsia="Amiri" w:cs="Amiri"/>
          <w:color w:val="111111"/>
          <w:sz w:val="28"/>
          <w:sz w:val="28"/>
          <w:szCs w:val="28"/>
          <w:rtl w:val="true"/>
          <w:lang w:bidi="ar-SA"/>
        </w:rPr>
        <w:t xml:space="preserve">إيجاده ، يكون سبب الأكبر مؤثّراً في مرتبة اُخرى ، وإن قدّم سبب الأكبر لا يؤثّر الأصغر ، فيكون السببان بالنسبة إلى المرتبة المشتركة كالأسباب المتعاقبة للحدث الأصغر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مقتضى الاحتمال الأوّل والثاني ؛ هو فعلية سببية كلّ موجِبٍ في مسبَّبه الخاصّ ، ورافعية الوضوء للحدث الأصغر والغسل للأكبر ، فمع الغسل ترفع الماهية الآتية من سبب الأكبر ، وتبقى الماهية الآتية من سبب 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احتمال اشتراكهما في رفع المجموع فضعيف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ولازم الثالث هو رفع الغسل ما يأتي من قِبل سبب الأكبر ، وعدم الاحتياج إلى الوضوء إن كان الغسل رافعاً لتمام ما يجيء من سبب الأكبر ، وبمقدار الاختصاص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 يجيء من سبب الأكبر لا يرتفع تمامه به ، فيكون الرافع للبقيّة هو الوضوء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احتمال كونهما مشتركين في أصل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عدم تأثير الغسل مطلقاً إلاّ بضمّ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دفعناه في المسألة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احتمال كون الغسل رافعاً لتمام ما يأتي من سبب الأكبر في الفرض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يلزم منه عدم الاحتياج إلى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تدفعه الشهرة السابقة مع عمومات أسباب الوضوء ، كما مرّ</w:t>
      </w:r>
      <w:r>
        <w:rPr>
          <w:rStyle w:val="FootnoteAnchor"/>
          <w:rtl w:val="true"/>
        </w:rPr>
        <w:footnoteReference w:id="7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فاحتمال الاشتراك بهذا المعنى ضعيف مدفوع بما سلف ، وأمّا على سائر الاحتمالات ، فلا يكون الاشتراك إلاّ بوجه لا ينافي الاختصاص </w:t>
      </w:r>
      <w:r>
        <w:rPr>
          <w:rFonts w:eastAsia="Amiri" w:cs="Amiri" w:ascii="Amiri" w:hAnsi="Amiri"/>
          <w:color w:val="111111"/>
          <w:sz w:val="28"/>
          <w:szCs w:val="28"/>
          <w:rtl w:val="true"/>
          <w:lang w:bidi="ar-SA"/>
        </w:rPr>
        <w:t xml:space="preserve">. </w:t>
      </w:r>
      <w:bookmarkStart w:id="449" w:name="pg15019_190801"/>
    </w:p>
    <w:p>
      <w:pPr>
        <w:pStyle w:val="BookText"/>
        <w:rPr/>
      </w:pPr>
      <w:bookmarkEnd w:id="449"/>
      <w:r>
        <w:rPr>
          <w:rFonts w:ascii="Amiri" w:hAnsi="Amiri" w:eastAsia="Amiri" w:cs="Amiri"/>
          <w:color w:val="111111"/>
          <w:sz w:val="28"/>
          <w:sz w:val="28"/>
          <w:szCs w:val="28"/>
          <w:rtl w:val="true"/>
          <w:lang w:bidi="ar-SA"/>
        </w:rPr>
        <w:t xml:space="preserve">فحينئذٍ يكون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جميع الاحتمالات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رافعاً لما يأتي من سبب الأصغر ، والغسل لما يأتي من سبب الأكبر على بعض الاحتمالات المتقدّمة ، وعلى بعض الاحتمالات يكون الوضوء رافعاً لبعض ما يأتي من سبب الأكبر ، والغسل لبعض آخر ، فيكون كلٌّ منهما رافعاً ، فما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كون الوضوء غير رافع ، بل مبيح تقدّم أو تأخّر ، والغسل رافع كذلك</w:t>
      </w:r>
      <w:r>
        <w:rPr>
          <w:rStyle w:val="FootnoteAnchor"/>
          <w:rtl w:val="true"/>
        </w:rPr>
        <w:footnoteReference w:id="736"/>
      </w:r>
      <w:r>
        <w:rPr>
          <w:rFonts w:ascii="Amiri" w:hAnsi="Amiri" w:eastAsia="Amiri" w:cs="Amiri"/>
          <w:color w:val="111111"/>
          <w:sz w:val="28"/>
          <w:sz w:val="28"/>
          <w:szCs w:val="28"/>
          <w:rtl w:val="true"/>
          <w:lang w:bidi="ar-SA"/>
        </w:rPr>
        <w:t xml:space="preserve">، غير وجيه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مع تحقّق السببين </w:t>
      </w:r>
      <w:r>
        <w:rPr>
          <w:rFonts w:eastAsia="Amiri" w:cs="Amiri" w:ascii="Amiri" w:hAnsi="Amiri"/>
          <w:color w:val="111111"/>
          <w:sz w:val="28"/>
          <w:szCs w:val="28"/>
          <w:rtl w:val="true"/>
          <w:lang w:bidi="ar-SA"/>
        </w:rPr>
        <w:t>.</w:t>
      </w:r>
    </w:p>
    <w:p>
      <w:pPr>
        <w:pStyle w:val="Heading6"/>
        <w:numPr>
          <w:ilvl w:val="5"/>
          <w:numId w:val="1"/>
        </w:numPr>
        <w:rPr/>
      </w:pPr>
      <w:bookmarkStart w:id="450" w:name="__RefHeading___Toc686490_3406789950"/>
      <w:bookmarkStart w:id="451" w:name="_Toc163"/>
      <w:bookmarkEnd w:id="450"/>
      <w:r>
        <w:rPr>
          <w:rtl w:val="true"/>
        </w:rPr>
        <w:t>في الالتزام بالتوزيع مع تحقّق سبب الأكبر دون الأصغر</w:t>
      </w:r>
      <w:bookmarkEnd w:id="451"/>
    </w:p>
    <w:p>
      <w:pPr>
        <w:pStyle w:val="BookText"/>
        <w:rPr/>
      </w:pPr>
      <w:r>
        <w:rPr>
          <w:rFonts w:ascii="Amiri" w:hAnsi="Amiri" w:eastAsia="Amiri" w:cs="Amiri"/>
          <w:color w:val="111111"/>
          <w:sz w:val="28"/>
          <w:sz w:val="28"/>
          <w:szCs w:val="28"/>
          <w:rtl w:val="true"/>
          <w:lang w:bidi="ar-SA"/>
        </w:rPr>
        <w:t xml:space="preserve">وأمّا مع تحقّق سبب الأكبر دون الأصغر ، فمع القول بلزوم الوضوء للصلاة ، لا بدّ وأن يكون سبب الأكبر موجباً لشيء لا يرتفع بالغسل ، فحينئذٍ إن قام الدليل على جواز دخول المرأة في المسجدين واللبث في المساجد مثلاً مع الغسل فقط ، يكون هو مع ما دلّ على لزوم الوضوء للصلاة ، دالّين بالاقتضاء على التوزيع في التأثير ، فيكون الوضوء رافعاً لمرتبة ممّا يأتي بسبب الحيض ، والغسل لمرتبة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احتمال كون الوضوء مبيحاً غير رافع فضعيف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بالتوزيع هو الأقوى ، مع كون الحكم موافقاً لارتكاز</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المتشرِّعة ، والظاهر استفادته من مجموع الأدلّة ، فتدبّر </w:t>
      </w:r>
      <w:r>
        <w:rPr>
          <w:rFonts w:eastAsia="Amiri" w:cs="Amiri" w:ascii="Amiri" w:hAnsi="Amiri"/>
          <w:color w:val="111111"/>
          <w:sz w:val="28"/>
          <w:szCs w:val="28"/>
          <w:rtl w:val="true"/>
          <w:lang w:bidi="ar-SA"/>
        </w:rPr>
        <w:t xml:space="preserve">. </w:t>
      </w:r>
      <w:bookmarkStart w:id="452" w:name="pg15019_190802"/>
    </w:p>
    <w:p>
      <w:pPr>
        <w:pStyle w:val="Heading5"/>
        <w:numPr>
          <w:ilvl w:val="4"/>
          <w:numId w:val="1"/>
        </w:numPr>
        <w:rPr/>
      </w:pPr>
      <w:bookmarkStart w:id="453" w:name="__RefHeading___Toc686492_3406789950"/>
      <w:bookmarkStart w:id="454" w:name="_Toc164"/>
      <w:bookmarkEnd w:id="452"/>
      <w:bookmarkEnd w:id="453"/>
      <w:r>
        <w:rPr>
          <w:rtl w:val="true"/>
        </w:rPr>
        <w:t>الأمر السادس في حكم الحيض بعد دخول وقت الصلاة</w:t>
      </w:r>
      <w:bookmarkEnd w:id="454"/>
    </w:p>
    <w:p>
      <w:pPr>
        <w:pStyle w:val="Heading6"/>
        <w:numPr>
          <w:ilvl w:val="5"/>
          <w:numId w:val="1"/>
        </w:numPr>
        <w:rPr/>
      </w:pPr>
      <w:bookmarkStart w:id="455" w:name="__RefHeading___Toc686494_3406789950"/>
      <w:bookmarkStart w:id="456" w:name="_Toc165"/>
      <w:bookmarkEnd w:id="455"/>
      <w:r>
        <w:rPr>
          <w:rtl w:val="true"/>
        </w:rPr>
        <w:t>اشارة</w:t>
      </w:r>
      <w:bookmarkEnd w:id="456"/>
    </w:p>
    <w:p>
      <w:pPr>
        <w:pStyle w:val="BookText"/>
        <w:rPr/>
      </w:pPr>
      <w:r>
        <w:rPr>
          <w:rFonts w:ascii="Amiri" w:hAnsi="Amiri" w:eastAsia="Amiri" w:cs="Amiri"/>
          <w:color w:val="111111"/>
          <w:sz w:val="28"/>
          <w:sz w:val="28"/>
          <w:szCs w:val="28"/>
          <w:rtl w:val="true"/>
          <w:lang w:bidi="ar-SA"/>
        </w:rPr>
        <w:t xml:space="preserve">إذا دخل وقت الصلاة فحاضت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تدرك طاهرة من الوقت بمقدار أداء الصلاة ، وفعل الطهارة ، وتحصيل سائر الشرائط بحسب حالها وتكليفها الفعلي ؛ من القصر والإتمام والوضوء والغسل والتيمّم وغيرها من الشرائط ؛ مطلقة كانت أو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سعة الوقت بهذا المقدار ؛ سواء كانت بمقدار أداء الصلاة فقط ، أو أدائها مع الطهارة المائية أو الترابية فقط ، دون سائر الشرائط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السعة حتّى بمقدار صلاة المضطرّ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البحث أوّلاً عن مقتضى القواعد الأوّلية ؛ أي أدلّة القضاء وأدلّة عدم القضاء على الحائض ، ثمّ النظر في الأدلّة الخاصّة </w:t>
      </w:r>
      <w:r>
        <w:rPr>
          <w:rFonts w:eastAsia="Amiri" w:cs="Amiri" w:ascii="Amiri" w:hAnsi="Amiri"/>
          <w:color w:val="111111"/>
          <w:sz w:val="28"/>
          <w:szCs w:val="28"/>
          <w:rtl w:val="true"/>
          <w:lang w:bidi="ar-SA"/>
        </w:rPr>
        <w:t>.</w:t>
      </w:r>
    </w:p>
    <w:p>
      <w:pPr>
        <w:pStyle w:val="Heading6"/>
        <w:numPr>
          <w:ilvl w:val="5"/>
          <w:numId w:val="1"/>
        </w:numPr>
        <w:rPr/>
      </w:pPr>
      <w:bookmarkStart w:id="457" w:name="__RefHeading___Toc686496_3406789950"/>
      <w:bookmarkStart w:id="458" w:name="_Toc166"/>
      <w:bookmarkEnd w:id="457"/>
      <w:r>
        <w:rPr>
          <w:rtl w:val="true"/>
        </w:rPr>
        <w:t>مقتضى أدلّة القضاء وعدمه على الحائض</w:t>
      </w:r>
      <w:bookmarkEnd w:id="458"/>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أدلّة القضاء على طائفتين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إحداهما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يظهر منها أنّ القضاء تابع لعنوان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كصحيحة زرارة ، عن أبي جعفر علیه السلام أ 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أربع صلوات يصلّيها الرجل في كلّ 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تك ، فمتى ذكرتها أدّيتها </w:t>
      </w:r>
      <w:r>
        <w:rPr>
          <w:rFonts w:eastAsia="IRNazanin" w:cs="IRNazanin"/>
          <w:color w:val="111111"/>
          <w:sz w:val="28"/>
          <w:szCs w:val="28"/>
          <w:rtl w:val="true"/>
          <w:lang w:bidi="fa-IR"/>
        </w:rPr>
        <w:t>. . .»</w:t>
      </w:r>
      <w:r>
        <w:rPr>
          <w:rStyle w:val="FootnoteAnchor"/>
          <w:rtl w:val="true"/>
        </w:rPr>
        <w:footnoteReference w:id="737"/>
      </w:r>
      <w:r>
        <w:rPr>
          <w:rFonts w:ascii="Amiri" w:hAnsi="Amiri" w:eastAsia="Amiri" w:cs="Amiri"/>
          <w:color w:val="111111"/>
          <w:sz w:val="28"/>
          <w:sz w:val="28"/>
          <w:szCs w:val="28"/>
          <w:rtl w:val="true"/>
          <w:lang w:bidi="ar-SA"/>
        </w:rPr>
        <w:t xml:space="preserve">الحديث ، وغيرها ممّا هي قريبة منها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وهذه الطائفة وإن كانت في الغالب بصدد بيان حكم آخر ، لكن يستفاد منها مفروغية لزوم قضاء ما فات من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ممّا لا إشكال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الإشكال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نفس عدم الإتيان مطلقاً ولو مع عدم مجعولية الصلاة في حقّ المكلّف ، بل مع حرمتها عليه ، كصلاة الحائض ، أو هو عنوان أخصّ منه ؟</w:t>
      </w:r>
    </w:p>
    <w:p>
      <w:pPr>
        <w:pStyle w:val="BookText"/>
        <w:rPr/>
      </w:pPr>
      <w:r>
        <w:rPr>
          <w:rFonts w:ascii="Amiri" w:hAnsi="Amiri" w:eastAsia="Amiri" w:cs="Amiri"/>
          <w:color w:val="111111"/>
          <w:sz w:val="28"/>
          <w:sz w:val="28"/>
          <w:szCs w:val="28"/>
          <w:rtl w:val="true"/>
          <w:lang w:bidi="ar-SA"/>
        </w:rPr>
        <w:t xml:space="preserve">الظاهر هو الثاني ؛ ضرورة أنّ المتفاهم عرفاً من هذا العنوان ؛ هو ذهاب شيء مرغوب فيه من يد المكلّف ولو من قبيل طاعة المولى أو الوالدين ؛ ممّا هو مستحسن عقلاً ؛ سواء كان لازماً أو راجحاً ، فإذا نام عن صلاة الليل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لأجل فوت المثوبة المترتّبة عليها ، أو لأجل ترك نفس أمر المولى الراجح عقلاً ، وأمّا إذا كان الفعل ذا مفسدة أو غير راجح عقلاً وشرعاً فتركه العبد ، فلا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فاته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نفس ترك الفعل ولو لم يكن فيه رجحان أو في تركه منقصة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واضح عند مراجعة موارد استعمال اللفظ عرفاً وفي الأخبار الواردة فيها هذه اللفظة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فدعوى كونه عبارة عن عدم إتيان الصلاة في وقتها ولو كانت غير مطلوبة ولا راجحة بل ولو كانت محرّمة</w:t>
      </w:r>
      <w:r>
        <w:rPr>
          <w:rStyle w:val="FootnoteAnchor"/>
          <w:rtl w:val="true"/>
        </w:rPr>
        <w:footnoteReference w:id="738"/>
      </w:r>
      <w:r>
        <w:rPr>
          <w:rFonts w:ascii="Amiri" w:hAnsi="Amiri" w:eastAsia="Amiri" w:cs="Amiri"/>
          <w:color w:val="111111"/>
          <w:sz w:val="28"/>
          <w:sz w:val="28"/>
          <w:szCs w:val="28"/>
          <w:rtl w:val="true"/>
          <w:lang w:bidi="ar-SA"/>
        </w:rPr>
        <w:t xml:space="preserve">غير وجيهة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يرد النقض</w:t>
      </w:r>
      <w:r>
        <w:rPr>
          <w:rStyle w:val="FootnoteAnchor"/>
          <w:rtl w:val="true"/>
        </w:rPr>
        <w:footnoteReference w:id="739"/>
      </w:r>
      <w:r>
        <w:rPr>
          <w:rFonts w:ascii="Amiri" w:hAnsi="Amiri" w:eastAsia="Amiri" w:cs="Amiri"/>
          <w:color w:val="111111"/>
          <w:sz w:val="28"/>
          <w:sz w:val="28"/>
          <w:szCs w:val="28"/>
          <w:rtl w:val="true"/>
          <w:lang w:bidi="ar-SA"/>
        </w:rPr>
        <w:t xml:space="preserve">على ذلك بمثل ترك النائم والساهي ، ولا بمثل من اُكره على ترك الصلاة ؛ بحيث صار اللازم على المكلّف تركها ؛ ضرورة أنّ النائم </w:t>
      </w:r>
    </w:p>
    <w:p>
      <w:pPr>
        <w:pStyle w:val="BookText"/>
        <w:rPr/>
      </w:pPr>
      <w:r>
        <w:rPr>
          <w:rFonts w:ascii="Amiri" w:hAnsi="Amiri" w:eastAsia="Amiri" w:cs="Amiri"/>
          <w:color w:val="111111"/>
          <w:sz w:val="28"/>
          <w:sz w:val="28"/>
          <w:szCs w:val="28"/>
          <w:rtl w:val="true"/>
          <w:lang w:bidi="ar-SA"/>
        </w:rPr>
        <w:t xml:space="preserve">والساهي ، فاتتهما الصلاة لأجل ذهاب مثوبتها ومصلحتها من يدهما بل لأجل ترك أمر المولى بلا اختيار ؛ على ما حقّقنا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الأوامر فعلية بالنسبة</w:t>
      </w:r>
    </w:p>
    <w:p>
      <w:pPr>
        <w:pStyle w:val="BookText"/>
        <w:rPr/>
      </w:pPr>
      <w:r>
        <w:rPr>
          <w:rFonts w:ascii="Amiri" w:hAnsi="Amiri" w:eastAsia="Amiri" w:cs="Amiri"/>
          <w:color w:val="111111"/>
          <w:sz w:val="28"/>
          <w:sz w:val="28"/>
          <w:szCs w:val="28"/>
          <w:rtl w:val="true"/>
          <w:lang w:bidi="ar-SA"/>
        </w:rPr>
        <w:t xml:space="preserve">إليهما وإن كانا معذورين في تركها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المكرَه فهو أيضاً كذلك ، ولا تصير الصلاة بالإكراه على الترك حراماً بعنوانها ، بل ما هو المحرّم إيقاع المكلّف نفسه في التهلكة ونحوها ، وهو لا يوجب حرمة الصلاة بعنوانها وإن اتّحد العنوانان في الخارج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الشأنية أو بملاحظة نوع المكلّفين</w:t>
      </w:r>
      <w:r>
        <w:rPr>
          <w:rStyle w:val="FootnoteAnchor"/>
          <w:rtl w:val="true"/>
        </w:rPr>
        <w:footnoteReference w:id="741"/>
      </w:r>
      <w:r>
        <w:rPr>
          <w:rFonts w:ascii="Amiri" w:hAnsi="Amiri" w:eastAsia="Amiri" w:cs="Amiri"/>
          <w:color w:val="111111"/>
          <w:sz w:val="28"/>
          <w:sz w:val="28"/>
          <w:szCs w:val="28"/>
          <w:rtl w:val="true"/>
          <w:lang w:bidi="ar-SA"/>
        </w:rPr>
        <w:t xml:space="preserve">، غير وجيهة ؛ فإنّ ميزان وجوب القضاء هو الفوت من كلّ مكلّف بحسب حال نفسه ، وهو لا يصدق بالنسبة إلى الشخص الذي لم تجعل الصلاة له ، أو حرّمت عليه كالحائض ، والشأنية لا محصّل لها إلاّ معنىً تعليقي لا يوجب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وأعجب من ذلك ما قد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المستفاد من الأمر بالقضاء أنّ الأوامر المتعلّقة بالصلاة ، من قبيل تعدّد المطلوب ، فكونها في الوقت مطلوب ، لكن بفوات الوقت لا تفوت المطلوبية مطلقاً</w:t>
      </w:r>
      <w:r>
        <w:rPr>
          <w:rFonts w:eastAsia="Amiri" w:cs="Amiri" w:ascii="Amiri" w:hAnsi="Amiri"/>
          <w:color w:val="111111"/>
          <w:sz w:val="28"/>
          <w:szCs w:val="28"/>
          <w:rtl w:val="true"/>
          <w:lang w:bidi="ar-SA"/>
        </w:rPr>
        <w:t>»</w:t>
      </w:r>
      <w:r>
        <w:rPr>
          <w:rStyle w:val="FootnoteAnchor"/>
          <w:rtl w:val="true"/>
        </w:rPr>
        <w:footnoteReference w:id="742"/>
      </w:r>
      <w:r>
        <w:rPr>
          <w:rFonts w:ascii="Amiri" w:hAnsi="Amiri" w:eastAsia="Amiri" w:cs="Amiri"/>
          <w:color w:val="111111"/>
          <w:sz w:val="28"/>
          <w:sz w:val="28"/>
          <w:szCs w:val="28"/>
          <w:rtl w:val="true"/>
          <w:lang w:bidi="ar-SA"/>
        </w:rPr>
        <w:t xml:space="preserve">فإنّ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تسليمه كما لا يبعد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 دليل على خلاف مطلوبه ؛ لأنّ استفادة تعدّد المطلوب فرع وجود الطلب والمطلوب في الوقت ، ومع حرمة الصلاة على الحائض في الوقت ، أين الطلب والمطلوب حتّى يستفاد منه تعدّده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فتحصّل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القاعدة في باب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أخذ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وجوب القضاء في كلّ مورد يكون الأداء مطلوباً أو راجحاً ذاتاً ؛ ولو فرض سقوط الطلب لأجل بعض المحاذير ، على فرض صحّة ذلك المبنى ، وأمّا مع عدم الرجحان والمطلوبية الذاتية فلا ، فضلاً عن الحرمة الذاتية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فالحائض إذا أدركت من الوقت بمقدار تعلّق الطلب ، يجب عليها القضاء مع تركها ، ومع عدم توجّه الطلب أو توجّه النهي إليها ، لا يجب عليها القضاء بحسب القاعدة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الظاهر أنّ الأمر كذلك لو تمكّنت من الصلاة الاضطرارية ، فلو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نّها</w:t>
      </w:r>
    </w:p>
    <w:p>
      <w:pPr>
        <w:pStyle w:val="BookText"/>
        <w:rPr/>
      </w:pPr>
      <w:r>
        <w:rPr>
          <w:rFonts w:ascii="Amiri" w:hAnsi="Amiri" w:eastAsia="Amiri" w:cs="Amiri"/>
          <w:color w:val="111111"/>
          <w:sz w:val="28"/>
          <w:sz w:val="28"/>
          <w:szCs w:val="28"/>
          <w:rtl w:val="true"/>
          <w:lang w:bidi="ar-SA"/>
        </w:rPr>
        <w:t xml:space="preserve">لو علمت مفاجأة الطمث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مقدار من الزمان تتمكّن فيه من إتيان صلاة مع الطهارة الترابية وفقدان بعض الشرائط الاختيارية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عليها الصلاة كذلك ، فالقاعدة تقتضي القضاء مع تركها لأجل الجهل بالواقعة ؛ لتوجّه أمر الصلاة إليها وفوتها منها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الأمر كذلك لو تمسّكنا في وجوب القضاء بالطائفة الثانية من أخبار القضاء ؛ وهي ما لم يؤخذ فيها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مساقها فيما إذا ترك المكلّف الصلاة التي كانت مكتوبة عليه في الوقت ، كصحيحة زرارة ، عن 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سئل عن رجل صلّى بغير طهور ، أو نسي صلوات لم يصلّها ، أو نام عنها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يقضيها إذا ذكرها في أيّ ساعة ذكرها</w:t>
      </w:r>
      <w:r>
        <w:rPr>
          <w:rFonts w:eastAsia="IRNazanin" w:cs="IRNazanin"/>
          <w:color w:val="111111"/>
          <w:sz w:val="28"/>
          <w:szCs w:val="28"/>
          <w:rtl w:val="true"/>
          <w:lang w:bidi="fa-IR"/>
        </w:rPr>
        <w:t>»</w:t>
      </w:r>
      <w:r>
        <w:rPr>
          <w:rStyle w:val="FootnoteAnchor"/>
          <w:rtl w:val="true"/>
        </w:rPr>
        <w:footnoteReference w:id="743"/>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من الروايات ، </w:t>
      </w:r>
    </w:p>
    <w:p>
      <w:pPr>
        <w:pStyle w:val="BookText"/>
        <w:rPr/>
      </w:pPr>
      <w:r>
        <w:rPr>
          <w:rFonts w:ascii="Amiri" w:hAnsi="Amiri" w:eastAsia="Amiri" w:cs="Amiri"/>
          <w:color w:val="111111"/>
          <w:sz w:val="28"/>
          <w:sz w:val="28"/>
          <w:szCs w:val="28"/>
          <w:rtl w:val="true"/>
          <w:lang w:bidi="ar-SA"/>
        </w:rPr>
        <w:t xml:space="preserve">وليس فيها ما يدلّ على وجوب القضاء على من ترك الصلاة التي هي غير مشروعة له ، فضلاً عمّا كانت محرّمة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الظاهر أنّ نفس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يدلّ على المطلوب ؛ لأ 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المتفاهم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جبران ما شرع في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إيجاباً أو 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الوقت ، وأمّا إذا لم يشرع في الوقت أو كان حراماً عليه ، فلا يصدق على إتيانه خارج الوقت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فتبعية القضاء للأداء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للقاعدة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جميع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مورد لو اطّلع المكلّف على الواقعة وكان واجباً عليه إتيان الصلاة ولو بنحو الاضطرار ، يجب عليه القضاء لو تركها ؛ 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وسع الوقت بحسب الواقع بمقدار صلاة اضطرارية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بمقدار نفس الصلاة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فطمثت ، وجب عليها بمقتضى أدلّة القضاء إتيانها بعد الطهر قضاءً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يتوهّم من عدم الأمر بالمقدّمات قبل الوقت ، قد فرغنا عن ضعفه</w:t>
      </w:r>
      <w:r>
        <w:rPr>
          <w:rStyle w:val="FootnoteAnchor"/>
          <w:rtl w:val="true"/>
        </w:rPr>
        <w:footnoteReference w:id="744"/>
      </w:r>
      <w:r>
        <w:rPr>
          <w:rFonts w:ascii="Amiri" w:hAnsi="Amiri" w:eastAsia="Amiri" w:cs="Amiri"/>
          <w:color w:val="111111"/>
          <w:sz w:val="28"/>
          <w:sz w:val="28"/>
          <w:szCs w:val="28"/>
          <w:rtl w:val="true"/>
          <w:lang w:bidi="ar-SA"/>
        </w:rPr>
        <w:t xml:space="preserve">، وذكرنا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مناط عبادية الطهارات ليس هو الأوامر الغيرية ، بل الأمر النفسي المتعلّق بها </w:t>
      </w:r>
      <w:r>
        <w:rPr>
          <w:rStyle w:val="FootnoteAnchor"/>
          <w:rtl w:val="true"/>
        </w:rPr>
        <w:footnoteReference w:id="745"/>
      </w:r>
      <w:r>
        <w:rPr>
          <w:rFonts w:ascii="Amiri" w:hAnsi="Amiri" w:eastAsia="Amiri" w:cs="Amiri"/>
          <w:color w:val="111111"/>
          <w:sz w:val="28"/>
          <w:sz w:val="28"/>
          <w:szCs w:val="28"/>
          <w:rtl w:val="true"/>
          <w:lang w:bidi="ar-SA"/>
        </w:rPr>
        <w:t xml:space="preserve">، وذكرنا في محلّه حال التيمّم أيضاً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 xml:space="preserve">. </w:t>
      </w:r>
      <w:bookmarkStart w:id="459" w:name="pg15019_190807"/>
    </w:p>
    <w:p>
      <w:pPr>
        <w:pStyle w:val="Heading6"/>
        <w:numPr>
          <w:ilvl w:val="5"/>
          <w:numId w:val="1"/>
        </w:numPr>
        <w:rPr/>
      </w:pPr>
      <w:bookmarkStart w:id="460" w:name="__RefHeading___Toc686498_3406789950"/>
      <w:bookmarkStart w:id="461" w:name="_Toc167"/>
      <w:bookmarkEnd w:id="459"/>
      <w:bookmarkEnd w:id="460"/>
      <w:r>
        <w:rPr>
          <w:rtl w:val="true"/>
        </w:rPr>
        <w:t>تعارض أدلّة عدم القضاء مع الأدلّة السابقة</w:t>
      </w:r>
      <w:bookmarkEnd w:id="461"/>
    </w:p>
    <w:p>
      <w:pPr>
        <w:pStyle w:val="BookText"/>
        <w:rPr/>
      </w:pPr>
      <w:r>
        <w:rPr>
          <w:rFonts w:ascii="Amiri" w:hAnsi="Amiri" w:eastAsia="Amiri" w:cs="Amiri"/>
          <w:color w:val="111111"/>
          <w:sz w:val="28"/>
          <w:sz w:val="28"/>
          <w:szCs w:val="28"/>
          <w:rtl w:val="true"/>
          <w:lang w:bidi="ar-SA"/>
        </w:rPr>
        <w:t>هذا ، ولكن في مقابل أدلّة القضاء ما دلّ على أنّ الحائض لا تقضي الصلاة ،</w:t>
      </w:r>
    </w:p>
    <w:p>
      <w:pPr>
        <w:pStyle w:val="BookText"/>
        <w:rPr/>
      </w:pPr>
      <w:r>
        <w:rPr>
          <w:rFonts w:ascii="IRNazanin" w:hAnsi="IRNazanin" w:eastAsia="IRNazanin"/>
          <w:color w:val="111111"/>
          <w:sz w:val="28"/>
          <w:sz w:val="28"/>
          <w:szCs w:val="28"/>
          <w:rtl w:val="true"/>
          <w:lang w:bidi="fa-IR"/>
        </w:rPr>
        <w:t xml:space="preserve">ففي صحيحة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قضاء الحائض الصلاة ، ثمّ تقضي الصيام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عليها أن تقضي الصلاة ، وعليها أن تقضي صوم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أقبل عليّ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صلی الله علیه و آله وسلم كان يأمر بذلك فاطمة ، وكانت تأمر بذلك المؤمنات</w:t>
      </w:r>
      <w:r>
        <w:rPr>
          <w:rFonts w:eastAsia="IRNazanin" w:cs="IRNazanin"/>
          <w:color w:val="111111"/>
          <w:sz w:val="28"/>
          <w:szCs w:val="28"/>
          <w:rtl w:val="true"/>
          <w:lang w:bidi="fa-IR"/>
        </w:rPr>
        <w:t>»</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 xml:space="preserve">الطهارة ، أبواب الحيض ، الباب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ورواية الحسن بن راشد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الحائض تقضي الصلاة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تقضي الصوم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أين جاء هذا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 من قاس إبليس </w:t>
      </w:r>
      <w:r>
        <w:rPr>
          <w:rFonts w:eastAsia="IRNazanin" w:cs="IRNazanin"/>
          <w:color w:val="111111"/>
          <w:sz w:val="28"/>
          <w:szCs w:val="28"/>
          <w:rtl w:val="true"/>
          <w:lang w:bidi="fa-IR"/>
        </w:rPr>
        <w:t>. . .»</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 xml:space="preserve">الطهارة ، أبواب الحيض ، الباب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ويقع الكلام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القطع بلزوم استناد الترك في عدم وجوب القضاء إلى الحيض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 نّه هل المتفاهم منها أنّ الصلاة إذا كان تركها مستنداً إلى الحيض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بعض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تقضي ؛ حتّى يكون لازمه عدم القضاء ولو حاضت قبل تمام الوقت بمقدار يسع الصلاة ؛ لأنّ تركها وإن كان غير مستند إلى الحيض فقط ، لكنّه مستند إليه في الجملة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أنّ المراد هو الاستناد إليه فقط ، فإذا تركتها في بعض الوقت بتخيّل سعته </w:t>
      </w:r>
    </w:p>
    <w:p>
      <w:pPr>
        <w:pStyle w:val="BookText"/>
        <w:rPr/>
      </w:pPr>
      <w:r>
        <w:rPr>
          <w:rFonts w:ascii="Amiri" w:hAnsi="Amiri" w:eastAsia="Amiri" w:cs="Amiri"/>
          <w:color w:val="111111"/>
          <w:sz w:val="28"/>
          <w:sz w:val="28"/>
          <w:szCs w:val="28"/>
          <w:rtl w:val="true"/>
          <w:lang w:bidi="ar-SA"/>
        </w:rPr>
        <w:t>فأدركها الطمث ، وجب عليها القضاء ؛ لعدم كون الترك مستنداً إلى الحيض فقط ،</w:t>
      </w:r>
    </w:p>
    <w:p>
      <w:pPr>
        <w:pStyle w:val="BookText"/>
        <w:rPr/>
      </w:pPr>
      <w:r>
        <w:rPr>
          <w:rFonts w:ascii="Amiri" w:hAnsi="Amiri" w:eastAsia="Amiri" w:cs="Amiri"/>
          <w:color w:val="111111"/>
          <w:sz w:val="28"/>
          <w:sz w:val="28"/>
          <w:szCs w:val="28"/>
          <w:rtl w:val="true"/>
          <w:lang w:bidi="ar-SA"/>
        </w:rPr>
        <w:t>بل كان الاستناد في بعض الوقت إلى غيره ؟</w:t>
      </w:r>
    </w:p>
    <w:p>
      <w:pPr>
        <w:pStyle w:val="BookText"/>
        <w:rPr/>
      </w:pPr>
      <w:r>
        <w:rPr>
          <w:rFonts w:ascii="Amiri" w:hAnsi="Amiri" w:eastAsia="Amiri" w:cs="Amiri"/>
          <w:color w:val="111111"/>
          <w:sz w:val="28"/>
          <w:sz w:val="28"/>
          <w:szCs w:val="28"/>
          <w:rtl w:val="true"/>
          <w:lang w:bidi="ar-SA"/>
        </w:rPr>
        <w:t xml:space="preserve">الظاهر هو الثاني ؛ لظهور الأدلّة في أنّ ترك الطبيعة إذا كان مستنداً إلى الحيض ، لا يجب القضاء ، وهو لا يصدق إلاّ على الوجه الثاني بحسب نظر العرف المتّبع في مثل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الإشكال في أنّ الظاهر من الأدلّة ، هل هو ترك الصلاة المتعارفة لها مع قطع النظر عن عروض الحيض ؛ أي إذا استند ترك صلاتها إليه بحسب حالها المتعارف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القصر والإتمام والطول والقصر والاشتمال على المستحبّات المتداولة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عليها القضاء ؟</w:t>
      </w:r>
    </w:p>
    <w:p>
      <w:pPr>
        <w:pStyle w:val="BookText"/>
        <w:rPr/>
      </w:pPr>
      <w:r>
        <w:rPr>
          <w:rFonts w:ascii="Amiri" w:hAnsi="Amiri" w:eastAsia="Amiri" w:cs="Amiri"/>
          <w:color w:val="111111"/>
          <w:sz w:val="28"/>
          <w:sz w:val="28"/>
          <w:szCs w:val="28"/>
          <w:rtl w:val="true"/>
          <w:lang w:bidi="ar-SA"/>
        </w:rPr>
        <w:t>أو إذا كان مستنداً إليه مع أقلّ الواجب ؟</w:t>
      </w:r>
    </w:p>
    <w:p>
      <w:pPr>
        <w:pStyle w:val="BookText"/>
        <w:rPr/>
      </w:pPr>
      <w:r>
        <w:rPr>
          <w:rFonts w:ascii="Amiri" w:hAnsi="Amiri" w:eastAsia="Amiri" w:cs="Amiri"/>
          <w:color w:val="111111"/>
          <w:sz w:val="28"/>
          <w:sz w:val="28"/>
          <w:szCs w:val="28"/>
          <w:rtl w:val="true"/>
          <w:lang w:bidi="ar-SA"/>
        </w:rPr>
        <w:t>أو إذا كان مستنداً إليه حتّى بمصداقها الاضطراري من الطهور وغيره ؛ حتّى مثل ترك بعض الواجبات كالسورة مثلاً ؟</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الصلاة التي لو علمت بالواقعة وجب عليها إتيانها إذا كان مستنداً إلى الحيض ، لا يجب عليها قضاؤها ، فيجب عليها القضاء إذا وسع الوقت لنفس الصلاة بمصداقها الاضطراري ، مع فقد جميع المستحبّات وبعض الواجبات ؛ إذا قلنا بسقوطه عند الاضطرار والضيق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الأقوى هو الأوّل ؛ لا بمعنى ملاحظة حالها الشخصي ولو كان غير متعارف ، كقراءة السور الطوال والأذكار الكثيرة الغير المتداولة ، بل بمعنى المصداق المتعارف عند نوع المكلّفين ؛ أي المشتمل على الواجبات والمستحبّات المتداولة ، والواجد للشرائط بحسب تكليفها الفعلي ؛ من القصر والإتمام ، </w:t>
      </w:r>
    </w:p>
    <w:p>
      <w:pPr>
        <w:pStyle w:val="BookText"/>
        <w:rPr/>
      </w:pPr>
      <w:r>
        <w:rPr>
          <w:rFonts w:ascii="Amiri" w:hAnsi="Amiri" w:eastAsia="Amiri" w:cs="Amiri"/>
          <w:color w:val="111111"/>
          <w:sz w:val="28"/>
          <w:sz w:val="28"/>
          <w:szCs w:val="28"/>
          <w:rtl w:val="true"/>
          <w:lang w:bidi="ar-SA"/>
        </w:rPr>
        <w:t xml:space="preserve">ووجدان الماء وفقدانه ، وواجديتها للمقدّمات وعدمها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غير ذلك ؛ ضرورة</w:t>
      </w:r>
    </w:p>
    <w:p>
      <w:pPr>
        <w:pStyle w:val="BookText"/>
        <w:rPr/>
      </w:pPr>
      <w:r>
        <w:rPr>
          <w:rFonts w:ascii="Amiri" w:hAnsi="Amiri" w:eastAsia="Amiri" w:cs="Amiri"/>
          <w:color w:val="111111"/>
          <w:sz w:val="28"/>
          <w:sz w:val="28"/>
          <w:szCs w:val="28"/>
          <w:rtl w:val="true"/>
          <w:lang w:bidi="ar-SA"/>
        </w:rPr>
        <w:t xml:space="preserve">أنّ العرف لا ينقدح في ذهنه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سماع تلك الروايات وعرضها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ذلك ، وغيره يحتاج إلى تقدير الحائض على غير ما هي عليه ، وهو خلاف الارتكاز العرفي والمتفاهم العقلائي من 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ترى من نفسك أنّ المرأة إذا سمعت فقيهاً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تركتِ صلاتك لأجل عروض الحيض فليس عليك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فاشتغلت في أوّل الوقت بالطهور والصلاة ، فعرض لها الطمث في الركعة الثالثة ، تشكّ في كونها مشمولة للفتوى ؛ باحتمال لزوم تقدير نفسها في مقام المضطرّ الفاقد للماء المضيّق عليها الوقت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ينقدح في ذهنها إلاّ صلاتها المتعارفة بحسب حالها مع قطع النظر عن عروض الحيض ؟</w:t>
      </w:r>
    </w:p>
    <w:p>
      <w:pPr>
        <w:pStyle w:val="BookText"/>
        <w:rPr/>
      </w:pPr>
      <w:r>
        <w:rPr>
          <w:rFonts w:ascii="Amiri" w:hAnsi="Amiri" w:eastAsia="Amiri" w:cs="Amiri"/>
          <w:color w:val="111111"/>
          <w:sz w:val="28"/>
          <w:sz w:val="28"/>
          <w:szCs w:val="28"/>
          <w:rtl w:val="true"/>
          <w:lang w:bidi="ar-SA"/>
        </w:rPr>
        <w:t>ولعمري ، إنّ هذا التنزيل والتقدير ممّا لا</w:t>
      </w:r>
    </w:p>
    <w:p>
      <w:pPr>
        <w:pStyle w:val="BookText"/>
        <w:rPr/>
      </w:pPr>
      <w:r>
        <w:rPr>
          <w:rFonts w:ascii="Amiri" w:hAnsi="Amiri" w:eastAsia="Amiri" w:cs="Amiri"/>
          <w:color w:val="111111"/>
          <w:sz w:val="28"/>
          <w:sz w:val="28"/>
          <w:szCs w:val="28"/>
          <w:rtl w:val="true"/>
          <w:lang w:bidi="ar-SA"/>
        </w:rPr>
        <w:t xml:space="preserve">ينقدح إلاّ في ذهن الأوحدي من الناس ؛ أي أهل العلم فقط ، لا نوع العقلاء والعرف ممّن يكون فهمهم معياراً لتعيين مفاهيم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ذكرنا إنّما هو بالنسبة إلى الشرائط التي يتعارف تحصيلها في الوقت ، كالوضوء والغسل مثلاً ، على تأمّل في الثاني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الشرائط الحاصلة لنوع المكلّفين قبل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كالستر والعلم بالقبلة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يلاحظ مقدار تحصيلها لو اتّفق عدم حصولها ، فالفاقدة للساتر والجاهلة بالقبلة إذا كانتا بصدد تحصيلهما ، وطال الوقت حتّى عرض لهما الطمث ، يجب عليهما قضاء صلاتهما ؛ لإطلاق أدلّة الفوت وعدم وجود مقيّد لها ؛ لخروج هذه الفروض النادرة عن 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الحائض لا تقضي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ترك الصلاة </w:t>
      </w:r>
      <w:bookmarkStart w:id="462" w:name="pg15019_190810"/>
    </w:p>
    <w:p>
      <w:pPr>
        <w:pStyle w:val="BookText"/>
        <w:rPr/>
      </w:pPr>
      <w:bookmarkEnd w:id="462"/>
      <w:r>
        <w:rPr>
          <w:rFonts w:ascii="Amiri" w:hAnsi="Amiri" w:eastAsia="Amiri" w:cs="Amiri"/>
          <w:color w:val="111111"/>
          <w:sz w:val="28"/>
          <w:sz w:val="28"/>
          <w:szCs w:val="28"/>
          <w:rtl w:val="true"/>
          <w:lang w:bidi="ar-SA"/>
        </w:rPr>
        <w:t xml:space="preserve">بحسب المتعارف غير مستند إلى الحيض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من كان تكليفها التيمّم ، لكن أخّرت الصلاة إلى آخر الوقت فطمثت ، يجب عليها القضاء ؛ لعدم الاستناد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المتعارف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لحاظ حال المرأة وحال الشرائط وتعارفها ، وتكليف المرأة بالفعل وحالاتها الاختيارية ، إلاّ أن يكون الاضطرار من غير جهة الحيض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بحسب القواعد الأوّلية </w:t>
      </w:r>
      <w:r>
        <w:rPr>
          <w:rFonts w:eastAsia="Amiri" w:cs="Amiri" w:ascii="Amiri" w:hAnsi="Amiri"/>
          <w:color w:val="111111"/>
          <w:sz w:val="28"/>
          <w:szCs w:val="28"/>
          <w:rtl w:val="true"/>
          <w:lang w:bidi="ar-SA"/>
        </w:rPr>
        <w:t>.</w:t>
      </w:r>
    </w:p>
    <w:p>
      <w:pPr>
        <w:pStyle w:val="Heading6"/>
        <w:numPr>
          <w:ilvl w:val="5"/>
          <w:numId w:val="1"/>
        </w:numPr>
        <w:rPr/>
      </w:pPr>
      <w:bookmarkStart w:id="463" w:name="__RefHeading___Toc686500_3406789950"/>
      <w:bookmarkStart w:id="464" w:name="_Toc168"/>
      <w:bookmarkEnd w:id="463"/>
      <w:r>
        <w:rPr>
          <w:rtl w:val="true"/>
        </w:rPr>
        <w:t>مقتضى الأخبار الخاصّة في المقام</w:t>
      </w:r>
      <w:bookmarkEnd w:id="464"/>
    </w:p>
    <w:p>
      <w:pPr>
        <w:pStyle w:val="BookText"/>
        <w:rPr/>
      </w:pPr>
      <w:r>
        <w:rPr>
          <w:rFonts w:ascii="Amiri" w:hAnsi="Amiri" w:eastAsia="Amiri" w:cs="Amiri"/>
          <w:color w:val="111111"/>
          <w:sz w:val="28"/>
          <w:sz w:val="28"/>
          <w:szCs w:val="28"/>
          <w:rtl w:val="true"/>
          <w:lang w:bidi="ar-SA"/>
        </w:rPr>
        <w:t xml:space="preserve">وأمّا الأخبار الخاصّة ، ففي موثّقة يونس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وثاقة الزبيري</w:t>
      </w:r>
      <w:r>
        <w:rPr>
          <w:rStyle w:val="FootnoteAnchor"/>
          <w:rtl w:val="true"/>
        </w:rPr>
        <w:footnoteReference w:id="7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امرأة دخل عليها وقت الصلاة وهي طاهرة ، فأخّرت الصلاة حتّى حاضت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تقضي إذا طهرت</w:t>
      </w:r>
      <w:r>
        <w:rPr>
          <w:rFonts w:eastAsia="IRNazanin" w:cs="IRNazanin"/>
          <w:color w:val="111111"/>
          <w:sz w:val="28"/>
          <w:szCs w:val="28"/>
          <w:rtl w:val="true"/>
          <w:lang w:bidi="fa-IR"/>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وليست هذه مخالفة للقاعدة المتقدّمة ؛ لظهورها في سعة الوقت وتأخيرها حتّى طمثت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يخالفها إطلاق رواية عبد الرحمان بن الحجّاج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المرأة تطمث بعد ما تزول الشمس ولم تصلّ الظهر ، هل عليها قضاء تلك الصلاة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وإطلاقها يشمل ما إذا ضاق الوقت عن إدراك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لها ظهور في سعة الوقت للصلاة ؛ لو لم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السؤال منحصر بما إذا زالت الشمس وطمثت ، ولم يُمهلها أن تصلّي ، فكأ 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طمثت بعد زوال الشمس بلا مهلة وقبل صلاتها ، هل عليها القضاء ، أو لا بدّ من مضيّ زمان تدرك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يسلّم ذلك فلا أقلّ من الإطلاق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أنّ السلب بسلب المحمول لا الموضوع ، كأ نّها في غير موقعها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لا ضعف سندها بشاذان بن الخليل ، أو عدم ثبوت اعتبارها لأجل عدم ثبوت وثاقته</w:t>
      </w:r>
      <w:r>
        <w:rPr>
          <w:rStyle w:val="FootnoteAnchor"/>
          <w:rtl w:val="true"/>
        </w:rPr>
        <w:footnoteReference w:id="752"/>
      </w:r>
      <w:r>
        <w:rPr>
          <w:rFonts w:ascii="Amiri" w:hAnsi="Amiri" w:eastAsia="Amiri" w:cs="Amiri"/>
          <w:color w:val="111111"/>
          <w:sz w:val="28"/>
          <w:sz w:val="28"/>
          <w:szCs w:val="28"/>
          <w:rtl w:val="true"/>
          <w:lang w:bidi="ar-SA"/>
        </w:rPr>
        <w:t xml:space="preserve">، ومخالفتها لفتاوى الأصحاب ، لكان العمل بها متعيّناً ، ولا تنافيها الأخبار المتقدّمة ، لكنّهما مانعان عن العمل 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موثّقة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امرأة صلّت من الظهر ركعتين ، ثمّ إنّها طمثت وهي جالسة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تقوم من مكانها ، ولا تقضي الركعتين</w:t>
      </w:r>
      <w:r>
        <w:rPr>
          <w:rFonts w:eastAsia="IRNazanin" w:cs="IRNazanin"/>
          <w:color w:val="111111"/>
          <w:sz w:val="28"/>
          <w:szCs w:val="28"/>
          <w:rtl w:val="true"/>
          <w:lang w:bidi="fa-IR"/>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بدّ من حملها على النهي عن إتيان بقيّة الصلاة ؛ لو لم نقل بظهورها فيه ؛ بملاحظة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تقوم من مكانها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 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تقوم عن مكانها ، ولا تأتي بالركعتين الأخيرتين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المعنى اللغوي غير بعيد ، كحمل الركعتين على الأخيرتين ، وإلاّ فلا بدّ من ردّ علمها إلى أهله ؛ فإنّ الحمل على </w:t>
      </w:r>
    </w:p>
    <w:p>
      <w:pPr>
        <w:pStyle w:val="BookText"/>
        <w:rPr/>
      </w:pPr>
      <w:r>
        <w:rPr>
          <w:rFonts w:ascii="IRNazanin" w:hAnsi="IRNazanin" w:eastAsia="IRNazanin"/>
          <w:color w:val="111111"/>
          <w:sz w:val="28"/>
          <w:sz w:val="28"/>
          <w:szCs w:val="28"/>
          <w:rtl w:val="true"/>
          <w:lang w:bidi="fa-IR"/>
        </w:rPr>
        <w:t xml:space="preserve">أوّل الوقت حمل على النادر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والظاهر منها عدم قضاء الركعتين الاُوليين لو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الاصطلاحي منه ، وفي مقام التحديد والبيان يفهم منها عدم لزوم قضاء الاُوليين ولزوم قضاء البقيّة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الالتزام به ، فمصيرها حينئذٍ مصير</w:t>
      </w:r>
    </w:p>
    <w:p>
      <w:pPr>
        <w:pStyle w:val="BookText"/>
        <w:rPr/>
      </w:pPr>
      <w:r>
        <w:rPr>
          <w:rFonts w:ascii="Amiri" w:hAnsi="Amiri" w:eastAsia="Amiri" w:cs="Amiri"/>
          <w:color w:val="111111"/>
          <w:sz w:val="28"/>
          <w:sz w:val="28"/>
          <w:szCs w:val="28"/>
          <w:rtl w:val="true"/>
          <w:lang w:bidi="ar-SA"/>
        </w:rPr>
        <w:t>ضعيفة أبي الورد</w:t>
      </w:r>
      <w:r>
        <w:rPr>
          <w:rStyle w:val="FootnoteAnchor"/>
          <w:rtl w:val="true"/>
        </w:rPr>
        <w:footnoteReference w:id="754"/>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المرأة التي تكون في صلاة الظهر وقد صلّت ركعتين ،ثمّ ترى الدم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تقوم من مسجدها ، ولا تقضي الركعتين ، وإن كانت رأت الدم وهي في صلاة المغرب وقد صلّت ركعتين ، فلتقم من مسجدها ، فإذا تطهّرت فلتقضِ الركعة التي فاتتها من المغرب</w:t>
      </w:r>
      <w:r>
        <w:rPr>
          <w:rFonts w:eastAsia="IRNazanin" w:cs="IRNazanin"/>
          <w:color w:val="111111"/>
          <w:sz w:val="28"/>
          <w:szCs w:val="28"/>
          <w:rtl w:val="true"/>
          <w:lang w:bidi="fa-IR"/>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بدّ من توجيهها كما وجّهها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756"/>
      </w:r>
      <w:r>
        <w:rPr>
          <w:rFonts w:ascii="IRNazanin" w:hAnsi="IRNazanin" w:eastAsia="IRNazanin"/>
          <w:color w:val="111111"/>
          <w:sz w:val="28"/>
          <w:sz w:val="28"/>
          <w:szCs w:val="28"/>
          <w:rtl w:val="true"/>
          <w:lang w:bidi="fa-IR"/>
        </w:rPr>
        <w:t xml:space="preserve">أو ردّ علمها إلى أهله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موثّقة الفضل بن يونس</w:t>
      </w:r>
      <w:r>
        <w:rPr>
          <w:rStyle w:val="FootnoteAnchor"/>
          <w:rtl w:val="true"/>
        </w:rPr>
        <w:footnoteReference w:id="7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هي دالّة على خروج وقت الظهر بعد أربعة أقدام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سلك الروايات الواردة في تحديد الوقت على خلاف الإجماع ، بل الضرورة والروايات الكثيرة المعمول بها ، فهي أيضاً مطروحة أو مأوّلة </w:t>
      </w:r>
      <w:r>
        <w:rPr>
          <w:rFonts w:eastAsia="Amiri" w:cs="Amiri" w:ascii="Amiri" w:hAnsi="Amiri"/>
          <w:color w:val="111111"/>
          <w:sz w:val="28"/>
          <w:szCs w:val="28"/>
          <w:rtl w:val="true"/>
          <w:lang w:bidi="ar-SA"/>
        </w:rPr>
        <w:t xml:space="preserve">. </w:t>
      </w:r>
      <w:bookmarkStart w:id="465" w:name="pg15019_190813"/>
    </w:p>
    <w:p>
      <w:pPr>
        <w:pStyle w:val="Heading5"/>
        <w:numPr>
          <w:ilvl w:val="4"/>
          <w:numId w:val="1"/>
        </w:numPr>
        <w:rPr/>
      </w:pPr>
      <w:bookmarkStart w:id="466" w:name="__RefHeading___Toc686502_3406789950"/>
      <w:bookmarkStart w:id="467" w:name="_Toc169"/>
      <w:bookmarkEnd w:id="465"/>
      <w:bookmarkEnd w:id="466"/>
      <w:r>
        <w:rPr>
          <w:rtl w:val="true"/>
        </w:rPr>
        <w:t>الأمر السابع في حكم صلاة الحائض إن طهرت آخر الوقت</w:t>
      </w:r>
      <w:bookmarkEnd w:id="467"/>
    </w:p>
    <w:p>
      <w:pPr>
        <w:pStyle w:val="Heading6"/>
        <w:numPr>
          <w:ilvl w:val="5"/>
          <w:numId w:val="1"/>
        </w:numPr>
        <w:rPr/>
      </w:pPr>
      <w:bookmarkStart w:id="468" w:name="__RefHeading___Toc686504_3406789950"/>
      <w:bookmarkStart w:id="469" w:name="_Toc170"/>
      <w:bookmarkEnd w:id="468"/>
      <w:r>
        <w:rPr>
          <w:rtl w:val="true"/>
        </w:rPr>
        <w:t>اشارة</w:t>
      </w:r>
      <w:bookmarkEnd w:id="469"/>
    </w:p>
    <w:p>
      <w:pPr>
        <w:pStyle w:val="BookText"/>
        <w:rPr/>
      </w:pPr>
      <w:r>
        <w:rPr>
          <w:rFonts w:ascii="Amiri" w:hAnsi="Amiri" w:eastAsia="Amiri" w:cs="Amiri"/>
          <w:color w:val="111111"/>
          <w:sz w:val="28"/>
          <w:sz w:val="28"/>
          <w:szCs w:val="28"/>
          <w:rtl w:val="true"/>
          <w:lang w:bidi="ar-SA"/>
        </w:rPr>
        <w:t>إن طهرت الحائض في آخر الوقت ، فإن أدركت جميع الصلاة بشرائطها الاختيارية ، فلا إشكال في وجوبها عليها ومع تركها في وجوب القضاء ، بحسب القواعد والنصوص الخاصّة</w:t>
      </w:r>
      <w:r>
        <w:rPr>
          <w:rStyle w:val="FootnoteAnchor"/>
          <w:rtl w:val="true"/>
        </w:rPr>
        <w:footnoteReference w:id="758"/>
      </w:r>
      <w:r>
        <w:rPr>
          <w:rFonts w:ascii="Amiri" w:hAnsi="Amiri" w:eastAsia="Amiri" w:cs="Amiri"/>
          <w:color w:val="111111"/>
          <w:sz w:val="28"/>
          <w:sz w:val="28"/>
          <w:szCs w:val="28"/>
          <w:rtl w:val="true"/>
          <w:lang w:bidi="ar-SA"/>
        </w:rPr>
        <w:t>، وعليه الفتوى</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70" w:name="__RefHeading___Toc686506_3406789950"/>
      <w:bookmarkStart w:id="471" w:name="_Toc171"/>
      <w:bookmarkEnd w:id="470"/>
      <w:r>
        <w:rPr>
          <w:rtl w:val="true"/>
        </w:rPr>
        <w:t>حكم إدراك ركعة من العصر والعشاء والصبح مع الشرائط الاختيارية</w:t>
      </w:r>
      <w:bookmarkEnd w:id="471"/>
    </w:p>
    <w:p>
      <w:pPr>
        <w:pStyle w:val="BookText"/>
        <w:rPr/>
      </w:pPr>
      <w:r>
        <w:rPr>
          <w:rFonts w:ascii="Amiri" w:hAnsi="Amiri" w:eastAsia="Amiri" w:cs="Amiri"/>
          <w:color w:val="111111"/>
          <w:sz w:val="28"/>
          <w:sz w:val="28"/>
          <w:szCs w:val="28"/>
          <w:rtl w:val="true"/>
          <w:lang w:bidi="ar-SA"/>
        </w:rPr>
        <w:t xml:space="preserve">وكذا لو أدركت ركعة من وقت العصر والعشاء والصبح مع جميع الشرائط الاختيارية ؛ بلا وجدان خلاف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760"/>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الخلاف بين أهل العلم</w:t>
      </w:r>
      <w:r>
        <w:rPr>
          <w:rStyle w:val="FootnoteAnchor"/>
          <w:rtl w:val="true"/>
        </w:rPr>
        <w:footnoteReference w:id="761"/>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النبوي المشهور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 ركعة من الصلاة فقد أدرك الصلاة</w:t>
      </w:r>
      <w:r>
        <w:rPr>
          <w:rFonts w:eastAsia="Amiri" w:cs="Amiri" w:ascii="Amiri" w:hAnsi="Amiri"/>
          <w:color w:val="111111"/>
          <w:sz w:val="28"/>
          <w:szCs w:val="28"/>
          <w:rtl w:val="true"/>
          <w:lang w:bidi="ar-SA"/>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والعلوي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 ركعة من العصر قبل أن تغرب الشمس ، فقد أدرك العصر</w:t>
      </w:r>
      <w:r>
        <w:rPr>
          <w:rFonts w:eastAsia="Amiri" w:cs="Amiri" w:ascii="Amiri" w:hAnsi="Amiri"/>
          <w:color w:val="111111"/>
          <w:sz w:val="28"/>
          <w:szCs w:val="28"/>
          <w:rtl w:val="true"/>
          <w:lang w:bidi="ar-SA"/>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ورواية أصبغ بن نُباتة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أدرك من الغداة ركعة قبل طلوع الشمس فقد أدرك الغداة تامّة</w:t>
      </w:r>
      <w:r>
        <w:rPr>
          <w:rFonts w:eastAsia="IRNazanin" w:cs="IRNazanin"/>
          <w:color w:val="111111"/>
          <w:sz w:val="28"/>
          <w:szCs w:val="28"/>
          <w:rtl w:val="true"/>
          <w:lang w:bidi="fa-IR"/>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وضعف إسنادها منجبر بالعمل بها قديماً وحديثاً ، فقد تمسّك بها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وادّعى إجماع الاُمّة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الصبيّ والمجنون والحائض والنفساء والكافر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خلاف بين أهل العلم في أنّ واحداً من هؤلاء الذين ذكرناهم إذا أدرك</w:t>
      </w:r>
    </w:p>
    <w:p>
      <w:pPr>
        <w:pStyle w:val="BookText"/>
        <w:rPr/>
      </w:pPr>
      <w:r>
        <w:rPr>
          <w:rFonts w:ascii="IRNazanin" w:hAnsi="IRNazanin" w:eastAsia="IRNazanin"/>
          <w:color w:val="111111"/>
          <w:sz w:val="28"/>
          <w:sz w:val="28"/>
          <w:szCs w:val="28"/>
          <w:rtl w:val="true"/>
          <w:lang w:bidi="fa-IR"/>
        </w:rPr>
        <w:t xml:space="preserve">قبل غروب الشمس بركعة ، أ نّه يلزمه العصر ، وكذلك إذا أدرك قبل طلوع الفجر الثاني مقدار ركعة ، أ نّه يلزمه العشاء ، وقبل طلوع الشمس بركعة يلزمه الصبح ؛ لما روي عن النبي صلی الله علیه و آله وسلم أ 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أدرك ركعة من الصبح قبل أن تطلع الشمس فقد أدرك الصبح ، ومن أدرك ركعة من العصر قبل أن تغرب الشمس فقد أدرك العصر</w:t>
      </w:r>
      <w:r>
        <w:rPr>
          <w:rFonts w:eastAsia="IRNazanin" w:cs="IRNazanin"/>
          <w:color w:val="111111"/>
          <w:sz w:val="28"/>
          <w:szCs w:val="28"/>
          <w:rtl w:val="true"/>
          <w:lang w:bidi="fa-IR"/>
        </w:rPr>
        <w:t>»</w:t>
      </w:r>
      <w:r>
        <w:rPr>
          <w:rStyle w:val="FootnoteAnchor"/>
          <w:rtl w:val="true"/>
        </w:rPr>
        <w:footnoteReference w:id="766"/>
      </w:r>
      <w:r>
        <w:rPr>
          <w:rFonts w:ascii="Amiri" w:hAnsi="Amiri" w:eastAsia="Amiri" w:cs="Amiri"/>
          <w:color w:val="111111"/>
          <w:sz w:val="28"/>
          <w:sz w:val="28"/>
          <w:szCs w:val="28"/>
          <w:rtl w:val="true"/>
          <w:lang w:bidi="ar-SA"/>
        </w:rPr>
        <w:t>وكذلك روي عن أئمّتنا</w:t>
      </w:r>
      <w:r>
        <w:rPr>
          <w:rFonts w:eastAsia="Amiri" w:cs="Amiri" w:ascii="Amiri" w:hAnsi="Amiri"/>
          <w:color w:val="111111"/>
          <w:sz w:val="28"/>
          <w:szCs w:val="28"/>
          <w:rtl w:val="true"/>
          <w:lang w:bidi="ar-SA"/>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الروايات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وهذه الروايات وإن ضعف سندها إلاّ أنّ </w:t>
      </w:r>
    </w:p>
    <w:p>
      <w:pPr>
        <w:pStyle w:val="BookText"/>
        <w:rPr/>
      </w:pPr>
      <w:r>
        <w:rPr>
          <w:rFonts w:ascii="Amiri" w:hAnsi="Amiri" w:eastAsia="Amiri" w:cs="Amiri"/>
          <w:color w:val="111111"/>
          <w:sz w:val="28"/>
          <w:sz w:val="28"/>
          <w:szCs w:val="28"/>
          <w:rtl w:val="true"/>
          <w:lang w:bidi="ar-SA"/>
        </w:rPr>
        <w:t>عمل الطائفة عليها ، ولا معارض لها ، فيتعيّن العمل بها</w:t>
      </w:r>
      <w:r>
        <w:rPr>
          <w:rFonts w:eastAsia="Amiri" w:cs="Amiri" w:ascii="Amiri" w:hAnsi="Amiri"/>
          <w:color w:val="111111"/>
          <w:sz w:val="28"/>
          <w:szCs w:val="28"/>
          <w:rtl w:val="true"/>
          <w:lang w:bidi="ar-SA"/>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فتوى الأصحاب على طبقها وتمسّكَ أرباب الاستدلال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تلك المسألة المخالفة للقواعد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 لانجبار سندها ، فلا إشكال من هذه الحيثية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الإشكال في دلالتها وحدود مفادها ،فقد يستشكل في النبوي الذي هو أوسع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باحتمال أنّ إدراك ركعة مع الإمام بمنزلة إدراك جميع الصلاة</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 نّه مخالف لظاهره ؛ فإنّ الظاهر إدراك نفس الصلاة ، لا إدراك الجماعة أو فضيلتها ، وهو لا ينطبق إلاّ على إدراك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ورود سائر الروايات في الغداة والعصر بهذا المضمون ، يوجب الاطمئنان بأنّ النبوي وسائر ما يشابهه مضموناً وعبارةً من وادٍ واحد ، فيرفع الاحتمال أو الإجمال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فهم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سائر العلماء قديماً وحديثاً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الوثوق بمفاده ، فلا إشكال من هذه الجهة أيضاً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يستشكل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مفادها هو مضيّ الركعة خارجاً ، لا جواز الدخول في الصلاة من أوّل الأمر لمن علم إدراك ركعة من الوقت ، 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أدرك ركعة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من دخل في الصلاة غافلاً أو باعتقاد سعة الوقت ، ثمّ أدرك ركعة منها ، فقد أدرك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نظير إدراك أوّل الوقت إذا دخل في الصلاة قبل الوقت ، فوقع بعضها فيه</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المتفاهم من هذه العبارة هو توسعة الوقت للمدرك ركعة ، فكأ 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إدراك ركعة من الوقت إدراك لجميع الوقت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يفهم العرف خصوصية للدخول في الصلاة ، بل ما يفهم منه أنّ لإدراك بعض الوقت خصوصيةً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وقياس آخر الوقت بأوّله في غير محلّه بعد كون لسان الدليلين مختلفين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والشاهد على هذا الفهم العرفي فهم علماء الفريقين ، وليس شيء في الباب غير تلك 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عدم بُعد استفادة المعنى الاستقبالي منه ، 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أدرك ركعة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يدرك ، فحينئذٍ لا قصور في دلالة اللفظ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المتفاهم منها أنّ المدرك لركعة من الصلاة التي هي تكليفها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بشرائطها الاختيارية من الطهور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مدرك الوقت ، فلا تعمّ ما إذا أدركها بمصداقها الاضطراري ، فإدراك ركعة مع الطهارة الترابية لمن كان تكليفها الطهارة المائية ، غير مشمول لها ، كإدراكها مع فقد سائر الشرائط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منها أنّ الصلاة المكتوبة على الشخص الذي تكون وظيفته الإتيان بها ، إذا أدرك ركعة منها في الوقت ، فقد أدرك الوقت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لا إشكال في خروج الآداب والمستحبّات ، فمن أدركها بواجباتها وشرائطها فقد أدرك وإن كان الوقت مضيّقاً عن إتيان المستحبّات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في إدراك العشاء والعصر والصبح ممّا لا مزاحم لها </w:t>
      </w:r>
      <w:r>
        <w:rPr>
          <w:rFonts w:eastAsia="Amiri" w:cs="Amiri" w:ascii="Amiri" w:hAnsi="Amiri"/>
          <w:color w:val="111111"/>
          <w:sz w:val="28"/>
          <w:szCs w:val="28"/>
          <w:rtl w:val="true"/>
          <w:lang w:bidi="ar-SA"/>
        </w:rPr>
        <w:t xml:space="preserve">. </w:t>
      </w:r>
      <w:bookmarkStart w:id="472" w:name="pg15019_190817"/>
    </w:p>
    <w:p>
      <w:pPr>
        <w:pStyle w:val="Heading6"/>
        <w:numPr>
          <w:ilvl w:val="5"/>
          <w:numId w:val="1"/>
        </w:numPr>
        <w:rPr/>
      </w:pPr>
      <w:bookmarkStart w:id="473" w:name="__RefHeading___Toc686508_3406789950"/>
      <w:bookmarkStart w:id="474" w:name="_Toc172"/>
      <w:bookmarkEnd w:id="472"/>
      <w:bookmarkEnd w:id="473"/>
      <w:r>
        <w:rPr>
          <w:rtl w:val="true"/>
        </w:rPr>
        <w:t>حكم إدراك ركعة من الظهر والمغرب مع الشرائط الاختيارية</w:t>
      </w:r>
      <w:bookmarkEnd w:id="474"/>
    </w:p>
    <w:p>
      <w:pPr>
        <w:pStyle w:val="BookText"/>
        <w:rPr/>
      </w:pPr>
      <w:r>
        <w:rPr>
          <w:rFonts w:ascii="Amiri" w:hAnsi="Amiri" w:eastAsia="Amiri" w:cs="Amiri"/>
          <w:color w:val="111111"/>
          <w:sz w:val="28"/>
          <w:sz w:val="28"/>
          <w:szCs w:val="28"/>
          <w:rtl w:val="true"/>
          <w:lang w:bidi="ar-SA"/>
        </w:rPr>
        <w:t xml:space="preserve">وأمّا بالنسبة إلى صلاة المغرب والظهر فهو أيضاً كذلك ، كما هو المشهور نقلاً وتحصيلاً ،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771"/>
      </w:r>
      <w:r>
        <w:rPr>
          <w:rFonts w:ascii="Amiri" w:hAnsi="Amiri" w:eastAsia="Amiri" w:cs="Amiri"/>
          <w:color w:val="111111"/>
          <w:sz w:val="28"/>
          <w:sz w:val="28"/>
          <w:szCs w:val="28"/>
          <w:rtl w:val="true"/>
          <w:lang w:bidi="ar-SA"/>
        </w:rPr>
        <w:t xml:space="preserve">، وادّعى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الخلاف فيه</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بعض آخر الاستحباب</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بعضٍ استحباب فعل الظهرين بإدراك خمس قبل الغروب ، والعشاءين بإدراك أربع قبل الفجر</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بقي من النهار بمقدار ستّ ركعات بدأ بالظهر</w:t>
      </w:r>
      <w:r>
        <w:rPr>
          <w:rFonts w:eastAsia="Amiri" w:cs="Amiri" w:ascii="Amiri" w:hAnsi="Amiri"/>
          <w:color w:val="111111"/>
          <w:sz w:val="28"/>
          <w:szCs w:val="28"/>
          <w:rtl w:val="true"/>
          <w:lang w:bidi="ar-SA"/>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على ما ذكرنا النبوي المتقدّم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أدرك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يقتضي مزاحمة الظهر مثلاً للوقت الاختياري من العصر ، وإنّ مقتضى أدلّة الاختصاص عدم وقوع الظهر في الوقت الاختصاصي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قصور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أدرك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تجويز تأخير العصر اختياراً إلى إدراك ركعة منه ، كما لا يستفاد منه جواز تأخير الصلاة في سعة الوقت إلى زمان إدراك الركعة</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إن كان المانع من التمسّك به هو أدلّة الاختصاص ، فلا تكون مزاحمة له ؛ فإنّ مفادها هو لزوم العصر إذا بقي من الوقت أربع ركعات ، ففي صحيحة إسماعيل بن 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الأصحّ</w:t>
      </w:r>
      <w:r>
        <w:rPr>
          <w:rStyle w:val="FootnoteAnchor"/>
          <w:rtl w:val="true"/>
        </w:rPr>
        <w:footnoteReference w:id="7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قال في الرجل يؤخّر الظهر حتّى يدخل وقت العصر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يبدأ بالعصر ، ثمّ يصلّي الظهر</w:t>
      </w:r>
      <w:r>
        <w:rPr>
          <w:rFonts w:eastAsia="IRNazanin" w:cs="IRNazanin"/>
          <w:color w:val="111111"/>
          <w:sz w:val="28"/>
          <w:szCs w:val="28"/>
          <w:rtl w:val="true"/>
          <w:lang w:bidi="fa-IR"/>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صحيحة الحلبي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نسي الاُولى والعصر جميعاً ، ثمّ ذكر ذلك عند غروب الشمس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في وقت لا يخاف فوت إحداهما فليصلّ الظهر ، ثمّ ليصلّ العصر ، وإن هو خاف أن تفوته فليبدأ بالعصر ، ولا يؤخّرها فتفوته ، فيكون قد فاتتاه جميعاً ، ولكن يصلّي العصر فيما قد بقي </w:t>
      </w:r>
    </w:p>
    <w:p>
      <w:pPr>
        <w:pStyle w:val="BookText"/>
        <w:rPr/>
      </w:pPr>
      <w:r>
        <w:rPr>
          <w:rFonts w:ascii="Amiri" w:hAnsi="Amiri" w:eastAsia="Amiri" w:cs="Amiri"/>
          <w:color w:val="111111"/>
          <w:sz w:val="28"/>
          <w:sz w:val="28"/>
          <w:szCs w:val="28"/>
          <w:rtl w:val="true"/>
          <w:lang w:bidi="ar-SA"/>
        </w:rPr>
        <w:t>من وقتها ، ثمّ ليصلِّ الاُولى بعد ذلك على أثرها</w:t>
      </w:r>
      <w:r>
        <w:rPr>
          <w:rFonts w:eastAsia="Amiri" w:cs="Amiri" w:ascii="Amiri" w:hAnsi="Amiri"/>
          <w:color w:val="111111"/>
          <w:sz w:val="28"/>
          <w:szCs w:val="28"/>
          <w:rtl w:val="true"/>
          <w:lang w:bidi="ar-SA"/>
        </w:rPr>
        <w:t>»</w:t>
      </w:r>
      <w:r>
        <w:rPr>
          <w:rStyle w:val="FootnoteAnchor"/>
          <w:rtl w:val="true"/>
        </w:rPr>
        <w:footnoteReference w:id="779"/>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الاُولى هو أ نّه إذا دخل وقت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الوقت الاختصاصي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البدء به ، وهو الظاهر من الثانية أيضاً ، وحينئذٍ تكون تلك الروايات مشعرة بأنّ الظهر لا يزاحم العصر في جميع وقتها ، لا في بعضه ، وإلاّ كان الحقّ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بقي من الوقت سبع ركعات يصلّي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إن لم تكن مؤيّدة لانطباق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أدرك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على الظهر ، لم تكن مخالفة له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المانع هو الأدلّة العامّة لجعل الأوقات</w:t>
      </w:r>
      <w:r>
        <w:rPr>
          <w:rStyle w:val="FootnoteAnchor"/>
          <w:rtl w:val="true"/>
        </w:rPr>
        <w:footnoteReference w:id="780"/>
      </w:r>
      <w:r>
        <w:rPr>
          <w:rFonts w:ascii="Amiri" w:hAnsi="Amiri" w:eastAsia="Amiri" w:cs="Amiri"/>
          <w:color w:val="111111"/>
          <w:sz w:val="28"/>
          <w:sz w:val="28"/>
          <w:szCs w:val="28"/>
          <w:rtl w:val="true"/>
          <w:lang w:bidi="ar-SA"/>
        </w:rPr>
        <w:t xml:space="preserve">، فلاإشكال في حكومته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المانع هو عدم انطباقه على العصر الذي يمكن إدراكه بجميع وقته ، فلا يجوز تأخير العصر اختياراً إلى ضيق الوقت بمقدار إدراك ركعة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انطباقه على الظهر موجب لحصول الموضوع للعصر ؛ ضرورة أنّ ترك العصر حينئذٍ ليس باختيار المكلّف ، بل بحكم الشارع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اختصاص الوقت بالعصر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 نّه إن بقي من الوقت خمس ركعات ، يكون الظهر مشمولاً للنبوي ومع شموله له يجب بحكمه إتيان الظهر المدرك لوقته التنزيلي ، ومع لزوم إتيانه يبقى للعصر ركعة ، فيشمله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هذا تأخير العصر اختياراً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التأخير إلى زمان إدراك الركعة ، بل هو تأخير بحكم الشرع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حال إدراك ركعة جامعة للشرائط </w:t>
      </w:r>
      <w:r>
        <w:rPr>
          <w:rFonts w:eastAsia="Amiri" w:cs="Amiri" w:ascii="Amiri" w:hAnsi="Amiri"/>
          <w:color w:val="111111"/>
          <w:sz w:val="28"/>
          <w:szCs w:val="28"/>
          <w:rtl w:val="true"/>
          <w:lang w:bidi="ar-SA"/>
        </w:rPr>
        <w:t xml:space="preserve">. </w:t>
      </w:r>
      <w:bookmarkStart w:id="475" w:name="pg15019_190820"/>
    </w:p>
    <w:p>
      <w:pPr>
        <w:pStyle w:val="Heading6"/>
        <w:numPr>
          <w:ilvl w:val="5"/>
          <w:numId w:val="1"/>
        </w:numPr>
        <w:rPr/>
      </w:pPr>
      <w:bookmarkStart w:id="476" w:name="__RefHeading___Toc686510_3406789950"/>
      <w:bookmarkStart w:id="477" w:name="_Toc173"/>
      <w:bookmarkEnd w:id="475"/>
      <w:bookmarkEnd w:id="476"/>
      <w:r>
        <w:rPr>
          <w:rtl w:val="true"/>
        </w:rPr>
        <w:t>حكم إدراك أقلّ من ركعة مع الشرائط الاختيارية</w:t>
      </w:r>
      <w:bookmarkEnd w:id="477"/>
    </w:p>
    <w:p>
      <w:pPr>
        <w:pStyle w:val="BookText"/>
        <w:rPr/>
      </w:pPr>
      <w:r>
        <w:rPr>
          <w:rFonts w:ascii="Amiri" w:hAnsi="Amiri" w:eastAsia="Amiri" w:cs="Amiri"/>
          <w:color w:val="111111"/>
          <w:sz w:val="28"/>
          <w:sz w:val="28"/>
          <w:szCs w:val="28"/>
          <w:rtl w:val="true"/>
          <w:lang w:bidi="ar-SA"/>
        </w:rPr>
        <w:t xml:space="preserve">وأمّا لو لم تدرك ركعة ، بل أدركت أقلّ منها ، فمقتضى القواعد الأوّلية والثانوية فوتها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الأوّلية فواضح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الثانوية فكذلك أيضاً ؛ لأنّ الظاهر منها أنّ إدراك الركعة غاية ما يمكن الإدراك معه ، ولو كانت تدرك الصلاة بأقلّ منها لما جاز التحديد بالركعة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هنا روايات سيأتي التكلّم عليها </w:t>
      </w:r>
      <w:r>
        <w:rPr>
          <w:rFonts w:eastAsia="Amiri" w:cs="Amiri" w:ascii="Amiri" w:hAnsi="Amiri"/>
          <w:color w:val="111111"/>
          <w:sz w:val="28"/>
          <w:szCs w:val="28"/>
          <w:rtl w:val="true"/>
          <w:lang w:bidi="ar-SA"/>
        </w:rPr>
        <w:t>.</w:t>
      </w:r>
    </w:p>
    <w:p>
      <w:pPr>
        <w:pStyle w:val="Heading6"/>
        <w:numPr>
          <w:ilvl w:val="5"/>
          <w:numId w:val="1"/>
        </w:numPr>
        <w:rPr/>
      </w:pPr>
      <w:bookmarkStart w:id="478" w:name="__RefHeading___Toc686512_3406789950"/>
      <w:bookmarkStart w:id="479" w:name="_Toc174"/>
      <w:bookmarkEnd w:id="478"/>
      <w:r>
        <w:rPr>
          <w:rtl w:val="true"/>
        </w:rPr>
        <w:t>حكم إدراك تمام الصلاة بفردها الاضطراري</w:t>
      </w:r>
      <w:bookmarkEnd w:id="479"/>
    </w:p>
    <w:p>
      <w:pPr>
        <w:pStyle w:val="BookText"/>
        <w:rPr/>
      </w:pPr>
      <w:r>
        <w:rPr>
          <w:rFonts w:ascii="Amiri" w:hAnsi="Amiri" w:eastAsia="Amiri" w:cs="Amiri"/>
          <w:color w:val="111111"/>
          <w:sz w:val="28"/>
          <w:sz w:val="28"/>
          <w:szCs w:val="28"/>
          <w:rtl w:val="true"/>
          <w:lang w:bidi="ar-SA"/>
        </w:rPr>
        <w:t xml:space="preserve">ثمّ لو أمكن لها إدراك تمام الصلاة في الوقت ، لكن لا الاختياري منها ، بل الاضطراري ، كالصلاة مع التيمّم ، أو بلا ستر ، أو مع نجاسة البدن ، أو غير ذلك ، فهل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النصوص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لزوم الإتيان ، وعلى فرض الترك القضاء ؟</w:t>
      </w:r>
    </w:p>
    <w:p>
      <w:pPr>
        <w:pStyle w:val="Heading6"/>
        <w:numPr>
          <w:ilvl w:val="5"/>
          <w:numId w:val="1"/>
        </w:numPr>
        <w:rPr/>
      </w:pPr>
      <w:bookmarkStart w:id="480" w:name="__RefHeading___Toc686514_3406789950"/>
      <w:bookmarkStart w:id="481" w:name="_Toc175"/>
      <w:bookmarkEnd w:id="480"/>
      <w:r>
        <w:rPr>
          <w:rtl w:val="true"/>
        </w:rPr>
        <w:t>مقتضى القواعد في المقام</w:t>
      </w:r>
      <w:bookmarkEnd w:id="481"/>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الأصل في كلّ شرط انتفاء المشروط بانتفائه ، مع الشكّ في شمول ما دلّ على سقوطه عند الاضطرار لمثل المقام الذي هو ابتداء التكليف</w:t>
      </w:r>
      <w:r>
        <w:rPr>
          <w:rFonts w:eastAsia="Amiri" w:cs="Amiri" w:ascii="Amiri" w:hAnsi="Amiri"/>
          <w:color w:val="111111"/>
          <w:sz w:val="28"/>
          <w:szCs w:val="28"/>
          <w:rtl w:val="true"/>
          <w:lang w:bidi="ar-SA"/>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لكنّ 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ملاحظة الموارد الكثيرة التي رجّح الشارع فيها جانب الوقت على سائر 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كترجيحه على الطهارة المائية</w:t>
      </w:r>
      <w:r>
        <w:rPr>
          <w:rStyle w:val="FootnoteAnchor"/>
          <w:rtl w:val="true"/>
        </w:rPr>
        <w:footnoteReference w:id="782"/>
      </w:r>
      <w:r>
        <w:rPr>
          <w:rFonts w:ascii="IRNazanin" w:hAnsi="IRNazanin" w:eastAsia="IRNazanin"/>
          <w:color w:val="111111"/>
          <w:sz w:val="28"/>
          <w:sz w:val="28"/>
          <w:szCs w:val="28"/>
          <w:rtl w:val="true"/>
          <w:lang w:bidi="fa-IR"/>
        </w:rPr>
        <w:t>وعلى الستر</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وطهارة البدن</w:t>
      </w:r>
      <w:r>
        <w:rPr>
          <w:rStyle w:val="FootnoteAnchor"/>
          <w:rtl w:val="true"/>
        </w:rPr>
        <w:footnoteReference w:id="784"/>
      </w:r>
      <w:r>
        <w:rPr>
          <w:rFonts w:ascii="Amiri" w:hAnsi="Amiri" w:eastAsia="Amiri" w:cs="Amiri"/>
          <w:color w:val="111111"/>
          <w:sz w:val="28"/>
          <w:sz w:val="28"/>
          <w:szCs w:val="28"/>
          <w:rtl w:val="true"/>
          <w:lang w:bidi="ar-SA"/>
        </w:rPr>
        <w:t xml:space="preserve">، بل ترجيحه على الركوع والسجود الاختياريين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غير ذلك من الموارد</w:t>
      </w:r>
      <w:r>
        <w:rPr>
          <w:rStyle w:val="FootnoteAnchor"/>
          <w:rtl w:val="true"/>
        </w:rPr>
        <w:footnoteReference w:id="7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توجب القطع بأنّ للوقت خصوصية ليست لسائر الشرائط ، وأنّ المكلّف إذا أمكنه إتيان الصلاة بأيّ نحو في الوقت ، يلزم عليه الإتيان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لا تترك بحال</w:t>
      </w:r>
      <w:r>
        <w:rPr>
          <w:rFonts w:eastAsia="Amiri" w:cs="Amiri" w:ascii="Amiri" w:hAnsi="Amiri"/>
          <w:color w:val="111111"/>
          <w:sz w:val="28"/>
          <w:szCs w:val="28"/>
          <w:rtl w:val="true"/>
          <w:lang w:bidi="ar-SA"/>
        </w:rPr>
        <w:t>»</w:t>
      </w:r>
      <w:r>
        <w:rPr>
          <w:rStyle w:val="FootnoteAnchor"/>
          <w:rtl w:val="true"/>
        </w:rPr>
        <w:footnoteReference w:id="786"/>
      </w:r>
      <w:r>
        <w:rPr>
          <w:rFonts w:ascii="Amiri" w:hAnsi="Amiri" w:eastAsia="Amiri" w:cs="Amiri"/>
          <w:color w:val="111111"/>
          <w:sz w:val="28"/>
          <w:sz w:val="28"/>
          <w:szCs w:val="28"/>
          <w:rtl w:val="true"/>
          <w:lang w:bidi="ar-SA"/>
        </w:rPr>
        <w:t xml:space="preserve">، فمع النظر إلى هذا وإلى تلك الموارد الكثيرة ، يشرف الفقيه على القطع بأنّ المكلّف إذا أمكنه إدراك الصلاة في الوقت ولو بفردها الاضطراري ، يجب عليه الإتيان ، ومع الترك يجب القضاء للفوت ؛ من غير فرق بين التكليف الابتدائي وغيره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بحسب القواعد </w:t>
      </w:r>
      <w:r>
        <w:rPr>
          <w:rFonts w:eastAsia="Amiri" w:cs="Amiri" w:ascii="Amiri" w:hAnsi="Amiri"/>
          <w:color w:val="111111"/>
          <w:sz w:val="28"/>
          <w:szCs w:val="28"/>
          <w:rtl w:val="true"/>
          <w:lang w:bidi="ar-SA"/>
        </w:rPr>
        <w:t xml:space="preserve">. </w:t>
      </w:r>
      <w:bookmarkStart w:id="482" w:name="pg15019_190822"/>
    </w:p>
    <w:p>
      <w:pPr>
        <w:pStyle w:val="Heading6"/>
        <w:numPr>
          <w:ilvl w:val="5"/>
          <w:numId w:val="1"/>
        </w:numPr>
        <w:rPr/>
      </w:pPr>
      <w:bookmarkStart w:id="483" w:name="__RefHeading___Toc686516_3406789950"/>
      <w:bookmarkStart w:id="484" w:name="_Toc176"/>
      <w:bookmarkEnd w:id="482"/>
      <w:bookmarkEnd w:id="483"/>
      <w:r>
        <w:rPr>
          <w:rtl w:val="true"/>
        </w:rPr>
        <w:t>مقتضى الروايات الخاصّة</w:t>
      </w:r>
      <w:bookmarkEnd w:id="484"/>
    </w:p>
    <w:p>
      <w:pPr>
        <w:pStyle w:val="BookText"/>
        <w:rPr/>
      </w:pPr>
      <w:r>
        <w:rPr>
          <w:rFonts w:ascii="Amiri" w:hAnsi="Amiri" w:eastAsia="Amiri" w:cs="Amiri"/>
          <w:color w:val="111111"/>
          <w:sz w:val="28"/>
          <w:sz w:val="28"/>
          <w:szCs w:val="28"/>
          <w:rtl w:val="true"/>
          <w:lang w:bidi="ar-SA"/>
        </w:rPr>
        <w:t xml:space="preserve">وأمّا الروايات الخاصّة ، فهي على طوائف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دلّت على أ نّها إن طهرت قبل غروب الشمس أو قبل الفجر صلّت ، كرواية أبي الصباح الكناني ، عن أبي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طهرت المرأة قبل طلوع الفجر صلّت المغرب والعشاء ، وإن طهرت قبل أن تغيب الشمس صلّت الظهر والعصر</w:t>
      </w:r>
      <w:r>
        <w:rPr>
          <w:rFonts w:eastAsia="IRNazanin" w:cs="IRNazanin"/>
          <w:color w:val="111111"/>
          <w:sz w:val="28"/>
          <w:szCs w:val="28"/>
          <w:rtl w:val="true"/>
          <w:lang w:bidi="fa-IR"/>
        </w:rPr>
        <w:t>»</w:t>
      </w:r>
      <w:r>
        <w:rPr>
          <w:rStyle w:val="FootnoteAnchor"/>
          <w:rtl w:val="true"/>
        </w:rPr>
        <w:footnoteReference w:id="787"/>
      </w:r>
      <w:r>
        <w:rPr>
          <w:rFonts w:ascii="Amiri" w:hAnsi="Amiri" w:eastAsia="Amiri" w:cs="Amiri"/>
          <w:color w:val="111111"/>
          <w:sz w:val="28"/>
          <w:sz w:val="28"/>
          <w:szCs w:val="28"/>
          <w:rtl w:val="true"/>
          <w:lang w:bidi="ar-SA"/>
        </w:rPr>
        <w:t>ومثلها موثّقة ابن سنان</w:t>
      </w:r>
      <w:r>
        <w:rPr>
          <w:rStyle w:val="FootnoteAnchor"/>
          <w:rtl w:val="true"/>
        </w:rPr>
        <w:footnoteReference w:id="788"/>
      </w:r>
      <w:r>
        <w:rPr>
          <w:rFonts w:ascii="Amiri" w:hAnsi="Amiri" w:eastAsia="Amiri" w:cs="Amiri"/>
          <w:color w:val="111111"/>
          <w:sz w:val="28"/>
          <w:sz w:val="28"/>
          <w:szCs w:val="28"/>
          <w:rtl w:val="true"/>
          <w:lang w:bidi="ar-SA"/>
        </w:rPr>
        <w:t>ورواية الدجاجي</w:t>
      </w:r>
      <w:r>
        <w:rPr>
          <w:rStyle w:val="FootnoteAnchor"/>
          <w:rtl w:val="true"/>
        </w:rPr>
        <w:footnoteReference w:id="789"/>
      </w:r>
      <w:r>
        <w:rPr>
          <w:rFonts w:ascii="Amiri" w:hAnsi="Amiri" w:eastAsia="Amiri" w:cs="Amiri"/>
          <w:color w:val="111111"/>
          <w:sz w:val="28"/>
          <w:sz w:val="28"/>
          <w:szCs w:val="28"/>
          <w:rtl w:val="true"/>
          <w:lang w:bidi="ar-SA"/>
        </w:rPr>
        <w:t>ورواية عمر بن حنظلة</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 نّها مستند المحقّق في إيجابه الصلاة عليها مع تمكّنها من الطهارة</w:t>
      </w:r>
    </w:p>
    <w:p>
      <w:pPr>
        <w:pStyle w:val="BookText"/>
        <w:rPr/>
      </w:pPr>
      <w:r>
        <w:rPr>
          <w:rFonts w:ascii="Amiri" w:hAnsi="Amiri" w:eastAsia="Amiri" w:cs="Amiri"/>
          <w:color w:val="111111"/>
          <w:sz w:val="28"/>
          <w:sz w:val="28"/>
          <w:szCs w:val="28"/>
          <w:rtl w:val="true"/>
          <w:lang w:bidi="ar-SA"/>
        </w:rPr>
        <w:t xml:space="preserve">والشروع في الصلاة ، كما هو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الظاهر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سائر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حصول الطهر قبل خروج الوقت بمقدار يمكنها إدراك الصلاة أداءً ؛ فإنّها ظاهرة في كون الصلاة أداءً لا قضاءً ، فهي متعرّضة لوجوب الصلاة عليها إذا طهرت قبل </w:t>
      </w:r>
    </w:p>
    <w:p>
      <w:pPr>
        <w:pStyle w:val="BookText"/>
        <w:rPr/>
      </w:pPr>
      <w:r>
        <w:rPr>
          <w:rFonts w:ascii="Amiri" w:hAnsi="Amiri" w:eastAsia="Amiri" w:cs="Amiri"/>
          <w:color w:val="111111"/>
          <w:sz w:val="28"/>
          <w:sz w:val="28"/>
          <w:szCs w:val="28"/>
          <w:rtl w:val="true"/>
          <w:lang w:bidi="ar-SA"/>
        </w:rPr>
        <w:t xml:space="preserve">غروب الشمس ، وأدركت ما هو تكليفها الفعلي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فرض الأخذ بإطلاقها والجمود عليه ، يكون مفادها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أوسع ممّا ذكره المحقّق ، فلا يلزم في وجوبها عليها إدراك الطهور وبعض الصلاة في الوقت ؛ ضرورة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الطهر قبل أن يطلع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الطهر قبله بهنيئة لا يمكنها فيها التطهّر وإدراك بعض الصلاة ، مع أ نّه لا يلتزم به ، وبعده لا</w:t>
      </w:r>
    </w:p>
    <w:p>
      <w:pPr>
        <w:pStyle w:val="BookText"/>
        <w:rPr/>
      </w:pPr>
      <w:r>
        <w:rPr>
          <w:rFonts w:ascii="Amiri" w:hAnsi="Amiri" w:eastAsia="Amiri" w:cs="Amiri"/>
          <w:color w:val="111111"/>
          <w:sz w:val="28"/>
          <w:sz w:val="28"/>
          <w:szCs w:val="28"/>
          <w:rtl w:val="true"/>
          <w:lang w:bidi="ar-SA"/>
        </w:rPr>
        <w:t xml:space="preserve">وجه لما ذكره ، بل الوجه هو إدراك الصلاة أداءً على ما هو وظيفتها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لا فرق ظاهراً بين إدراكها مع الطهارة المائية أو الترابية ، أو مع إدراك سائر الشرائط الاختيارية وعدمه ، فلا تنافي تلك الروايات القاعدة المؤسّسة المتقدّمة بل تعاضدها ، فتجب عليها الصلاة إذا أدركت ثماني ركعات مع الطهارة الترابية وفقد الشرائط الاختيارية ، كما يجب عليها مع إدراك ركعة بشرائطها الاختيارية ، حسب ما فصّلناه آنفاً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فصّلت بين حصول الطهر قبل العصر وغيره ، كرواية منصور بن حازم ، عن أبي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طهرت الحائض قبل العصر صلّت الظهر والعصر ، فإن طهرت في آخر وقت العصر صلّت العصر</w:t>
      </w:r>
      <w:r>
        <w:rPr>
          <w:rFonts w:eastAsia="IRNazanin" w:cs="IRNazanin"/>
          <w:color w:val="111111"/>
          <w:sz w:val="28"/>
          <w:szCs w:val="28"/>
          <w:rtl w:val="true"/>
          <w:lang w:bidi="fa-IR"/>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الوقت المختصّ ، 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المختصّ ، وهي شارحة لمفاد الروايات المتقدّمة ، أو مقيّدة لها على فرض إطلاقها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المستفاد منها أ نّها إن طهرت في آخر وقت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الوقت المختصّ </w:t>
      </w:r>
    </w:p>
    <w:p>
      <w:pPr>
        <w:pStyle w:val="BookText"/>
        <w:rPr/>
      </w:pP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عليها الصلاة ، ومعلوم أنّ نوع النساء لا يمكنهنّ إدراك الطهارة</w:t>
      </w:r>
    </w:p>
    <w:p>
      <w:pPr>
        <w:pStyle w:val="BookText"/>
        <w:rPr/>
      </w:pPr>
      <w:r>
        <w:rPr>
          <w:rFonts w:ascii="Amiri" w:hAnsi="Amiri" w:eastAsia="Amiri" w:cs="Amiri"/>
          <w:color w:val="111111"/>
          <w:sz w:val="28"/>
          <w:sz w:val="28"/>
          <w:szCs w:val="28"/>
          <w:rtl w:val="true"/>
          <w:lang w:bidi="ar-SA"/>
        </w:rPr>
        <w:t xml:space="preserve">المائية إذا طهرن آخر وقت العصر ، فإيجاب الصلاة عليهنّ لا يكون إلاّ مع الطهارة الترابية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وحملها على آخر الوقت الإضافي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أواخر الوقت ؛ بحيث يمكنهنّ الطهارة وإدراك الصلاة ولو 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غاية البعد ، خصوصاً مع السبق بالجملة المتقدّمة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صحيحة إسماعيل بن همّام ، عن أبي الحسن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الحائض إذا اغتسلت في وقت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تصلّي العصر ، ثمّ تصلّي الظهر</w:t>
      </w:r>
      <w:r>
        <w:rPr>
          <w:rFonts w:eastAsia="IRNazanin" w:cs="IRNazanin"/>
          <w:color w:val="111111"/>
          <w:sz w:val="28"/>
          <w:szCs w:val="28"/>
          <w:rtl w:val="true"/>
          <w:lang w:bidi="fa-IR"/>
        </w:rPr>
        <w:t>»</w:t>
      </w:r>
      <w:r>
        <w:rPr>
          <w:rStyle w:val="FootnoteAnchor"/>
          <w:rtl w:val="true"/>
        </w:rPr>
        <w:footnoteReference w:id="793"/>
      </w:r>
      <w:r>
        <w:rPr>
          <w:rFonts w:ascii="Amiri" w:hAnsi="Amiri" w:eastAsia="Amiri" w:cs="Amiri"/>
          <w:color w:val="111111"/>
          <w:sz w:val="28"/>
          <w:sz w:val="28"/>
          <w:szCs w:val="28"/>
          <w:rtl w:val="true"/>
          <w:lang w:bidi="ar-SA"/>
        </w:rPr>
        <w:t>فقد حملها الشيخ على أ نّها طهرت وقت الظهر ، وأخّرت الغسل حتّى ضاق الوقت</w:t>
      </w:r>
      <w:r>
        <w:rPr>
          <w:rStyle w:val="FootnoteAnchor"/>
          <w:rtl w:val="true"/>
        </w:rPr>
        <w:footnoteReference w:id="7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به جمعاً بينها وبين سائر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التعبير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اغتسلت في وقت العصر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يخلو من إشعار بذلك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تعرّضت للقضاء ، واستدلّوا بها للزوم سعة الوقت في الأداء والقضاء بمقدار الطهارة المائية وعدم كفاية الترابية ، كصحيحة عبيد بن زرارة ،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امرأة رأت الطهر وهي قادرة على أن تغتسل</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وقت صلاة ، ففرّطت فيها حتّى يدخل وقت صلاة اُخرى ، كان عليها قضاء تلك الصلاة التي فرّطت فيها ، وإن رأت الطهر في وقت صلاة فقامت في تهيئة ذلك ، فجاز وقت الصلاة ، ودخل وقت صلاة اُخرى ، فليس عليها قضاء ، وتصلّي </w:t>
      </w:r>
    </w:p>
    <w:p>
      <w:pPr>
        <w:pStyle w:val="BookText"/>
        <w:rPr/>
      </w:pPr>
      <w:r>
        <w:rPr>
          <w:rFonts w:ascii="Amiri" w:hAnsi="Amiri" w:eastAsia="Amiri" w:cs="Amiri"/>
          <w:color w:val="111111"/>
          <w:sz w:val="28"/>
          <w:sz w:val="28"/>
          <w:szCs w:val="28"/>
          <w:rtl w:val="true"/>
          <w:lang w:bidi="ar-SA"/>
        </w:rPr>
        <w:t>الصلاة التي دخل وقتها</w:t>
      </w:r>
      <w:r>
        <w:rPr>
          <w:rFonts w:eastAsia="Amiri" w:cs="Amiri" w:ascii="Amiri" w:hAnsi="Amiri"/>
          <w:color w:val="111111"/>
          <w:sz w:val="28"/>
          <w:szCs w:val="28"/>
          <w:rtl w:val="true"/>
          <w:lang w:bidi="ar-SA"/>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وموثّقة الحلبي ، عن 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المرأة تقوم في وقت الصلاة ، فلا تقضي ظهرها حتّى تفوتها الصلاة ، ويخرج الوقت ، أتقضي الصلاة التي فاتتها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كانت تَوانَتْ قضتها ، وإن كانت دائبة في غسلها فلا تقضي</w:t>
      </w:r>
      <w:r>
        <w:rPr>
          <w:rFonts w:eastAsia="IRNazanin" w:cs="IRNazanin"/>
          <w:color w:val="111111"/>
          <w:sz w:val="28"/>
          <w:szCs w:val="28"/>
          <w:rtl w:val="true"/>
          <w:lang w:bidi="fa-IR"/>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وموثّقة محمّد بن مسلم ، عن أحدهما 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ترى الطهر عند الظهر ، فتشتغل في شأنها حتّى يدخل وقت العصر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تُصلّي العصر وحدها ، فإن ضيّعت فعليها صلاتان</w:t>
      </w:r>
      <w:r>
        <w:rPr>
          <w:rFonts w:eastAsia="IRNazanin" w:cs="IRNazanin"/>
          <w:color w:val="111111"/>
          <w:sz w:val="28"/>
          <w:szCs w:val="28"/>
          <w:rtl w:val="true"/>
          <w:lang w:bidi="fa-IR"/>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وادّعى الأعلام استفادة اشتراط سعة الوقت للطهارة المائية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 نّه مجمع عليه هنا بحسب الظاهر</w:t>
      </w:r>
      <w:r>
        <w:rPr>
          <w:rFonts w:eastAsia="Amiri" w:cs="Amiri" w:ascii="Amiri" w:hAnsi="Amiri"/>
          <w:color w:val="111111"/>
          <w:sz w:val="28"/>
          <w:szCs w:val="28"/>
          <w:rtl w:val="true"/>
          <w:lang w:bidi="ar-SA"/>
        </w:rPr>
        <w:t>»</w:t>
      </w:r>
      <w:r>
        <w:rPr>
          <w:rStyle w:val="FootnoteAnchor"/>
          <w:rtl w:val="true"/>
        </w:rPr>
        <w:footnoteReference w:id="798"/>
      </w:r>
      <w:r>
        <w:rPr>
          <w:rFonts w:ascii="Amiri" w:hAnsi="Amiri" w:eastAsia="Amiri" w:cs="Amiri"/>
          <w:color w:val="111111"/>
          <w:sz w:val="28"/>
          <w:sz w:val="28"/>
          <w:szCs w:val="28"/>
          <w:rtl w:val="true"/>
          <w:lang w:bidi="ar-SA"/>
        </w:rPr>
        <w:t xml:space="preserve">، وكلمات الأصحاب وإن كانت مقصورة على ذكر الطهارة بلا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المائية</w:t>
      </w:r>
      <w:r>
        <w:rPr>
          <w:rFonts w:eastAsia="Amiri" w:cs="Amiri" w:ascii="Amiri" w:hAnsi="Amiri"/>
          <w:color w:val="111111"/>
          <w:sz w:val="28"/>
          <w:szCs w:val="28"/>
          <w:rtl w:val="true"/>
          <w:lang w:bidi="ar-SA"/>
        </w:rPr>
        <w:t>»</w:t>
      </w:r>
      <w:r>
        <w:rPr>
          <w:rStyle w:val="FootnoteAnchor"/>
          <w:rtl w:val="true"/>
        </w:rPr>
        <w:footnoteReference w:id="799"/>
      </w:r>
      <w:r>
        <w:rPr>
          <w:rFonts w:ascii="Amiri" w:hAnsi="Amiri" w:eastAsia="Amiri" w:cs="Amiri"/>
          <w:color w:val="111111"/>
          <w:sz w:val="28"/>
          <w:sz w:val="28"/>
          <w:szCs w:val="28"/>
          <w:rtl w:val="true"/>
          <w:lang w:bidi="ar-SA"/>
        </w:rPr>
        <w:t xml:space="preserve">لكنّ الظاهر أنّ مرادهم المائية ؛ لأنّ الترابية ليست عندهم طهارة ، بل مبيحة على المشهور نقلاً وتحصيلاً ، بل كاد أن يكون إجماعاً ،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ولو لا اشتهار الحكم بين الأصحاب على الظاهر ، لكان للخدشة فيه مجال ؛ فإنّ الروايات كلّها بصدد بيان حكم القضاء ، وأنّ المرأة إذا طهرت ففرّطت يجب عليها القضاء، وإن طهرت فقامت في تهيئة الغسل والعمل بالوظيفة ، فجاز الوقت، ليس عليها القضاء، ولا يبعد أن يكون المتفاهم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بحسب القرائن الخارجية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المرأة إذا طهرت فقامت لإتيان الغسل وتهيئة أسبابه ، فجاز الوقت فجأة ، مع غفلتها عن أنّ الاشتغال بشأنها يوجب فوت الوقت ، ليس عليها قضاء ، وهذا لا يدلّ على عدم وجوب الأداء عليها مع الطهارة الترابية لو علمت بضيق الوقت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متعرّضة لحكم آخر ؛ وهو حكم القضاء على فرض عدم تقصيرها وتفريطها ، وأمّا تكليفها في الوقت ماذا ، وأ نّه مع ضيق الوقت عن الطهارة المائية ، ليس عليها الأداء ، أو عليها ذلك ؟ فليست ناظرة إليها ، فرفع اليد</w:t>
      </w:r>
    </w:p>
    <w:p>
      <w:pPr>
        <w:pStyle w:val="BookText"/>
        <w:rPr/>
      </w:pPr>
      <w:r>
        <w:rPr>
          <w:rFonts w:ascii="Amiri" w:hAnsi="Amiri" w:eastAsia="Amiri" w:cs="Amiri"/>
          <w:color w:val="111111"/>
          <w:sz w:val="28"/>
          <w:sz w:val="28"/>
          <w:szCs w:val="28"/>
          <w:rtl w:val="true"/>
          <w:lang w:bidi="ar-SA"/>
        </w:rPr>
        <w:t xml:space="preserve">عن إطلاق ما دلّت على وجوب الصلاة عليها لو طهرت قبل الغروب أو آخر وقت العصر مشكل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كان المراد منها ما إذا اشتغلت المرأة بشأنها حتّى جاز الوقت فجأة ، كما لا يبعد من سوق 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لها إطلاق من حيث العمد وعدمه ؛ وأ نّها مع الالتفات إلى ضيق الوقت وعدم الفرصة لتحصيل الطهارة المائية ، اشتغلت بتهيئة الغسل حتّى جاز الوقت ، فالظاهر دلالتها على مقصودهم ؛ بملاحظة استفادة ذلك من الدلالة على عدم تفريطها والعمل بوظيفتها ، وبملاحظة أنّ القضاء تابع للأداء ، والحكم بعدم القضاء عليها يكشف عن عدم الأداء عليها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الإطلاق وإن كان مشكلاً أو ممنوعاً في بعض الروايات ، لكنّ </w:t>
      </w:r>
    </w:p>
    <w:p>
      <w:pPr>
        <w:pStyle w:val="BookText"/>
        <w:rPr/>
      </w:pPr>
      <w:r>
        <w:rPr>
          <w:rFonts w:ascii="Amiri" w:hAnsi="Amiri" w:eastAsia="Amiri" w:cs="Amiri"/>
          <w:color w:val="111111"/>
          <w:sz w:val="28"/>
          <w:sz w:val="28"/>
          <w:szCs w:val="28"/>
          <w:rtl w:val="true"/>
          <w:lang w:bidi="ar-SA"/>
        </w:rPr>
        <w:t xml:space="preserve">الظاهر إطلاق بعضٍ منها ، فالوجه ما عليه الأصحاب واشتهر بينهم ، وادّعي الإجماع عليه ، فلا بدّ من تقييد المطلقات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رواية منصور بن حازم المتقدّمة ، ففيها ضعف بمحمّد بن الربيع 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المطلقات المتقدّمة أيضاً ضعيفة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رواية أبي الصباح فلاشتراك محمّد بن الفضيل بين الثقة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عمر بن حنظلة بأبي جميلة مفضّل بن صالح الضعيف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رواية عبداللّه بن سنان لا يبعد أن تكون موثّقة وإن كان في سندها الزبيري</w:t>
      </w:r>
      <w:r>
        <w:rPr>
          <w:rStyle w:val="FootnoteAnchor"/>
          <w:rtl w:val="true"/>
        </w:rPr>
        <w:footnoteReference w:id="8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يمكن إنكار الإطلاق فيها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بعد عدم إمكان الأخذ بهذا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مجرّد الطهر قبل الفجر والغروب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محالة يكون المراد منها وقتاً تدرك فيه الصلاة ، ولم يعلم مقدار هذا الوقت ، ولعلّ المقدار المقدّر هو بمقدار الطهارة المائية ، فليتأمّل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هاهنا فروعاً اُخرى تنقيح بعضها مربوط بغير هذا المقام ، وبعضها واضح مدركاً وقولاً تركناه مخافة التطويل ، ونتعرّض لبعضها في المقصد الثاني إن شاء اللّه تعالى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أوّلاً وآخراً </w:t>
      </w:r>
      <w:r>
        <w:rPr>
          <w:rFonts w:eastAsia="Amiri" w:cs="Amiri" w:ascii="Amiri" w:hAnsi="Amiri"/>
          <w:color w:val="111111"/>
          <w:sz w:val="28"/>
          <w:szCs w:val="28"/>
          <w:rtl w:val="true"/>
          <w:lang w:bidi="ar-SA"/>
        </w:rPr>
        <w:t xml:space="preserve">.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5" w:name="pg15019_190829"/>
      <w:bookmarkStart w:id="486" w:name="pg15019_190829"/>
      <w:bookmarkEnd w:id="486"/>
    </w:p>
    <w:p>
      <w:pPr>
        <w:pStyle w:val="Heading3"/>
        <w:numPr>
          <w:ilvl w:val="2"/>
          <w:numId w:val="1"/>
        </w:numPr>
        <w:rPr/>
      </w:pPr>
      <w:bookmarkStart w:id="487" w:name="pg15019_190829"/>
      <w:bookmarkStart w:id="488" w:name="__RefHeading___Toc686518_3406789950"/>
      <w:bookmarkStart w:id="489" w:name="_Toc177"/>
      <w:bookmarkEnd w:id="487"/>
      <w:bookmarkEnd w:id="488"/>
      <w:r>
        <w:rPr>
          <w:rtl w:val="true"/>
        </w:rPr>
        <w:t>المقصد الثاني</w:t>
      </w:r>
      <w:r>
        <w:rPr>
          <w:rtl w:val="true"/>
        </w:rPr>
        <w:t xml:space="preserve">: </w:t>
      </w:r>
      <w:r>
        <w:rPr>
          <w:rtl w:val="true"/>
        </w:rPr>
        <w:t>في الاستحاضة</w:t>
      </w:r>
      <w:bookmarkEnd w:id="489"/>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90" w:name="__RefHeading___Toc686520_3406789950"/>
      <w:bookmarkStart w:id="491" w:name="_Toc178"/>
      <w:bookmarkEnd w:id="490"/>
      <w:r>
        <w:rPr>
          <w:rtl w:val="true"/>
        </w:rPr>
        <w:t>اشارة</w:t>
      </w:r>
      <w:bookmarkEnd w:id="491"/>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2" w:name="pg15019_190831"/>
      <w:bookmarkStart w:id="493" w:name="pg15019_190831"/>
      <w:bookmarkEnd w:id="493"/>
    </w:p>
    <w:p>
      <w:pPr>
        <w:pStyle w:val="Heading4"/>
        <w:numPr>
          <w:ilvl w:val="3"/>
          <w:numId w:val="1"/>
        </w:numPr>
        <w:rPr/>
      </w:pPr>
      <w:bookmarkStart w:id="494" w:name="pg15019_190831"/>
      <w:bookmarkStart w:id="495" w:name="__RefHeading___Toc686522_3406789950"/>
      <w:bookmarkStart w:id="496" w:name="_Toc179"/>
      <w:bookmarkEnd w:id="494"/>
      <w:bookmarkEnd w:id="495"/>
      <w:r>
        <w:rPr>
          <w:rtl w:val="true"/>
        </w:rPr>
        <w:t>القول في حقيقة الاستحاضة</w:t>
      </w:r>
      <w:bookmarkEnd w:id="496"/>
    </w:p>
    <w:p>
      <w:pPr>
        <w:pStyle w:val="BookText"/>
        <w:rPr/>
      </w:pPr>
      <w:r>
        <w:rPr>
          <w:rFonts w:ascii="Amiri" w:hAnsi="Amiri" w:eastAsia="Amiri" w:cs="Amiri"/>
          <w:color w:val="111111"/>
          <w:sz w:val="28"/>
          <w:sz w:val="28"/>
          <w:szCs w:val="28"/>
          <w:rtl w:val="true"/>
          <w:lang w:bidi="ar-SA"/>
        </w:rPr>
        <w:t>في ذكر معنى الاستحاضة لغة</w:t>
      </w:r>
    </w:p>
    <w:p>
      <w:pPr>
        <w:pStyle w:val="BookText"/>
        <w:rPr/>
      </w:pPr>
      <w:r>
        <w:rPr>
          <w:rFonts w:ascii="Amiri" w:hAnsi="Amiri" w:eastAsia="Amiri" w:cs="Amiri"/>
          <w:color w:val="111111"/>
          <w:sz w:val="28"/>
          <w:sz w:val="28"/>
          <w:szCs w:val="28"/>
          <w:rtl w:val="true"/>
          <w:lang w:bidi="ar-SA"/>
        </w:rPr>
        <w:t xml:space="preserve">وقد اختلفت كلمات اللغويين فيها ؛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استُحيضت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استمرّ بها الدم بعد أيّامها ، فهي مستحاضة</w:t>
      </w:r>
      <w:r>
        <w:rPr>
          <w:rFonts w:eastAsia="Amiri" w:cs="Amiri" w:ascii="Amiri" w:hAnsi="Amiri"/>
          <w:color w:val="111111"/>
          <w:sz w:val="28"/>
          <w:szCs w:val="28"/>
          <w:rtl w:val="true"/>
          <w:lang w:bidi="ar-SA"/>
        </w:rPr>
        <w:t>»</w:t>
      </w:r>
      <w:r>
        <w:rPr>
          <w:rStyle w:val="FootnoteAnchor"/>
          <w:rtl w:val="true"/>
        </w:rPr>
        <w:footnoteReference w:id="802"/>
      </w:r>
      <w:r>
        <w:rPr>
          <w:rFonts w:ascii="Amiri" w:hAnsi="Amiri" w:eastAsia="Amiri" w:cs="Amiri"/>
          <w:color w:val="111111"/>
          <w:sz w:val="28"/>
          <w:sz w:val="28"/>
          <w:szCs w:val="28"/>
          <w:rtl w:val="true"/>
          <w:lang w:bidi="ar-SA"/>
        </w:rPr>
        <w:t xml:space="preserve">، وقريب منه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ابن الأثير</w:t>
      </w:r>
      <w:r>
        <w:rPr>
          <w:rFonts w:eastAsia="Amiri" w:cs="Amiri" w:ascii="Amiri" w:hAnsi="Amiri"/>
          <w:color w:val="111111"/>
          <w:sz w:val="28"/>
          <w:szCs w:val="28"/>
          <w:rtl w:val="true"/>
          <w:lang w:bidi="ar-SA"/>
        </w:rPr>
        <w:t>»</w:t>
      </w:r>
      <w:r>
        <w:rPr>
          <w:rStyle w:val="FootnoteAnchor"/>
          <w:rtl w:val="true"/>
        </w:rPr>
        <w:footnoteReference w:id="803"/>
      </w:r>
      <w:r>
        <w:rPr>
          <w:rFonts w:ascii="Amiri" w:hAnsi="Amiri" w:eastAsia="Amiri" w:cs="Amiri"/>
          <w:color w:val="111111"/>
          <w:sz w:val="28"/>
          <w:sz w:val="28"/>
          <w:szCs w:val="28"/>
          <w:rtl w:val="true"/>
          <w:lang w:bidi="ar-SA"/>
        </w:rPr>
        <w:t>، ويشعر ذلك بعدم استعمال المعلوم</w:t>
      </w:r>
      <w:r>
        <w:rPr>
          <w:rStyle w:val="FootnoteAnchor"/>
          <w:rtl w:val="true"/>
        </w:rPr>
        <w:footnoteReference w:id="804"/>
      </w:r>
      <w:r>
        <w:rPr>
          <w:rFonts w:ascii="Amiri" w:hAnsi="Amiri" w:eastAsia="Amiri" w:cs="Amiri"/>
          <w:color w:val="111111"/>
          <w:sz w:val="28"/>
          <w:sz w:val="28"/>
          <w:szCs w:val="28"/>
          <w:rtl w:val="true"/>
          <w:lang w:bidi="ar-SA"/>
        </w:rPr>
        <w:t>فيها ، مع استعمالها معلومة مراراً في مرسلة يونس الطويلة</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والمستحاضة من يسيل دمها لا من الحيض ، بل من عرق العاذل</w:t>
      </w:r>
      <w:r>
        <w:rPr>
          <w:rFonts w:eastAsia="Amiri" w:cs="Amiri" w:ascii="Amiri" w:hAnsi="Amiri"/>
          <w:color w:val="111111"/>
          <w:sz w:val="28"/>
          <w:szCs w:val="28"/>
          <w:rtl w:val="true"/>
          <w:lang w:bidi="ar-SA"/>
        </w:rPr>
        <w:t>»</w:t>
      </w:r>
      <w:r>
        <w:rPr>
          <w:rStyle w:val="FootnoteAnchor"/>
          <w:rtl w:val="true"/>
        </w:rPr>
        <w:footnoteReference w:id="806"/>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العاذل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يخرج منه دم الاستحاضة</w:t>
      </w:r>
      <w:r>
        <w:rPr>
          <w:rFonts w:eastAsia="Amiri" w:cs="Amiri" w:ascii="Amiri" w:hAnsi="Amiri"/>
          <w:color w:val="111111"/>
          <w:sz w:val="28"/>
          <w:szCs w:val="28"/>
          <w:rtl w:val="true"/>
          <w:lang w:bidi="ar-SA"/>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وبه قال الجوهري أيضاً ، ونقل عن ابن عبّاس أ نّه قال حين سئل عن دم الاستحاضة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العاذل</w:t>
      </w:r>
      <w:r>
        <w:rPr>
          <w:rFonts w:eastAsia="Amiri" w:cs="Amiri" w:ascii="Amiri" w:hAnsi="Amiri"/>
          <w:color w:val="111111"/>
          <w:sz w:val="28"/>
          <w:szCs w:val="28"/>
          <w:rtl w:val="true"/>
          <w:lang w:bidi="ar-SA"/>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استُحيضت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 بها الدم</w:t>
      </w:r>
      <w:r>
        <w:rPr>
          <w:rFonts w:eastAsia="Amiri" w:cs="Amiri" w:ascii="Amiri" w:hAnsi="Amiri"/>
          <w:color w:val="111111"/>
          <w:sz w:val="28"/>
          <w:szCs w:val="28"/>
          <w:rtl w:val="true"/>
          <w:lang w:bidi="ar-SA"/>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سال الدم من غير عِرق الحيض فهي مستحاضة</w:t>
      </w:r>
      <w:r>
        <w:rPr>
          <w:rFonts w:eastAsia="Amiri" w:cs="Amiri" w:ascii="Amiri" w:hAnsi="Amiri"/>
          <w:color w:val="111111"/>
          <w:sz w:val="28"/>
          <w:szCs w:val="28"/>
          <w:rtl w:val="true"/>
          <w:lang w:bidi="ar-SA"/>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الاستحاضة ، ولا عِرق العاذل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الزمخشري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الاستحاضة تخرج من عِرق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العاذل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كأنّ تسمية ذلك العِرق بالعاذل لأ نّه سبب لعذل المرأة ؛ أي ملامتها عند زوجها</w:t>
      </w:r>
      <w:r>
        <w:rPr>
          <w:rFonts w:eastAsia="Amiri" w:cs="Amiri" w:ascii="Amiri" w:hAnsi="Amiri"/>
          <w:color w:val="111111"/>
          <w:sz w:val="28"/>
          <w:szCs w:val="28"/>
          <w:rtl w:val="true"/>
          <w:lang w:bidi="ar-SA"/>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والمظنون أنّ اللغة في المقام لا تخلو من شوب بما عن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قول ابن عبّاس أو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كبعض فقرات مرسلة يونس على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منشأً لذلك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غيره غير خالٍ عن التأييد لما ذكرنا ، وإلاّ فمن المستبعد جدّاً بل كاد أن يكون ممتنعاً ، أن تكون الاستحاضة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بتلك الحدود التي لها في الشرع ، أو أفتى بها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منطبقة على ما ذكره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خروجها من عرق العاذل ، وكون مجراها غير مجرى الحيض ، فيكون الدم إلى آخر دقائق </w:t>
      </w:r>
    </w:p>
    <w:p>
      <w:pPr>
        <w:pStyle w:val="BookText"/>
        <w:rPr/>
      </w:pPr>
      <w:r>
        <w:rPr>
          <w:rFonts w:ascii="Amiri" w:hAnsi="Amiri" w:eastAsia="Amiri" w:cs="Amiri"/>
          <w:color w:val="111111"/>
          <w:sz w:val="28"/>
          <w:sz w:val="28"/>
          <w:szCs w:val="28"/>
          <w:rtl w:val="true"/>
          <w:lang w:bidi="ar-SA"/>
        </w:rPr>
        <w:t>اليوم العاشر مثلاً ، خارجاً من عرق الحيض ، وبعد ذلك ينسدّ ذلك العرق ، وينفتح</w:t>
      </w:r>
    </w:p>
    <w:p>
      <w:pPr>
        <w:pStyle w:val="BookText"/>
        <w:rPr/>
      </w:pPr>
      <w:r>
        <w:rPr>
          <w:rFonts w:ascii="Amiri" w:hAnsi="Amiri" w:eastAsia="Amiri" w:cs="Amiri"/>
          <w:color w:val="111111"/>
          <w:sz w:val="28"/>
          <w:sz w:val="28"/>
          <w:szCs w:val="28"/>
          <w:rtl w:val="true"/>
          <w:lang w:bidi="ar-SA"/>
        </w:rPr>
        <w:t xml:space="preserve">عرق العاذل لدفع الاستحاضة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والناظر في مثل المرسلة ، لا ينبغي أن يشكّ في أنّ التعبيرات التي فيها تعبّدية</w:t>
      </w:r>
    </w:p>
    <w:p>
      <w:pPr>
        <w:pStyle w:val="BookText"/>
        <w:rPr/>
      </w:pPr>
      <w:r>
        <w:rPr>
          <w:rFonts w:ascii="Amiri" w:hAnsi="Amiri" w:eastAsia="Amiri" w:cs="Amiri"/>
          <w:color w:val="111111"/>
          <w:sz w:val="28"/>
          <w:sz w:val="28"/>
          <w:szCs w:val="28"/>
          <w:rtl w:val="true"/>
          <w:lang w:bidi="ar-SA"/>
        </w:rPr>
        <w:t xml:space="preserve">خارجة عن فهم العرف وأهل اللغة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هو عزف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بالزاي المعجمة والفاء على ما في أكثر النسخ ، كما قال المجلسي</w:t>
      </w:r>
      <w:r>
        <w:rPr>
          <w:rStyle w:val="FootnoteAnchor"/>
          <w:rtl w:val="true"/>
        </w:rPr>
        <w:footnoteReference w:id="812"/>
      </w:r>
      <w:r>
        <w:rPr>
          <w:rFonts w:ascii="Amiri" w:hAnsi="Amiri" w:eastAsia="Amiri" w:cs="Amiri"/>
          <w:color w:val="111111"/>
          <w:sz w:val="28"/>
          <w:sz w:val="28"/>
          <w:szCs w:val="28"/>
          <w:rtl w:val="true"/>
          <w:lang w:bidi="ar-SA"/>
        </w:rPr>
        <w:t xml:space="preserve">، أو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عزف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ركضة من الشيطان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نقله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ابن الأثير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أنّ العزف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اللعب</w:t>
      </w:r>
    </w:p>
    <w:p>
      <w:pPr>
        <w:pStyle w:val="BookText"/>
        <w:rPr/>
      </w:pPr>
      <w:r>
        <w:rPr>
          <w:rFonts w:ascii="Amiri" w:hAnsi="Amiri" w:eastAsia="Amiri" w:cs="Amiri"/>
          <w:color w:val="111111"/>
          <w:sz w:val="28"/>
          <w:sz w:val="28"/>
          <w:szCs w:val="28"/>
          <w:rtl w:val="true"/>
          <w:lang w:bidi="ar-SA"/>
        </w:rPr>
        <w:t>بالمعازف أي الدفوف وغيرها</w:t>
      </w:r>
      <w:r>
        <w:rPr>
          <w:rFonts w:eastAsia="Amiri" w:cs="Amiri" w:ascii="Amiri" w:hAnsi="Amiri"/>
          <w:color w:val="111111"/>
          <w:sz w:val="28"/>
          <w:szCs w:val="28"/>
          <w:rtl w:val="true"/>
          <w:lang w:bidi="ar-SA"/>
        </w:rPr>
        <w:t>»</w:t>
      </w:r>
      <w:r>
        <w:rPr>
          <w:rStyle w:val="FootnoteAnchor"/>
          <w:rtl w:val="true"/>
        </w:rPr>
        <w:footnoteReference w:id="813"/>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 المراد أ نّه لعب الشيطان بها في عبادتها ، كما يدلّ عليه قول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عزف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الشيطان</w:t>
      </w:r>
      <w:r>
        <w:rPr>
          <w:rFonts w:eastAsia="IRNazanin" w:cs="IRNazanin"/>
          <w:color w:val="111111"/>
          <w:sz w:val="28"/>
          <w:szCs w:val="28"/>
          <w:rtl w:val="true"/>
          <w:lang w:bidi="fa-IR"/>
        </w:rPr>
        <w:t>»</w:t>
      </w:r>
      <w:r>
        <w:rPr>
          <w:rStyle w:val="FootnoteAnchor"/>
          <w:rtl w:val="true"/>
        </w:rPr>
        <w:footnoteReference w:id="814"/>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 في بعض النسخ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عزف</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هو 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عزف عامر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عرق غابر</w:t>
      </w:r>
      <w:r>
        <w:rPr>
          <w:rFonts w:eastAsia="Amiri" w:cs="Amiri" w:ascii="Amiri" w:hAnsi="Amiri"/>
          <w:color w:val="111111"/>
          <w:sz w:val="28"/>
          <w:szCs w:val="28"/>
          <w:rtl w:val="true"/>
          <w:lang w:bidi="ar-SA"/>
        </w:rPr>
        <w:t>»</w:t>
      </w:r>
      <w:r>
        <w:rPr>
          <w:rStyle w:val="FootnoteAnchor"/>
          <w:rtl w:val="true"/>
        </w:rPr>
        <w:footnoteReference w:id="815"/>
      </w:r>
      <w:r>
        <w:rPr>
          <w:rFonts w:ascii="Amiri" w:hAnsi="Amiri" w:eastAsia="Amiri" w:cs="Amiri"/>
          <w:color w:val="111111"/>
          <w:sz w:val="28"/>
          <w:sz w:val="28"/>
          <w:szCs w:val="28"/>
          <w:rtl w:val="true"/>
          <w:lang w:bidi="ar-SA"/>
        </w:rPr>
        <w:t xml:space="preserve">، وعن بعض روايات العامّة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عرق عاند</w:t>
      </w:r>
      <w:r>
        <w:rPr>
          <w:rFonts w:eastAsia="Amiri" w:cs="Amiri" w:ascii="Amiri" w:hAnsi="Amiri"/>
          <w:color w:val="111111"/>
          <w:sz w:val="28"/>
          <w:szCs w:val="28"/>
          <w:rtl w:val="true"/>
          <w:lang w:bidi="ar-SA"/>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لنا استفادة موضوع الاستحاضة من اللغة ؛ بحيث</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يخرج عن الإبهام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ذكره الجوهري</w:t>
      </w:r>
      <w:r>
        <w:rPr>
          <w:rStyle w:val="FootnoteAnchor"/>
          <w:rtl w:val="true"/>
        </w:rPr>
        <w:footnoteReference w:id="8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إمكان أخذه من الروايات ، ومخالفته لمقتضى الاشتقاق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الركون إليه والوثوق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والأخبار الواردة في الاستحاضة وإن وردت غالباً فيمن استمرّ بها الدم بعد العادة</w:t>
      </w:r>
      <w:r>
        <w:rPr>
          <w:rStyle w:val="FootnoteAnchor"/>
          <w:rtl w:val="true"/>
        </w:rPr>
        <w:footnoteReference w:id="818"/>
      </w:r>
      <w:r>
        <w:rPr>
          <w:rFonts w:ascii="Amiri" w:hAnsi="Amiri" w:eastAsia="Amiri" w:cs="Amiri"/>
          <w:color w:val="111111"/>
          <w:sz w:val="28"/>
          <w:sz w:val="28"/>
          <w:szCs w:val="28"/>
          <w:rtl w:val="true"/>
          <w:lang w:bidi="ar-SA"/>
        </w:rPr>
        <w:t xml:space="preserve">، إلاّ أ نّها ليست على وجه يستفاد منها انحصار الاستحاضة بالدم المستمرّ بعد العادة ؛ وإن كان بعضها لا يخلو من إشعار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دلالة بعضها على كونها أعمّ من ذلك</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للاستحاضة معنى عرفي لدى العرف العامّ يمكن تطبيقه على الحدود التي وردت لها في الشرع بل لا يرى العرف الاستحاضة والحيض دمين ، بل قد يرى دم الحيض قليلاً محدوداً ، وقد يراه كثيراً مستمرّاً ويقال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صارت فلانة دائمة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الاشتقاق على وجه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مرسلة يونس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حمنة بنت جحش قالت لرسول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w:t>
      </w:r>
    </w:p>
    <w:p>
      <w:pPr>
        <w:pStyle w:val="BookText"/>
        <w:rPr/>
      </w:pPr>
      <w:r>
        <w:rPr>
          <w:rFonts w:ascii="Amiri" w:hAnsi="Amiri" w:eastAsia="Amiri" w:cs="Amiri"/>
          <w:color w:val="111111"/>
          <w:sz w:val="28"/>
          <w:sz w:val="28"/>
          <w:szCs w:val="28"/>
          <w:rtl w:val="true"/>
          <w:lang w:bidi="ar-SA"/>
        </w:rPr>
        <w:t>استحضت حيضة شديدة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وفيها أيضاً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فاطمة بنت أبي حبيش أتت النبي صلی الله علیه و آله وسلم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اُستحاض فلا أطهر ، فقال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ذلك بحيض ، إنّما هو عزف</w:t>
      </w:r>
      <w:r>
        <w:rPr>
          <w:rFonts w:eastAsia="IRNazanin" w:cs="IRNazanin"/>
          <w:color w:val="111111"/>
          <w:sz w:val="28"/>
          <w:szCs w:val="28"/>
          <w:rtl w:val="true"/>
          <w:lang w:bidi="fa-IR"/>
        </w:rPr>
        <w:t>»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فأرادت بقولها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اُستحاض فلا أطهر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صرت حائضاً حيضاً دائماً ، ولذا نفى حيضيته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عزف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لعب الشيطان ، كما مرّ </w:t>
      </w:r>
      <w:r>
        <w:rPr>
          <w:rFonts w:eastAsia="Amiri" w:cs="Amiri" w:ascii="Amiri" w:hAnsi="Amiri"/>
          <w:color w:val="111111"/>
          <w:sz w:val="28"/>
          <w:szCs w:val="28"/>
          <w:rtl w:val="true"/>
          <w:lang w:bidi="ar-SA"/>
        </w:rPr>
        <w:t xml:space="preserve">. </w:t>
      </w:r>
      <w:bookmarkStart w:id="497" w:name="pg15019_190835"/>
    </w:p>
    <w:p>
      <w:pPr>
        <w:pStyle w:val="Heading4"/>
        <w:numPr>
          <w:ilvl w:val="3"/>
          <w:numId w:val="1"/>
        </w:numPr>
        <w:rPr/>
      </w:pPr>
      <w:bookmarkStart w:id="498" w:name="__RefHeading___Toc686524_3406789950"/>
      <w:bookmarkStart w:id="499" w:name="_Toc180"/>
      <w:bookmarkEnd w:id="497"/>
      <w:bookmarkEnd w:id="498"/>
      <w:r>
        <w:rPr>
          <w:rtl w:val="true"/>
        </w:rPr>
        <w:t>التحقيق في بيان موضوع الاستحاضة</w:t>
      </w:r>
      <w:bookmarkEnd w:id="499"/>
    </w:p>
    <w:p>
      <w:pPr>
        <w:pStyle w:val="BookText"/>
        <w:rPr/>
      </w:pPr>
      <w:r>
        <w:rPr>
          <w:rFonts w:ascii="Amiri" w:hAnsi="Amiri" w:eastAsia="Amiri" w:cs="Amiri"/>
          <w:color w:val="111111"/>
          <w:sz w:val="28"/>
          <w:sz w:val="28"/>
          <w:szCs w:val="28"/>
          <w:rtl w:val="true"/>
          <w:lang w:bidi="ar-SA"/>
        </w:rPr>
        <w:t>نعم ، هنا كلام قد مرّ في أوّل بحث الحيض</w:t>
      </w:r>
      <w:r>
        <w:rPr>
          <w:rStyle w:val="FootnoteAnchor"/>
          <w:rtl w:val="true"/>
        </w:rPr>
        <w:footnoteReference w:id="820"/>
      </w:r>
      <w:r>
        <w:rPr>
          <w:rFonts w:ascii="Amiri" w:hAnsi="Amiri" w:eastAsia="Amiri" w:cs="Amiri"/>
          <w:color w:val="111111"/>
          <w:sz w:val="28"/>
          <w:sz w:val="28"/>
          <w:szCs w:val="28"/>
          <w:rtl w:val="true"/>
          <w:lang w:bidi="ar-SA"/>
        </w:rPr>
        <w:t xml:space="preserve">، ومجمله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الحيض هو الدم الطبيعي المقذوف من أرحام النساء ، ولمّا كانت الأرحام السليمة من الآفات والصحيحة من الأمراض ، لا تقذف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من ثلاثة أيّام ، ولا أكثر من عشرة أيّام ، وقذف الأقلّ والأكثر منهما بحسب الطبع نادر جدّاً ، وكذا الحال بالنسبة إلى ما قبل البلوغ وبعد اليأس ، حدّد الشارع لدم الحيض حدوداً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أقلّ الحيض ثلاثة ، وأكثره عشرة ، وعلّق أحكاماً على الدم المقذوف من الثلاثة إلى العشرة بحيث لو علمنا أنّ الأقلّ أو الأكثر هو الدم المعهود المقذوف ، وكذا لو قذفت قبل البلوغ وبعد اليأس وعلمنا أ نّه هو المعهود المقذوف بحسب طبيعتها الشخصية ، لم نحكم بحيضيته ، ولم نرتّب عليه أحكامها ؛ لتحديد الشارع موضوع حكمه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يكون الدم الطبيعي مطلقاً موضوعاً لحكمه ، بل ألغى النادر عن الحساب ، وحكم عليه بغير حكم الحيض ، فالأقلّ من الثلاثة ليس من الحيض ، كالأكثر من العشرة ، وكالمرئي في حال الصغر واليأس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وغير ذلك ممّا حدّده الشارع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إذا اختلّت الرحم وخرجت عن السلامة والصحّة والاعتدال التي لنوع الأرحام ، قذفت الأقلّ أو الأكثر ، فاستمرار الدم لعارض ، وعدم الرؤية على طبق </w:t>
      </w:r>
    </w:p>
    <w:p>
      <w:pPr>
        <w:pStyle w:val="BookText"/>
        <w:rPr/>
      </w:pPr>
      <w:r>
        <w:rPr>
          <w:rFonts w:ascii="Amiri" w:hAnsi="Amiri" w:eastAsia="Amiri" w:cs="Amiri"/>
          <w:color w:val="111111"/>
          <w:sz w:val="28"/>
          <w:sz w:val="28"/>
          <w:szCs w:val="28"/>
          <w:rtl w:val="true"/>
          <w:lang w:bidi="ar-SA"/>
        </w:rPr>
        <w:t xml:space="preserve">عادات النوع أيضاً لعارض وخلل ، ولذا يحتاج كلّ ذلك إلى العلاج واسترجاع الصحّة والسلامة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كانت الأرحام في غير أحوالها الطبيعية وفي حال اختلالها وخروجها عن الاعتدال ، لا تقذف نوعاً الدم الصالح الطبيعي ، بل يكون غالباً فاسداً كدراً له</w:t>
      </w:r>
    </w:p>
    <w:p>
      <w:pPr>
        <w:pStyle w:val="BookText"/>
        <w:rPr/>
      </w:pPr>
      <w:r>
        <w:rPr>
          <w:rFonts w:ascii="Amiri" w:hAnsi="Amiri" w:eastAsia="Amiri" w:cs="Amiri"/>
          <w:color w:val="111111"/>
          <w:sz w:val="28"/>
          <w:sz w:val="28"/>
          <w:szCs w:val="28"/>
          <w:rtl w:val="true"/>
          <w:lang w:bidi="ar-SA"/>
        </w:rPr>
        <w:t xml:space="preserve">فتور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هي لازمة لضعف المزاج وخروجه عن الاعتدال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الشارع المقدّس الصفات الغالبية أمارة على الاستحاضة ؛ أي الدم المقذوف حال خروج المزاج والرحم عن الاعتدال نوعاً ، فالصفات أمارات غالبية يرجع إليها لدى الشكّ ، إلاّ إذا قام الدليل على خلافها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فالكلام يقع في مقامات </w:t>
      </w:r>
      <w:r>
        <w:rPr>
          <w:rFonts w:eastAsia="Amiri" w:cs="Amiri" w:ascii="Amiri" w:hAnsi="Amiri"/>
          <w:color w:val="111111"/>
          <w:sz w:val="28"/>
          <w:szCs w:val="28"/>
          <w:rtl w:val="true"/>
          <w:lang w:bidi="ar-SA"/>
        </w:rPr>
        <w:t xml:space="preserve">: </w:t>
      </w:r>
      <w:bookmarkStart w:id="500" w:name="pg15019_190837"/>
    </w:p>
    <w:p>
      <w:pPr>
        <w:pStyle w:val="Heading4"/>
        <w:numPr>
          <w:ilvl w:val="3"/>
          <w:numId w:val="1"/>
        </w:numPr>
        <w:rPr/>
      </w:pPr>
      <w:bookmarkStart w:id="501" w:name="__RefHeading___Toc686526_3406789950"/>
      <w:bookmarkStart w:id="502" w:name="_Toc181"/>
      <w:bookmarkEnd w:id="500"/>
      <w:bookmarkEnd w:id="501"/>
      <w:r>
        <w:rPr>
          <w:rtl w:val="true"/>
        </w:rPr>
        <w:t>المقام الأوّل في الأوصاف التي جعلت بحسب الروايات أمارة</w:t>
      </w:r>
      <w:bookmarkEnd w:id="502"/>
    </w:p>
    <w:p>
      <w:pPr>
        <w:pStyle w:val="Heading5"/>
        <w:numPr>
          <w:ilvl w:val="4"/>
          <w:numId w:val="1"/>
        </w:numPr>
        <w:rPr/>
      </w:pPr>
      <w:bookmarkStart w:id="503" w:name="__RefHeading___Toc686528_3406789950"/>
      <w:bookmarkStart w:id="504" w:name="_Toc182"/>
      <w:bookmarkEnd w:id="503"/>
      <w:r>
        <w:rPr>
          <w:rtl w:val="true"/>
        </w:rPr>
        <w:t>اشارة</w:t>
      </w:r>
      <w:bookmarkEnd w:id="504"/>
    </w:p>
    <w:p>
      <w:pPr>
        <w:pStyle w:val="BookText"/>
        <w:rPr/>
      </w:pPr>
      <w:r>
        <w:rPr>
          <w:rFonts w:ascii="Amiri" w:hAnsi="Amiri" w:eastAsia="Amiri" w:cs="Amiri"/>
          <w:color w:val="111111"/>
          <w:sz w:val="28"/>
          <w:sz w:val="28"/>
          <w:szCs w:val="28"/>
          <w:rtl w:val="true"/>
          <w:lang w:bidi="ar-SA"/>
        </w:rPr>
        <w:t>وهي كثيرة مستفادة منها ؛ إمّا لذكرها فيها ، أو لذكر مقابلها للحيض مع الدوران بينهما ؛ ففي صحيحة معاوية بن عمّار</w:t>
      </w:r>
      <w:r>
        <w:rPr>
          <w:rStyle w:val="FootnoteAnchor"/>
          <w:rtl w:val="true"/>
        </w:rPr>
        <w:footnoteReference w:id="821"/>
      </w:r>
      <w:r>
        <w:rPr>
          <w:rFonts w:ascii="Amiri" w:hAnsi="Amiri" w:eastAsia="Amiri" w:cs="Amiri"/>
          <w:color w:val="111111"/>
          <w:sz w:val="28"/>
          <w:sz w:val="28"/>
          <w:szCs w:val="28"/>
          <w:rtl w:val="true"/>
          <w:lang w:bidi="ar-SA"/>
        </w:rPr>
        <w:t xml:space="preserve">ذكر البرودة صفة للاستحاضة مقابل الحرارة للحيض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موثّقة إسحاق بن جرير</w:t>
      </w:r>
      <w:r>
        <w:rPr>
          <w:rStyle w:val="FootnoteAnchor"/>
          <w:rtl w:val="true"/>
        </w:rPr>
        <w:footnoteReference w:id="822"/>
      </w:r>
      <w:r>
        <w:rPr>
          <w:rFonts w:ascii="Amiri" w:hAnsi="Amiri" w:eastAsia="Amiri" w:cs="Amiri"/>
          <w:color w:val="111111"/>
          <w:sz w:val="28"/>
          <w:sz w:val="28"/>
          <w:szCs w:val="28"/>
          <w:rtl w:val="true"/>
          <w:lang w:bidi="ar-SA"/>
        </w:rPr>
        <w:t xml:space="preserve">جعل الفساد والبرودة صفة الاستحاضة ، والحرقة والحرارة صفة الحيض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حفص بن البَخْتَري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دم الحيض حارّ عبيط أسود له دفع وحرارة ، ودم الاستحاضة أصفر بارد</w:t>
      </w:r>
      <w:r>
        <w:rPr>
          <w:rFonts w:eastAsia="Amiri" w:cs="Amiri" w:ascii="Amiri" w:hAnsi="Amiri"/>
          <w:color w:val="111111"/>
          <w:sz w:val="28"/>
          <w:szCs w:val="28"/>
          <w:rtl w:val="true"/>
          <w:lang w:bidi="ar-SA"/>
        </w:rPr>
        <w:t>»</w:t>
      </w:r>
      <w:r>
        <w:rPr>
          <w:rStyle w:val="FootnoteAnchor"/>
          <w:rtl w:val="true"/>
        </w:rPr>
        <w:footnoteReference w:id="823"/>
      </w:r>
      <w:r>
        <w:rPr>
          <w:rFonts w:ascii="Amiri" w:hAnsi="Amiri" w:eastAsia="Amiri" w:cs="Amiri"/>
          <w:color w:val="111111"/>
          <w:sz w:val="28"/>
          <w:sz w:val="28"/>
          <w:szCs w:val="28"/>
          <w:rtl w:val="true"/>
          <w:lang w:bidi="ar-SA"/>
        </w:rPr>
        <w:t xml:space="preserve">ومنها يستفاد أنّ لدم الاستحاضة كدرةً وفتوراً ، أو فساداً وفتوراً ؛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الطري الصالح</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مرسلة يونس</w:t>
      </w:r>
      <w:r>
        <w:rPr>
          <w:rStyle w:val="FootnoteAnchor"/>
          <w:rtl w:val="true"/>
        </w:rPr>
        <w:footnoteReference w:id="825"/>
      </w:r>
      <w:r>
        <w:rPr>
          <w:rFonts w:ascii="Amiri" w:hAnsi="Amiri" w:eastAsia="Amiri" w:cs="Amiri"/>
          <w:color w:val="111111"/>
          <w:sz w:val="28"/>
          <w:sz w:val="28"/>
          <w:szCs w:val="28"/>
          <w:rtl w:val="true"/>
          <w:lang w:bidi="ar-SA"/>
        </w:rPr>
        <w:t>جعل إقبال الدم علامةَ الحيض وإدباره علامةَ</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الاستحاضة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الضعف والفتور والقلّة مقابل الكثرة والدفع والقوّة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وفيها أيضاً وصف دم الحيض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سمّاه أبي بحرانياً لكثرته ولونه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ومقابله القلّة وضعف اللون ؛ وهو الاصفرار ، كما في غيرها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صحيحة أبي المغرا </w:t>
      </w:r>
      <w:r>
        <w:rPr>
          <w:rStyle w:val="FootnoteAnchor"/>
          <w:rtl w:val="true"/>
        </w:rPr>
        <w:footnoteReference w:id="8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اجتماع الحيض والحمل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القلّة موضوعاً لوجوب الغسل عند كلّ صلاتين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موثّقة إسحاق بن عمّار</w:t>
      </w:r>
      <w:r>
        <w:rPr>
          <w:rStyle w:val="FootnoteAnchor"/>
          <w:rtl w:val="true"/>
        </w:rPr>
        <w:footnoteReference w:id="827"/>
      </w:r>
      <w:r>
        <w:rPr>
          <w:rFonts w:ascii="Amiri" w:hAnsi="Amiri" w:eastAsia="Amiri" w:cs="Amiri"/>
          <w:color w:val="111111"/>
          <w:sz w:val="28"/>
          <w:sz w:val="28"/>
          <w:szCs w:val="28"/>
          <w:rtl w:val="true"/>
          <w:lang w:bidi="ar-SA"/>
        </w:rPr>
        <w:t xml:space="preserve">جعل الصفرة موضوعاً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محمّد بن مسلم</w:t>
      </w:r>
      <w:r>
        <w:rPr>
          <w:rStyle w:val="FootnoteAnchor"/>
          <w:rtl w:val="true"/>
        </w:rPr>
        <w:footnoteReference w:id="828"/>
      </w:r>
      <w:r>
        <w:rPr>
          <w:rFonts w:ascii="Amiri" w:hAnsi="Amiri" w:eastAsia="Amiri" w:cs="Amiri"/>
          <w:color w:val="111111"/>
          <w:sz w:val="28"/>
          <w:sz w:val="28"/>
          <w:szCs w:val="28"/>
          <w:rtl w:val="true"/>
          <w:lang w:bidi="ar-SA"/>
        </w:rPr>
        <w:t>جعل القلّة والصفرة موضوعاً لوجوب الوضوء ، كصحيحته الاُخرى</w:t>
      </w:r>
      <w:r>
        <w:rPr>
          <w:rStyle w:val="FootnoteAnchor"/>
          <w:rtl w:val="true"/>
        </w:rPr>
        <w:footnoteReference w:id="829"/>
      </w:r>
      <w:r>
        <w:rPr>
          <w:rFonts w:ascii="IRNazanin" w:hAnsi="IRNazanin" w:eastAsia="IRNazanin"/>
          <w:color w:val="111111"/>
          <w:sz w:val="28"/>
          <w:sz w:val="28"/>
          <w:szCs w:val="28"/>
          <w:rtl w:val="true"/>
          <w:lang w:bidi="fa-IR"/>
        </w:rPr>
        <w:t xml:space="preserve">وروايتي علي بن جعفر عن أخيه علیه السلام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صحيحة علي بن يقطين</w:t>
      </w:r>
      <w:r>
        <w:rPr>
          <w:rStyle w:val="FootnoteAnchor"/>
          <w:rtl w:val="true"/>
        </w:rPr>
        <w:footnoteReference w:id="831"/>
      </w:r>
      <w:r>
        <w:rPr>
          <w:rFonts w:ascii="Amiri" w:hAnsi="Amiri" w:eastAsia="Amiri" w:cs="Amiri"/>
          <w:color w:val="111111"/>
          <w:sz w:val="28"/>
          <w:sz w:val="28"/>
          <w:szCs w:val="28"/>
          <w:rtl w:val="true"/>
          <w:lang w:bidi="ar-SA"/>
        </w:rPr>
        <w:t xml:space="preserve">ذكر الرقّة صفة للاستحاضة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روينا عنهم علیهم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دم الحيض كدر غليظ </w:t>
      </w:r>
    </w:p>
    <w:p>
      <w:pPr>
        <w:pStyle w:val="BookText"/>
        <w:rPr/>
      </w:pPr>
      <w:r>
        <w:rPr>
          <w:rFonts w:ascii="Amiri" w:hAnsi="Amiri" w:eastAsia="Amiri" w:cs="Amiri"/>
          <w:color w:val="111111"/>
          <w:sz w:val="28"/>
          <w:sz w:val="28"/>
          <w:szCs w:val="28"/>
          <w:rtl w:val="true"/>
          <w:lang w:bidi="ar-SA"/>
        </w:rPr>
        <w:t>منتن ، ودم الاستحاضة دم رقيق</w:t>
      </w:r>
      <w:r>
        <w:rPr>
          <w:rFonts w:eastAsia="Amiri" w:cs="Amiri" w:ascii="Amiri" w:hAnsi="Amiri"/>
          <w:color w:val="111111"/>
          <w:sz w:val="28"/>
          <w:szCs w:val="28"/>
          <w:rtl w:val="true"/>
          <w:lang w:bidi="ar-SA"/>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 دمها يكون رقيقاً تعلوه صفرة</w:t>
      </w:r>
      <w:r>
        <w:rPr>
          <w:rFonts w:eastAsia="Amiri" w:cs="Amiri" w:ascii="Amiri" w:hAnsi="Amiri"/>
          <w:color w:val="111111"/>
          <w:sz w:val="28"/>
          <w:szCs w:val="28"/>
          <w:rtl w:val="true"/>
          <w:lang w:bidi="ar-SA"/>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مرسلة يونس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تكون الصفرة والكدرة فما فوقها في أيّام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حيضاً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ويعلم منها كون الكدرة من صفات الاستحاضة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الفقهاء لم يذكروا غالباً في صفة الاستحاضة غير الصفرة والبرودة والرقّة والفتور ؛ على اختلاف منهم في ذكر الأربعة</w:t>
      </w:r>
      <w:r>
        <w:rPr>
          <w:rStyle w:val="FootnoteAnchor"/>
          <w:rtl w:val="true"/>
        </w:rPr>
        <w:footnoteReference w:id="834"/>
      </w:r>
      <w:r>
        <w:rPr>
          <w:rFonts w:ascii="IRNazanin" w:hAnsi="IRNazanin" w:eastAsia="IRNazanin"/>
          <w:color w:val="111111"/>
          <w:sz w:val="28"/>
          <w:sz w:val="28"/>
          <w:szCs w:val="28"/>
          <w:rtl w:val="true"/>
          <w:lang w:bidi="fa-IR"/>
        </w:rPr>
        <w:t xml:space="preserve">، أو الاقتصار على بعضها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 نّه دم رقيق بارد صاف</w:t>
      </w:r>
      <w:r>
        <w:rPr>
          <w:rFonts w:eastAsia="Amiri" w:cs="Amiri" w:ascii="Amiri" w:hAnsi="Amiri"/>
          <w:color w:val="111111"/>
          <w:sz w:val="28"/>
          <w:szCs w:val="28"/>
          <w:rtl w:val="true"/>
          <w:lang w:bidi="ar-SA"/>
        </w:rPr>
        <w:t>»</w:t>
      </w:r>
      <w:r>
        <w:rPr>
          <w:rStyle w:val="FootnoteAnchor"/>
          <w:rtl w:val="true"/>
        </w:rPr>
        <w:footnoteReference w:id="836"/>
      </w:r>
      <w:r>
        <w:rPr>
          <w:rFonts w:ascii="Amiri" w:hAnsi="Amiri" w:eastAsia="Amiri" w:cs="Amiri"/>
          <w:color w:val="111111"/>
          <w:sz w:val="28"/>
          <w:sz w:val="28"/>
          <w:szCs w:val="28"/>
          <w:rtl w:val="true"/>
          <w:lang w:bidi="ar-SA"/>
        </w:rPr>
        <w:t xml:space="preserve">فذكر الصفاء وترك الصفرة والفتور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يبعد أن يكون بعض تلك الصفات ملازماً لبعض ، ويرجع اُصولها إلى أربع أو أقلّ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يجمع بين الكلمات بل الأخبار ، لا بأن تكون خاصّة مركّبة كما مرّ في باب الحيض دفع القول به</w:t>
      </w:r>
      <w:r>
        <w:rPr>
          <w:rStyle w:val="FootnoteAnchor"/>
          <w:rtl w:val="true"/>
        </w:rPr>
        <w:footnoteReference w:id="837"/>
      </w:r>
      <w:r>
        <w:rPr>
          <w:rFonts w:ascii="Amiri" w:hAnsi="Amiri" w:eastAsia="Amiri" w:cs="Amiri"/>
          <w:color w:val="111111"/>
          <w:sz w:val="28"/>
          <w:sz w:val="28"/>
          <w:szCs w:val="28"/>
          <w:rtl w:val="true"/>
          <w:lang w:bidi="ar-SA"/>
        </w:rPr>
        <w:t xml:space="preserve">، بل كلّ صفة من الاُصول مستقلّة في الأمارية ، لكن بعضها لا ينفكّ عن بعض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أن تكون الصفرة </w:t>
      </w:r>
      <w:bookmarkStart w:id="505" w:name="pg15019_190840"/>
    </w:p>
    <w:p>
      <w:pPr>
        <w:pStyle w:val="BookText"/>
        <w:rPr/>
      </w:pPr>
      <w:bookmarkEnd w:id="505"/>
      <w:r>
        <w:rPr>
          <w:rFonts w:ascii="Amiri" w:hAnsi="Amiri" w:eastAsia="Amiri" w:cs="Amiri"/>
          <w:color w:val="111111"/>
          <w:sz w:val="28"/>
          <w:sz w:val="28"/>
          <w:szCs w:val="28"/>
          <w:rtl w:val="true"/>
          <w:lang w:bidi="ar-SA"/>
        </w:rPr>
        <w:t>غير منفكّة عن الفتور والرقّة غالباً ، والكدرة عن الفساد ، والبرودة عن الفتور ، وقد مرّ في باب الحيض ما يفيد في المقام</w:t>
      </w:r>
      <w:r>
        <w:rPr>
          <w:rStyle w:val="FootnoteAnchor"/>
          <w:rtl w:val="true"/>
        </w:rPr>
        <w:footnoteReference w:id="838"/>
      </w:r>
      <w:r>
        <w:rPr>
          <w:rFonts w:ascii="IRNazanin" w:hAnsi="IRNazanin" w:eastAsia="IRNazanin"/>
          <w:color w:val="111111"/>
          <w:sz w:val="28"/>
          <w:sz w:val="28"/>
          <w:szCs w:val="28"/>
          <w:rtl w:val="true"/>
          <w:lang w:bidi="fa-IR"/>
        </w:rPr>
        <w:t xml:space="preserve">، فراجع </w:t>
      </w:r>
      <w:r>
        <w:rPr>
          <w:rFonts w:eastAsia="IRNazanin" w:cs="IRNazanin"/>
          <w:color w:val="111111"/>
          <w:sz w:val="28"/>
          <w:szCs w:val="28"/>
          <w:rtl w:val="true"/>
          <w:lang w:bidi="fa-IR"/>
        </w:rPr>
        <w:t>.</w:t>
      </w:r>
    </w:p>
    <w:p>
      <w:pPr>
        <w:pStyle w:val="Heading5"/>
        <w:numPr>
          <w:ilvl w:val="4"/>
          <w:numId w:val="1"/>
        </w:numPr>
        <w:rPr/>
      </w:pPr>
      <w:bookmarkStart w:id="506" w:name="__RefHeading___Toc686530_3406789950"/>
      <w:bookmarkStart w:id="507" w:name="_Toc183"/>
      <w:bookmarkEnd w:id="506"/>
      <w:r>
        <w:rPr>
          <w:rtl w:val="true"/>
        </w:rPr>
        <w:t>عدم حصول التمييز بغير الأوصاف المنصوصة</w:t>
      </w:r>
      <w:bookmarkEnd w:id="507"/>
    </w:p>
    <w:p>
      <w:pPr>
        <w:pStyle w:val="BookText"/>
        <w:rPr/>
      </w:pPr>
      <w:r>
        <w:rPr>
          <w:rFonts w:ascii="Amiri" w:hAnsi="Amiri" w:eastAsia="Amiri" w:cs="Amiri"/>
          <w:color w:val="111111"/>
          <w:sz w:val="28"/>
          <w:sz w:val="28"/>
          <w:szCs w:val="28"/>
          <w:rtl w:val="true"/>
          <w:lang w:bidi="ar-SA"/>
        </w:rPr>
        <w:t xml:space="preserve">ثمّ إنّه لا إشكال في حصول التمييز بالأوصاف المنصوصة في الحيض والاستحاضة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كالغلظة والنتن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فالأقرب عدم الاعتداد بها ؛ لعدم</w:t>
      </w:r>
    </w:p>
    <w:p>
      <w:pPr>
        <w:pStyle w:val="BookText"/>
        <w:rPr/>
      </w:pPr>
      <w:r>
        <w:rPr>
          <w:rFonts w:ascii="Amiri" w:hAnsi="Amiri" w:eastAsia="Amiri" w:cs="Amiri"/>
          <w:color w:val="111111"/>
          <w:sz w:val="28"/>
          <w:sz w:val="28"/>
          <w:szCs w:val="28"/>
          <w:rtl w:val="true"/>
          <w:lang w:bidi="ar-SA"/>
        </w:rPr>
        <w:t xml:space="preserve">دليل معتبر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الدعائم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الكدِر والغليظ والمنتن ،</w:t>
      </w:r>
    </w:p>
    <w:p>
      <w:pPr>
        <w:pStyle w:val="BookText"/>
        <w:rPr/>
      </w:pPr>
      <w:r>
        <w:rPr>
          <w:rFonts w:ascii="Amiri" w:hAnsi="Amiri" w:eastAsia="Amiri" w:cs="Amiri"/>
          <w:color w:val="111111"/>
          <w:sz w:val="28"/>
          <w:sz w:val="28"/>
          <w:szCs w:val="28"/>
          <w:rtl w:val="true"/>
          <w:lang w:bidi="ar-SA"/>
        </w:rPr>
        <w:t xml:space="preserve">وفي دم الاستحاضة الرقيق ، لكنّ الاعتماد على مثل تلك المرسلة غير جائز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أنّ المستفاد من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في المرسلة الطويلة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أقبلت الحيضة فدعي الصلاة ، وإذا أدبرت فاغسلي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دم الحيض أسود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دم الحيض ليس به خفاء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العبرة بمطلق الأمارات المختصّة بالحيض غالباً الكاشفة عنه ظنّاً ؛ فإنّ الظاهر من إيكاله إلى الوضوح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 نّه لا يتّضح عند العرف إلاّ بالقوّة والضعف مطلقاً ، لا خصوص ما</w:t>
      </w:r>
    </w:p>
    <w:p>
      <w:pPr>
        <w:pStyle w:val="BookText"/>
        <w:rPr/>
      </w:pPr>
      <w:r>
        <w:rPr>
          <w:rFonts w:ascii="Amiri" w:hAnsi="Amiri" w:eastAsia="Amiri" w:cs="Amiri"/>
          <w:color w:val="111111"/>
          <w:sz w:val="28"/>
          <w:sz w:val="28"/>
          <w:szCs w:val="28"/>
          <w:rtl w:val="true"/>
          <w:lang w:bidi="ar-SA"/>
        </w:rPr>
        <w:t xml:space="preserve">نصّ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ذكرنا</w:t>
      </w:r>
      <w:r>
        <w:rPr>
          <w:rFonts w:eastAsia="Amiri" w:cs="Amiri" w:ascii="Amiri" w:hAnsi="Amiri"/>
          <w:color w:val="111111"/>
          <w:sz w:val="28"/>
          <w:szCs w:val="28"/>
          <w:rtl w:val="true"/>
          <w:lang w:bidi="ar-SA"/>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ففيه ما لا يخفى ؛ فإنّ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أقبلت الحيضة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يراد به الكثرة والدفع الواردان في الأمارات ، ولا يفهم منه اعتبار مطلق الظنّ الحاصل بكلّ وصف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أسود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به 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تسلّم دلالتهما على ما ذكر </w:t>
      </w:r>
    </w:p>
    <w:p>
      <w:pPr>
        <w:pStyle w:val="BookText"/>
        <w:rPr/>
      </w:pPr>
      <w:r>
        <w:rPr>
          <w:rFonts w:ascii="Amiri" w:hAnsi="Amiri" w:eastAsia="Amiri" w:cs="Amiri"/>
          <w:color w:val="111111"/>
          <w:sz w:val="28"/>
          <w:sz w:val="28"/>
          <w:szCs w:val="28"/>
          <w:rtl w:val="true"/>
          <w:lang w:bidi="ar-SA"/>
        </w:rPr>
        <w:t xml:space="preserve">بعد عدم إرادة حصول العلم من الأوصاف ، كما يدلّ عليه تأخير ذكرها عن العادة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أن يكون المراد منهما أنّ له أمارات شرعية ليس به لأجلها خفاء ؛</w:t>
      </w:r>
    </w:p>
    <w:p>
      <w:pPr>
        <w:pStyle w:val="BookText"/>
        <w:rPr/>
      </w:pPr>
      <w:r>
        <w:rPr>
          <w:rFonts w:ascii="Amiri" w:hAnsi="Amiri" w:eastAsia="Amiri" w:cs="Amiri"/>
          <w:color w:val="111111"/>
          <w:sz w:val="28"/>
          <w:sz w:val="28"/>
          <w:szCs w:val="28"/>
          <w:rtl w:val="true"/>
          <w:lang w:bidi="ar-SA"/>
        </w:rPr>
        <w:t xml:space="preserve">ضرورة أنّ هذه الأوصاف ليست 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ظنّية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العقلاء فيمن استمرّ بها الدم ؛ فإنّ الدم المستمرّ عندهم ليس طبائع مختلفة ، كما مرّ مراراً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قد يكون بعض الأمارات والقرائن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من استمرّ بها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موجباً لحصول العلم أو الاطمئنان ، وقلّما يتّفق ذلك في مستمرّة الدم التي هي موضوع البحث هاهنا ، فالتجاوز عن الأوصاف المنصوصة ممّا لا يمكن الالتزام به </w:t>
      </w:r>
      <w:r>
        <w:rPr>
          <w:rFonts w:eastAsia="Amiri" w:cs="Amiri" w:ascii="Amiri" w:hAnsi="Amiri"/>
          <w:color w:val="111111"/>
          <w:sz w:val="28"/>
          <w:szCs w:val="28"/>
          <w:rtl w:val="true"/>
          <w:lang w:bidi="ar-SA"/>
        </w:rPr>
        <w:t xml:space="preserve">. </w:t>
      </w:r>
      <w:bookmarkStart w:id="508" w:name="pg15019_190842"/>
    </w:p>
    <w:p>
      <w:pPr>
        <w:pStyle w:val="Heading4"/>
        <w:numPr>
          <w:ilvl w:val="3"/>
          <w:numId w:val="1"/>
        </w:numPr>
        <w:rPr/>
      </w:pPr>
      <w:bookmarkStart w:id="509" w:name="__RefHeading___Toc686532_3406789950"/>
      <w:bookmarkStart w:id="510" w:name="_Toc184"/>
      <w:bookmarkEnd w:id="508"/>
      <w:bookmarkEnd w:id="509"/>
      <w:r>
        <w:rPr>
          <w:rtl w:val="true"/>
        </w:rPr>
        <w:t>المقام الثاني في بيان حدود دلالة الروايات</w:t>
      </w:r>
      <w:bookmarkEnd w:id="510"/>
    </w:p>
    <w:p>
      <w:pPr>
        <w:pStyle w:val="BookText"/>
        <w:rPr/>
      </w:pPr>
      <w:r>
        <w:rPr>
          <w:rFonts w:ascii="Amiri" w:hAnsi="Amiri" w:eastAsia="Amiri" w:cs="Amiri"/>
          <w:color w:val="111111"/>
          <w:sz w:val="28"/>
          <w:sz w:val="28"/>
          <w:szCs w:val="28"/>
          <w:rtl w:val="true"/>
          <w:lang w:bidi="ar-SA"/>
        </w:rPr>
        <w:t>الدالّة على أمارية الصفات على الاستحاضة</w:t>
      </w:r>
    </w:p>
    <w:p>
      <w:pPr>
        <w:pStyle w:val="BookText"/>
        <w:rPr/>
      </w:pPr>
      <w:r>
        <w:rPr>
          <w:rFonts w:ascii="Amiri" w:hAnsi="Amiri" w:eastAsia="Amiri" w:cs="Amiri"/>
          <w:color w:val="111111"/>
          <w:sz w:val="28"/>
          <w:sz w:val="28"/>
          <w:szCs w:val="28"/>
          <w:rtl w:val="true"/>
          <w:lang w:bidi="ar-SA"/>
        </w:rPr>
        <w:t>وأ نّه هل يكون فيها ما يدلّ على كون الصفات أمارة مطلقاً ؛ حتّى بالنسبة إلى ما قبل البلوغ وبعد اليأس ، وبالنسبة إلى الأقلّ من الثلاثة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تدلّ على ثبوت الكلّية المذكورة في كلام المحقّق</w:t>
      </w:r>
      <w:r>
        <w:rPr>
          <w:rStyle w:val="FootnoteAnchor"/>
          <w:rtl w:val="true"/>
        </w:rPr>
        <w:footnoteReference w:id="841"/>
      </w:r>
      <w:r>
        <w:rPr>
          <w:rFonts w:ascii="IRNazanin" w:hAnsi="IRNazanin" w:eastAsia="IRNazanin"/>
          <w:color w:val="111111"/>
          <w:sz w:val="28"/>
          <w:sz w:val="28"/>
          <w:szCs w:val="28"/>
          <w:rtl w:val="true"/>
          <w:lang w:bidi="fa-IR"/>
        </w:rPr>
        <w:t>ومن بعده</w:t>
      </w:r>
      <w:r>
        <w:rPr>
          <w:rStyle w:val="FootnoteAnchor"/>
          <w:rtl w:val="true"/>
        </w:rPr>
        <w:footnoteReference w:id="842"/>
      </w:r>
      <w:r>
        <w:rPr>
          <w:rFonts w:ascii="Amiri" w:hAnsi="Amiri" w:eastAsia="Amiri" w:cs="Amiri"/>
          <w:color w:val="111111"/>
          <w:sz w:val="28"/>
          <w:sz w:val="28"/>
          <w:szCs w:val="28"/>
          <w:rtl w:val="true"/>
          <w:lang w:bidi="ar-SA"/>
        </w:rPr>
        <w:t xml:space="preserve">، وهي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كلّ دم تراه المرأة ولم يكن حيضاً ولا دم قرح ولا جرح ، فهو استحاضة ، وكذا ما يزيد عن العادة ويتجاوز العشرة ، أو يزيد عن أيّام النفاس ، وما تراه بعد اليأس ، أو قبل البلوغ ، أو مع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اجتماع الحمل والحيض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إثبات أنّ كلّ دم ليس بحيض ولا نفاس ، ولم يعلم كونه استحاضة أو قرحاً أو جرحاً ، فهو استحاضة مع الاتّصاف بصفاتها ؟</w:t>
      </w:r>
    </w:p>
    <w:p>
      <w:pPr>
        <w:pStyle w:val="BookText"/>
        <w:rPr/>
      </w:pPr>
      <w:r>
        <w:rPr>
          <w:rFonts w:ascii="Amiri" w:hAnsi="Amiri" w:eastAsia="Amiri" w:cs="Amiri"/>
          <w:color w:val="111111"/>
          <w:sz w:val="28"/>
          <w:sz w:val="28"/>
          <w:szCs w:val="28"/>
          <w:rtl w:val="true"/>
          <w:lang w:bidi="ar-SA"/>
        </w:rPr>
        <w:t xml:space="preserve">فلا بدّ من ذكر ما يمكن أن يستدلّ به للمطلوب أو بعضه وحدود دلالته ؛ حتّى يتّضح الحال ، فنقول وعلى اللّه الاتّكال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معاوية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دم الاستحاضة والحيض ليس يخرجان من مكان واحد ؛ إنّ دم الاستحاضة </w:t>
      </w:r>
    </w:p>
    <w:p>
      <w:pPr>
        <w:pStyle w:val="BookText"/>
        <w:rPr/>
      </w:pPr>
      <w:r>
        <w:rPr>
          <w:rFonts w:ascii="Amiri" w:hAnsi="Amiri" w:eastAsia="Amiri" w:cs="Amiri"/>
          <w:color w:val="111111"/>
          <w:sz w:val="28"/>
          <w:sz w:val="28"/>
          <w:szCs w:val="28"/>
          <w:rtl w:val="true"/>
          <w:lang w:bidi="ar-SA"/>
        </w:rPr>
        <w:t>بارد ، وإنّ دم الحيض حارّ</w:t>
      </w:r>
      <w:r>
        <w:rPr>
          <w:rFonts w:eastAsia="Amiri" w:cs="Amiri" w:ascii="Amiri" w:hAnsi="Amiri"/>
          <w:color w:val="111111"/>
          <w:sz w:val="28"/>
          <w:szCs w:val="28"/>
          <w:rtl w:val="true"/>
          <w:lang w:bidi="ar-SA"/>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لا تدلّ إلاّ على أنّ الفرق بينهما ذلك ، وفي دوران الأمر بينهما يمتاز أحدهما عن الآخر بما ذكر ، وأمّا أنّ كلّ بارد استحاضة أو كلّ حارّ حيض فلا يستفاد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إذا كان الاحتمال ثلاثياً أو أكثر وكان الدم بارداً ، يحكم بعدم الحيضية ، وإن كان حارّاً يحكم بعدم كونه استحاضة ؛ لظهورها في أنّ ما كان بارداً ليس بحيض ، فإنّ صفته هي الحرارة ، وما كان حارّاً ليس باستحاضة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إذا كان الدوران بين الاستحاضة والجرح مثلاً وكان الدم حارّاً ، يحكم بعدم كونه استحاضة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إثبات مقابلها بلازمه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حفص بن البَخْتَري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عبداللّه علیه السلام امرأة ، فسألته عن المرأة يستمرّ بها الدم ؛ فلا تدري أحيض هو أو غيره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دم الحيض حارّ عبيط أسود له دفع وحرارة ، ودم الاستحاضة أصفر بارد </w:t>
      </w:r>
      <w:r>
        <w:rPr>
          <w:rFonts w:eastAsia="IRNazanin" w:cs="IRNazanin"/>
          <w:color w:val="111111"/>
          <w:sz w:val="28"/>
          <w:szCs w:val="28"/>
          <w:rtl w:val="true"/>
          <w:lang w:bidi="fa-IR"/>
        </w:rPr>
        <w:t>. . .»</w:t>
      </w:r>
      <w:r>
        <w:rPr>
          <w:rStyle w:val="FootnoteAnchor"/>
          <w:rtl w:val="true"/>
        </w:rPr>
        <w:footnoteReference w:id="844"/>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تقريب الاستدلال بها على جعل الأمارة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الاحتمال ثنائياً أو أكثر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نّها سألت عمّن استمرّ بها الدم مطلقاً ، فلا يختصّ سؤالها بذات العادة أو غيرها ، فيشمل جميع النسوة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فرضت استمرار الدم من غير سبقه بالحيض ، فلا يكون مفروضها استمرار الدم بعد الحيض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وأيضاً قالت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تدري أحيض هو أو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ذلك أجاب الإمام علیه السلام بما أجاب بلا اعتناء بسائر الاحتمالات ، فكأنّ احتمال كون الدم من قرح أو جرح أو مبدأ آخر غير ذلك ، غير معتنىً به ، فتكون الأوصاف الاُولى أمارة أو أمارات على الحيضية، والاُخرى على كونه استحاضة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الحرارة مثلاً أمارة الحيض مطلقاً ؛ احتمل معه الاستحاضة أو القرح والجرح أو غيرها ، وكذا البرودة أمارة الاستحاضة مطلقاً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بمناسبة الإرجاع إلى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كون الرجوع إليها متأخّراً عن الرجوع إلى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أنّ المرأة التي كانت غير ذات عادة ، تكليفها الرجوع إلى صفة الحيض وصفة الاستحاضة ، فيعلم منها أنّ الاستحاضة لا تنحصر بما يخرج بعد العادة ، كما زعم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Style w:val="FootnoteAnchor"/>
          <w:rtl w:val="true"/>
        </w:rPr>
        <w:footnoteReference w:id="845"/>
      </w:r>
      <w:r>
        <w:rPr>
          <w:rFonts w:ascii="Amiri" w:hAnsi="Amiri" w:eastAsia="Amiri" w:cs="Amiri"/>
          <w:color w:val="111111"/>
          <w:sz w:val="28"/>
          <w:sz w:val="28"/>
          <w:szCs w:val="28"/>
          <w:rtl w:val="true"/>
          <w:lang w:bidi="ar-SA"/>
        </w:rPr>
        <w:t xml:space="preserve">ونقل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846"/>
      </w:r>
      <w:r>
        <w:rPr>
          <w:rFonts w:ascii="Amiri" w:hAnsi="Amiri" w:eastAsia="Amiri" w:cs="Amiri"/>
          <w:color w:val="111111"/>
          <w:sz w:val="28"/>
          <w:sz w:val="28"/>
          <w:szCs w:val="28"/>
          <w:rtl w:val="true"/>
          <w:lang w:bidi="ar-SA"/>
        </w:rPr>
        <w:t xml:space="preserve">، بل الدم المستمرّ ولو من غير ذات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مبتدئةً كانت أو مضطربةً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بصفة الاستحاضة استحاضة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بعض كلمات أهل التحقيق</w:t>
      </w:r>
      <w:r>
        <w:rPr>
          <w:rStyle w:val="FootnoteAnchor"/>
          <w:rtl w:val="true"/>
        </w:rPr>
        <w:footnoteReference w:id="8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تستعمل في الأخبار إلاّ فيما استمرّ الدم وتجاوز عن أيّام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ما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وستعرف استعمالها في غيره في بعض الروايات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فيما ذكر كفاية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 ولكن يمكن 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قصور الرواية عن إثبات عموم</w:t>
      </w:r>
    </w:p>
    <w:p>
      <w:pPr>
        <w:pStyle w:val="BookText"/>
        <w:rPr/>
      </w:pPr>
      <w:r>
        <w:rPr>
          <w:rFonts w:ascii="Amiri" w:hAnsi="Amiri" w:eastAsia="Amiri" w:cs="Amiri"/>
          <w:color w:val="111111"/>
          <w:sz w:val="28"/>
          <w:sz w:val="28"/>
          <w:szCs w:val="28"/>
          <w:rtl w:val="true"/>
          <w:lang w:bidi="ar-SA"/>
        </w:rPr>
        <w:t xml:space="preserve">المدّعى ؛ أي الكلّية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معهودية دم النساء في الدمين أو الدماء الثلاثة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وكون احتمال القرح والجرح ممّا لا ينقدح في الذهن غالباً ؛ لندرتهما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توجب أن تكون الرواية سؤالاً وجواباً ، منصرفةً عن سائر الدماء غير الدمين ، فكأنّ السؤال عن الدم المعهود بينهنّ الدائر أمره بين الحيض والاستحاضة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المراد منه إبداء احتمال غير الاستحاضة والحيض ، فكأ نّها قالت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حيض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أجاب علیه السلام عن الحيض والاستحاضة فقط ، فحينئذٍ لا يستفاد منها أمارية الصفات في غير مورد الدوران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 يستفاد منها أنّ الاستحاضة لا تنحصر بالدم المستمرّ بعد أيّام العادة ، كما</w:t>
      </w:r>
    </w:p>
    <w:p>
      <w:pPr>
        <w:pStyle w:val="BookText"/>
        <w:rPr/>
      </w:pPr>
      <w:r>
        <w:rPr>
          <w:rFonts w:ascii="Amiri" w:hAnsi="Amiri" w:eastAsia="Amiri" w:cs="Amiri"/>
          <w:color w:val="111111"/>
          <w:sz w:val="28"/>
          <w:sz w:val="28"/>
          <w:szCs w:val="28"/>
          <w:rtl w:val="true"/>
          <w:lang w:bidi="ar-SA"/>
        </w:rPr>
        <w:t xml:space="preserve">أ نّه مستفاد من مرسلة يونس ، فإنّ تقسيمَ حالات المستحاضة إلى الأقسام الثلاثة ، وجعلَ السنّة الثالثة للمستحاضة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لم تر الدم قطّ ، ورأت أوّل ما أدركت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واستحاضت أوّل ما 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التعبيرات ، دليل على عدم الانحصار بما ذكره الجوهري وابن الأثير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لا تدلّ هي ولا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إطلاقها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 استمرار الدم ، ولا</w:t>
      </w:r>
    </w:p>
    <w:p>
      <w:pPr>
        <w:pStyle w:val="BookText"/>
        <w:rPr/>
      </w:pPr>
      <w:r>
        <w:rPr>
          <w:rFonts w:ascii="Amiri" w:hAnsi="Amiri" w:eastAsia="Amiri" w:cs="Amiri"/>
          <w:color w:val="111111"/>
          <w:sz w:val="28"/>
          <w:sz w:val="28"/>
          <w:szCs w:val="28"/>
          <w:rtl w:val="true"/>
          <w:lang w:bidi="ar-SA"/>
        </w:rPr>
        <w:t xml:space="preserve">على الاستمرار مطلقاً ، كالاستمرار قبل البلوغ وبعد اليأس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المرأة ترى</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الصفرة في أيّامها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تصلّي حتّى تنقضي أيّامها ، وإن رأت الصفرة في غير أيّامها توضّأت وصلّت</w:t>
      </w:r>
      <w:r>
        <w:rPr>
          <w:rFonts w:eastAsia="Amiri" w:cs="Amiri" w:ascii="Amiri" w:hAnsi="Amiri"/>
          <w:color w:val="111111"/>
          <w:sz w:val="28"/>
          <w:szCs w:val="28"/>
          <w:rtl w:val="true"/>
          <w:lang w:bidi="ar-SA"/>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رؤية الصفرة في غير أيّامها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حدوثها في غير أيّامها ؛ سواء كان قبلها أو بعدها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احتمال كون المراد استمرار الصفرة إلى ما بعد أيّامها ففاسد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توضّأت وصلّت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أنّ الصفرة موجبة للوضوء ، لا أنّ ذكر الوضوء إنّما هو لكونه شرطاً للصلاة ؛ ضرورة أنّ ظاهر الشرطية دخل الشرط في ترتّب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تخصيص الوضوء بالذكر من بين سائر الشرائط ، يبقى بلا 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ظهورها في أنّ الصفرة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أيّام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موجبة للوضوء ، وتكون حدثاً بصِرف وجودها ؛ استمرّت أو لا ، يخرج منها المستمرّة إلى ثلاثة أيّام مع عدم التجاوز عن العشرة ؛ للإجماعات المتقدّمة</w:t>
      </w:r>
      <w:r>
        <w:rPr>
          <w:rStyle w:val="FootnoteAnchor"/>
          <w:rtl w:val="true"/>
        </w:rPr>
        <w:footnoteReference w:id="849"/>
      </w:r>
      <w:r>
        <w:rPr>
          <w:rFonts w:ascii="Amiri" w:hAnsi="Amiri" w:eastAsia="Amiri" w:cs="Amiri"/>
          <w:color w:val="111111"/>
          <w:sz w:val="28"/>
          <w:sz w:val="28"/>
          <w:szCs w:val="28"/>
          <w:rtl w:val="true"/>
          <w:lang w:bidi="ar-SA"/>
        </w:rPr>
        <w:t xml:space="preserve">ويبقى الباقي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ذكر الوضوء دون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المتوسّطة والكثيرة توجبانه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لكون الصفرة غالباً غير منفكّة عن القلّة ، كما تشهد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تدلّ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يونس في أبواب النفاس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امرأة ولدت ، فرأت الدم أكثر ممّا كانت ترى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فلتقعد أيّام قُرئها التي كانت تجلس ، ثمّ تستظهر بعشرة أيّام ، فإن رأت دماً صبيباً فلتغتسل عند وقت كلّ صلاة ، وإن رأت صفرة فلتتوضّأ ثمّ لتصلّ</w:t>
      </w:r>
      <w:r>
        <w:rPr>
          <w:rFonts w:eastAsia="IRNazanin" w:cs="IRNazanin"/>
          <w:color w:val="111111"/>
          <w:sz w:val="28"/>
          <w:szCs w:val="28"/>
          <w:rtl w:val="true"/>
          <w:lang w:bidi="fa-IR"/>
        </w:rPr>
        <w:t>»</w:t>
      </w:r>
      <w:r>
        <w:rPr>
          <w:rStyle w:val="FootnoteAnchor"/>
          <w:rtl w:val="true"/>
        </w:rPr>
        <w:footnoteReference w:id="8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جعل الصفرة في مقابل الصبيب ؛ </w:t>
      </w:r>
    </w:p>
    <w:p>
      <w:pPr>
        <w:pStyle w:val="BookText"/>
        <w:rPr/>
      </w:pPr>
      <w:r>
        <w:rPr>
          <w:rFonts w:ascii="Amiri" w:hAnsi="Amiri" w:eastAsia="Amiri" w:cs="Amiri"/>
          <w:color w:val="111111"/>
          <w:sz w:val="28"/>
          <w:sz w:val="28"/>
          <w:szCs w:val="28"/>
          <w:rtl w:val="true"/>
          <w:lang w:bidi="ar-SA"/>
        </w:rPr>
        <w:t xml:space="preserve">أي المنحدر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 نّه إطلاق قابل للتقييد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دلالتها على أنّ الصفرة في غير أيّامها أمارة الاستحاضة ، لا ينبغي أن تنكر ؛ لأنّ ما يوجب الوضوء من الدماء ليس إلاّ الاستحاضة ، فيكشف الأمر بالوضوء عن كونها استحاضة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واحتمالُ كون الأمر بالوضوء للزوم عمل الاستحاضة عليها ، ولا يلزم أن تكون مستحاضة والدم استحاضة ، بعيدٌ عن فهم العرف والصواب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العرف بعد ما يرى أنّ الصفرة جعلت علامة للاستحاضة في الجملة ، ويرى أنّ حكم الاستحاضة الوضوء دون سائر الدماء ، ثمّ يسمع هذا الحديث ، لا تنقدح في ذهنه هذه الوساوس ، ويفهم من الرواية أنّ الصفرة أمارة الاستحاضة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ثبت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وعرفاً هي ما قال الجوهري لم يكن بدّ من الالتزام بلزوم ترتيب أحكامها ؛ من غير أن يكون الدم استحاضة والمرأة مستحاضة ، بل مع احتمال ذلك أيضاً يشكل الحكم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معهودية انحصار دم النساء بالثلاثة توجب الكشف المشار إليه آنفاً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جعفر ، عن أخيه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المرأة ترى الصفرة أيّام طمثها ، كيف تصنع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تترك لذلك الصلاة بعدد أيّامها التي كانت تقعد في طمثها ، ثمّ تغتسل وتصلّي ، فإن رأت صفرة بعد غسلها فلا غسل عليها ؛ يجزيها الوضوء عند كلّ صلاة وتصلّي</w:t>
      </w:r>
      <w:r>
        <w:rPr>
          <w:rFonts w:eastAsia="Amiri" w:cs="Amiri" w:ascii="Amiri" w:hAnsi="Amiri"/>
          <w:color w:val="111111"/>
          <w:sz w:val="28"/>
          <w:szCs w:val="28"/>
          <w:rtl w:val="true"/>
          <w:lang w:bidi="ar-SA"/>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ودلالتها واضحة ؛ لأنّ الوضوء عند كلّ صلاة ، حكم الاستحاضة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روايته الاُخرى عنه ، عن أخيه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المرأة ترى الدم في غير أيّام طمثها ، فتراها اليومَ واليومين ، والساعةَ والساعتين ، ويذهب مثل ذلك ، كيف تصنع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تترك الصلاة إذا كانت تلك حالها ما دام الدم ، وتغتسل كلّما انقطع عنها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تصنع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دامت ترى الصفرة فلتتوضّأ من الصفرة وتصلّي ، ولا غسل عليها من صفرة تراها إلاّ في أيّام طمثها </w:t>
      </w:r>
      <w:r>
        <w:rPr>
          <w:rFonts w:eastAsia="IRNazanin" w:cs="IRNazanin"/>
          <w:color w:val="111111"/>
          <w:sz w:val="28"/>
          <w:szCs w:val="28"/>
          <w:rtl w:val="true"/>
          <w:lang w:bidi="fa-IR"/>
        </w:rPr>
        <w:t>. . .»</w:t>
      </w:r>
      <w:r>
        <w:rPr>
          <w:rStyle w:val="FootnoteAnchor"/>
          <w:rtl w:val="true"/>
        </w:rPr>
        <w:footnoteReference w:id="852"/>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والظاهر سقوط شيء أو تقديم وتأخير في الرواية ، ولعلّ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تصنع إذا رأت صفرة ؟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تصنع ما دامت ترى الصفرة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فلتتوضّأ من الصفرة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ناصّة على أنّ الوضوء من الصفرة ، وأ نّها 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ويدفع به الاحتمال عن صحيحة محمّد بن مسلم على فرضه ، وتقريب الدلالة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من توجيه صدرها ، ولعلّه حكم ظاهري عند رؤية الدم والطهر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محمّد بن مسلم عن أبي جعفر علیه السلام ، وفيها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لم تر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بعد الاستبراء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فلتغتسل ، وإن رأت بعد ذلك صفرة فلتوضّأ ولتصلّ</w:t>
      </w:r>
      <w:r>
        <w:rPr>
          <w:rFonts w:eastAsia="IRNazanin" w:cs="IRNazanin"/>
          <w:color w:val="111111"/>
          <w:sz w:val="28"/>
          <w:szCs w:val="28"/>
          <w:rtl w:val="true"/>
          <w:lang w:bidi="fa-IR"/>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في باب اجتماع الحيض والحمل ، كصحيحة أبي المغرا ، وفيها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دماً كثيراً فلا تصلّينّ ، وإن كان قليلاً فلتغتسل عند كلّ صلاتين</w:t>
      </w:r>
      <w:r>
        <w:rPr>
          <w:rFonts w:eastAsia="Amiri" w:cs="Amiri" w:ascii="Amiri" w:hAnsi="Amiri"/>
          <w:color w:val="111111"/>
          <w:sz w:val="28"/>
          <w:szCs w:val="28"/>
          <w:rtl w:val="true"/>
          <w:lang w:bidi="ar-SA"/>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وكموثّقة إسحاق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الحبلى ترى الدم اليوم واليومين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دماً عبيطاً فلا تصلّي ذينك اليومين ، وإن كان صفرة فلتغتسل عند كلّ صلاتين</w:t>
      </w:r>
      <w:r>
        <w:rPr>
          <w:rFonts w:eastAsia="Amiri" w:cs="Amiri" w:ascii="Amiri" w:hAnsi="Amiri"/>
          <w:color w:val="111111"/>
          <w:sz w:val="28"/>
          <w:szCs w:val="28"/>
          <w:rtl w:val="true"/>
          <w:lang w:bidi="ar-SA"/>
        </w:rPr>
        <w:t>»</w:t>
      </w:r>
      <w:r>
        <w:rPr>
          <w:rStyle w:val="FootnoteAnchor"/>
          <w:rtl w:val="true"/>
        </w:rPr>
        <w:footnoteReference w:id="855"/>
      </w:r>
      <w:r>
        <w:rPr>
          <w:rFonts w:ascii="Amiri" w:hAnsi="Amiri" w:eastAsia="Amiri" w:cs="Amiri"/>
          <w:color w:val="111111"/>
          <w:sz w:val="28"/>
          <w:sz w:val="28"/>
          <w:szCs w:val="28"/>
          <w:rtl w:val="true"/>
          <w:lang w:bidi="ar-SA"/>
        </w:rPr>
        <w:t xml:space="preserve">بعد توجيه صدرها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وكرواية محمّد بن مسلم عن أحدهما علیهما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دماً أحمر كثيراً فلا تصلّي ، وإن كان قليلاً أصفر فليس عليها إلاّ الوضوء</w:t>
      </w:r>
      <w:r>
        <w:rPr>
          <w:rFonts w:eastAsia="IRNazanin" w:cs="IRNazanin"/>
          <w:color w:val="111111"/>
          <w:sz w:val="28"/>
          <w:szCs w:val="28"/>
          <w:rtl w:val="true"/>
          <w:lang w:bidi="fa-IR"/>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وغاية ما يستفاد من مجموع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أمارية الصفات للاستحاضة فيما دار الأمر بينها وبين الحيض ولو في غير مستمرّة الدم ، أو في الأعمّ منه وممّا احتمل فيه شيء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قرح أو جرح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عدم تحقّق مبدئهما ، على تأمّل فيه كما مرّ</w:t>
      </w:r>
      <w:r>
        <w:rPr>
          <w:rStyle w:val="FootnoteAnchor"/>
          <w:rtl w:val="true"/>
        </w:rPr>
        <w:footnoteReference w:id="8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استفادة حكم دم الصغيرة واليائسة فلا ؛ لعدم عموم أو إطلاق يرجع إليهما ، ولعدم إمكان تنقيح المناط وإلغاء الخصوصية عرفاً </w:t>
      </w:r>
      <w:r>
        <w:rPr>
          <w:rFonts w:eastAsia="Amiri" w:cs="Amiri" w:ascii="Amiri" w:hAnsi="Amiri"/>
          <w:color w:val="111111"/>
          <w:sz w:val="28"/>
          <w:szCs w:val="28"/>
          <w:rtl w:val="true"/>
          <w:lang w:bidi="ar-SA"/>
        </w:rPr>
        <w:t xml:space="preserve">. </w:t>
      </w:r>
      <w:bookmarkStart w:id="511" w:name="pg15019_190850"/>
    </w:p>
    <w:p>
      <w:pPr>
        <w:pStyle w:val="Heading4"/>
        <w:numPr>
          <w:ilvl w:val="3"/>
          <w:numId w:val="1"/>
        </w:numPr>
        <w:rPr/>
      </w:pPr>
      <w:bookmarkStart w:id="512" w:name="__RefHeading___Toc686534_3406789950"/>
      <w:bookmarkStart w:id="513" w:name="_Toc185"/>
      <w:bookmarkEnd w:id="511"/>
      <w:bookmarkEnd w:id="512"/>
      <w:r>
        <w:rPr>
          <w:rtl w:val="true"/>
        </w:rPr>
        <w:t xml:space="preserve">المقام الثالث في أنّ </w:t>
      </w:r>
      <w:r>
        <w:rPr>
          <w:rtl w:val="true"/>
        </w:rPr>
        <w:t>«</w:t>
      </w:r>
      <w:r>
        <w:rPr>
          <w:rtl w:val="true"/>
        </w:rPr>
        <w:t>كلّ ما يمتنع أن يكون حيضاً فهو استحاضة</w:t>
      </w:r>
      <w:r>
        <w:rPr>
          <w:rtl w:val="true"/>
        </w:rPr>
        <w:t>»</w:t>
      </w:r>
      <w:bookmarkEnd w:id="513"/>
    </w:p>
    <w:p>
      <w:pPr>
        <w:pStyle w:val="Heading5"/>
        <w:numPr>
          <w:ilvl w:val="4"/>
          <w:numId w:val="1"/>
        </w:numPr>
        <w:rPr/>
      </w:pPr>
      <w:bookmarkStart w:id="514" w:name="__RefHeading___Toc686536_3406789950"/>
      <w:bookmarkStart w:id="515" w:name="_Toc186"/>
      <w:bookmarkEnd w:id="514"/>
      <w:r>
        <w:rPr>
          <w:rtl w:val="true"/>
        </w:rPr>
        <w:t>اشارة</w:t>
      </w:r>
      <w:bookmarkEnd w:id="515"/>
    </w:p>
    <w:p>
      <w:pPr>
        <w:pStyle w:val="BookText"/>
        <w:rPr/>
      </w:pPr>
      <w:r>
        <w:rPr>
          <w:rFonts w:ascii="Amiri" w:hAnsi="Amiri" w:eastAsia="Amiri" w:cs="Amiri"/>
          <w:color w:val="111111"/>
          <w:sz w:val="28"/>
          <w:sz w:val="28"/>
          <w:szCs w:val="28"/>
          <w:rtl w:val="true"/>
          <w:lang w:bidi="ar-SA"/>
        </w:rPr>
        <w:t>ومنه يظهر الكلام في المقام الثالث ؛ أي أنّ كلّ ما يمتنع أن يكون حيضاً فهو</w:t>
      </w:r>
    </w:p>
    <w:p>
      <w:pPr>
        <w:pStyle w:val="BookText"/>
        <w:rPr/>
      </w:pPr>
      <w:r>
        <w:rPr>
          <w:rFonts w:ascii="Amiri" w:hAnsi="Amiri" w:eastAsia="Amiri" w:cs="Amiri"/>
          <w:color w:val="111111"/>
          <w:sz w:val="28"/>
          <w:sz w:val="28"/>
          <w:szCs w:val="28"/>
          <w:rtl w:val="true"/>
          <w:lang w:bidi="ar-SA"/>
        </w:rPr>
        <w:t xml:space="preserve">استحاضة ولو لم يتّصف بصفاتها ؛ حيث إنّ الروايات التي استدلّ بها أو يمكن أن يستدلّ بها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دلّت على أ نّها مستحاضة بعد الاستظهار</w:t>
      </w:r>
      <w:r>
        <w:rPr>
          <w:rStyle w:val="FootnoteAnchor"/>
          <w:rtl w:val="true"/>
        </w:rPr>
        <w:footnoteReference w:id="858"/>
      </w:r>
      <w:r>
        <w:rPr>
          <w:rFonts w:ascii="IRNazanin" w:hAnsi="IRNazanin" w:eastAsia="IRNazanin"/>
          <w:color w:val="111111"/>
          <w:sz w:val="28"/>
          <w:sz w:val="28"/>
          <w:szCs w:val="28"/>
          <w:rtl w:val="true"/>
          <w:lang w:bidi="fa-IR"/>
        </w:rPr>
        <w:t xml:space="preserve">ومثل صحيحة صفوان بن يحيى عن أبي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مكثت المرأة عشرة أيّام ترى الدم ، ثمّ طهرت ، فمكثت ثلاثة أيّام طاهراً ، ثمّ رأت الدم بعد ذلك ، أتُمسك عن الصلاة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 هذه مستحاضة ؛ تغتسل وتستدخل قطنة </w:t>
      </w:r>
      <w:r>
        <w:rPr>
          <w:rFonts w:eastAsia="IRNazanin" w:cs="IRNazanin"/>
          <w:color w:val="111111"/>
          <w:sz w:val="28"/>
          <w:szCs w:val="28"/>
          <w:rtl w:val="true"/>
          <w:lang w:bidi="fa-IR"/>
        </w:rPr>
        <w:t>. . .»</w:t>
      </w:r>
      <w:r>
        <w:rPr>
          <w:rStyle w:val="FootnoteAnchor"/>
          <w:rtl w:val="true"/>
        </w:rPr>
        <w:footnoteReference w:id="859"/>
      </w:r>
      <w:r>
        <w:rPr>
          <w:rFonts w:ascii="Amiri" w:hAnsi="Amiri" w:eastAsia="Amiri" w:cs="Amiri"/>
          <w:color w:val="111111"/>
          <w:sz w:val="28"/>
          <w:sz w:val="28"/>
          <w:szCs w:val="28"/>
          <w:rtl w:val="true"/>
          <w:lang w:bidi="ar-SA"/>
        </w:rPr>
        <w:t>إلى آخره وكصحيحة الصحّاف الواردة في الحامل</w:t>
      </w:r>
      <w:r>
        <w:rPr>
          <w:rStyle w:val="FootnoteAnchor"/>
          <w:rtl w:val="true"/>
        </w:rPr>
        <w:footnoteReference w:id="8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استفادة تلك الكلّية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بعض الأعلام وردّه</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قد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المستفاد من موارد الدماء الممتنع كونها حيضاً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تعرّض لها الشارع ابتداءً ، وفي جواب السؤال ، وحكم بكونها استحاضة حقيقية </w:t>
      </w:r>
    </w:p>
    <w:p>
      <w:pPr>
        <w:pStyle w:val="BookText"/>
        <w:rPr/>
      </w:pPr>
      <w:r>
        <w:rPr>
          <w:rFonts w:ascii="IRNazanin" w:hAnsi="IRNazanin" w:eastAsia="IRNazanin"/>
          <w:color w:val="111111"/>
          <w:sz w:val="28"/>
          <w:sz w:val="28"/>
          <w:szCs w:val="28"/>
          <w:rtl w:val="true"/>
          <w:lang w:bidi="fa-IR"/>
        </w:rPr>
        <w:t xml:space="preserve">أو حكمية ، أو كون صاحبتها مستحاضة ، مع احتمال وجود دم آخر في الجوف غير الحيض والاستحاضة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الاعتناء بهذا الاحتمال في كلّ ما امتنع كونه حيضاً وإن لم يتعرّض له في الأخبار ، فيحصل حدس قطعي للفقيه بأ نّه لو تعرّض الإمام علیه السلام للدم الخارج من اليائسة الفاقد لصفات الاستحاضة ، لحكم بكونه استحاضة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إمكان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إذا حكم على الصفرة مطلقاً بكونها حدثاً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تقدّم استفادة ذلك من بعض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تكون الحمرة الممتنع كونها حيضاً ، كذلك بطريق أولى ، فتأمّل</w:t>
      </w:r>
      <w:r>
        <w:rPr>
          <w:rFonts w:eastAsia="IRNazanin" w:cs="IRNazanin"/>
          <w:color w:val="111111"/>
          <w:sz w:val="28"/>
          <w:szCs w:val="28"/>
          <w:rtl w:val="true"/>
          <w:lang w:bidi="fa-IR"/>
        </w:rPr>
        <w:t>»</w:t>
      </w:r>
      <w:r>
        <w:rPr>
          <w:rStyle w:val="FootnoteAnchor"/>
          <w:rtl w:val="true"/>
        </w:rPr>
        <w:footnoteReference w:id="861"/>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ممنوعية الحدس القطعي ، وكون العهدة على مدّعيه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على فرض تسليمه غير مفيد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القطعُ بكون ما تقذفه بعد اليأس أو قبل البلوغ هو الدم الطبيعي الذي تقذفه الرحم في أيّام إمكان الحيض ، بل القطعُ بكونه استحاضةً ، غيرُ مفيد ما لم يدلّ دليل على أنّ كلّ استحاضة أو مستحاضة ، محكومة بتلك الأحكام ، وإلاّ فقد أوضحنا سابقاً </w:t>
      </w:r>
      <w:r>
        <w:rPr>
          <w:rStyle w:val="FootnoteAnchor"/>
          <w:rtl w:val="true"/>
        </w:rPr>
        <w:footnoteReference w:id="862"/>
      </w:r>
      <w:r>
        <w:rPr>
          <w:rFonts w:ascii="Amiri" w:hAnsi="Amiri" w:eastAsia="Amiri" w:cs="Amiri"/>
          <w:color w:val="111111"/>
          <w:sz w:val="28"/>
          <w:sz w:val="28"/>
          <w:szCs w:val="28"/>
          <w:rtl w:val="true"/>
          <w:lang w:bidi="ar-SA"/>
        </w:rPr>
        <w:t xml:space="preserve">أنّ الدم المقذوف من الرحم يعدّه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قطع</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النظر عن حكم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حيضاً ؛ كان مستمرّاً بعد العادة أو لا ، كان أقلّ من ثلاثة أيّام أو لا ، أكثر من عشرة أيّام أو لا ، بعد اليأس أو قبله ، لكنّ الشارع جعل لقسم منه أحكاماً ، ولقسم آخر أحكاماً اُخرى ، وسمّى 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جعله الشارع موضوعاً لحكمه الأوّل ، ليس ماهية مباينة لما جعله موضوعاً لحكمه الثاني ، فحينئذٍ بعد العلم بكون الدم حيضاً أو استحاضة ، لا بدّ </w:t>
      </w:r>
    </w:p>
    <w:p>
      <w:pPr>
        <w:pStyle w:val="BookText"/>
        <w:rPr/>
      </w:pPr>
      <w:r>
        <w:rPr>
          <w:rFonts w:ascii="Amiri" w:hAnsi="Amiri" w:eastAsia="Amiri" w:cs="Amiri"/>
          <w:color w:val="111111"/>
          <w:sz w:val="28"/>
          <w:sz w:val="28"/>
          <w:szCs w:val="28"/>
          <w:rtl w:val="true"/>
          <w:lang w:bidi="ar-SA"/>
        </w:rPr>
        <w:t xml:space="preserve">من التماس الدليل على موضوعيته للحكم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فالدم المقذوف قبل البلوغ أو بعد اليأس ، ليسا حيضاً حكماً بلا إشكال وكلام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ثبت كونهما حيضاً موضوعاً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ثبت كونهما الدم المعهود المقذوف بحسب العادة الطبيعية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في ثبوت حكم الاستحاضة لهما من قيام دليل على أنّ كلّ دم لم يكن حيضاً ولو حكماً ، فهو استحاضة حكماً ، أو إثبات الحكم لكلّ مستحاضة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والأخبار الواردة في أبواب الحيض والاستحاضة ، ليس فيها ما يدلّ على ذلك غير موثّقة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المستحاضة إذا ثقب الدمُ الكُرْسُفَ اغتسلت لكلّ صلاتين</w:t>
      </w:r>
      <w:r>
        <w:rPr>
          <w:rFonts w:eastAsia="Amiri" w:cs="Amiri" w:ascii="Amiri" w:hAnsi="Amiri"/>
          <w:color w:val="111111"/>
          <w:sz w:val="28"/>
          <w:szCs w:val="28"/>
          <w:rtl w:val="true"/>
          <w:lang w:bidi="ar-SA"/>
        </w:rPr>
        <w:t>»</w:t>
      </w:r>
      <w:r>
        <w:rPr>
          <w:rStyle w:val="FootnoteAnchor"/>
          <w:rtl w:val="true"/>
        </w:rPr>
        <w:footnoteReference w:id="863"/>
      </w:r>
      <w:r>
        <w:rPr>
          <w:rFonts w:ascii="Amiri" w:hAnsi="Amiri" w:eastAsia="Amiri" w:cs="Amiri"/>
          <w:color w:val="111111"/>
          <w:sz w:val="28"/>
          <w:sz w:val="28"/>
          <w:szCs w:val="28"/>
          <w:rtl w:val="true"/>
          <w:lang w:bidi="ar-SA"/>
        </w:rPr>
        <w:t xml:space="preserve">ثمّ ذكر فيها أقسام الاستحاضة وأحكامها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استفادة الإطلاق منها مشكلة ؛ حيث إنّها في مقام بيان أقسام الاستحاضة والمستحاضة ، فكأ 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المستحاضة على أنواع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كذا ، ومنها كذا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فاستفادة ثبوت الأحكام لكلّ مستحاضة حتّى في حال الصغر ممنوعة ؛ لعدم كون الأحكام للصغيرة ، وكذلك بعد الكبر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وغير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علیه السلام في كتابه إلى المأمون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والمستحاضة تغتسل وتحتشي وتصلّي ، والحائض تترك الصلاة ولا تقضي ، وتترك الصوم وتقضي</w:t>
      </w:r>
      <w:r>
        <w:rPr>
          <w:rFonts w:eastAsia="IRNazanin" w:cs="IRNazanin"/>
          <w:color w:val="111111"/>
          <w:sz w:val="28"/>
          <w:szCs w:val="28"/>
          <w:rtl w:val="true"/>
          <w:lang w:bidi="fa-IR"/>
        </w:rPr>
        <w:t>»</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 xml:space="preserve">الحيض ، الباب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6" w:name="pg15019_190853"/>
    </w:p>
    <w:p>
      <w:pPr>
        <w:pStyle w:val="BookText"/>
        <w:rPr/>
      </w:pPr>
      <w:bookmarkEnd w:id="516"/>
      <w:r>
        <w:rPr>
          <w:rFonts w:ascii="Amiri" w:hAnsi="Amiri" w:eastAsia="Amiri" w:cs="Amiri"/>
          <w:color w:val="111111"/>
          <w:sz w:val="28"/>
          <w:sz w:val="28"/>
          <w:szCs w:val="28"/>
          <w:rtl w:val="true"/>
          <w:lang w:bidi="ar-SA"/>
        </w:rPr>
        <w:t xml:space="preserve">وهي أيضاً في مقام بيان حكم آخر ؛ فإنّ جعل المستحاضة في مقابل الحائض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 نّها كذا وهي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 عن الإطلاق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سائر الأخبار فكلّها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واردة في التي تحيض ، كأخبار الاستحاضة ، وأخبار النفاس ، وأخبار الاستظهار </w:t>
      </w:r>
      <w:r>
        <w:rPr>
          <w:rFonts w:eastAsia="Amiri" w:cs="Amiri" w:ascii="Amiri" w:hAnsi="Amiri"/>
          <w:color w:val="111111"/>
          <w:sz w:val="28"/>
          <w:szCs w:val="28"/>
          <w:rtl w:val="true"/>
          <w:lang w:bidi="ar-SA"/>
        </w:rPr>
        <w:t>.</w:t>
      </w:r>
    </w:p>
    <w:p>
      <w:pPr>
        <w:pStyle w:val="Heading5"/>
        <w:numPr>
          <w:ilvl w:val="4"/>
          <w:numId w:val="1"/>
        </w:numPr>
        <w:rPr/>
      </w:pPr>
      <w:bookmarkStart w:id="517" w:name="__RefHeading___Toc686538_3406789950"/>
      <w:bookmarkStart w:id="518" w:name="_Toc187"/>
      <w:bookmarkEnd w:id="517"/>
      <w:r>
        <w:rPr>
          <w:rtl w:val="true"/>
        </w:rPr>
        <w:t>توجيه الحكم باستحاضة اليائسة والصغيرة</w:t>
      </w:r>
      <w:bookmarkEnd w:id="518"/>
    </w:p>
    <w:p>
      <w:pPr>
        <w:pStyle w:val="BookText"/>
        <w:rPr/>
      </w:pPr>
      <w:r>
        <w:rPr>
          <w:rFonts w:ascii="Amiri" w:hAnsi="Amiri" w:eastAsia="Amiri" w:cs="Amiri"/>
          <w:color w:val="111111"/>
          <w:sz w:val="28"/>
          <w:sz w:val="28"/>
          <w:szCs w:val="28"/>
          <w:rtl w:val="true"/>
          <w:lang w:bidi="ar-SA"/>
        </w:rPr>
        <w:t xml:space="preserve">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الشكّ في ثبوت أحكام المستحاضة لما بعد اليأس وقبل البلوغ ؛ إمّا لأجل احتمال كون الدم بعد اليأس وقبل البلوغ ، ماهية غير ماهية دم الحيض والاستحاضة ، ويكون مجراه غير مجراهما ، ولا تكون حقيقته هي الدم الطبيعي المقذوف من الأرحام كسائر الدماء المقذوفة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مقطوع الفساد ، ومخالف للوجدان في بعض مصاديقها ، كما لو استمرّ دم المرأة ممّا قبل يأسها إلى ما بعده ، فهل يحتمل كونه إلى آنٍ ما قبل اليأس من مجرى مستقلٍّ ، مقذوفاً من الرحم ، معهوداً من النساء ، فلمّا انقضى ذلك الآن تغيّر</w:t>
      </w:r>
    </w:p>
    <w:p>
      <w:pPr>
        <w:pStyle w:val="BookText"/>
        <w:rPr/>
      </w:pPr>
      <w:r>
        <w:rPr>
          <w:rFonts w:ascii="Amiri" w:hAnsi="Amiri" w:eastAsia="Amiri" w:cs="Amiri"/>
          <w:color w:val="111111"/>
          <w:sz w:val="28"/>
          <w:sz w:val="28"/>
          <w:szCs w:val="28"/>
          <w:rtl w:val="true"/>
          <w:lang w:bidi="ar-SA"/>
        </w:rPr>
        <w:t xml:space="preserve">المجرى ؛ وخرج من مجرى آخر غير السابق ، ولا يكون الدمَ المقذوف المعهود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فيما قبل البلوغ ، فإذا فرض رؤية الدم على النهج المألوف في سنة قبل بلوغها ، واستمرّ في شهر قبل البلوغ حتّى بلغت ، فهل يجوز احتمال اختلاف طبيعته ومجراه ساعةً ما قبل البلوغ وما بعده ؟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الشكّ من جهة الموضوع في مثل ما ذكر في غاية الوهن ، ويعدّ من الوسوسة ومخالفاً للعرف واللغة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وبعد رفع الشكّ من هذه الجهة يبقى الشكّ من جهة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احتمال أن يكون الدم المحكوم بكونه استحاضة شرعاً ، هو ما ترى في زمان البلوغ إلى حدّ اليأس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الشكّ مدفوع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إلى اليائسة ، فبإطلاق الأدلّة في بعض الموارد ، كما إذا رأت دماً عشرة أيّام مثلاً ، وطهراً ثلاثة أيّام ، وتكون هذه الأيّام قبل اليأس ، ثمّ رأت دماً</w:t>
      </w:r>
    </w:p>
    <w:p>
      <w:pPr>
        <w:pStyle w:val="BookText"/>
        <w:rPr/>
      </w:pPr>
      <w:r>
        <w:rPr>
          <w:rFonts w:ascii="Amiri" w:hAnsi="Amiri" w:eastAsia="Amiri" w:cs="Amiri"/>
          <w:color w:val="111111"/>
          <w:sz w:val="28"/>
          <w:sz w:val="28"/>
          <w:szCs w:val="28"/>
          <w:rtl w:val="true"/>
          <w:lang w:bidi="ar-SA"/>
        </w:rPr>
        <w:t xml:space="preserve">بعده ، فهذا مشمول لإطلاق صحيحة صفوان بن يحيى المتقدّمة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وكون ما ذكر فرداً نادراً لا يوجب الانصراف وعدم الإطلاق ، فهل ترى عدم إطلاقها بالنسبة إلى ما قبل اليأس بشهر مثلاً ، مع عدم الفرق بينه وبين ما ذكرنا في ذلك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يشمل بعض الفروض إطلاق مرسلة يونس الطويلة ، كما إذا استمرّ دم ذات العادة إلى ما بعد اليأس ، ويكون آخر عادتها متّصلاً بيأسها ، فتكون مشمولة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فلتدع الصلاة أيّام أقرائها ، ثمّ تغتسل وتتوضّأ لكلّ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يشمل بعض فقراتها بعض الفروض الاُخرى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تثبت لليائسة أحكام الاستحاضة في بعض الفروض بالأدلّة ، وفي بعضها بالاستصحاب أيضاً ، ويتمّ فيما عداها بالقطع بعدم الفرق وبعدم القول بالفصل قطعاً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لا يبعد إطلاق مثل موثّقة سَماعة ورواية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والمناقشة المتقدّمة لعلّها في غير محلّها بعد فرض تحقّق الموضوع عرفاً ولغ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الأحكام المترتّبة على المستحاضة ، مترتّبة ظاهراً على نفس الطبيعة ؛ وإن كان مورد كثير منها ذات العادة أو من تحيض ، لكن لا يفهم </w:t>
      </w:r>
    </w:p>
    <w:p>
      <w:pPr>
        <w:pStyle w:val="BookText"/>
        <w:rPr/>
      </w:pPr>
      <w:r>
        <w:rPr>
          <w:rFonts w:ascii="Amiri" w:hAnsi="Amiri" w:eastAsia="Amiri" w:cs="Amiri"/>
          <w:color w:val="111111"/>
          <w:sz w:val="28"/>
          <w:sz w:val="28"/>
          <w:szCs w:val="28"/>
          <w:rtl w:val="true"/>
          <w:lang w:bidi="ar-SA"/>
        </w:rPr>
        <w:t xml:space="preserve">منها الخصوصية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كثير منها يشمل بعض الفروض المتقدّمة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حال اليائسة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الصغيرة ، فبعد فرض تحقّق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 الدم المستمرّ منها استحاضة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استفادة حكمها من بعض الأدلّة في الجملة ؛ فإنّ الظاهر من 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رأت الصفرة في غير أيّامها توضّأت</w:t>
      </w:r>
      <w:r>
        <w:rPr>
          <w:rFonts w:eastAsia="Amiri" w:cs="Amiri" w:ascii="Amiri" w:hAnsi="Amiri"/>
          <w:color w:val="111111"/>
          <w:sz w:val="28"/>
          <w:szCs w:val="28"/>
          <w:rtl w:val="true"/>
          <w:lang w:bidi="ar-SA"/>
        </w:rPr>
        <w:t>»</w:t>
      </w:r>
      <w:r>
        <w:rPr>
          <w:rStyle w:val="FootnoteAnchor"/>
          <w:rtl w:val="true"/>
        </w:rPr>
        <w:footnoteReference w:id="865"/>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دامت ترى الصفرة فلتتوضّأ من الصفرة</w:t>
      </w:r>
      <w:r>
        <w:rPr>
          <w:rFonts w:eastAsia="Amiri" w:cs="Amiri" w:ascii="Amiri" w:hAnsi="Amiri"/>
          <w:color w:val="111111"/>
          <w:sz w:val="28"/>
          <w:szCs w:val="28"/>
          <w:rtl w:val="true"/>
          <w:lang w:bidi="ar-SA"/>
        </w:rPr>
        <w:t>»</w:t>
      </w:r>
      <w:r>
        <w:rPr>
          <w:rStyle w:val="FootnoteAnchor"/>
          <w:rtl w:val="true"/>
        </w:rPr>
        <w:footnoteReference w:id="866"/>
      </w:r>
      <w:r>
        <w:rPr>
          <w:rFonts w:ascii="Amiri" w:hAnsi="Amiri" w:eastAsia="Amiri" w:cs="Amiri"/>
          <w:color w:val="111111"/>
          <w:sz w:val="28"/>
          <w:sz w:val="28"/>
          <w:szCs w:val="28"/>
          <w:rtl w:val="true"/>
          <w:lang w:bidi="ar-SA"/>
        </w:rPr>
        <w:t xml:space="preserve">أنّ لها سببية للوضوء ؛ وأنّ دم الاستحاضة حدث يوجب الوضوء وضعاً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المقام نظير ما ورد في سببية النوم والبول للوضوء ؛ ممّا يعلم منه كونهما سببين من غير فرق بين صدورهما من الصغير والكبير والمجنون وغيرهم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فلتتوضّأ من الصفرة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سببية طبيعتها للوضوء ، ويكون إيجاب الوضوء إرشاداً إلى السببية ، فيفهم العرف أنّ نفس الطبيعة سبب وضعاً للوضوء ؛ وإن كان التكليف لا يتعلّق بالصغيرة في حال صغرها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والإنصاف أنّ الحكم ثابت بعد تحقّق الموضوع </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مع الشكّ في تحقّقه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رأت الصغيرة الدم في أوائل سِني ولادتها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إثبات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مثلها خارج عن نظر الفقهاء رضوان اللّه عليهم </w:t>
      </w:r>
      <w:r>
        <w:rPr>
          <w:rFonts w:eastAsia="Amiri" w:cs="Amiri" w:ascii="Amiri" w:hAnsi="Amiri"/>
          <w:color w:val="111111"/>
          <w:sz w:val="28"/>
          <w:szCs w:val="28"/>
          <w:rtl w:val="true"/>
          <w:lang w:bidi="ar-SA"/>
        </w:rPr>
        <w:t xml:space="preserve">. </w:t>
      </w:r>
      <w:bookmarkStart w:id="519" w:name="pg15019_190856"/>
    </w:p>
    <w:p>
      <w:pPr>
        <w:pStyle w:val="Heading5"/>
        <w:numPr>
          <w:ilvl w:val="4"/>
          <w:numId w:val="1"/>
        </w:numPr>
        <w:rPr/>
      </w:pPr>
      <w:bookmarkStart w:id="520" w:name="__RefHeading___Toc686540_3406789950"/>
      <w:bookmarkStart w:id="521" w:name="_Toc188"/>
      <w:bookmarkEnd w:id="519"/>
      <w:bookmarkEnd w:id="520"/>
      <w:r>
        <w:rPr>
          <w:rtl w:val="true"/>
        </w:rPr>
        <w:t>فرع في اجتماع الحمل والحيض</w:t>
      </w:r>
      <w:bookmarkEnd w:id="521"/>
    </w:p>
    <w:p>
      <w:pPr>
        <w:pStyle w:val="BookText"/>
        <w:rPr/>
      </w:pPr>
      <w:r>
        <w:rPr>
          <w:rFonts w:ascii="Amiri" w:hAnsi="Amiri" w:eastAsia="Amiri" w:cs="Amiri"/>
          <w:color w:val="111111"/>
          <w:sz w:val="28"/>
          <w:sz w:val="28"/>
          <w:szCs w:val="28"/>
          <w:rtl w:val="true"/>
          <w:lang w:bidi="ar-SA"/>
        </w:rPr>
        <w:t xml:space="preserve">كان مقتضى الترتيب ذكر جواز اجتماع الحمل والحيض في باب الحيض ، لكن لمّا كان بحثنا على ترتيب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بعض المباحث خلاف الترتيب ، والأمر سهل </w:t>
      </w:r>
      <w:r>
        <w:rPr>
          <w:rFonts w:eastAsia="Amiri" w:cs="Amiri" w:ascii="Amiri" w:hAnsi="Amiri"/>
          <w:color w:val="111111"/>
          <w:sz w:val="28"/>
          <w:szCs w:val="28"/>
          <w:rtl w:val="true"/>
          <w:lang w:bidi="ar-SA"/>
        </w:rPr>
        <w:t>.</w:t>
      </w:r>
    </w:p>
    <w:p>
      <w:pPr>
        <w:pStyle w:val="Heading5"/>
        <w:numPr>
          <w:ilvl w:val="4"/>
          <w:numId w:val="1"/>
        </w:numPr>
        <w:rPr/>
      </w:pPr>
      <w:bookmarkStart w:id="522" w:name="__RefHeading___Toc686542_3406789950"/>
      <w:bookmarkStart w:id="523" w:name="_Toc189"/>
      <w:bookmarkEnd w:id="522"/>
      <w:r>
        <w:rPr>
          <w:rtl w:val="true"/>
        </w:rPr>
        <w:t>الأقوال في المقام</w:t>
      </w:r>
      <w:bookmarkEnd w:id="523"/>
    </w:p>
    <w:p>
      <w:pPr>
        <w:pStyle w:val="Heading6"/>
        <w:numPr>
          <w:ilvl w:val="5"/>
          <w:numId w:val="1"/>
        </w:numPr>
        <w:rPr/>
      </w:pPr>
      <w:bookmarkStart w:id="524" w:name="__RefHeading___Toc686544_3406789950"/>
      <w:bookmarkStart w:id="525" w:name="_Toc190"/>
      <w:bookmarkEnd w:id="524"/>
      <w:r>
        <w:rPr>
          <w:rtl w:val="true"/>
        </w:rPr>
        <w:t>اشارة</w:t>
      </w:r>
      <w:bookmarkEnd w:id="525"/>
    </w:p>
    <w:p>
      <w:pPr>
        <w:pStyle w:val="BookText"/>
        <w:rPr/>
      </w:pPr>
      <w:r>
        <w:rPr>
          <w:rFonts w:ascii="Amiri" w:hAnsi="Amiri" w:eastAsia="Amiri" w:cs="Amiri"/>
          <w:color w:val="111111"/>
          <w:sz w:val="28"/>
          <w:sz w:val="28"/>
          <w:szCs w:val="28"/>
          <w:rtl w:val="true"/>
          <w:lang w:bidi="ar-SA"/>
        </w:rPr>
        <w:t xml:space="preserve">وقد اختلفت كلمات الأصحاب اختلافاً كثيراً في هذا الفرع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فقيل باجتماعهما مطلقاً ،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العدد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الناصريات</w:t>
      </w:r>
      <w:r>
        <w:rPr>
          <w:rFonts w:eastAsia="Amiri" w:cs="Amiri" w:ascii="Amiri" w:hAnsi="Amiri"/>
          <w:color w:val="111111"/>
          <w:sz w:val="28"/>
          <w:szCs w:val="28"/>
          <w:rtl w:val="true"/>
          <w:lang w:bidi="ar-SA"/>
        </w:rPr>
        <w:t>»</w:t>
      </w:r>
      <w:r>
        <w:rPr>
          <w:rStyle w:val="FootnoteAnchor"/>
          <w:rtl w:val="true"/>
        </w:rPr>
        <w:footnoteReference w:id="867"/>
      </w:r>
      <w:r>
        <w:rPr>
          <w:rFonts w:ascii="Amiri" w:hAnsi="Amiri" w:eastAsia="Amiri" w:cs="Amiri"/>
          <w:color w:val="111111"/>
          <w:sz w:val="28"/>
          <w:sz w:val="28"/>
          <w:szCs w:val="28"/>
          <w:rtl w:val="true"/>
          <w:lang w:bidi="ar-SA"/>
        </w:rPr>
        <w:t>وعن كثير من كتب العلاّمة</w:t>
      </w:r>
      <w:r>
        <w:rPr>
          <w:rStyle w:val="FootnoteAnchor"/>
          <w:rtl w:val="true"/>
        </w:rPr>
        <w:footnoteReference w:id="868"/>
      </w:r>
      <w:r>
        <w:rPr>
          <w:rFonts w:ascii="Amiri" w:hAnsi="Amiri" w:eastAsia="Amiri" w:cs="Amiri"/>
          <w:color w:val="111111"/>
          <w:sz w:val="28"/>
          <w:sz w:val="28"/>
          <w:szCs w:val="28"/>
          <w:rtl w:val="true"/>
          <w:lang w:bidi="ar-SA"/>
        </w:rPr>
        <w:t>وعن الشهيد والمحقِّق الثاني وغيرهم</w:t>
      </w:r>
      <w:r>
        <w:rPr>
          <w:rStyle w:val="FootnoteAnchor"/>
          <w:rtl w:val="true"/>
        </w:rPr>
        <w:footnoteReference w:id="8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 نّه مذهب الأكثر</w:t>
      </w:r>
      <w:r>
        <w:rPr>
          <w:rFonts w:eastAsia="Amiri" w:cs="Amiri" w:ascii="Amiri" w:hAnsi="Amiri"/>
          <w:color w:val="111111"/>
          <w:sz w:val="28"/>
          <w:szCs w:val="28"/>
          <w:rtl w:val="true"/>
          <w:lang w:bidi="ar-SA"/>
        </w:rPr>
        <w:t>»</w:t>
      </w:r>
      <w:r>
        <w:rPr>
          <w:rStyle w:val="FootnoteAnchor"/>
          <w:rtl w:val="true"/>
        </w:rPr>
        <w:footnoteReference w:id="8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 نّه مذهب المشهور</w:t>
      </w:r>
      <w:r>
        <w:rPr>
          <w:rFonts w:eastAsia="IRNazanin" w:cs="IRNazanin"/>
          <w:color w:val="111111"/>
          <w:sz w:val="28"/>
          <w:szCs w:val="28"/>
          <w:rtl w:val="true"/>
          <w:lang w:bidi="fa-IR"/>
        </w:rPr>
        <w:t>»</w:t>
      </w:r>
      <w:r>
        <w:rPr>
          <w:rStyle w:val="FootnoteAnchor"/>
          <w:rtl w:val="true"/>
        </w:rPr>
        <w:footnoteReference w:id="871"/>
      </w:r>
      <w:r>
        <w:rPr>
          <w:rFonts w:ascii="Amiri" w:hAnsi="Amiri" w:eastAsia="Amiri" w:cs="Amiri"/>
          <w:color w:val="111111"/>
          <w:sz w:val="28"/>
          <w:sz w:val="28"/>
          <w:szCs w:val="28"/>
          <w:rtl w:val="true"/>
          <w:lang w:bidi="ar-SA"/>
        </w:rPr>
        <w:t xml:space="preserve">،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Style w:val="FootnoteAnchor"/>
          <w:rtl w:val="true"/>
        </w:rPr>
        <w:footnoteReference w:id="8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 نّه المشهور نقلاً وتحصيلاً</w:t>
      </w:r>
      <w:r>
        <w:rPr>
          <w:rFonts w:eastAsia="Amiri" w:cs="Amiri" w:ascii="Amiri" w:hAnsi="Amiri"/>
          <w:color w:val="111111"/>
          <w:sz w:val="28"/>
          <w:szCs w:val="28"/>
          <w:rtl w:val="true"/>
          <w:lang w:bidi="ar-SA"/>
        </w:rPr>
        <w:t>»</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وقيل بعدمه مطلقاً ، كما عن الكاتب</w:t>
      </w:r>
      <w:r>
        <w:rPr>
          <w:rStyle w:val="FootnoteAnchor"/>
          <w:rtl w:val="true"/>
        </w:rPr>
        <w:footnoteReference w:id="874"/>
      </w:r>
      <w:r>
        <w:rPr>
          <w:rFonts w:ascii="Amiri" w:hAnsi="Amiri" w:eastAsia="Amiri" w:cs="Amiri"/>
          <w:color w:val="111111"/>
          <w:sz w:val="28"/>
          <w:sz w:val="28"/>
          <w:szCs w:val="28"/>
          <w:rtl w:val="true"/>
          <w:lang w:bidi="ar-SA"/>
        </w:rPr>
        <w:t>والمفيد</w:t>
      </w:r>
      <w:r>
        <w:rPr>
          <w:rStyle w:val="FootnoteAnchor"/>
          <w:rtl w:val="true"/>
        </w:rPr>
        <w:footnoteReference w:id="875"/>
      </w:r>
      <w:r>
        <w:rPr>
          <w:rFonts w:ascii="Amiri" w:hAnsi="Amiri" w:eastAsia="Amiri" w:cs="Amiri"/>
          <w:color w:val="111111"/>
          <w:sz w:val="28"/>
          <w:sz w:val="28"/>
          <w:szCs w:val="28"/>
          <w:rtl w:val="true"/>
          <w:lang w:bidi="ar-SA"/>
        </w:rPr>
        <w:t>والحلّي العجلي</w:t>
      </w:r>
      <w:r>
        <w:rPr>
          <w:rStyle w:val="FootnoteAnchor"/>
          <w:rtl w:val="true"/>
        </w:rPr>
        <w:footnoteReference w:id="876"/>
      </w:r>
      <w:r>
        <w:rPr>
          <w:rFonts w:ascii="IRNazanin" w:hAnsi="IRNazanin" w:eastAsia="IRNazanin"/>
          <w:color w:val="111111"/>
          <w:sz w:val="28"/>
          <w:sz w:val="28"/>
          <w:szCs w:val="28"/>
          <w:rtl w:val="true"/>
          <w:lang w:bidi="fa-IR"/>
        </w:rPr>
        <w:t xml:space="preserve">وهو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Style w:val="FootnoteAnchor"/>
          <w:rtl w:val="true"/>
        </w:rPr>
        <w:footnoteReference w:id="877"/>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 نّه أشهر الروايات</w:t>
      </w:r>
      <w:r>
        <w:rPr>
          <w:rFonts w:eastAsia="Amiri" w:cs="Amiri" w:ascii="Amiri" w:hAnsi="Amiri"/>
          <w:color w:val="111111"/>
          <w:sz w:val="28"/>
          <w:szCs w:val="28"/>
          <w:rtl w:val="true"/>
          <w:lang w:bidi="ar-SA"/>
        </w:rPr>
        <w:t>»</w:t>
      </w:r>
      <w:r>
        <w:rPr>
          <w:rStyle w:val="FootnoteAnchor"/>
          <w:rtl w:val="true"/>
        </w:rPr>
        <w:footnoteReference w:id="878"/>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المفاتيح</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وادّعي تواتر الأخبار في ذلك</w:t>
      </w:r>
      <w:r>
        <w:rPr>
          <w:rFonts w:eastAsia="Amiri" w:cs="Amiri" w:ascii="Amiri" w:hAnsi="Amiri"/>
          <w:color w:val="111111"/>
          <w:sz w:val="28"/>
          <w:szCs w:val="28"/>
          <w:rtl w:val="true"/>
          <w:lang w:bidi="ar-SA"/>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أشهر الروايات أو الروايات المتواترة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الواردة في الأبواب المتفرّقة ، كما وردت في استبراء الجواري والسبايا </w:t>
      </w:r>
      <w:r>
        <w:rPr>
          <w:rStyle w:val="FootnoteAnchor"/>
          <w:rtl w:val="true"/>
        </w:rPr>
        <w:footnoteReference w:id="880"/>
      </w:r>
      <w:r>
        <w:rPr>
          <w:rFonts w:ascii="Amiri" w:hAnsi="Amiri" w:eastAsia="Amiri" w:cs="Amiri"/>
          <w:color w:val="111111"/>
          <w:sz w:val="28"/>
          <w:sz w:val="28"/>
          <w:szCs w:val="28"/>
          <w:rtl w:val="true"/>
          <w:lang w:bidi="ar-SA"/>
        </w:rPr>
        <w:t>وما وردت في جواز طلاق الحامل على كلّ حال</w:t>
      </w:r>
      <w:r>
        <w:rPr>
          <w:rStyle w:val="FootnoteAnchor"/>
          <w:rtl w:val="true"/>
        </w:rPr>
        <w:footnoteReference w:id="881"/>
      </w:r>
      <w:r>
        <w:rPr>
          <w:rFonts w:ascii="Amiri" w:hAnsi="Amiri" w:eastAsia="Amiri" w:cs="Amiri"/>
          <w:color w:val="111111"/>
          <w:sz w:val="28"/>
          <w:sz w:val="28"/>
          <w:szCs w:val="28"/>
          <w:rtl w:val="true"/>
          <w:lang w:bidi="ar-SA"/>
        </w:rPr>
        <w:t xml:space="preserve">وغيرها ممّا سيأتي الكلام فيها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بالتفصيل بين استبانة الحمل وعدمها ، فلا تحيض في الأوّل ،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883"/>
      </w:r>
      <w:r>
        <w:rPr>
          <w:rFonts w:ascii="Amiri" w:hAnsi="Amiri" w:eastAsia="Amiri" w:cs="Amiri"/>
          <w:color w:val="111111"/>
          <w:sz w:val="28"/>
          <w:sz w:val="28"/>
          <w:szCs w:val="28"/>
          <w:rtl w:val="true"/>
          <w:lang w:bidi="ar-SA"/>
        </w:rPr>
        <w:t xml:space="preserve">وعن الأوّل دعوى الإجماع عليه ، وجعل الخلاف فيما قبل الاستبانة </w:t>
      </w:r>
      <w:r>
        <w:rPr>
          <w:rFonts w:eastAsia="Amiri" w:cs="Amiri" w:ascii="Amiri" w:hAnsi="Amiri"/>
          <w:color w:val="111111"/>
          <w:sz w:val="28"/>
          <w:szCs w:val="28"/>
          <w:rtl w:val="true"/>
          <w:lang w:bidi="ar-SA"/>
        </w:rPr>
        <w:t xml:space="preserve">. </w:t>
      </w:r>
      <w:bookmarkStart w:id="526" w:name="pg15019_190858"/>
    </w:p>
    <w:p>
      <w:pPr>
        <w:pStyle w:val="BookText"/>
        <w:rPr/>
      </w:pPr>
      <w:bookmarkEnd w:id="526"/>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المتأخّر عن عادتها عشرين يوماً 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Style w:val="FootnoteAnchor"/>
          <w:rtl w:val="true"/>
        </w:rPr>
        <w:footnoteReference w:id="884"/>
      </w:r>
      <w:r>
        <w:rPr>
          <w:rFonts w:ascii="Amiri" w:hAnsi="Amiri" w:eastAsia="Amiri" w:cs="Amiri"/>
          <w:color w:val="111111"/>
          <w:sz w:val="28"/>
          <w:sz w:val="28"/>
          <w:szCs w:val="28"/>
          <w:rtl w:val="true"/>
          <w:lang w:bidi="ar-SA"/>
        </w:rPr>
        <w:t xml:space="preserve">، وعن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إليه</w:t>
      </w:r>
      <w:r>
        <w:rPr>
          <w:rStyle w:val="FootnoteAnchor"/>
          <w:rtl w:val="true"/>
        </w:rPr>
        <w:footnoteReference w:id="885"/>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تقويته</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إن رأت في أيّام عادتها واستمرّ ثلاثة أيّام فهو حيض</w:t>
      </w:r>
      <w:r>
        <w:rPr>
          <w:rFonts w:eastAsia="Amiri" w:cs="Amiri" w:ascii="Amiri" w:hAnsi="Amiri"/>
          <w:color w:val="111111"/>
          <w:sz w:val="28"/>
          <w:szCs w:val="28"/>
          <w:rtl w:val="true"/>
          <w:lang w:bidi="ar-SA"/>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بحيضية ما ترى في العادة وما تقدّمها وما ترى جامعاً للصفات ، وبعدم الحيضية في غيرهما </w:t>
      </w:r>
      <w:r>
        <w:rPr>
          <w:rStyle w:val="FootnoteAnchor"/>
          <w:rtl w:val="true"/>
        </w:rPr>
        <w:footnoteReference w:id="888"/>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غير ذلك</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فالمسألة ليست من المسائل التي يمكن فيها التمسّك بالشهرة والإجماع ، فلا بدّ من النظر في أدلّة القوم </w:t>
      </w:r>
      <w:r>
        <w:rPr>
          <w:rFonts w:eastAsia="Amiri" w:cs="Amiri" w:ascii="Amiri" w:hAnsi="Amiri"/>
          <w:color w:val="111111"/>
          <w:sz w:val="28"/>
          <w:szCs w:val="28"/>
          <w:rtl w:val="true"/>
          <w:lang w:bidi="ar-SA"/>
        </w:rPr>
        <w:t>:</w:t>
      </w:r>
    </w:p>
    <w:p>
      <w:pPr>
        <w:pStyle w:val="Heading6"/>
        <w:numPr>
          <w:ilvl w:val="5"/>
          <w:numId w:val="1"/>
        </w:numPr>
        <w:rPr/>
      </w:pPr>
      <w:bookmarkStart w:id="527" w:name="__RefHeading___Toc686546_3406789950"/>
      <w:bookmarkStart w:id="528" w:name="_Toc191"/>
      <w:bookmarkEnd w:id="527"/>
      <w:r>
        <w:rPr>
          <w:rtl w:val="true"/>
        </w:rPr>
        <w:t>أدلّة الاجتماع مطلقاً</w:t>
      </w:r>
      <w:bookmarkEnd w:id="528"/>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فتدلّ على الأوّل ؛ أي الاجتماع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الأصل في بعض الفروض والعمومات الدالّة على أنّ ما رأت في أيّام العادة حيض</w:t>
      </w:r>
      <w:r>
        <w:rPr>
          <w:rStyle w:val="FootnoteAnchor"/>
          <w:rtl w:val="true"/>
        </w:rPr>
        <w:footnoteReference w:id="890"/>
      </w:r>
      <w:r>
        <w:rPr>
          <w:rFonts w:ascii="Amiri" w:hAnsi="Amiri" w:eastAsia="Amiri" w:cs="Amiri"/>
          <w:color w:val="111111"/>
          <w:sz w:val="28"/>
          <w:sz w:val="28"/>
          <w:szCs w:val="28"/>
          <w:rtl w:val="true"/>
          <w:lang w:bidi="ar-SA"/>
        </w:rPr>
        <w:t xml:space="preserve">، وأدلّة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المستفيضة المعتبرة الإسناد والواضحة الدلالة ، مثل صحيحة عبداللّه بن </w:t>
      </w:r>
    </w:p>
    <w:p>
      <w:pPr>
        <w:pStyle w:val="BookText"/>
        <w:rPr/>
      </w:pPr>
      <w:r>
        <w:rPr>
          <w:rFonts w:ascii="IRNazanin" w:hAnsi="IRNazanin" w:eastAsia="IRNazanin"/>
          <w:color w:val="111111"/>
          <w:sz w:val="28"/>
          <w:sz w:val="28"/>
          <w:szCs w:val="28"/>
          <w:rtl w:val="true"/>
          <w:lang w:bidi="fa-IR"/>
        </w:rPr>
        <w:t xml:space="preserve">سنان عن 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سئل عن الحبلى ترى الدم ، أتترك الصلاة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 إنّ الحبلى ربّما قذفت بالدم</w:t>
      </w:r>
      <w:r>
        <w:rPr>
          <w:rFonts w:eastAsia="IRNazanin" w:cs="IRNazanin"/>
          <w:color w:val="111111"/>
          <w:sz w:val="28"/>
          <w:szCs w:val="28"/>
          <w:rtl w:val="true"/>
          <w:lang w:bidi="fa-IR"/>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وصحيحة صفوان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الرضا علیه السلام عن الحبلى ترى الدم ثلاثة أيّام أو أربعة أيّام ، تصلّي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تمسك عن الصلاة</w:t>
      </w:r>
      <w:r>
        <w:rPr>
          <w:rFonts w:eastAsia="Amiri" w:cs="Amiri" w:ascii="Amiri" w:hAnsi="Amiri"/>
          <w:color w:val="111111"/>
          <w:sz w:val="28"/>
          <w:szCs w:val="28"/>
          <w:rtl w:val="true"/>
          <w:lang w:bidi="ar-SA"/>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وصحيحة محمّد بن مسلم عن أحدهما 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الحبلى ، ترى 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كانت ترى أيّام حيضها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مستقيماً في كلّ شهر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تمسك عن الصلاة كما كانت تصنع في حيضها ، فإذا طهرت صلّت</w:t>
      </w:r>
      <w:r>
        <w:rPr>
          <w:rFonts w:eastAsia="Amiri" w:cs="Amiri" w:ascii="Amiri" w:hAnsi="Amiri"/>
          <w:color w:val="111111"/>
          <w:sz w:val="28"/>
          <w:szCs w:val="28"/>
          <w:rtl w:val="true"/>
          <w:lang w:bidi="ar-SA"/>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وصحيحة أبي بصير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الحبلى ترى الدم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 إنّه ربّما قذفت المرأة الدم وهي حبلى</w:t>
      </w:r>
      <w:r>
        <w:rPr>
          <w:rFonts w:eastAsia="Amiri" w:cs="Amiri" w:ascii="Amiri" w:hAnsi="Amiri"/>
          <w:color w:val="111111"/>
          <w:sz w:val="28"/>
          <w:szCs w:val="28"/>
          <w:rtl w:val="true"/>
          <w:lang w:bidi="ar-SA"/>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وصحيحة سليمان بن خالد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 الحبلى ربّما طمثت ؟ </w:t>
      </w:r>
      <w:bookmarkStart w:id="529" w:name="pg15019_190860"/>
    </w:p>
    <w:p>
      <w:pPr>
        <w:pStyle w:val="BookText"/>
        <w:rPr/>
      </w:pPr>
      <w:bookmarkEnd w:id="529"/>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 وذلك أنّ الولد في بطن اُمّه غذاؤه الدم ، فربّما كثر ففضل عنه ، فإذا فضل دفقته ، فإذا دفقته حرمت عليها الصلاة</w:t>
      </w:r>
      <w:r>
        <w:rPr>
          <w:rFonts w:eastAsia="Amiri" w:cs="Amiri" w:ascii="Amiri" w:hAnsi="Amiri"/>
          <w:color w:val="111111"/>
          <w:sz w:val="28"/>
          <w:szCs w:val="28"/>
          <w:rtl w:val="true"/>
          <w:lang w:bidi="ar-SA"/>
        </w:rPr>
        <w:t>»</w:t>
      </w:r>
      <w:r>
        <w:rPr>
          <w:rStyle w:val="FootnoteAnchor"/>
          <w:rtl w:val="true"/>
        </w:rPr>
        <w:footnoteReference w:id="895"/>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ممّا لا شبهة في دلالتها </w:t>
      </w:r>
      <w:r>
        <w:rPr>
          <w:rFonts w:eastAsia="Amiri" w:cs="Amiri" w:ascii="Amiri" w:hAnsi="Amiri"/>
          <w:color w:val="111111"/>
          <w:sz w:val="28"/>
          <w:szCs w:val="28"/>
          <w:rtl w:val="true"/>
          <w:lang w:bidi="ar-SA"/>
        </w:rPr>
        <w:t>.</w:t>
      </w:r>
    </w:p>
    <w:p>
      <w:pPr>
        <w:pStyle w:val="Heading6"/>
        <w:numPr>
          <w:ilvl w:val="5"/>
          <w:numId w:val="1"/>
        </w:numPr>
        <w:rPr/>
      </w:pPr>
      <w:bookmarkStart w:id="530" w:name="__RefHeading___Toc686548_3406789950"/>
      <w:bookmarkStart w:id="531" w:name="_Toc192"/>
      <w:bookmarkEnd w:id="530"/>
      <w:r>
        <w:rPr>
          <w:rtl w:val="true"/>
        </w:rPr>
        <w:t>أدلّة الاجتماع في الجملة</w:t>
      </w:r>
      <w:bookmarkEnd w:id="531"/>
    </w:p>
    <w:p>
      <w:pPr>
        <w:pStyle w:val="BookText"/>
        <w:rPr/>
      </w:pPr>
      <w:r>
        <w:rPr>
          <w:rFonts w:ascii="Amiri" w:hAnsi="Amiri" w:eastAsia="Amiri" w:cs="Amiri"/>
          <w:color w:val="111111"/>
          <w:sz w:val="28"/>
          <w:sz w:val="28"/>
          <w:szCs w:val="28"/>
          <w:rtl w:val="true"/>
          <w:lang w:bidi="ar-SA"/>
        </w:rPr>
        <w:t>وتدلّ على الاجتماع في الجملة جملة كثيرة من الروايات الاُخر ، كصحيحة ابن الحجّاج</w:t>
      </w:r>
      <w:r>
        <w:rPr>
          <w:rStyle w:val="FootnoteAnchor"/>
          <w:rtl w:val="true"/>
        </w:rPr>
        <w:footnoteReference w:id="896"/>
      </w:r>
      <w:r>
        <w:rPr>
          <w:rFonts w:ascii="Amiri" w:hAnsi="Amiri" w:eastAsia="Amiri" w:cs="Amiri"/>
          <w:color w:val="111111"/>
          <w:sz w:val="28"/>
          <w:sz w:val="28"/>
          <w:szCs w:val="28"/>
          <w:rtl w:val="true"/>
          <w:lang w:bidi="ar-SA"/>
        </w:rPr>
        <w:t>والحسين بن نعيم الصحّاف</w:t>
      </w:r>
      <w:r>
        <w:rPr>
          <w:rStyle w:val="FootnoteAnchor"/>
          <w:rtl w:val="true"/>
        </w:rPr>
        <w:footnoteReference w:id="897"/>
      </w:r>
      <w:r>
        <w:rPr>
          <w:rFonts w:ascii="Amiri" w:hAnsi="Amiri" w:eastAsia="Amiri" w:cs="Amiri"/>
          <w:color w:val="111111"/>
          <w:sz w:val="28"/>
          <w:sz w:val="28"/>
          <w:szCs w:val="28"/>
          <w:rtl w:val="true"/>
          <w:lang w:bidi="ar-SA"/>
        </w:rPr>
        <w:t>وأبي المغرا حُمَيد بن المثنّى</w:t>
      </w:r>
      <w:r>
        <w:rPr>
          <w:rStyle w:val="FootnoteAnchor"/>
          <w:rtl w:val="true"/>
        </w:rPr>
        <w:footnoteReference w:id="898"/>
      </w:r>
      <w:r>
        <w:rPr>
          <w:rFonts w:ascii="Amiri" w:hAnsi="Amiri" w:eastAsia="Amiri" w:cs="Amiri"/>
          <w:color w:val="111111"/>
          <w:sz w:val="28"/>
          <w:sz w:val="28"/>
          <w:szCs w:val="28"/>
          <w:rtl w:val="true"/>
          <w:lang w:bidi="ar-SA"/>
        </w:rPr>
        <w:t>وموثّقة إسحاق بن عمّار</w:t>
      </w:r>
      <w:r>
        <w:rPr>
          <w:rStyle w:val="FootnoteAnchor"/>
          <w:rtl w:val="true"/>
        </w:rPr>
        <w:footnoteReference w:id="899"/>
      </w:r>
      <w:r>
        <w:rPr>
          <w:rFonts w:ascii="Amiri" w:hAnsi="Amiri" w:eastAsia="Amiri" w:cs="Amiri"/>
          <w:color w:val="111111"/>
          <w:sz w:val="28"/>
          <w:sz w:val="28"/>
          <w:szCs w:val="28"/>
          <w:rtl w:val="true"/>
          <w:lang w:bidi="ar-SA"/>
        </w:rPr>
        <w:t xml:space="preserve">ممّا صرّحت بالجمع مع قيود سيأتي الكلام فيها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32" w:name="__RefHeading___Toc686550_3406789950"/>
      <w:bookmarkStart w:id="533" w:name="_Toc193"/>
      <w:bookmarkEnd w:id="532"/>
      <w:r>
        <w:rPr>
          <w:rtl w:val="true"/>
        </w:rPr>
        <w:t>أدلّة عدم الاجتماع مطلقاً</w:t>
      </w:r>
      <w:bookmarkEnd w:id="533"/>
    </w:p>
    <w:p>
      <w:pPr>
        <w:pStyle w:val="BookText"/>
        <w:rPr/>
      </w:pPr>
      <w:r>
        <w:rPr>
          <w:rFonts w:ascii="Amiri" w:hAnsi="Amiri" w:eastAsia="Amiri" w:cs="Amiri"/>
          <w:color w:val="111111"/>
          <w:sz w:val="28"/>
          <w:sz w:val="28"/>
          <w:szCs w:val="28"/>
          <w:rtl w:val="true"/>
          <w:lang w:bidi="ar-SA"/>
        </w:rPr>
        <w:t xml:space="preserve">واستدلّ على النفي مطلقاً بطوائف من الروايات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هذا الباب ، وعمدتها قويّة السكوني عن جعفر ، عن أبيه علیهما السلام أ 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اللّه ليجعل حيضاً مع حَبَلٍ ؛ يعني إذا رأت الدم وهي حامل لا تدع الصلاة ، إلاّ أن ترى على رأس الولد ، إذا ضربها الطلق </w:t>
      </w:r>
    </w:p>
    <w:p>
      <w:pPr>
        <w:pStyle w:val="BookText"/>
        <w:rPr/>
      </w:pPr>
      <w:r>
        <w:rPr>
          <w:rFonts w:ascii="Amiri" w:hAnsi="Amiri" w:eastAsia="Amiri" w:cs="Amiri"/>
          <w:color w:val="111111"/>
          <w:sz w:val="28"/>
          <w:sz w:val="28"/>
          <w:szCs w:val="28"/>
          <w:rtl w:val="true"/>
          <w:lang w:bidi="ar-SA"/>
        </w:rPr>
        <w:t>ورأت الدم تركت الصلاة</w:t>
      </w:r>
      <w:r>
        <w:rPr>
          <w:rFonts w:eastAsia="Amiri" w:cs="Amiri" w:ascii="Amiri" w:hAnsi="Amiri"/>
          <w:color w:val="111111"/>
          <w:sz w:val="28"/>
          <w:szCs w:val="28"/>
          <w:rtl w:val="true"/>
          <w:lang w:bidi="ar-SA"/>
        </w:rPr>
        <w:t>»</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يعلم أنّ التفسير لأبي جعفر علیه السلام أو لأبي عبداللّه علیه السلام أو للسكوني ، ومع الاحتمال وعدم الدليل على كونه للإمام علیه السلام لا يمكن التمسّك بالتفسير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قطع النظر عنه يمكن الخدشة فيما نقل عن النبي صلی الله علیه و 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هذا التعبير ممّا يستشمّ منه الطفرة عن بيان الحكم ؛ فإنّ لمثل هذا التعبير مقاماً خاصّاً ، ولا يناسب عدم اجتماع الحمل والحيض ، فإنّ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اللّه ليفعل كذا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يناسب مورداً يكون صدور الفعل خلاف شأن الفاعل أو المفعول به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لِيُعَذِّبَهُمْ وَأَنْتَ فِيهِمْ وَمَا كَانَ اللّه‌ُ مُعَذِّبَهُمْ وَهُمْ يَسْتَغْفِرُونَ</w:t>
      </w:r>
      <w:r>
        <w:rPr>
          <w:rFonts w:eastAsia="Amiri" w:cs="Amiri" w:ascii="Amiri" w:hAnsi="Amiri"/>
          <w:color w:val="111111"/>
          <w:sz w:val="28"/>
          <w:szCs w:val="28"/>
          <w:rtl w:val="true"/>
          <w:lang w:bidi="ar-SA"/>
        </w:rPr>
        <w:t>(</w:t>
      </w:r>
      <w:r>
        <w:rPr>
          <w:rStyle w:val="FootnoteAnchor"/>
          <w:rtl w:val="true"/>
        </w:rPr>
        <w:footnoteReference w:id="9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اللّه‌ُ لِيَذَرَ الْمُؤْمِنِينَ عَلى مَا أَنْتُمْ عَلَيْهِ حَتَّى يَمِيزَ الْخَبِيثَ مِنَ الطَّيِّبِ وَمَا كَانَ اللّه‌ُ لِيُطْلِعَكُمْ عَلَى الْغَيْبِ وَلَكِنَّ اللّه‌َ يَجْتَبِى مِنْ رُسُلِهِ مَنْ يَشَاءُ</w:t>
      </w:r>
      <w:r>
        <w:rPr>
          <w:rFonts w:eastAsia="Amiri" w:cs="Amiri" w:ascii="Amiri" w:hAnsi="Amiri"/>
          <w:color w:val="111111"/>
          <w:sz w:val="28"/>
          <w:szCs w:val="28"/>
          <w:rtl w:val="true"/>
          <w:lang w:bidi="ar-SA"/>
        </w:rPr>
        <w:t>(</w:t>
      </w:r>
      <w:r>
        <w:rPr>
          <w:rStyle w:val="FootnoteAnchor"/>
          <w:rtl w:val="true"/>
        </w:rPr>
        <w:footnoteReference w:id="9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الْمُؤْمِنُونَ لِيَنْفِرُوا كافَّةً</w:t>
      </w:r>
      <w:r>
        <w:rPr>
          <w:rFonts w:eastAsia="Amiri" w:cs="Amiri" w:ascii="Amiri" w:hAnsi="Amiri"/>
          <w:color w:val="111111"/>
          <w:sz w:val="28"/>
          <w:szCs w:val="28"/>
          <w:rtl w:val="true"/>
          <w:lang w:bidi="ar-SA"/>
        </w:rPr>
        <w:t>(</w:t>
      </w:r>
      <w:r>
        <w:rPr>
          <w:rStyle w:val="FootnoteAnchor"/>
          <w:rtl w:val="true"/>
        </w:rPr>
        <w:footnoteReference w:id="904"/>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ممّا هو على هذا الاُسلوب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ومعلوم أنّ اجتماع الحيض والحمل ليس كذلك ؛ لا تكويناً ولا تشريعاً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الرواية بصدد بيان التشريع ، وإلاّ فلا شبهة بحسب التكوين في اجتماع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المعهود قذفه من طبيعة الأرحام في بعض الأوقات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الحمل ، </w:t>
      </w:r>
    </w:p>
    <w:p>
      <w:pPr>
        <w:pStyle w:val="BookText"/>
        <w:rPr/>
      </w:pPr>
      <w:r>
        <w:rPr>
          <w:rFonts w:ascii="Amiri" w:hAnsi="Amiri" w:eastAsia="Amiri" w:cs="Amiri"/>
          <w:color w:val="111111"/>
          <w:sz w:val="28"/>
          <w:sz w:val="28"/>
          <w:szCs w:val="28"/>
          <w:rtl w:val="true"/>
          <w:lang w:bidi="ar-SA"/>
        </w:rPr>
        <w:t>كما أشار إليه بعض الروايات المتقدّمة ، فحينئذٍ أيّ محذور في جعل الحكم على</w:t>
      </w:r>
    </w:p>
    <w:p>
      <w:pPr>
        <w:pStyle w:val="BookText"/>
        <w:rPr/>
      </w:pPr>
      <w:r>
        <w:rPr>
          <w:rFonts w:ascii="Amiri" w:hAnsi="Amiri" w:eastAsia="Amiri" w:cs="Amiri"/>
          <w:color w:val="111111"/>
          <w:sz w:val="28"/>
          <w:sz w:val="28"/>
          <w:szCs w:val="28"/>
          <w:rtl w:val="true"/>
          <w:lang w:bidi="ar-SA"/>
        </w:rPr>
        <w:t xml:space="preserve">الدم المقذوف في حال الحمل حتّى يستحقّ هذا التعبير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فلإمكان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قوله هذا هو نفي التلازم بين</w:t>
      </w:r>
    </w:p>
    <w:p>
      <w:pPr>
        <w:pStyle w:val="BookText"/>
        <w:rPr/>
      </w:pPr>
      <w:r>
        <w:rPr>
          <w:rFonts w:ascii="Amiri" w:hAnsi="Amiri" w:eastAsia="Amiri" w:cs="Amiri"/>
          <w:color w:val="111111"/>
          <w:sz w:val="28"/>
          <w:sz w:val="28"/>
          <w:szCs w:val="28"/>
          <w:rtl w:val="true"/>
          <w:lang w:bidi="ar-SA"/>
        </w:rPr>
        <w:t xml:space="preserve">حيض وحمل ، 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اللّه ليجعل حيضاً مع 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كان اللّه ليجعل المعية والملازمة بينهما ، بل قد يفترقان وقد يجتمعان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التوجيه وإن كان مخالفاً لفهم العرف بدءاً ، لكن في مقام الجمع بينها وبين ما صرّح بالقذف في بعض الأحيان ، لا يكون بذلك البعد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أبيت عنه فلا محيص من ردّ علمها إلى أهله ؛ بعد عدم مقاومتها سنداً ودلالةً لما تقدّم ، وبعد كونها موافقة لأشهر فتاوى العامّة</w:t>
      </w:r>
      <w:r>
        <w:rPr>
          <w:rStyle w:val="FootnoteAnchor"/>
          <w:rtl w:val="true"/>
        </w:rPr>
        <w:footnoteReference w:id="905"/>
      </w:r>
      <w:r>
        <w:rPr>
          <w:rFonts w:ascii="Amiri" w:hAnsi="Amiri" w:eastAsia="Amiri" w:cs="Amiri"/>
          <w:color w:val="111111"/>
          <w:sz w:val="28"/>
          <w:sz w:val="28"/>
          <w:szCs w:val="28"/>
          <w:rtl w:val="true"/>
          <w:lang w:bidi="ar-SA"/>
        </w:rPr>
        <w:t xml:space="preserve">وكون الراوي عامّياً </w:t>
      </w:r>
      <w:r>
        <w:rPr>
          <w:rStyle w:val="FootnoteAnchor"/>
          <w:rtl w:val="true"/>
        </w:rPr>
        <w:footnoteReference w:id="9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بعض الكلام في الرواية في باب النفاس</w:t>
      </w:r>
      <w:r>
        <w:rPr>
          <w:rStyle w:val="FootnoteAnchor"/>
          <w:rtl w:val="true"/>
        </w:rPr>
        <w:footnoteReference w:id="907"/>
      </w:r>
      <w:r>
        <w:rPr>
          <w:rFonts w:ascii="IRNazanin" w:hAnsi="IRNazanin" w:eastAsia="IRNazanin"/>
          <w:color w:val="111111"/>
          <w:sz w:val="28"/>
          <w:sz w:val="28"/>
          <w:szCs w:val="28"/>
          <w:rtl w:val="true"/>
          <w:lang w:bidi="fa-IR"/>
        </w:rPr>
        <w:t xml:space="preserve">، فراجع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صحيحة حُمَيد بن المثنّى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الأوّل علیه السلام عن الحبلى ترى الدفقة والدفقتين من الدم في الأيّام وفي الشهر والشهرين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تلك الهِراقة ليس تمسك هذه عن الصلاة</w:t>
      </w:r>
      <w:r>
        <w:rPr>
          <w:rFonts w:eastAsia="IRNazanin" w:cs="IRNazanin"/>
          <w:color w:val="111111"/>
          <w:sz w:val="28"/>
          <w:szCs w:val="28"/>
          <w:rtl w:val="true"/>
          <w:lang w:bidi="fa-IR"/>
        </w:rPr>
        <w:t>»</w:t>
      </w:r>
      <w:r>
        <w:rPr>
          <w:rStyle w:val="FootnoteAnchor"/>
          <w:rtl w:val="true"/>
        </w:rPr>
        <w:footnoteReference w:id="9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ربط لها بالمقام ؛ فإنّ عدم الإمساك عنها لأجل عدم حصول شرط الحيض ، فغير الحبلى أيضاً كذلك ، لكنّ السائل لمّا سأل عن الحبلى أجاب عنها ، ولو سأله عن غيرها أيضاً كان الحكم عدم الإمساك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وكذا رواية مُقَرِّن الفتياني عن أبي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 سلمان علياً علیه السلام عن رزق الولد في بطن اُمّه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حبس عليه الحيضة ، فجعلها رزقه في بطن اُمّه</w:t>
      </w:r>
      <w:r>
        <w:rPr>
          <w:rFonts w:eastAsia="IRNazanin" w:cs="IRNazanin"/>
          <w:color w:val="111111"/>
          <w:sz w:val="28"/>
          <w:szCs w:val="28"/>
          <w:rtl w:val="true"/>
          <w:lang w:bidi="fa-IR"/>
        </w:rPr>
        <w:t>»</w:t>
      </w:r>
      <w:r>
        <w:rPr>
          <w:rStyle w:val="FootnoteAnchor"/>
          <w:rtl w:val="true"/>
        </w:rPr>
        <w:footnoteReference w:id="909"/>
      </w:r>
      <w:r>
        <w:rPr>
          <w:rFonts w:ascii="Amiri" w:hAnsi="Amiri" w:eastAsia="Amiri" w:cs="Amiri"/>
          <w:color w:val="111111"/>
          <w:sz w:val="28"/>
          <w:sz w:val="28"/>
          <w:szCs w:val="28"/>
          <w:rtl w:val="true"/>
          <w:lang w:bidi="ar-SA"/>
        </w:rPr>
        <w:t xml:space="preserve">فإنّها لا تدلّ على عدم الاجتماع ، بل هو إخبار عن الواقع ، ويكفي في صحّته احتباسها نوعاً أو احتباس مقدار منها ، كما في بعض 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التمسّك</w:t>
      </w:r>
      <w:r>
        <w:rPr>
          <w:rStyle w:val="FootnoteAnchor"/>
          <w:rtl w:val="true"/>
        </w:rPr>
        <w:footnoteReference w:id="910"/>
      </w:r>
      <w:r>
        <w:rPr>
          <w:rFonts w:ascii="Amiri" w:hAnsi="Amiri" w:eastAsia="Amiri" w:cs="Amiri"/>
          <w:color w:val="111111"/>
          <w:sz w:val="28"/>
          <w:sz w:val="28"/>
          <w:szCs w:val="28"/>
          <w:rtl w:val="true"/>
          <w:lang w:bidi="ar-SA"/>
        </w:rPr>
        <w:t>بروايات صحّة طلاق الحبلى</w:t>
      </w:r>
      <w:r>
        <w:rPr>
          <w:rStyle w:val="FootnoteAnchor"/>
          <w:rtl w:val="true"/>
        </w:rPr>
        <w:footnoteReference w:id="911"/>
      </w:r>
      <w:r>
        <w:rPr>
          <w:rFonts w:ascii="Amiri" w:hAnsi="Amiri" w:eastAsia="Amiri" w:cs="Amiri"/>
          <w:color w:val="111111"/>
          <w:sz w:val="28"/>
          <w:sz w:val="28"/>
          <w:szCs w:val="28"/>
          <w:rtl w:val="true"/>
          <w:lang w:bidi="ar-SA"/>
        </w:rPr>
        <w:t xml:space="preserve">مع الإجماع على عدم صحّة طلاق الحائض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الإجماع في الحامل ممنوع ، فلا تدلّ تلك الروايات على عدم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في تلك الروايات صحّة طلاق الغائب وغير المدخول بها ، فتكون تلك الروايات مخصّصة لأدلّة اعتبار الطهر في الطلاق</w:t>
      </w:r>
      <w:r>
        <w:rPr>
          <w:rStyle w:val="FootnoteAnchor"/>
          <w:rtl w:val="true"/>
        </w:rPr>
        <w:footnoteReference w:id="912"/>
      </w:r>
      <w:r>
        <w:rPr>
          <w:rFonts w:ascii="Amiri" w:hAnsi="Amiri" w:eastAsia="Amiri" w:cs="Amiri"/>
          <w:color w:val="111111"/>
          <w:sz w:val="28"/>
          <w:sz w:val="28"/>
          <w:szCs w:val="28"/>
          <w:rtl w:val="true"/>
          <w:lang w:bidi="ar-SA"/>
        </w:rPr>
        <w:t xml:space="preserve">، بل حاكمة عليها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روايات الاستبراء بحيضة</w:t>
      </w:r>
      <w:r>
        <w:rPr>
          <w:rStyle w:val="FootnoteAnchor"/>
          <w:rtl w:val="true"/>
        </w:rPr>
        <w:footnoteReference w:id="913"/>
      </w:r>
      <w:r>
        <w:rPr>
          <w:rFonts w:ascii="Amiri" w:hAnsi="Amiri" w:eastAsia="Amiri" w:cs="Amiri"/>
          <w:color w:val="111111"/>
          <w:sz w:val="28"/>
          <w:sz w:val="28"/>
          <w:szCs w:val="28"/>
          <w:rtl w:val="true"/>
          <w:lang w:bidi="ar-SA"/>
        </w:rPr>
        <w:t xml:space="preserve">فهي أيضاً غير دالّة على عدم الاجتماع مطلقاً ؛ فإنّ الاجتماع إنّما يكون في بعض الأحيان ، كما أشار إليه بعض الروايات </w:t>
      </w:r>
    </w:p>
    <w:p>
      <w:pPr>
        <w:pStyle w:val="BookText"/>
        <w:rPr/>
      </w:pPr>
      <w:r>
        <w:rPr>
          <w:rFonts w:ascii="Amiri" w:hAnsi="Amiri" w:eastAsia="Amiri" w:cs="Amiri"/>
          <w:color w:val="111111"/>
          <w:sz w:val="28"/>
          <w:sz w:val="28"/>
          <w:szCs w:val="28"/>
          <w:rtl w:val="true"/>
          <w:lang w:bidi="ar-SA"/>
        </w:rPr>
        <w:t xml:space="preserve">المتقدّمة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قذفت بالدم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فربّما فضل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غذاء الطفل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فدفقته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إلى غير ذلك ، فحينئذٍ يكون الاستبراء بحيضة أمارةً على عدم الحمل ؛ لنُدرة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جَعْلُ العدّة لأجل استبراء الأرحام ثلاث حِيَض أو حيضتين</w:t>
      </w:r>
      <w:r>
        <w:rPr>
          <w:rStyle w:val="FootnoteAnchor"/>
          <w:rtl w:val="true"/>
        </w:rPr>
        <w:footnoteReference w:id="914"/>
      </w:r>
      <w:r>
        <w:rPr>
          <w:rFonts w:ascii="Amiri" w:hAnsi="Amiri" w:eastAsia="Amiri" w:cs="Amiri"/>
          <w:color w:val="111111"/>
          <w:sz w:val="28"/>
          <w:sz w:val="28"/>
          <w:szCs w:val="28"/>
          <w:rtl w:val="true"/>
          <w:lang w:bidi="ar-SA"/>
        </w:rPr>
        <w:t xml:space="preserve">دليلٌ على جواز الاجتماع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هناك روايات اُخر ربّما تشعر بعدم الاجتماع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محمّد بن حكيم المنقولة في أبواب العدد ، عن العبد الصالح علیه السلام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الشابّة التي تحيض مثلها ، يطلّقها زوجها ، فيرتفع طَمْثها ، ما عدّتها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أشهر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تزوّجت بعد ثلاثة أشهر ، فتبيّن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دخلت على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نّها حامل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هيهات من ذلك يابن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الطمث ضربان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فساد من حيضة ، فقد حلّ لها الأزواج ، وليس بحامل ، وإمّا حامل ، فهو يستبين في ثلاثة أشهر</w:t>
      </w:r>
      <w:r>
        <w:rPr>
          <w:rFonts w:eastAsia="Amiri" w:cs="Amiri" w:ascii="Amiri" w:hAnsi="Amiri"/>
          <w:color w:val="111111"/>
          <w:sz w:val="28"/>
          <w:szCs w:val="28"/>
          <w:rtl w:val="true"/>
          <w:lang w:bidi="ar-SA"/>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روايته الاُخرى عن أبي عبداللّه أو أبي الحسن 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طلّق امرأته ، فلمّا مضت ثلاثة أشهر ادّعت حبلاً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يرتفع الطمث من ضربين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حبل بيّن ، وإمّا فساد من الطمث</w:t>
      </w:r>
      <w:r>
        <w:rPr>
          <w:rFonts w:eastAsia="IRNazanin" w:cs="IRNazanin"/>
          <w:color w:val="111111"/>
          <w:sz w:val="28"/>
          <w:szCs w:val="28"/>
          <w:rtl w:val="true"/>
          <w:lang w:bidi="fa-IR"/>
        </w:rPr>
        <w: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 xml:space="preserve">. </w:t>
      </w:r>
      <w:bookmarkStart w:id="534" w:name="pg15019_190865"/>
    </w:p>
    <w:p>
      <w:pPr>
        <w:pStyle w:val="BookText"/>
        <w:rPr/>
      </w:pPr>
      <w:bookmarkEnd w:id="534"/>
      <w:r>
        <w:rPr>
          <w:rFonts w:ascii="IRNazanin" w:hAnsi="IRNazanin" w:eastAsia="IRNazanin"/>
          <w:color w:val="111111"/>
          <w:sz w:val="28"/>
          <w:sz w:val="28"/>
          <w:szCs w:val="28"/>
          <w:rtl w:val="true"/>
          <w:lang w:bidi="fa-IR"/>
        </w:rPr>
        <w:t xml:space="preserve">وفي رواية رِفاعة المنقولة في أبواب نكاح العبيد والإماء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موسى 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الطمث تحبسه الريح من غير حبل</w:t>
      </w:r>
      <w:r>
        <w:rPr>
          <w:rFonts w:eastAsia="IRNazanin" w:cs="IRNazanin"/>
          <w:color w:val="111111"/>
          <w:sz w:val="28"/>
          <w:szCs w:val="28"/>
          <w:rtl w:val="true"/>
          <w:lang w:bidi="fa-IR"/>
        </w:rPr>
        <w:t>»</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رواية عبداللّه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عبداللّه علیه السلام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اشتريت جارية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أقبل عليَّ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الرجل يأتي جاريته فتعلق منه ، ثمّ ترى الدم وهي حبلى ، فيرى أنّ ذلك طمث فيبيعها ، فما اُحبّ للرجل المسلم أن يأتي الجارية حبلى</w:t>
      </w:r>
      <w:r>
        <w:rPr>
          <w:rFonts w:eastAsia="IRNazanin" w:cs="IRNazanin"/>
          <w:color w:val="111111"/>
          <w:sz w:val="28"/>
          <w:szCs w:val="28"/>
          <w:rtl w:val="true"/>
          <w:lang w:bidi="fa-IR"/>
        </w:rPr>
        <w:t>»</w:t>
      </w:r>
      <w:r>
        <w:rPr>
          <w:rStyle w:val="FootnoteAnchor"/>
          <w:rtl w:val="true"/>
        </w:rPr>
        <w:footnoteReference w:id="918"/>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w:t>
      </w:r>
    </w:p>
    <w:p>
      <w:pPr>
        <w:pStyle w:val="Heading6"/>
        <w:numPr>
          <w:ilvl w:val="5"/>
          <w:numId w:val="1"/>
        </w:numPr>
        <w:rPr/>
      </w:pPr>
      <w:bookmarkStart w:id="535" w:name="__RefHeading___Toc686552_3406789950"/>
      <w:bookmarkStart w:id="536" w:name="_Toc194"/>
      <w:bookmarkEnd w:id="535"/>
      <w:r>
        <w:rPr>
          <w:rtl w:val="true"/>
        </w:rPr>
        <w:t>وجه الجمع بين ما دلّت على الاجتماع وما دلّت على عدمه مع قطع النظر عن صحيحة الصحّاف</w:t>
      </w:r>
      <w:bookmarkEnd w:id="536"/>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الروايات وإن كانت تشعر أو يدلّ بعضها على عدم الاجتماع ، لكنّ الجمع بينها وبين الروايات المتقدّمة الصريحة في اجتماعهما ، يقتضي حمل هذه على رفع الحيض بالحمل نوعاً ، وأنّ وقوعه في أيّام الحيض نادر ، فيصحّ أن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يرتفع طمثها ، وأنّ ارتفاعه قد يكون بالحمل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من التعبيرات ، فلا ينافي ذلك قذف الرحم في بعض الأحيان ، كما في الروايات المتقدّمة من أ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قذفت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كثر ففضل عنه ، فإذا فضل دفقته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p>
    <w:p>
      <w:pPr>
        <w:pStyle w:val="BookText"/>
        <w:rPr/>
      </w:pPr>
      <w:r>
        <w:rPr>
          <w:rFonts w:ascii="Amiri" w:hAnsi="Amiri" w:eastAsia="Amiri" w:cs="Amiri"/>
          <w:color w:val="111111"/>
          <w:sz w:val="28"/>
          <w:sz w:val="28"/>
          <w:szCs w:val="28"/>
          <w:rtl w:val="true"/>
          <w:lang w:bidi="ar-SA"/>
        </w:rPr>
        <w:t xml:space="preserve">جمع عقلائي بين الطائفتين ، ولا إشكال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بعد ما قلنا بالجمع في الجملة ، فالأرج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في الجمع بين روايات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قطع النظر عن صحيحة الصحّاف</w:t>
      </w:r>
      <w:r>
        <w:rPr>
          <w:rStyle w:val="FootnoteAnchor"/>
          <w:rtl w:val="true"/>
        </w:rPr>
        <w:footnoteReference w:id="9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الحكم بالتحيّض إذا رأت في أيّام العادة ؛ دماً كان أو صفرة أو كدرة ، والتحيّض بالصفات في غيرها ، والحكم بالاستحاضة مع الاتّصاف بصفاتها ؛ وذلك لأنّ الروايات على طوائف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دلّت على وجوب ترك الحبلى الصلاة إذا رأت الدم ، كصحيحة عبداللّه بن سنان وصحيحة صفوان</w:t>
      </w:r>
      <w:r>
        <w:rPr>
          <w:rStyle w:val="FootnoteAnchor"/>
          <w:rtl w:val="true"/>
        </w:rPr>
        <w:footnoteReference w:id="920"/>
      </w:r>
      <w:r>
        <w:rPr>
          <w:rFonts w:ascii="Amiri" w:hAnsi="Amiri" w:eastAsia="Amiri" w:cs="Amiri"/>
          <w:color w:val="111111"/>
          <w:sz w:val="28"/>
          <w:sz w:val="28"/>
          <w:szCs w:val="28"/>
          <w:rtl w:val="true"/>
          <w:lang w:bidi="ar-SA"/>
        </w:rPr>
        <w:t>ومرسلة حريز</w:t>
      </w:r>
      <w:r>
        <w:rPr>
          <w:rStyle w:val="FootnoteAnchor"/>
          <w:rtl w:val="true"/>
        </w:rPr>
        <w:footnoteReference w:id="921"/>
      </w:r>
      <w:r>
        <w:rPr>
          <w:rFonts w:ascii="Amiri" w:hAnsi="Amiri" w:eastAsia="Amiri" w:cs="Amiri"/>
          <w:color w:val="111111"/>
          <w:sz w:val="28"/>
          <w:sz w:val="28"/>
          <w:szCs w:val="28"/>
          <w:rtl w:val="true"/>
          <w:lang w:bidi="ar-SA"/>
        </w:rPr>
        <w:t>وصحيحتي أبي بصير وسليمان بن خالد</w:t>
      </w:r>
      <w:r>
        <w:rPr>
          <w:rStyle w:val="FootnoteAnchor"/>
          <w:rtl w:val="true"/>
        </w:rPr>
        <w:footnoteReference w:id="922"/>
      </w:r>
      <w:r>
        <w:rPr>
          <w:rFonts w:ascii="Amiri" w:hAnsi="Amiri" w:eastAsia="Amiri" w:cs="Amiri"/>
          <w:color w:val="111111"/>
          <w:sz w:val="28"/>
          <w:sz w:val="28"/>
          <w:szCs w:val="28"/>
          <w:rtl w:val="true"/>
          <w:lang w:bidi="ar-SA"/>
        </w:rPr>
        <w:t>ورواية رُزَيق بن الزبير</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وغالب هذه الروايات ليس في مقام بيان أنّ الدم في زمان الحبل حيض ، بل لها إهمال من هذه الجهة ، وإنّما هي بصدد بيان أنّ الحبل يجتمع مع الحيض ، ولمّا كان القول بامتناع الاجتماع معروفاً وموافقاً لفتوى أكثر فقهاء العامّة وأشهر مذاهبهم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حكي</w:t>
      </w:r>
      <w:r>
        <w:rPr>
          <w:rStyle w:val="FootnoteAnchor"/>
          <w:rtl w:val="true"/>
        </w:rPr>
        <w:footnoteReference w:id="9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الأسئلة والأجوبة في مقام التعرّض لهم والردّ </w:t>
      </w:r>
    </w:p>
    <w:p>
      <w:pPr>
        <w:pStyle w:val="BookText"/>
        <w:rPr/>
      </w:pPr>
      <w:r>
        <w:rPr>
          <w:rFonts w:ascii="Amiri" w:hAnsi="Amiri" w:eastAsia="Amiri" w:cs="Amiri"/>
          <w:color w:val="111111"/>
          <w:sz w:val="28"/>
          <w:sz w:val="28"/>
          <w:szCs w:val="28"/>
          <w:rtl w:val="true"/>
          <w:lang w:bidi="ar-SA"/>
        </w:rPr>
        <w:t xml:space="preserve">عليهم وبيان نكتة قذف الحبلى الدم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كثر ففضل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غذاء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فدفقته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وكقوله في صحيحة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الحبلى ترى الدم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 إنّه ربّما قذفت المرأة الدم وهي حبلى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مع ذلك استفادة الإطلاق من غيرها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كصحيحة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يوهم الإطلاق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فرض إطلاق فيها أو في بعض آخر فلا إشكال في عدم الإطلاق في غالبها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والإطلاق في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يرفع اليد عنه بما دلّت على الرجوع إلى الصفات ، فيقيّد إطلاقها بما دلّ على أ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دماً كثيراً فلا تصلّي ، وإن كان قليلاً فلتغتسل عند كلّ صلاتين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دماً أحمر كثيراً فلا تصلّي ، وإن كان قليلاً أصفر فليس عليها إلاّ الوضوء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وهذه هي الطائفة الثانية المقيّدة للاُولى على فرض إطلاقها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والطائفة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تعرّضت لأيّام العادة ، كصحيحة عبد الرحمان بن الحجّاج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الحبلى ترى الدم وهي حامل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كانت ترى قبل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شهر ، هل تترك الصلاة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تترك الصلاة إذا دام</w:t>
      </w:r>
      <w:r>
        <w:rPr>
          <w:rFonts w:eastAsia="IRNazanin" w:cs="IRNazanin"/>
          <w:color w:val="111111"/>
          <w:sz w:val="28"/>
          <w:szCs w:val="28"/>
          <w:rtl w:val="true"/>
          <w:lang w:bidi="fa-IR"/>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منها هو السؤال عن ذات العادة ؛ وإن كان لاحتمال الأعمّ أيضاً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تترك الصلاة إذا 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المراد منه إلاّ الدوام إلى زمان حضور </w:t>
      </w:r>
    </w:p>
    <w:p>
      <w:pPr>
        <w:pStyle w:val="BookText"/>
        <w:rPr/>
      </w:pPr>
      <w:r>
        <w:rPr>
          <w:rFonts w:ascii="Amiri" w:hAnsi="Amiri" w:eastAsia="Amiri" w:cs="Amiri"/>
          <w:color w:val="111111"/>
          <w:sz w:val="28"/>
          <w:sz w:val="28"/>
          <w:szCs w:val="28"/>
          <w:rtl w:val="true"/>
          <w:lang w:bidi="ar-SA"/>
        </w:rPr>
        <w:t xml:space="preserve">الصلاة في مقابل الدفقة والدفقتين ، لا الدوام إلى ثلاثة أيّام ، كما قد يتوهّم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وكصحيحة محمّد بن مسلم عن أحدهما 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الحبلى ترى 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كانت ترى أيّام حيضها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مستقيماً في كلّ شهر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تمسك عن الصلاة كما كانت تصنع في حيضها ، فإذا طهرت صلّت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وهي تدلّ على أنّ الحبلى وغيرها سواء ؛ إذا رأت الدم في أيّام حيضها فسبيلها سبيل غيرها ، وغاية ترك الصلاة هي الطهر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وموثّقة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امرأة رأت الدم في الحبل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تقعد أيّامها التي كانت تحيض ، فإذا زاد الدم على الأيّام التي كانت تقعد استظهرت بثلاثة أيّام ، ثمّ هي مستحاضة</w:t>
      </w:r>
      <w:r>
        <w:rPr>
          <w:rFonts w:eastAsia="Amiri" w:cs="Amiri" w:ascii="Amiri" w:hAnsi="Amiri"/>
          <w:color w:val="111111"/>
          <w:sz w:val="28"/>
          <w:szCs w:val="28"/>
          <w:rtl w:val="true"/>
          <w:lang w:bidi="ar-SA"/>
        </w:rPr>
        <w:t>»</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الصحّاف الآتية ، وفيها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رأت الحامل الدم قبل الوقت الذي كانت ترى فيه الدم بقليل أو في الوقت من ذلك الشهر ، فإنّه من الحيضة ، فلتمسك عن الصلاة</w:t>
      </w:r>
      <w:r>
        <w:rPr>
          <w:rFonts w:eastAsia="Amiri" w:cs="Amiri" w:ascii="Amiri" w:hAnsi="Amiri"/>
          <w:color w:val="111111"/>
          <w:sz w:val="28"/>
          <w:szCs w:val="28"/>
          <w:rtl w:val="true"/>
          <w:lang w:bidi="ar-SA"/>
        </w:rPr>
        <w:t>»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منها عدم التفصيل في التحيّض في العادة بين كون الدم موصوفاً بصفات الحيض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 أدلّة الصفات وإن اقتضى التفصيل ، لكن قوّة ظهور صحيحة محمّد بن مسلم في عدم الافتراق بين الحامل وغيرها فيما إذا رأت في أيّام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المؤيّدة بما دلّت على أنّ الصفرة والكدرة في أيّام الحيض حيض</w:t>
      </w:r>
      <w:r>
        <w:rPr>
          <w:rStyle w:val="FootnoteAnchor"/>
          <w:rtl w:val="true"/>
        </w:rPr>
        <w:footnoteReference w:id="927"/>
      </w:r>
      <w:r>
        <w:rPr>
          <w:rFonts w:ascii="Amiri" w:hAnsi="Amiri" w:eastAsia="Amiri" w:cs="Amiri"/>
          <w:color w:val="111111"/>
          <w:sz w:val="28"/>
          <w:sz w:val="28"/>
          <w:szCs w:val="28"/>
          <w:rtl w:val="true"/>
          <w:lang w:bidi="ar-SA"/>
        </w:rPr>
        <w:t xml:space="preserve">، وما دلّت على تقديم العادة على </w:t>
      </w:r>
      <w:bookmarkStart w:id="537" w:name="pg15019_190869"/>
    </w:p>
    <w:p>
      <w:pPr>
        <w:pStyle w:val="BookText"/>
        <w:rPr/>
      </w:pPr>
      <w:bookmarkEnd w:id="537"/>
      <w:r>
        <w:rPr>
          <w:rFonts w:ascii="IRNazanin" w:hAnsi="IRNazanin" w:eastAsia="IRNazanin"/>
          <w:color w:val="111111"/>
          <w:sz w:val="28"/>
          <w:sz w:val="28"/>
          <w:szCs w:val="28"/>
          <w:rtl w:val="true"/>
          <w:lang w:bidi="fa-IR"/>
        </w:rPr>
        <w:t>الأوصاف</w:t>
      </w:r>
      <w:r>
        <w:rPr>
          <w:rStyle w:val="FootnoteAnchor"/>
          <w:rtl w:val="true"/>
        </w:rPr>
        <w:footnoteReference w:id="9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وقوّة الظنّ الحاصل من العادات ، توجب تقديمَ تلك الأخبار على أخبار الأوصاف ، وحملَ أخبارها على غير ذات العادة والرؤية في غير العادة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جميع ما ذكر بعد ردِّ المطلقات إلى المقيّدات وتقديمِ ما حقّه التقديم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الحبلى إذا رأت في أيّام عادتها تتحيّض مطلقاً ، وإذا رأت في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لأجل عدم كونها ذات عادة، أو لأجل رؤيتها في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عليها التحيّض مع اتّصاف الدم بصفة الحيض ؛ من الحمرة ، أو الكثرة التي تلازم الدفع ، أو غيرها من الأوصاف ، وإذا رأت بصفة الاستحاضة تجعله استحاضة ، وتعمل عملها </w:t>
      </w:r>
      <w:r>
        <w:rPr>
          <w:rFonts w:eastAsia="Amiri" w:cs="Amiri" w:ascii="Amiri" w:hAnsi="Amiri"/>
          <w:color w:val="111111"/>
          <w:sz w:val="28"/>
          <w:szCs w:val="28"/>
          <w:rtl w:val="true"/>
          <w:lang w:bidi="ar-SA"/>
        </w:rPr>
        <w:t>.</w:t>
      </w:r>
    </w:p>
    <w:p>
      <w:pPr>
        <w:pStyle w:val="Heading6"/>
        <w:numPr>
          <w:ilvl w:val="5"/>
          <w:numId w:val="1"/>
        </w:numPr>
        <w:rPr/>
      </w:pPr>
      <w:bookmarkStart w:id="538" w:name="__RefHeading___Toc686554_3406789950"/>
      <w:bookmarkStart w:id="539" w:name="_Toc195"/>
      <w:bookmarkEnd w:id="538"/>
      <w:r>
        <w:rPr>
          <w:rtl w:val="true"/>
        </w:rPr>
        <w:t>قوّة العمل بصحيحة الصحّاف</w:t>
      </w:r>
      <w:bookmarkEnd w:id="539"/>
    </w:p>
    <w:p>
      <w:pPr>
        <w:pStyle w:val="BookText"/>
        <w:rPr/>
      </w:pPr>
      <w:r>
        <w:rPr>
          <w:rFonts w:ascii="IRNazanin" w:hAnsi="IRNazanin" w:eastAsia="IRNazanin"/>
          <w:color w:val="111111"/>
          <w:sz w:val="28"/>
          <w:sz w:val="28"/>
          <w:szCs w:val="28"/>
          <w:rtl w:val="true"/>
          <w:lang w:bidi="fa-IR"/>
        </w:rPr>
        <w:t xml:space="preserve">بقي الكلام في صحيحة الحسين بن نعيم الصحّاف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 ولد لي ترى الدم وهي حامل ، كيف تصنع بالصلاة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رأت الحامل الدم بعد ما يمضي عشرون يوماً من الوقت</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كانت ترى فيه الدم من الشهر الذي كانت تقعد فيه ، فإنّ ذلك ليس من الرحم ولا من الطمث ، فلتتوضّأ وتحتشي بالكُرسُف وتصلّي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رأت الحامل الدم قبل الوقت الذي كانت ترى فيه الدم بقليل أو في الوقت من ذلك الشهر ، فإنّه من الحيضة ، فلتمسك عن الصلاة عدد أيّامها التي كانت تقعد في حيضها </w:t>
      </w:r>
      <w:r>
        <w:rPr>
          <w:rFonts w:eastAsia="Amiri" w:cs="Amiri" w:ascii="Amiri" w:hAnsi="Amiri"/>
          <w:color w:val="111111"/>
          <w:sz w:val="28"/>
          <w:szCs w:val="28"/>
          <w:rtl w:val="true"/>
          <w:lang w:bidi="ar-SA"/>
        </w:rPr>
        <w:t>. . .»</w:t>
      </w:r>
      <w:r>
        <w:rPr>
          <w:rStyle w:val="FootnoteAnchor"/>
          <w:rtl w:val="true"/>
        </w:rPr>
        <w:footnoteReference w:id="929"/>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وهي تدلّ على ثبوت التحيّض برؤية الدم في أيّام العادة وقبلها بقليل ، وعلى عدم حيضية ما رأت بعد عشرين يوماً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الفتوى بمضمونها </w:t>
      </w:r>
      <w:r>
        <w:rPr>
          <w:rStyle w:val="FootnoteAnchor"/>
          <w:rtl w:val="true"/>
        </w:rPr>
        <w:footnoteReference w:id="9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إليه</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 نّه يتعيّن العمل بها</w:t>
      </w:r>
      <w:r>
        <w:rPr>
          <w:rFonts w:eastAsia="Amiri" w:cs="Amiri" w:ascii="Amiri" w:hAnsi="Amiri"/>
          <w:color w:val="111111"/>
          <w:sz w:val="28"/>
          <w:szCs w:val="28"/>
          <w:rtl w:val="true"/>
          <w:lang w:bidi="ar-SA"/>
        </w:rPr>
        <w:t>»</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لا يخلو من قوّة ؛ لصحّة سندها ، ووضوح دلالتها ، وحكومتها على أدلّة الصفات الواردة في الحبلى ؛ فإنّ مدلول أدلّة الصفات أنّ الحبلى إذا رأت دماً كثيراً أو دماً أحمر كثيراً أو دماً عبيطاً فلا تصلّي</w:t>
      </w:r>
      <w:r>
        <w:rPr>
          <w:rStyle w:val="FootnoteAnchor"/>
          <w:rtl w:val="true"/>
        </w:rPr>
        <w:footnoteReference w:id="933"/>
      </w:r>
      <w:r>
        <w:rPr>
          <w:rFonts w:ascii="Amiri" w:hAnsi="Amiri" w:eastAsia="Amiri" w:cs="Amiri"/>
          <w:color w:val="111111"/>
          <w:sz w:val="28"/>
          <w:sz w:val="28"/>
          <w:szCs w:val="28"/>
          <w:rtl w:val="true"/>
          <w:lang w:bidi="ar-SA"/>
        </w:rPr>
        <w:t xml:space="preserve">، فهي تدلّ على ثبوت الحكم ، والصحيحة تدلّ على نفي الموضوع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ذلك ليس من الرحم ، ولا من الطمث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لسان الحكومة ، ويقدّم عرفاً على ما كان لسانه ثبوت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بين الصحيحة وأدلّة الأوصاف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كصحيحة معاوية بن عمّار وحفص بن البَخْتَري وما يحذو حذوهما </w:t>
      </w:r>
      <w:r>
        <w:rPr>
          <w:rStyle w:val="FootnoteAnchor"/>
          <w:rtl w:val="true"/>
        </w:rPr>
        <w:footnoteReference w:id="934"/>
      </w:r>
      <w:r>
        <w:rPr>
          <w:rFonts w:ascii="Amiri" w:hAnsi="Amiri" w:eastAsia="Amiri" w:cs="Amiri"/>
          <w:color w:val="111111"/>
          <w:sz w:val="28"/>
          <w:sz w:val="28"/>
          <w:szCs w:val="28"/>
          <w:rtl w:val="true"/>
          <w:lang w:bidi="ar-SA"/>
        </w:rPr>
        <w:t xml:space="preserve">معارضة العموم من وجه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قوّة ظهور الصحيحة في مضمونها ، وبُعد حملها على الدم الفاقد للصفات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الفاقد غير محكوم بالحيضية ؛ كان قبل عشرين أو بعدها ، ولا وجه </w:t>
      </w:r>
    </w:p>
    <w:p>
      <w:pPr>
        <w:pStyle w:val="BookText"/>
        <w:rPr/>
      </w:pPr>
      <w:r>
        <w:rPr>
          <w:rFonts w:ascii="Amiri" w:hAnsi="Amiri" w:eastAsia="Amiri" w:cs="Amiri"/>
          <w:color w:val="111111"/>
          <w:sz w:val="28"/>
          <w:sz w:val="28"/>
          <w:szCs w:val="28"/>
          <w:rtl w:val="true"/>
          <w:lang w:bidi="ar-SA"/>
        </w:rPr>
        <w:t xml:space="preserve">لتخصيص هذا المصداق القليل الوجود بالذكر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تقديمها على أدلّة الأوصاف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إذا راجعت وجدانك ، ونظرت في الصحيحة وروايات الأوصاف ، وعرضتهما على الفهم العرفي الخالي من الدقائق العقلية ، ترى أنّ ذهن العرف لا يتوجّه إلى كون نسبة الصحيحة مع مقابلاتها عموماً من وجه ، ولا ينقدح في ذهنك التعارض ، بل ترى أنّ الصحيحة مقيّدة عرفاً لأدلّة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الميزان لتقديم دليل على غيره ؛ كان بينهما عموم من وجه أو لا ، ولهذا يقدّم الحاكم على المحكوم ولا يلاحظ النسبة ؛ لحكومة العرف بذلك ، فميزان تشخيص التعارض والتقديم والجمع هو فهم العرف العامّ ، لا الدقّة العقلية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ردّ الصحيحة بدعوى إعراض معظم الأصحاب عنها ، وعدم إمكان التأويل في الروايات الكثيرة ، مع قبولها للتوجيه القريب</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يبعد أن يكون في غير محلّه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الإعراض غير ثابت ؛ لأنّ المحتمل قريباً بل الظاهر من بعض الكلمات</w:t>
      </w:r>
      <w:r>
        <w:rPr>
          <w:rStyle w:val="FootnoteAnchor"/>
          <w:rtl w:val="true"/>
        </w:rPr>
        <w:footnoteReference w:id="936"/>
      </w:r>
      <w:r>
        <w:rPr>
          <w:rFonts w:ascii="Amiri" w:hAnsi="Amiri" w:eastAsia="Amiri" w:cs="Amiri"/>
          <w:color w:val="111111"/>
          <w:sz w:val="28"/>
          <w:sz w:val="28"/>
          <w:szCs w:val="28"/>
          <w:rtl w:val="true"/>
          <w:lang w:bidi="ar-SA"/>
        </w:rPr>
        <w:t xml:space="preserve">، أنّ الأصحاب إنّما كانوا بصدد بيان اجتماع الحمل والحيض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أكثر العامّة القائلين بعدم الاجتماع مطلقاً </w:t>
      </w:r>
      <w:r>
        <w:rPr>
          <w:rStyle w:val="FootnoteAnchor"/>
          <w:rtl w:val="true"/>
        </w:rPr>
        <w:footnoteReference w:id="9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تعرّض لهذه المسألة التي هي من فروع الاجتماع ، والمتأخّرون لم يردّوها لشذوذها وعدم العمل بها ، </w:t>
      </w:r>
    </w:p>
    <w:p>
      <w:pPr>
        <w:pStyle w:val="BookText"/>
        <w:rPr/>
      </w:pPr>
      <w:r>
        <w:rPr>
          <w:rFonts w:ascii="Amiri" w:hAnsi="Amiri" w:eastAsia="Amiri" w:cs="Amiri"/>
          <w:color w:val="111111"/>
          <w:sz w:val="28"/>
          <w:sz w:val="28"/>
          <w:szCs w:val="28"/>
          <w:rtl w:val="true"/>
          <w:lang w:bidi="ar-SA"/>
        </w:rPr>
        <w:t xml:space="preserve">بل جمعوا بينها وبين غيرها ورجّحوا غيرها </w:t>
      </w:r>
      <w:r>
        <w:rPr>
          <w:rStyle w:val="FootnoteAnchor"/>
          <w:rtl w:val="true"/>
        </w:rPr>
        <w:footnoteReference w:id="938"/>
      </w:r>
      <w:r>
        <w:rPr>
          <w:rFonts w:ascii="IRNazanin" w:hAnsi="IRNazanin" w:eastAsia="IRNazanin"/>
          <w:color w:val="111111"/>
          <w:sz w:val="28"/>
          <w:sz w:val="28"/>
          <w:szCs w:val="28"/>
          <w:rtl w:val="true"/>
          <w:lang w:bidi="fa-IR"/>
        </w:rPr>
        <w:t xml:space="preserve">، وبعضهم عملوا بها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 بعض المتأخّرين رماها بالوحدة وعدم اشتهار القول بها بل وإعراض الأصحاب عنها ، وهو غير ظاهر من المتقدّمين الذين إعراضهم مناط الوهن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إمكان التأويل في الروايات الكثيرة ، فقد مرّ عدم إطلاق أكثر الروايات</w:t>
      </w:r>
      <w:r>
        <w:rPr>
          <w:rStyle w:val="FootnoteAnchor"/>
          <w:rtl w:val="true"/>
        </w:rPr>
        <w:footnoteReference w:id="940"/>
      </w:r>
      <w:r>
        <w:rPr>
          <w:rFonts w:ascii="Amiri" w:hAnsi="Amiri" w:eastAsia="Amiri" w:cs="Amiri"/>
          <w:color w:val="111111"/>
          <w:sz w:val="28"/>
          <w:sz w:val="28"/>
          <w:szCs w:val="28"/>
          <w:rtl w:val="true"/>
          <w:lang w:bidi="ar-SA"/>
        </w:rPr>
        <w:t xml:space="preserve">، وما هو مطلق قليل ضعيف الإطلاق ، وما هو متعرّض للصفات وإن كان مطلقاً ، لكن رواية محمّد بن مسلم مرسلة ، ورواية إسحاق بن عمّار مطروحة ؛ لعدم العمل بها ، فلا يبقى إلاّ صحيحة أبي المغرا ، ولا مانع من التصرّف فيها ، خصوصاً بعد ما عرفت من الحكومة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القبول للتوجيه فقد عرفت ما فيه ، بعد ما ظهر من مساعدة العرف على الجمع المتقدّم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مع ذلك كلّه لا تخلو المسألة من إشكال منشأه احتمال الإعراض ، مع شهادة مثل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w:t>
      </w:r>
      <w:r>
        <w:rPr>
          <w:rStyle w:val="FootnoteAnchor"/>
          <w:rtl w:val="true"/>
        </w:rPr>
        <w:footnoteReference w:id="941"/>
      </w:r>
      <w:r>
        <w:rPr>
          <w:rFonts w:ascii="Amiri" w:hAnsi="Amiri" w:eastAsia="Amiri" w:cs="Amiri"/>
          <w:color w:val="111111"/>
          <w:sz w:val="28"/>
          <w:sz w:val="28"/>
          <w:szCs w:val="28"/>
          <w:rtl w:val="true"/>
          <w:lang w:bidi="ar-SA"/>
        </w:rPr>
        <w:t xml:space="preserve">على تأمّل في استفادة الإعراض من كلام الأوّل ، فلا بدّ من الاحتياط إلى ما بعد الفحص الكامل حتّى يتّضح الحال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هاهنا مطالب </w:t>
      </w:r>
      <w:r>
        <w:rPr>
          <w:rFonts w:eastAsia="Amiri" w:cs="Amiri" w:ascii="Amiri" w:hAnsi="Amiri"/>
          <w:color w:val="111111"/>
          <w:sz w:val="28"/>
          <w:szCs w:val="28"/>
          <w:rtl w:val="true"/>
          <w:lang w:bidi="ar-SA"/>
        </w:rPr>
        <w:t xml:space="preserve">: </w:t>
      </w:r>
      <w:bookmarkStart w:id="540" w:name="pg15019_190873"/>
    </w:p>
    <w:p>
      <w:pPr>
        <w:pStyle w:val="Heading5"/>
        <w:numPr>
          <w:ilvl w:val="4"/>
          <w:numId w:val="1"/>
        </w:numPr>
        <w:rPr/>
      </w:pPr>
      <w:bookmarkStart w:id="541" w:name="__RefHeading___Toc686556_3406789950"/>
      <w:bookmarkStart w:id="542" w:name="_Toc196"/>
      <w:bookmarkEnd w:id="540"/>
      <w:bookmarkEnd w:id="541"/>
      <w:r>
        <w:rPr>
          <w:rtl w:val="true"/>
        </w:rPr>
        <w:t>المطلب الأوّل</w:t>
      </w:r>
      <w:r>
        <w:rPr>
          <w:rtl w:val="true"/>
        </w:rPr>
        <w:t xml:space="preserve">: </w:t>
      </w:r>
      <w:r>
        <w:rPr>
          <w:rtl w:val="true"/>
        </w:rPr>
        <w:t>في حكم تجاوز الدم عن أكثر الحيض</w:t>
      </w:r>
      <w:bookmarkEnd w:id="542"/>
    </w:p>
    <w:p>
      <w:pPr>
        <w:pStyle w:val="Heading6"/>
        <w:numPr>
          <w:ilvl w:val="5"/>
          <w:numId w:val="1"/>
        </w:numPr>
        <w:rPr/>
      </w:pPr>
      <w:bookmarkStart w:id="543" w:name="__RefHeading___Toc686558_3406789950"/>
      <w:bookmarkStart w:id="544" w:name="_Toc197"/>
      <w:bookmarkEnd w:id="543"/>
      <w:r>
        <w:rPr>
          <w:rtl w:val="true"/>
        </w:rPr>
        <w:t>اشارة</w:t>
      </w:r>
      <w:bookmarkEnd w:id="544"/>
    </w:p>
    <w:p>
      <w:pPr>
        <w:pStyle w:val="BookText"/>
        <w:rPr/>
      </w:pPr>
      <w:r>
        <w:rPr>
          <w:rFonts w:ascii="Amiri" w:hAnsi="Amiri" w:eastAsia="Amiri" w:cs="Amiri"/>
          <w:color w:val="111111"/>
          <w:sz w:val="28"/>
          <w:sz w:val="28"/>
          <w:szCs w:val="28"/>
          <w:rtl w:val="true"/>
          <w:lang w:bidi="ar-SA"/>
        </w:rPr>
        <w:t xml:space="preserve">إذا تجاوز الدم عن أكثر الحيض ممّن تحيض ، فلايخلو إمّا أن تكون المرأة ممّن لم تَرَ الدم قبل ذلك أو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ذات عادة مستقرّة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والاُولى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تكون ذاكرة لعادتها أو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فالاُولى من الأقسام هي المبتدئة ، وقد تطلق على الثالثة ؛ أي من لم تستقرّ لها عادة ، وقد تطلق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المضطربة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تطلق على الناسية ،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المبتدئة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المضطربة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لها إطلاقان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 وخاصّ</w:t>
      </w:r>
      <w:r>
        <w:rPr>
          <w:rStyle w:val="FootnoteAnchor"/>
          <w:rtl w:val="true"/>
        </w:rPr>
        <w:footnoteReference w:id="942"/>
      </w:r>
      <w:r>
        <w:rPr>
          <w:rFonts w:ascii="Amiri" w:hAnsi="Amiri" w:eastAsia="Amiri" w:cs="Amiri"/>
          <w:color w:val="111111"/>
          <w:sz w:val="28"/>
          <w:sz w:val="28"/>
          <w:szCs w:val="28"/>
          <w:rtl w:val="true"/>
          <w:lang w:bidi="ar-SA"/>
        </w:rPr>
        <w:t xml:space="preserve">، والأمر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والمتّبع في الأحكام هو الدليل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بدّ في بيان الأقسام وأحكامها من ذكر مسائل </w:t>
      </w:r>
      <w:r>
        <w:rPr>
          <w:rFonts w:eastAsia="Amiri" w:cs="Amiri" w:ascii="Amiri" w:hAnsi="Amiri"/>
          <w:color w:val="111111"/>
          <w:sz w:val="28"/>
          <w:szCs w:val="28"/>
          <w:rtl w:val="true"/>
          <w:lang w:bidi="ar-SA"/>
        </w:rPr>
        <w:t xml:space="preserve">: </w:t>
      </w:r>
      <w:bookmarkStart w:id="545" w:name="pg15019_190874"/>
    </w:p>
    <w:p>
      <w:pPr>
        <w:pStyle w:val="Heading6"/>
        <w:numPr>
          <w:ilvl w:val="5"/>
          <w:numId w:val="1"/>
        </w:numPr>
        <w:rPr/>
      </w:pPr>
      <w:bookmarkStart w:id="546" w:name="__RefHeading___Toc686560_3406789950"/>
      <w:bookmarkStart w:id="547" w:name="_Toc198"/>
      <w:bookmarkEnd w:id="545"/>
      <w:bookmarkEnd w:id="546"/>
      <w:r>
        <w:rPr>
          <w:rtl w:val="true"/>
        </w:rPr>
        <w:t>المسألة الاُولى</w:t>
      </w:r>
      <w:r>
        <w:rPr>
          <w:rtl w:val="true"/>
        </w:rPr>
        <w:t xml:space="preserve">: </w:t>
      </w:r>
      <w:r>
        <w:rPr>
          <w:rtl w:val="true"/>
        </w:rPr>
        <w:t>في اعتبار التمييز في المبتدئة</w:t>
      </w:r>
      <w:bookmarkEnd w:id="547"/>
    </w:p>
    <w:p>
      <w:pPr>
        <w:pStyle w:val="Heading6"/>
        <w:numPr>
          <w:ilvl w:val="5"/>
          <w:numId w:val="1"/>
        </w:numPr>
        <w:rPr/>
      </w:pPr>
      <w:bookmarkStart w:id="548" w:name="__RefHeading___Toc686562_3406789950"/>
      <w:bookmarkStart w:id="549" w:name="_Toc199"/>
      <w:bookmarkEnd w:id="548"/>
      <w:r>
        <w:rPr>
          <w:rtl w:val="true"/>
        </w:rPr>
        <w:t>اشارة</w:t>
      </w:r>
      <w:bookmarkEnd w:id="549"/>
    </w:p>
    <w:p>
      <w:pPr>
        <w:pStyle w:val="BookText"/>
        <w:rPr/>
      </w:pPr>
      <w:r>
        <w:rPr>
          <w:rFonts w:ascii="Amiri" w:hAnsi="Amiri" w:eastAsia="Amiri" w:cs="Amiri"/>
          <w:color w:val="111111"/>
          <w:sz w:val="28"/>
          <w:sz w:val="28"/>
          <w:szCs w:val="28"/>
          <w:rtl w:val="true"/>
          <w:lang w:bidi="ar-SA"/>
        </w:rPr>
        <w:t xml:space="preserve">المبتدئة بالمعنى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لم تستقرّ لها عادة ؛ إمّا لعدم سبق الدم ، أو لعدم استقرار العادة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 أوّلاً إلى التمييز ، فتجعل ما شابه دم الحيض حيضاً ، وما شابه الاستحاضة استحاضة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مذهب فقهاء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94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مذهب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في المبتدئة</w:t>
      </w:r>
      <w:r>
        <w:rPr>
          <w:rStyle w:val="FootnoteAnchor"/>
          <w:rtl w:val="true"/>
        </w:rPr>
        <w:footnoteReference w:id="945"/>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هذا الحكم مجمع عليه بين الأصحاب</w:t>
      </w:r>
      <w:r>
        <w:rPr>
          <w:rFonts w:eastAsia="Amiri" w:cs="Amiri" w:ascii="Amiri" w:hAnsi="Amiri"/>
          <w:color w:val="111111"/>
          <w:sz w:val="28"/>
          <w:szCs w:val="28"/>
          <w:rtl w:val="true"/>
          <w:lang w:bidi="ar-SA"/>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9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جماعة من الأصحاب لم يتعرّضوا للتمييز فيما أجد ، كالصدوقين والمفيد وأبي المكارم وسلاّر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أبو الصلاح فقد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المضطربة ترجع إلى نسائها ، وإن فقدت فإلى التمييز ، واقتصر للمبتدئة على </w:t>
      </w:r>
    </w:p>
    <w:p>
      <w:pPr>
        <w:pStyle w:val="BookText"/>
        <w:rPr/>
      </w:pPr>
      <w:r>
        <w:rPr>
          <w:rFonts w:ascii="Amiri" w:hAnsi="Amiri" w:eastAsia="Amiri" w:cs="Amiri"/>
          <w:color w:val="111111"/>
          <w:sz w:val="28"/>
          <w:sz w:val="28"/>
          <w:szCs w:val="28"/>
          <w:rtl w:val="true"/>
          <w:lang w:bidi="ar-SA"/>
        </w:rPr>
        <w:t>الرجوع إلى نسائها إلى أن يستقرّ لها عادة</w:t>
      </w:r>
      <w:r>
        <w:rPr>
          <w:rStyle w:val="FootnoteAnchor"/>
          <w:rtl w:val="true"/>
        </w:rPr>
        <w:footnoteReference w:id="9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949"/>
      </w:r>
      <w:r>
        <w:rPr>
          <w:rFonts w:ascii="Amiri" w:hAnsi="Amiri" w:eastAsia="Amiri" w:cs="Amiri"/>
          <w:color w:val="111111"/>
          <w:sz w:val="28"/>
          <w:sz w:val="28"/>
          <w:szCs w:val="28"/>
          <w:rtl w:val="true"/>
          <w:lang w:bidi="ar-SA"/>
        </w:rPr>
        <w:t xml:space="preserve">على أنّ عمل المبتدئة والمضطربة على أصل أقلّ الطهر وأكثر الحيض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يلوح منه عدم اعتبار التمييز</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وكيف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فتدلّ على اعتبار التمييز في المبتدئة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بالمعنى الأعمّ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إطلاقات أدلّة التمييز ، كصحيحة معاوية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دم الاستحاضة والحيض ليس يخرجان من مكان واحد ؛ إنّ دم الاستحاضة بارد ، وإنّ دم الحيض حارٌّ</w:t>
      </w:r>
      <w:r>
        <w:rPr>
          <w:rFonts w:eastAsia="IRNazanin" w:cs="IRNazanin"/>
          <w:color w:val="111111"/>
          <w:sz w:val="28"/>
          <w:szCs w:val="28"/>
          <w:rtl w:val="true"/>
          <w:lang w:bidi="fa-IR"/>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وظاهرها أنّ الصفة لماهية الدمين ، وأنّ التمييز حاصل بهما عند الاشتباه والاختلاط بينهما مطلقاً ؛ من غير فرق بين أقسام الاستحاضة والمستحاضة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حفص بن البَخْتَري وفيها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دم الحيض حارّ عبيط أسود له دفع وحرارة ، ودم الاستحاضة أصفر بارد ، فإذا كان للدم حرارة ودفع وسواد فلتدع الصلاة</w:t>
      </w:r>
      <w:r>
        <w:rPr>
          <w:rFonts w:eastAsia="Amiri" w:cs="Amiri" w:ascii="Amiri" w:hAnsi="Amiri"/>
          <w:color w:val="111111"/>
          <w:sz w:val="28"/>
          <w:szCs w:val="28"/>
          <w:rtl w:val="true"/>
          <w:lang w:bidi="ar-SA"/>
        </w:rPr>
        <w:t>»</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وإطلاق هذه الرواية قويّ جدّاً ، والسؤال إنّما هو عن مستمرّة الدم مطلقاً ، والجواب بيان الأمارات لماهية الدمين ؛ استمرّ الدم أو لا ، كانت المرأة مبتدئة أو </w:t>
      </w:r>
    </w:p>
    <w:p>
      <w:pPr>
        <w:pStyle w:val="BookText"/>
        <w:rPr/>
      </w:pPr>
      <w:r>
        <w:rPr>
          <w:rFonts w:ascii="Amiri" w:hAnsi="Amiri" w:eastAsia="Amiri" w:cs="Amiri"/>
          <w:color w:val="111111"/>
          <w:sz w:val="28"/>
          <w:sz w:val="28"/>
          <w:szCs w:val="28"/>
          <w:rtl w:val="true"/>
          <w:lang w:bidi="ar-SA"/>
        </w:rPr>
        <w:t xml:space="preserve">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الاكتفاء بذكر الأمارات فقط وتعقيبه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كان للدم حرارة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تحكيمٌ للإطلاق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والإطلاق في الصحيحتين وغيرهما متّبع لا يرفع اليد عنه إلاّ بدليل ومقيّد ، كما ورد في ذات العادة ، ففي موثّقة إسحاق بن جرير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سألتني امرأة منّا أن اُدخلها على أبي عبداللّه علیه السلام فاستأذنتُ لها ، فأذن لها فدخلت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المرأة تحيض فتجوز أيّام حيضها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أيّام حيضها دون عشرة أيّام استظهرت بيوم واحد ، ثمّ هي مستحاضة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الدم يستمرّ بها الشهر والشهرين والثلاثة ، كيف تصنع بالصلاة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تجلس أيّام حيضها ، ثمّ تغتسل لكلّ صلاتين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أيّام حيضها تختلف عليها ؛ وكان يتقدّم الحيض اليوم واليومين والثلاثة ، ويتأخّر مثل ذلك ، فما علمها به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دم الحيض ليس به خفاء ؛ هو دم حارّ تجد له حرقة ، ودم الاستحاضة دم فاسد بارد</w:t>
      </w:r>
      <w:r>
        <w:rPr>
          <w:rFonts w:eastAsia="Amiri" w:cs="Amiri" w:ascii="Amiri" w:hAnsi="Amiri"/>
          <w:color w:val="111111"/>
          <w:sz w:val="28"/>
          <w:szCs w:val="28"/>
          <w:rtl w:val="true"/>
          <w:lang w:bidi="ar-SA"/>
        </w:rPr>
        <w:t>»</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فأرجعها إلى الصفات بعد اختلاف العادة ، كما سيأتي الكلام فيه</w:t>
      </w:r>
      <w:r>
        <w:rPr>
          <w:rStyle w:val="FootnoteAnchor"/>
          <w:rtl w:val="true"/>
        </w:rPr>
        <w:footnoteReference w:id="954"/>
      </w:r>
      <w:r>
        <w:rPr>
          <w:rFonts w:ascii="Amiri" w:hAnsi="Amiri" w:eastAsia="Amiri" w:cs="Amiri"/>
          <w:color w:val="111111"/>
          <w:sz w:val="28"/>
          <w:sz w:val="28"/>
          <w:szCs w:val="28"/>
          <w:rtl w:val="true"/>
          <w:lang w:bidi="ar-SA"/>
        </w:rPr>
        <w:t xml:space="preserve">، وإطلاقها لما نحن بصدده لا يقصر عن المتقدّمين </w:t>
      </w:r>
      <w:r>
        <w:rPr>
          <w:rFonts w:eastAsia="Amiri" w:cs="Amiri" w:ascii="Amiri" w:hAnsi="Amiri"/>
          <w:color w:val="111111"/>
          <w:sz w:val="28"/>
          <w:szCs w:val="28"/>
          <w:rtl w:val="true"/>
          <w:lang w:bidi="ar-SA"/>
        </w:rPr>
        <w:t xml:space="preserve">. </w:t>
      </w:r>
      <w:bookmarkStart w:id="550" w:name="pg15019_190877"/>
    </w:p>
    <w:p>
      <w:pPr>
        <w:pStyle w:val="Heading6"/>
        <w:numPr>
          <w:ilvl w:val="5"/>
          <w:numId w:val="1"/>
        </w:numPr>
        <w:rPr/>
      </w:pPr>
      <w:bookmarkStart w:id="551" w:name="__RefHeading___Toc686564_3406789950"/>
      <w:bookmarkStart w:id="552" w:name="_Toc200"/>
      <w:bookmarkEnd w:id="550"/>
      <w:bookmarkEnd w:id="551"/>
      <w:r>
        <w:rPr>
          <w:rtl w:val="true"/>
        </w:rPr>
        <w:t xml:space="preserve">الروايات التي زعم صاحب </w:t>
      </w:r>
      <w:r>
        <w:rPr>
          <w:rtl w:val="true"/>
        </w:rPr>
        <w:t>«</w:t>
      </w:r>
      <w:r>
        <w:rPr>
          <w:rtl w:val="true"/>
        </w:rPr>
        <w:t>الحدائق</w:t>
      </w:r>
      <w:r>
        <w:rPr>
          <w:rtl w:val="true"/>
        </w:rPr>
        <w:t xml:space="preserve">» </w:t>
      </w:r>
      <w:r>
        <w:rPr>
          <w:rtl w:val="true"/>
        </w:rPr>
        <w:t>دلالتها على عدم اعتبار التمييز</w:t>
      </w:r>
      <w:bookmarkEnd w:id="552"/>
    </w:p>
    <w:p>
      <w:pPr>
        <w:pStyle w:val="BookText"/>
        <w:rPr/>
      </w:pPr>
      <w:r>
        <w:rPr>
          <w:rFonts w:ascii="Amiri" w:hAnsi="Amiri" w:eastAsia="Amiri" w:cs="Amiri"/>
          <w:color w:val="111111"/>
          <w:sz w:val="28"/>
          <w:sz w:val="28"/>
          <w:szCs w:val="28"/>
          <w:rtl w:val="true"/>
          <w:lang w:bidi="ar-SA"/>
        </w:rPr>
        <w:t xml:space="preserve">نعم ، هنا روايات اُخر تمسّك بها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 على الأصحاب ، زاعماً أنّ الحكم في المبتدئة وسنّتها عدم الرجوع إلى التمييز مطلقاً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مرسلة يونس الطويلة</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يونس الطويلة ، ولمّا كان فيها أحكام كثيرة تدور عليها سنن الاستحاضة والمستحاضة ، فلا بدّ من التيمّن بنقلها على طولها وبيان بعض فقراتها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الكليني عن علي بن إبراهيم ، عن محمّد بن عيسى العبيدي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ثقة على الأصحّ</w:t>
      </w:r>
      <w:r>
        <w:rPr>
          <w:rStyle w:val="FootnoteAnchor"/>
          <w:rtl w:val="true"/>
        </w:rPr>
        <w:footnoteReference w:id="9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بن عبد الرحمان ، عن غير واحد سألوا</w:t>
      </w:r>
    </w:p>
    <w:p>
      <w:pPr>
        <w:pStyle w:val="BookText"/>
        <w:rPr/>
      </w:pPr>
      <w:r>
        <w:rPr>
          <w:rFonts w:ascii="IRNazanin" w:hAnsi="IRNazanin" w:eastAsia="IRNazanin"/>
          <w:color w:val="111111"/>
          <w:sz w:val="28"/>
          <w:sz w:val="28"/>
          <w:szCs w:val="28"/>
          <w:rtl w:val="true"/>
          <w:lang w:bidi="fa-IR"/>
        </w:rPr>
        <w:t xml:space="preserve">أبا عبداللّه علیه السلام عن الحيض والسنّة في وقته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صلی الله علیه و آله وسلم سنّ</w:t>
      </w:r>
    </w:p>
    <w:p>
      <w:pPr>
        <w:pStyle w:val="BookText"/>
        <w:rPr/>
      </w:pPr>
      <w:r>
        <w:rPr>
          <w:rFonts w:ascii="Amiri" w:hAnsi="Amiri" w:eastAsia="Amiri" w:cs="Amiri"/>
          <w:color w:val="111111"/>
          <w:sz w:val="28"/>
          <w:sz w:val="28"/>
          <w:szCs w:val="28"/>
          <w:rtl w:val="true"/>
          <w:lang w:bidi="ar-SA"/>
        </w:rPr>
        <w:t xml:space="preserve">في الحيض ثلاث سنن ، بيّن فيها كلّ مشكل لمن سمعها وفهمها ؛ حتّى لم يدعْ لأحدٍ مقالاً فيه بالرأي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إحدى 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فالحائض التي لها أيّام معلومة قد أحصتها بلا اختلاط </w:t>
      </w:r>
    </w:p>
    <w:p>
      <w:pPr>
        <w:pStyle w:val="BookText"/>
        <w:rPr/>
      </w:pPr>
      <w:r>
        <w:rPr>
          <w:rFonts w:ascii="Amiri" w:hAnsi="Amiri" w:eastAsia="Amiri" w:cs="Amiri"/>
          <w:color w:val="111111"/>
          <w:sz w:val="28"/>
          <w:sz w:val="28"/>
          <w:szCs w:val="28"/>
          <w:rtl w:val="true"/>
          <w:lang w:bidi="ar-SA"/>
        </w:rPr>
        <w:t>عليها ، ثمّ استحاضت واستمرّ بها الدم ، وهي في ذلك تعرف أيّامها ومبلغ</w:t>
      </w:r>
    </w:p>
    <w:p>
      <w:pPr>
        <w:pStyle w:val="BookText"/>
        <w:rPr/>
      </w:pPr>
      <w:r>
        <w:rPr>
          <w:rFonts w:ascii="IRNazanin" w:hAnsi="IRNazanin" w:eastAsia="IRNazanin"/>
          <w:color w:val="111111"/>
          <w:sz w:val="28"/>
          <w:sz w:val="28"/>
          <w:szCs w:val="28"/>
          <w:rtl w:val="true"/>
          <w:lang w:bidi="fa-IR"/>
        </w:rPr>
        <w:t xml:space="preserve">عددها ، فإنّ امرأة يقال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بنت أبي حبيش استحاضت ، فأتت اُمَّ سلمة ، فسألت رسول اللّه صلی الله علیه و آله وسلم عن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 الصلاة قدر أقرائها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 حيضها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عَزْف وأمرها أن تغتسل وتَسْتثفِر بثوب وتصلّي</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هذه سنّة النبي صلی الله علیه و آله وسلم في التي تعرف أيّام أقرائها لم تختلط عليها ؛ ألا ترى أ نّه لم يسألها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يوم 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زادت على كذا يوماً فأنت مستحاضة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سنَّ لها أيّاماً معلومة ما كانت من قليل أو كثير بعد أن تعرفها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أفتى أبي علیه السلام وسئل عن المستحاضة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ذلك عَزف عامر أو ركضة من الشيطان ، فلتدع الصلاة أيّام أقرائها ، ثمّ تغتسل وتتوضَّأ لكلّ 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سال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سال مثل المَثْعَب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تفسير حديث رسول اللّه صلی الله علیه و آله وسلم وهو موافق له ، فهذه سنّة التي تعرف أيّام أقرائها لا وقت لها إلاّ أيّامها ؛ قلّت أو كثرت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سنّة التي قد كانت لها أيّام متقدّمة ، ثمّ اختلط عليها من طول الدم ؛</w:t>
      </w:r>
    </w:p>
    <w:p>
      <w:pPr>
        <w:pStyle w:val="BookText"/>
        <w:rPr/>
      </w:pPr>
      <w:r>
        <w:rPr>
          <w:rFonts w:ascii="IRNazanin" w:hAnsi="IRNazanin" w:eastAsia="IRNazanin"/>
          <w:color w:val="111111"/>
          <w:sz w:val="28"/>
          <w:sz w:val="28"/>
          <w:szCs w:val="28"/>
          <w:rtl w:val="true"/>
          <w:lang w:bidi="fa-IR"/>
        </w:rPr>
        <w:t xml:space="preserve">فزادت ونقصت حتّى أغفلت عددها وموضعها من الشهر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سنّتها غير ذلك ؛ وذلك أنّ فاطمة بنت أبي حبيش أتت النبي صلی الله علیه و آله وسلم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اُستحاض فلا أطهر ، فقال لها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ذلك بحيض ، إنّما هو عزف ، فإذا أقبلت الحيضة فدعي الصلاة ، وإذا أدبرت فاغسلي عنك الدم وصلّي ، وكانت تغتسل في كلّ صلاة ، وكانت تجلس في مِرْكَن لاُختها ، وكانت صفرة الدم تعلو الماء</w:t>
      </w:r>
      <w:r>
        <w:rPr>
          <w:rFonts w:eastAsia="IRNazanin" w:cs="IRNazanin"/>
          <w:color w:val="111111"/>
          <w:sz w:val="28"/>
          <w:szCs w:val="28"/>
          <w:rtl w:val="true"/>
          <w:lang w:bidi="fa-IR"/>
        </w:rPr>
        <w:t>»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تسمع رسول اللّه صلی الله علیه و آله وسلم أمر هذه بغير ما أمر به تلك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تراه لم يقل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دعي الصلاة أيّام أقرائك ، ولكن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أقبلت </w:t>
      </w:r>
    </w:p>
    <w:p>
      <w:pPr>
        <w:pStyle w:val="BookText"/>
        <w:rPr/>
      </w:pPr>
      <w:r>
        <w:rPr>
          <w:rFonts w:ascii="Amiri" w:hAnsi="Amiri" w:eastAsia="Amiri" w:cs="Amiri"/>
          <w:color w:val="111111"/>
          <w:sz w:val="28"/>
          <w:sz w:val="28"/>
          <w:szCs w:val="28"/>
          <w:rtl w:val="true"/>
          <w:lang w:bidi="ar-SA"/>
        </w:rPr>
        <w:t xml:space="preserve">الحيضة فدعي الصلاة ، وإذا أدبرت فاغتسلي وصلّي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يبيّن أنّ هذه امرأة قد اختلط عليها أيّامها ؛ لم تعرف عددها ولا وقتها ؛ ألا تسمعها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اُستحاض فلا أطهر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استحيضت سبع سنين ، ففي أقلّ من هذا تكون الريبة والاختلاط ، فلهذا احتاجت إلى أن تعرف إقبال الدم من إدباره ، وتغيّرَ لونه من السواد إلى غيره ؛ وذلك أنّ دم الحيض أسود يعرف ، ولو كانت تعرف أيّامها ما احتاجت إلى معرفة لون الدم ؛ لأنّ السنّة في الحيض أن تكون الصفرة والكدرة فما فوقها في أيّام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حيضاً كلّه ؛ إن كان الدم أسود أو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يبيّن لك أنّ قليل الدم وكثيره أيّام الحيض ، حيض كلّه إذا كانت الأيّام</w:t>
      </w:r>
    </w:p>
    <w:p>
      <w:pPr>
        <w:pStyle w:val="BookText"/>
        <w:rPr/>
      </w:pPr>
      <w:r>
        <w:rPr>
          <w:rFonts w:ascii="IRNazanin" w:hAnsi="IRNazanin" w:eastAsia="IRNazanin"/>
          <w:color w:val="111111"/>
          <w:sz w:val="28"/>
          <w:sz w:val="28"/>
          <w:szCs w:val="28"/>
          <w:rtl w:val="true"/>
          <w:lang w:bidi="fa-IR"/>
        </w:rPr>
        <w:t xml:space="preserve">معلومة ، فإذا جهلت الأيّام وعددها احتاجت إلى النظر حينئذٍ إلى إقبال الدم وإدباره وتغيّر لونه ، ثمّ تدع الصلاة على قدر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أرى النبي صلی الله علیه و آله وسلم قال</w:t>
      </w:r>
    </w:p>
    <w:p>
      <w:pPr>
        <w:pStyle w:val="BookText"/>
        <w:rPr/>
      </w:pP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اجلسي كذا وكذا يوماً ، فما زادت فأنت مستحاضة ، كما لم يأمر الاُولى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أبي أفتى في مثل هذا ؛ وذلك أنّ امرأة من أهلنا استحاضت ، فسألت أبي عن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 الدم البَحْراني فدعي الصلاة ، وإذا رأيت الطهر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ساعة من 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فاغتسلي وصلّي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وأرى جواب أبي هاهنا غير جوابه في المستحاضة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 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 الصلاة أيّام أقرائها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 نّه نظر إلى عدد الأيّام ، وقال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رأت الدم</w:t>
      </w:r>
    </w:p>
    <w:p>
      <w:pPr>
        <w:pStyle w:val="BookText"/>
        <w:rPr/>
      </w:pPr>
      <w:r>
        <w:rPr>
          <w:rFonts w:ascii="Amiri" w:hAnsi="Amiri" w:eastAsia="Amiri" w:cs="Amiri"/>
          <w:color w:val="111111"/>
          <w:sz w:val="28"/>
          <w:sz w:val="28"/>
          <w:szCs w:val="28"/>
          <w:rtl w:val="true"/>
          <w:lang w:bidi="ar-SA"/>
        </w:rPr>
        <w:t xml:space="preserve">البحراني فلتدع الصلاة ، وأمرها هاهنا أن تنظر إلى الدم إذا أقبل وأدبر وتغيّر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البحراني شبه قول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دم الحيض أسود يعرف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w:t>
      </w:r>
    </w:p>
    <w:p>
      <w:pPr>
        <w:pStyle w:val="BookText"/>
        <w:rPr/>
      </w:pPr>
      <w:r>
        <w:rPr>
          <w:rFonts w:ascii="Amiri" w:hAnsi="Amiri" w:eastAsia="Amiri" w:cs="Amiri"/>
          <w:color w:val="111111"/>
          <w:sz w:val="28"/>
          <w:sz w:val="28"/>
          <w:szCs w:val="28"/>
          <w:rtl w:val="true"/>
          <w:lang w:bidi="ar-SA"/>
        </w:rPr>
        <w:t xml:space="preserve">سمّاه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بحرانياً لكثرته ولونه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فهذه سنّة النبي صلی الله علیه و آله وسلم في التي اختلط عليها أيّامها حتّى لا</w:t>
      </w:r>
    </w:p>
    <w:p>
      <w:pPr>
        <w:pStyle w:val="BookText"/>
        <w:rPr/>
      </w:pPr>
      <w:r>
        <w:rPr>
          <w:rFonts w:ascii="Amiri" w:hAnsi="Amiri" w:eastAsia="Amiri" w:cs="Amiri"/>
          <w:color w:val="111111"/>
          <w:sz w:val="28"/>
          <w:sz w:val="28"/>
          <w:szCs w:val="28"/>
          <w:rtl w:val="true"/>
          <w:lang w:bidi="ar-SA"/>
        </w:rPr>
        <w:t>تعرفها ، وإنّما تعرفها بالدم ما كان من قليل الأيّام وكثيره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السنّة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التي ليس لها أيّام متقدّمة ، ولم تَرَ الدم قطّ ، ورأت أوّل ما أدركت ، واستمرّ بها ، فإنّ سنّة هذه غير سنّة الاُولى والثانية ؛ وذلك أنّ امرأة يقال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حَمَنة بنت جحش أتت رسول اللّه صلی الله علیه و آله وسلم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استحضت حيضة شديدة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احتشي كُرْسفاً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أشدّ من ذلك ؛ إنّي أثجّه ثجّاً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تلجّمي وتحيّضي في كلّ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أيّام أو سبعة ، ثمّ اغتسلي غسلاً ، وصومي ثلاثة وعشرين يوماً أو أربعة وعشرين ، واغتسلي للفجر غسلاً ، وأخّري الظهر ، وعجّلي العصر ، واغتسلي غسلاً ، وأخّري المغرب ، وعجّلي العشاء ، واغتسلي غسلاً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فأراه قد سنّ في هذه غير ما سنّ في الاُولى والثانية ؛ وذلك لأنّ أمرها مخالف لأمر تينك ؛ ألا ترى أنّ أيّامها لو كانت أقلّ من سبع ؛ وكانت خمساً أو أقلّ من ذلك ، ما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تحيّضي سبعاً ، فيكون قد أمرها بترك الصلاة أيّاماً وهي مستحاضة غير حائض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لو كان حيضها أكثر من سبع ؛ وكان أيّامها عشرة أو أكثر ، لم يأمرها بالصلاة وهي حائض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ممّا يزيد هذا بياناً قوله علیه السلام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تحيّضي ، وليس يكون التحيّض إلاّ للمرأة التي تريد أن تكلّف ما تعمل الحائض ؛ ألا تراه لم يقل لها أيّاماً معلومة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تحيّضي أيّام حيضك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وممّا يبيّن هذا قوله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 اللّه ؛ لأ نّه قد كان لها وإن كانت الأشياء كلّها في علم اللّه ، فهذا بيّن واضح أنّ هذه لم تكن لها أيّام قبل ذلك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w:t>
      </w:r>
    </w:p>
    <w:p>
      <w:pPr>
        <w:pStyle w:val="BookText"/>
        <w:rPr/>
      </w:pPr>
      <w:r>
        <w:rPr>
          <w:rFonts w:ascii="Amiri" w:hAnsi="Amiri" w:eastAsia="Amiri" w:cs="Amiri"/>
          <w:color w:val="111111"/>
          <w:sz w:val="28"/>
          <w:sz w:val="28"/>
          <w:szCs w:val="28"/>
          <w:rtl w:val="true"/>
          <w:lang w:bidi="ar-SA"/>
        </w:rPr>
        <w:t xml:space="preserve">سنّة التي استمرّ بها الدم أوّل ما تراه ؛ أقصى وقتها سبع ، وأقصى طهرها ثلاث وعشرون ، حتّى تصير لها أيّام معلومة ، فتنتقل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فجميع حالات المستحاضة تدور على هذه السنن الثلاث ؛ لا تكاد أبداً تخلو من واحدة منهنّ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كانت لها أيّام معلومة من قليل أو كثير ، فهي على أيّامها وخلقها الذي جرت عليه ؛ ليس فيه عدد معلوم موقّت غير أيّامها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اختلطت الأيّام عليها وتقدّمت وتأخّرت وتغيّر عليها الدم ألواناً ، فسنّتها إقبال الدم وإدباره وتغيّر حالاته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تكن لها أيّام قبل ذلك واستحاضت أوّل ما رأت ، فوقتها سبع ، وطهرها ثلاث وعشرون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استمرّ بها الدم أشهراً فعلت في كلّ شهر كما قال لها ، فإن انقطع الدم في أقلّ من سبع أو أكثر من سبع ، فإنّها تغتسل ساعة ترى الطهر وتصلّي ، فلا تزال كذلك حتّى تنظر إلى ما يكون في الشهر الثاني ، فإن انقطع الدم لوقته من الشهر الأوّل سواءً حتّى توالى عليها حيضتان أو ثلاث ، فقد علم الآن أنّ ذلك قد صار لها وقتاً وخلقاً معروفاً ؛ تعمل عليه وتدع ما سواه ، وتكون سنّتها فيما يستقبل إن استحاضت ، قد صارت سنّة إلى أن تجلس أقراؤها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جعل الوقت إن توالى عليها حيضتان أو ثلاث ؛ لقول رسول اللّه صلی الله علیه و آله وسلم للتي تعرف أيّامها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دعي الصلاة أيّام أقرائك ، فعلمنا أ نّه لم يجعل القرء الواحد </w:t>
      </w:r>
      <w:bookmarkStart w:id="553" w:name="pg15019_190882"/>
    </w:p>
    <w:p>
      <w:pPr>
        <w:pStyle w:val="BookText"/>
        <w:rPr/>
      </w:pPr>
      <w:bookmarkEnd w:id="553"/>
      <w:r>
        <w:rPr>
          <w:rFonts w:ascii="Amiri" w:hAnsi="Amiri" w:eastAsia="Amiri" w:cs="Amiri"/>
          <w:color w:val="111111"/>
          <w:sz w:val="28"/>
          <w:sz w:val="28"/>
          <w:szCs w:val="28"/>
          <w:rtl w:val="true"/>
          <w:lang w:bidi="ar-SA"/>
        </w:rPr>
        <w:t xml:space="preserve">سنّة لها ، فيقول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دعي الصلاة أيّام قرئك ، ولكن سَنّ لها الأقراء ، وأدناه حيضتان فصاعداً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اختلط عليها أيّامها وزادت ونقصت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لا تقف فيها على حدّ ، ولا من الدم على 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عملت بإقبال الدم وإدباره وليس لها سنّة غير هذا ؛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أقبلت الحيضة فدعي الصلاة ، وإذا أدبرت فاغتسلي ، ولقوله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دم الحيض أسود يعرف ، كقول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رأيت الدم البحراني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يكن الأمر كذلك ، ولكنّ الدم أطبق عليها ، فلم تزل الاستحاضة دارّة ، وكان الدم على لون واحد وحالة واحدة ، فسنّتها السبع والثلاث والعشرون ؛ لأنّ قصّتها قصّة حمنة حين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أثجّه ثجّاً</w:t>
      </w:r>
      <w:r>
        <w:rPr>
          <w:rFonts w:eastAsia="IRNazanin" w:cs="IRNazanin"/>
          <w:color w:val="111111"/>
          <w:sz w:val="28"/>
          <w:szCs w:val="28"/>
          <w:rtl w:val="true"/>
          <w:lang w:bidi="fa-IR"/>
        </w:rPr>
        <w:t>»</w:t>
      </w:r>
      <w:r>
        <w:rPr>
          <w:rStyle w:val="FootnoteAnchor"/>
          <w:rtl w:val="true"/>
        </w:rPr>
        <w:footnoteReference w:id="957"/>
      </w:r>
      <w:r>
        <w:rPr>
          <w:rFonts w:ascii="Amiri" w:hAnsi="Amiri" w:eastAsia="Amiri" w:cs="Amiri"/>
          <w:color w:val="111111"/>
          <w:sz w:val="28"/>
          <w:sz w:val="28"/>
          <w:szCs w:val="28"/>
          <w:rtl w:val="true"/>
          <w:lang w:bidi="ar-SA"/>
        </w:rPr>
        <w:t xml:space="preserve">، انتهى الحديث المبارك </w:t>
      </w:r>
      <w:r>
        <w:rPr>
          <w:rFonts w:eastAsia="Amiri" w:cs="Amiri" w:ascii="Amiri" w:hAnsi="Amiri"/>
          <w:color w:val="111111"/>
          <w:sz w:val="28"/>
          <w:szCs w:val="28"/>
          <w:rtl w:val="true"/>
          <w:lang w:bidi="ar-SA"/>
        </w:rPr>
        <w:t>.</w:t>
      </w:r>
    </w:p>
    <w:p>
      <w:pPr>
        <w:pStyle w:val="Heading6"/>
        <w:numPr>
          <w:ilvl w:val="5"/>
          <w:numId w:val="1"/>
        </w:numPr>
        <w:rPr/>
      </w:pPr>
      <w:bookmarkStart w:id="554" w:name="__RefHeading___Toc686566_3406789950"/>
      <w:bookmarkStart w:id="555" w:name="_Toc201"/>
      <w:bookmarkEnd w:id="554"/>
      <w:r>
        <w:rPr>
          <w:rtl w:val="true"/>
        </w:rPr>
        <w:t>بيان بعض فقرات المرسلة</w:t>
      </w:r>
      <w:bookmarkEnd w:id="555"/>
    </w:p>
    <w:p>
      <w:pPr>
        <w:pStyle w:val="BookText"/>
        <w:rPr/>
      </w:pPr>
      <w:r>
        <w:rPr>
          <w:rFonts w:ascii="Amiri" w:hAnsi="Amiri" w:eastAsia="Amiri" w:cs="Amiri"/>
          <w:color w:val="111111"/>
          <w:sz w:val="28"/>
          <w:sz w:val="28"/>
          <w:szCs w:val="28"/>
          <w:rtl w:val="true"/>
          <w:lang w:bidi="ar-SA"/>
        </w:rPr>
        <w:t xml:space="preserve">وقد استدلّ به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المبتدئة ليس لها سنّة إلاّ الرجوع إلى الأيّام ، وإنّما التمييز سنّة المضطربة خاصّة</w:t>
      </w:r>
      <w:r>
        <w:rPr>
          <w:rStyle w:val="FootnoteAnchor"/>
          <w:rtl w:val="true"/>
        </w:rPr>
        <w:footnoteReference w:id="9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وإن كان يوهمه بعض فقرات المرسلة ، لكنّ التأمّل الصادق في مجموعها يدفع ذلك ، فلا بأس ببيان بعض فقرات الحديث حتّى يتّضح الحال </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فنقول أوّلاً على نحو الإجمال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الظاهر منها أنّ رسول اللّه صلی الله علیه و آله وسلم أجاب عن ثلاث وقائع شخصية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وردت اثنتان منها عليه لفاطمة بنت أبي حبيش ؛ إن كانت </w:t>
      </w:r>
    </w:p>
    <w:p>
      <w:pPr>
        <w:pStyle w:val="BookText"/>
        <w:rPr/>
      </w:pPr>
      <w:r>
        <w:rPr>
          <w:rFonts w:ascii="IRNazanin" w:hAnsi="IRNazanin" w:eastAsia="IRNazanin"/>
          <w:color w:val="111111"/>
          <w:sz w:val="28"/>
          <w:sz w:val="28"/>
          <w:szCs w:val="28"/>
          <w:rtl w:val="true"/>
          <w:lang w:bidi="fa-IR"/>
        </w:rPr>
        <w:t xml:space="preserve">الواقعتان لمرأة واحدة في حالتين مختلفتين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ويحتمل أن تكون فاطمة بنت أبي حبيش اثنتين ، كما ربّما يشعر به بعض فقرات المرسلة ، كقوله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تسمع رسول اللّه صلی الله علیه و آله وسلم أمر هذه بغير ما أمر به تلك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فهذا يبيّن أنّ هذه امرأة قد اختلط عليها أيّامها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والواقعة الثالثة هي واقعة حمنة بنت جحش ، لكنّ الصادق علیه السلام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صلی الله علیه و آله وسلم بيّن في هذه السنن كلّ مشكل لمن سمعها وفهمها ، ولم يدعْ لأحدٍ مقالاً فيه بالرأي والاجتهادات الظنّية ، الخارجة عن طريق فهم السنّة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وهذا يبيّن أنّ فهم القواعد الكلّية من بعض القضايا الشخصية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بإلغاء الخصوصيات 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من الاجتهاد الممنوع والمقال بالرأي ، كما أفاد أبو عبداللّه علیه السلام طريقه في هذه الرواية ، ونبّه على طريق الاستفادة واستنباط الأحكام الكلّية من السنّة ، كما هو الطريق المألوف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الظاهر من قول السائل لأبي عبداللّه علیه السلام عن الحيض والسنّة في وقته ، هو أنّ السؤال إنّما كان عن السنّة في تعيين وقت الحيض ، لا عن موضوعه ، ولا عن حكمه ، وإنّما يصحّ هذا السؤال فيما إذا اختلط الحيض بغيره ؛ ولم يعلم أنّ الدم الخارج أيُّ مقدار منه حيض ، وأيُّ الأيّام أيّامه ووقته ، فأجاب بما هو مناسب لشبهته ببيان السنن الثلاث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السنن كفيلة لرفع الشبهة الواقعة في وقت الحيض فيما إذا اختلط الحيض بالاستحاضة ، فبمقتضى سوق الرواية والحصر في السنن الثلاث ، لا بدّ من دخولِ سنن جميع أقسام المستحاضة في الرواية الشريفة ؛ واستفادةِ حكم جميع حالات المستحاضة منها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الظاهر منها في السنن الثلاث ، أنّ إرجاع كلٍّ منهنّ إلى سنّة ليس لأجل اختصاص السنّة بها ، بل لأجل اختصاص مرجعها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الرجوع إلى العادة ليس مختصّاً بذات العادة التي استمرّ بها الدم مع علمها بعادتها ، بل ذات العادة الكذائية لا مرجع لها إلاّ عادتها ، كما نصّ</w:t>
      </w:r>
    </w:p>
    <w:p>
      <w:pPr>
        <w:pStyle w:val="BookText"/>
        <w:rPr/>
      </w:pPr>
      <w:r>
        <w:rPr>
          <w:rFonts w:ascii="Amiri" w:hAnsi="Amiri" w:eastAsia="Amiri" w:cs="Amiri"/>
          <w:color w:val="111111"/>
          <w:sz w:val="28"/>
          <w:sz w:val="28"/>
          <w:szCs w:val="28"/>
          <w:rtl w:val="true"/>
          <w:lang w:bidi="ar-SA"/>
        </w:rPr>
        <w:t xml:space="preserve">عليه في الرواية ، وكذا الحال في السنّتين الاُخرَيين ، فلا يكون الرجوع إلى التمييز مختصّاً بالتي اختلط عليها أيّامها ، بل التي اختلط عليها أيّامها ولا يكون دمها على لون واحد وحالة واحدة ، لا مرجع لها إلاّ الرجوع إلى التمييز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المبتدئة التي سيأتي الكلام فيها في ذيل الحديث</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لا إشكال في أنّ ذاتَ العادة مع إحصائها أيّام حيضها وعدم اختلاط فيها وعلمها بها ، مرجعُها إلى عادتها ، ويأتي الكلام فيها في محلّه</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ونحن الآن بصدد بيان السنّة الثانية والثالثة ، 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سنّة التي قد كانت لها أيّام متقدّمة ، ثمّ اختلط عليها من طول الدم ، فزادت ونقصت حتّى أغفلت عددها وموضعها من الشهر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فيه احتمالان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ممّا ذكر هي الناسية ؛ فإنّ طول زمان استمرار الدم ، صار سبباً لغفلتها عن عددها وموضعها من الشهر بعد كون العدد والموضع معلومين لها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استظهر من الرواية كون فاطمة بنت أبي حبيش امرأة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نّها أتت مرّة اُمَّ سلمة في زمان كانت ذاكرة لعدد أيّامها ووقتها من </w:t>
      </w:r>
    </w:p>
    <w:p>
      <w:pPr>
        <w:pStyle w:val="BookText"/>
        <w:rPr/>
      </w:pPr>
      <w:r>
        <w:rPr>
          <w:rFonts w:ascii="IRNazanin" w:hAnsi="IRNazanin" w:eastAsia="IRNazanin"/>
          <w:color w:val="111111"/>
          <w:sz w:val="28"/>
          <w:sz w:val="28"/>
          <w:szCs w:val="28"/>
          <w:rtl w:val="true"/>
          <w:lang w:bidi="fa-IR"/>
        </w:rPr>
        <w:t xml:space="preserve">الشهر ، واُخرى أتت النبي صلی الله علیه و آله وسلم بعد طول مدّة الدم ونسيانها لهما ، كما يشهد به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وكان أبي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استحيضت سبع سنين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منه هي التي كانت لها أوّلاً أيّام مضبوطة ، وكانت ذات عادة مستقرّة عدداً ووقتاً ، ثمّ اختلطت الأيّام ؛ وتقدّمت وتأخّرت ، وزادت ونقصت ، ثمّ استمرّ عليها الدم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لهذا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منع كون فاطمة امرأة واحدة طرأت عليها الحالتان ؛ لما تقدّم من ظهور الرواية في كون ما ذكرت فيها مرأتين مسمّيتين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أباهما كان مكنّىً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 حبيش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زادت ونقصت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الظاهر منه أنّ الزيادة والنقص إنّما عرضتا للأيّام المتقدّمة ، فكانت الأيّام أوّلاً</w:t>
      </w:r>
    </w:p>
    <w:p>
      <w:pPr>
        <w:pStyle w:val="BookText"/>
        <w:rPr/>
      </w:pPr>
      <w:r>
        <w:rPr>
          <w:rFonts w:ascii="Amiri" w:hAnsi="Amiri" w:eastAsia="Amiri" w:cs="Amiri"/>
          <w:color w:val="111111"/>
          <w:sz w:val="28"/>
          <w:sz w:val="28"/>
          <w:szCs w:val="28"/>
          <w:rtl w:val="true"/>
          <w:lang w:bidi="ar-SA"/>
        </w:rPr>
        <w:t xml:space="preserve">مضبوطة غير مختلفة ، ثمّ صارت مختلفة ؛ ناقصة تارة ، وزائدة اُخرى ، وهذا المعنى لا يتصوّر في مستمرّة الدم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قوله فيما بعد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اختلطت الأيّام عليها ، وتقدّمت وتأخّرت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التقدُّم والتأخّر المنسوبين إلى الأيّام لا يتصوّران إلاّ قبل استمرار الدم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ويشهد بذلك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أغفلت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أغفل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أهمله وتركه ،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r>
        <w:rPr>
          <w:rStyle w:val="FootnoteAnchor"/>
          <w:rtl w:val="true"/>
        </w:rPr>
        <w:footnoteReference w:id="961"/>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أغفلتُ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تركتَه على ذِكر منك</w:t>
      </w:r>
      <w:r>
        <w:rPr>
          <w:rFonts w:eastAsia="Amiri" w:cs="Amiri" w:ascii="Amiri" w:hAnsi="Amiri"/>
          <w:color w:val="111111"/>
          <w:sz w:val="28"/>
          <w:szCs w:val="28"/>
          <w:rtl w:val="true"/>
          <w:lang w:bidi="ar-SA"/>
        </w:rPr>
        <w:t>»</w:t>
      </w:r>
      <w:r>
        <w:rPr>
          <w:rStyle w:val="FootnoteAnchor"/>
          <w:rtl w:val="true"/>
        </w:rPr>
        <w:footnoteReference w:id="962"/>
      </w:r>
      <w:r>
        <w:rPr>
          <w:rFonts w:ascii="Amiri" w:hAnsi="Amiri" w:eastAsia="Amiri" w:cs="Amiri"/>
          <w:color w:val="111111"/>
          <w:sz w:val="28"/>
          <w:sz w:val="28"/>
          <w:szCs w:val="28"/>
          <w:rtl w:val="true"/>
          <w:lang w:bidi="ar-SA"/>
        </w:rPr>
        <w:t xml:space="preserve">، فالعدول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غَفَلت عن عددها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أغفلت عددها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أنّ أيّامها كانت مضبوطة ، وكانت آخذة بعددها وموضعها من الشهر ، ثمّ </w:t>
      </w:r>
    </w:p>
    <w:p>
      <w:pPr>
        <w:pStyle w:val="BookText"/>
        <w:rPr/>
      </w:pPr>
      <w:r>
        <w:rPr>
          <w:rFonts w:ascii="Amiri" w:hAnsi="Amiri" w:eastAsia="Amiri" w:cs="Amiri"/>
          <w:color w:val="111111"/>
          <w:sz w:val="28"/>
          <w:sz w:val="28"/>
          <w:szCs w:val="28"/>
          <w:rtl w:val="true"/>
          <w:lang w:bidi="ar-SA"/>
        </w:rPr>
        <w:t xml:space="preserve">اختلطت ؛ فزادت ونقصت ، وتقدّمت وتأخّرت ، حتّى تركت الأيّام المضبوطة وأهملتها ، فحينئذٍ تكون الرواية متعرّضة لقسم من المضطربة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ينافي ما ذكرناه بعض فقراتها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امرأة قد اختلط عليها أيّامها ؛ لم تعرف عددها ولا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مختلطة الأيّام بما ذكرنا أيضاً لا تعرف عددَها ؛ لأنّ أيّامها زادت ونقصت ، ولا وقتها ؛ لتقدّمها وتأخّرها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يبعد أن يكون أرجح الاحتمالين هو الثاني ، كما استظهر المحقّق الخونساري ظاهراً </w:t>
      </w:r>
      <w:r>
        <w:rPr>
          <w:rStyle w:val="FootnoteAnchor"/>
          <w:rtl w:val="true"/>
        </w:rPr>
        <w:footnoteReference w:id="963"/>
      </w:r>
      <w:r>
        <w:rPr>
          <w:rFonts w:ascii="Amiri" w:hAnsi="Amiri" w:eastAsia="Amiri" w:cs="Amiri"/>
          <w:color w:val="111111"/>
          <w:sz w:val="28"/>
          <w:sz w:val="28"/>
          <w:szCs w:val="28"/>
          <w:rtl w:val="true"/>
          <w:lang w:bidi="ar-SA"/>
        </w:rPr>
        <w:t xml:space="preserve">وإن ضعّفه شيخنا الأعظم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عدّة مواضع من الرواية تأبى عن ذلك</w:t>
      </w:r>
      <w:r>
        <w:rPr>
          <w:rFonts w:eastAsia="Amiri" w:cs="Amiri" w:ascii="Amiri" w:hAnsi="Amiri"/>
          <w:color w:val="111111"/>
          <w:sz w:val="28"/>
          <w:szCs w:val="28"/>
          <w:rtl w:val="true"/>
          <w:lang w:bidi="ar-SA"/>
        </w:rPr>
        <w:t>»</w:t>
      </w:r>
      <w:r>
        <w:rPr>
          <w:rStyle w:val="FootnoteAnchor"/>
          <w:rtl w:val="true"/>
        </w:rPr>
        <w:footnoteReference w:id="964"/>
      </w:r>
      <w:r>
        <w:rPr>
          <w:rFonts w:ascii="IRNazanin" w:hAnsi="IRNazanin" w:eastAsia="IRNazanin"/>
          <w:color w:val="111111"/>
          <w:sz w:val="28"/>
          <w:sz w:val="28"/>
          <w:szCs w:val="28"/>
          <w:rtl w:val="true"/>
          <w:lang w:bidi="fa-IR"/>
        </w:rPr>
        <w:t xml:space="preserve">ولم تتّضح موارد الإباء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 ربّما يأباه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اختلط عليها من طول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الظاهر منه أنّ طول الدم واستمراره صار سبباً للاختلاط ، وهو لا ينطبق إلاّ على النسيان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طول استمراره ، بل المراد أنّ طول سني رؤيته أوجب الاختلاط ؛ لأنّ في أوائل الأمر لمّا كانت الرحم معتدلة سليمة ، كانت تقذف مضبوطاً عدداً ووقتاً ، ثمّ بعد طول الزمان صارت ضعيفة ، فخرج قذفها عن الاعتدال والانضباط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التوجيه وإن كان لا</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يخلو من خلاف ظاهر ، لكنّه أهون من رفعِ اليد 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زادت ونقصت وتقدّمت وتأخّرت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توجيهِه بوجه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أن يكون التعبير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طول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لإفادة ذلك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وكيف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فيظهر من التأمّل في فقرات الرواية ، أنّ أبا عبداللّه الصادق علیه السلام استشهد على حكمِ من كان لها أيّام متقدّمة ، ثمّ اختلطت عليها ، كما هو مفروض كلامه بالسنّة التي سنّ رسول اللّه صلی الله علیه و آله وسلم في واقعة فاطمة ؛ باعتبار عدم إرجاعِها إلى العادة ، وإرجاعِها إلى التمييز ، فاستفاد من ذلك أنّ هذه امرأة اختلط عليها أيّامها ؛ لم تعرف عددها ولا وقتها ؛ ممّا هي معتبرة في الرجوع إلى العادة ، فعدم الإرجاع إليها شاهد على اختلاط الأيّام وعدم معرفتها بها ؛ وإن لم يكن شاهداً على كون الاختلاط بعد ما كانت لها أيّام مضبوطة متقدّمة أوّلاً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ففتوى الصادق علیه السلام في الامرأة التي كانت لها أيّام متقدّمة ثمّ اختلطت ، لم تكن لأجل معلومية أنّ فاطمة بنت أبي حبيش كانت كذلك ، بل لأجل معلوميةِ اختلاط أيّامها ، وعدمِ معرفتها بها ، وكونِ دمها ذا تميّز ؛ وإن لم يعلم أ نّها كانت ذات عادة منضبطة ، ثمّ اختلطت أيّامها ، كما يظهر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فهذا يبيّن أنّ هذه امرأة قد اختلط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إلى آخره ، فمن أجل ذلك يستفاد أنّ تمام الموضوع للرجوع إلى الصفات ، هو الاختلاط وعدم المعرفة مع كون الدم ذا تميّز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يظهر من التعبيرات المختلفة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 كانت لها أيّام متقدّمة ، ثمّ اختلط عليها</w:t>
      </w:r>
      <w:r>
        <w:rPr>
          <w:rFonts w:eastAsia="Amiri" w:cs="Amiri" w:ascii="Amiri" w:hAnsi="Amiri"/>
          <w:color w:val="111111"/>
          <w:sz w:val="28"/>
          <w:szCs w:val="28"/>
          <w:rtl w:val="true"/>
          <w:lang w:bidi="ar-SA"/>
        </w:rPr>
        <w:t>»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امرأة قد اختلط عليها أيّامها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ذكر للأيّام المتقدّمة ، وثالثة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جهلت الأيّام وعددها احتاجت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يعتبر في الرجوع إلى التمييز إلاّ عدم إمكان الرجوع إلى العادة ؛ سواء كان لفقدانها ، أو اختلاطها ، أو نسيانها ، أو غير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وممّا يبيّن ذلك ، التأمّل الصادق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فلهذا احتاجت إلى أن تعرف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كانت تعرف أيّامها ما احتاجت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 فإنّ المتفاهم عرفاً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الاحتياج إلى معرفة لون الدم ، إنّما هو فيما قصرت يدها عن الأمارة التي هي أقوى منها عرفاً وشرعاً ، وأنّ الرجوع إلى التمييز لأجل أنّ دم الحيض أسود يعرف ، فأمارية الصفات أوجبت الإرجاع إليها عند فقد الأمارة المتقدّمة عليها قوّة وكشفاً ؛ من غير دخل لتقدّم الأيّام وعدمه أو اختلاطها وعدمه في ذلك ، فموضوع الإرجاع عرفاً هو وجدان هذه الأمارة وفقدان ما هي أقوى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فرض كون المرأة مبتدئة ذات تمييز ، يفهم من التأمّل في الفقرات أنّ تكليفها الرجوع إلى التمييز ، وعند فقدانه يكون تكليفها غير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السنّة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وإن كان يوهم بعض فقرات الرواية كونها للمبتدئة ؛ كانت ذات تمييز أو لا ، لكنّ التأمّل في جميع فقراتها يدفع هذا الوهم ؛ فإنّ الظاهر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صلی الله علیه و آله وسلم سنّ في ثلاث وقائع شخصية ثلاث سنن ، يفهم منها جميع حالات المستحاضة ، فجميع حالات المستحاضة تدور على هذه السنن ، لا أنّ المستحاضة تنحصر في الموارد الثلاثة التي وردت على النبي صلی الله علیه و آله وسلم وبيّن أحكامها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 وردت السنّة الثالثة </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بحسب الواقعة الشخصية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لم تَرَ الدم ، ورأت أوّل ما أدركت ، واستمرّ بها ، وكانت كثيرة الدم ، وكان دمها ذا دفع وشدّة ، وعلى لون واحد وحالة واحدة ، كما يستفاد من قولها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أثجّه ثجّاً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به في آخر الرواية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فالمستفاد من جميع المرسلة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السنّة الثالثة وإن وردت فيمن رأت الدم أوّل ما أدركت ، واستمرّ بها على لون واحد ؛ بحسب الواقعة الشخصية والقضيّة الخارجية ، لكنّها سنّة لكلّ من لم تكن لها عادة ولا تمييز ، كما ينادي به قوله في آخر الرواية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لم يكن الأمر كذلك ، ولكنّ الدم أطبق عليها ؛ فلم تزل الاستحاضة دارّة ، وكان الدم على لون واحد وحالة واحدة ، فسنّتها السبع والثلاث والعشرون ؛ لأنّ قصّتها قصّة حمنة حين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أثجّه ثجّاً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فيستفاد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من كانت قصّتها كقصّة حمنة من هذه الحيثية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إطباق</w:t>
      </w:r>
    </w:p>
    <w:p>
      <w:pPr>
        <w:pStyle w:val="BookText"/>
        <w:rPr/>
      </w:pPr>
      <w:r>
        <w:rPr>
          <w:rFonts w:ascii="Amiri" w:hAnsi="Amiri" w:eastAsia="Amiri" w:cs="Amiri"/>
          <w:color w:val="111111"/>
          <w:sz w:val="28"/>
          <w:sz w:val="28"/>
          <w:szCs w:val="28"/>
          <w:rtl w:val="true"/>
          <w:lang w:bidi="ar-SA"/>
        </w:rPr>
        <w:t xml:space="preserve">الدم ؛ وكونه على لون واحد وحالة واحدة المستفادة من قولها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أثجّه ثجّاً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تكون سنّتها كسنّتها ، ولا تكون السنّة التي وردت لها ، مختصّة بها وبمن رأت الدم أوّل ما أدركت ، بل الميزان في قصّتها هو الاستمرار وعدم تغيّره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جميع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المستحاضة لا تخلو إمّا أن تكون ذات عادة معلومة قد أحصتها بلا اختلاط عليها ، أو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مرجعها إلى العادة لا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تكون ذات تميّز وتغيّر في لون الدم وحالاته ، أو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مرجعها إلى التمييز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السبع والثلاث والعشرين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تخلو مستحاضة من تلك الحالات ، ويستفاد جميع سنن المستحاضة وحالاتها من السنن الثلاث بعد التأمّل التامّ والتدبّر الصادق في فقراتها ، كما قال</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أوّل الرواية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 كلّ مشكل لمن سمعها وفهمها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أفاد علیه السلام طريق </w:t>
      </w:r>
      <w:bookmarkStart w:id="556" w:name="pg15019_190890"/>
    </w:p>
    <w:p>
      <w:pPr>
        <w:pStyle w:val="BookText"/>
        <w:rPr/>
      </w:pPr>
      <w:bookmarkEnd w:id="556"/>
      <w:r>
        <w:rPr>
          <w:rFonts w:ascii="IRNazanin" w:hAnsi="IRNazanin" w:eastAsia="IRNazanin"/>
          <w:color w:val="111111"/>
          <w:sz w:val="28"/>
          <w:sz w:val="28"/>
          <w:szCs w:val="28"/>
          <w:rtl w:val="true"/>
          <w:lang w:bidi="fa-IR"/>
        </w:rPr>
        <w:t xml:space="preserve">الاستفادة من قول رسول اللّه 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يخفى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عبداللّه علیه السلام إنّما أرشد السائلين إلى طريق الاستفادة من كلام رسول اللّه صلی الله علیه و آله وسلم وأبي جعفر علیه السلام لفتح باب الاجتهاد عليهم ، لا أنّ طريق علمه بالأحكام هو هذا النحو من الاجتهادات الظنّية والاستظهارات العرفية ، كما هو مقتضى اُصول المذهب </w:t>
      </w:r>
      <w:r>
        <w:rPr>
          <w:rFonts w:eastAsia="IRNazanin" w:cs="IRNazanin"/>
          <w:color w:val="111111"/>
          <w:sz w:val="28"/>
          <w:szCs w:val="28"/>
          <w:rtl w:val="true"/>
          <w:lang w:bidi="fa-IR"/>
        </w:rPr>
        <w:t>.</w:t>
      </w:r>
    </w:p>
    <w:p>
      <w:pPr>
        <w:pStyle w:val="Heading6"/>
        <w:numPr>
          <w:ilvl w:val="5"/>
          <w:numId w:val="1"/>
        </w:numPr>
        <w:rPr/>
      </w:pPr>
      <w:bookmarkStart w:id="557" w:name="__RefHeading___Toc686568_3406789950"/>
      <w:bookmarkStart w:id="558" w:name="_Toc202"/>
      <w:bookmarkEnd w:id="557"/>
      <w:r>
        <w:rPr>
          <w:rtl w:val="true"/>
        </w:rPr>
        <w:t>رواية سماعة وموثّقة ابن بكير</w:t>
      </w:r>
      <w:bookmarkEnd w:id="558"/>
    </w:p>
    <w:p>
      <w:pPr>
        <w:pStyle w:val="BookText"/>
        <w:rPr/>
      </w:pPr>
      <w:r>
        <w:rPr>
          <w:rFonts w:ascii="Amiri" w:hAnsi="Amiri" w:eastAsia="Amiri" w:cs="Amiri"/>
          <w:color w:val="111111"/>
          <w:sz w:val="28"/>
          <w:sz w:val="28"/>
          <w:szCs w:val="28"/>
          <w:rtl w:val="true"/>
          <w:lang w:bidi="ar-SA"/>
        </w:rPr>
        <w:t xml:space="preserve">وممّا تمسّك به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لمذهبه</w:t>
      </w:r>
      <w:r>
        <w:rPr>
          <w:rStyle w:val="FootnoteAnchor"/>
          <w:rtl w:val="true"/>
        </w:rPr>
        <w:footnoteReference w:id="965"/>
      </w:r>
      <w:r>
        <w:rPr>
          <w:rFonts w:ascii="Amiri" w:hAnsi="Amiri" w:eastAsia="Amiri" w:cs="Amiri"/>
          <w:color w:val="111111"/>
          <w:sz w:val="28"/>
          <w:sz w:val="28"/>
          <w:szCs w:val="28"/>
          <w:rtl w:val="true"/>
          <w:lang w:bidi="ar-SA"/>
        </w:rPr>
        <w:t xml:space="preserve">رواية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جارية حاضت أوّل حيضها ، فدام دمها ثلاثة أشهر ، وهي لا تعرف أيّام أقرائها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أقراؤها مثل أقراء نسائها ، فإن كانت نساؤها مختلفات فأكثر جلوسها عشرة أيّام ، وأقلّه ثلاثة أيّام</w:t>
      </w:r>
      <w:r>
        <w:rPr>
          <w:rFonts w:eastAsia="Amiri" w:cs="Amiri" w:ascii="Amiri" w:hAnsi="Amiri"/>
          <w:color w:val="111111"/>
          <w:sz w:val="28"/>
          <w:szCs w:val="28"/>
          <w:rtl w:val="true"/>
          <w:lang w:bidi="ar-SA"/>
        </w:rPr>
        <w:t>»</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وموثّقة عبداللّه بن بكير عن أبي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إذا رأت الدم في أوّل حيضها فاستمرّ بها الدم بعد ذلك ، تركت الصلاة عشرة أيّام ، ثمّ تصلّي عشرين يوماً ، فإن استمرّ بها الدم بعد ذلك تركت الصلاة ثلاثة أيّام ، وصلّت سبعة وعشرين يوماً</w:t>
      </w:r>
      <w:r>
        <w:rPr>
          <w:rFonts w:eastAsia="IRNazanin" w:cs="IRNazanin"/>
          <w:color w:val="111111"/>
          <w:sz w:val="28"/>
          <w:szCs w:val="28"/>
          <w:rtl w:val="true"/>
          <w:lang w:bidi="fa-IR"/>
        </w:rPr>
        <w:t>»</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لأدلّة الأوصاف نحو حكومة عليهما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على الاُولى فظاهر ؛ لأنّ السؤال عمّن لا تعرف أيّام أقرائها ، ولسان روايات الأوصاف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دم الحيض أسود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دم الحيض ليس به خفاء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أ نّه مع الأوصاف تخرج المرأة عن موضوع عدم المعرفة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الظاهر منها أنّ ترك الصلاة عشرة أيّام في الدورة الاُولى وثلاثة أيّام فيما بعدها ، ليس لأجل كونها حيضاً ، بل هو حكم تعبّدي لدى التحيّر في معرفة أيّامها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له قول ابن بكير في روايته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يبعد أن تكون عين الاُولى ، ويكون الاختلاف في النقل ،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نقلها بجميع ألفاظها ، 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اقتصر على جوهر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مضى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عشرة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ما تفعله المستحاضة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في ذيلها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وجعلت وقت طهرِها أكثرَ ما يكون من الطهر ، وتركِها للصلاة أقلَّ ما يكون من الحيض</w:t>
      </w:r>
      <w:r>
        <w:rPr>
          <w:rFonts w:eastAsia="Amiri" w:cs="Amiri" w:ascii="Amiri" w:hAnsi="Amiri"/>
          <w:color w:val="111111"/>
          <w:sz w:val="28"/>
          <w:szCs w:val="28"/>
          <w:rtl w:val="true"/>
          <w:lang w:bidi="ar-SA"/>
        </w:rPr>
        <w:t>»</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هذه الفقرات ، هو أنّ الحيض والاستحاضة لمّا لم يكونا معلومين وكانا مختلطين ، وجب عليها التحيّض في أيّام والصلاة في اُخرى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نظير قوله في مرسلة يونس المتقدّمة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تحيّضي في علم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فلسان الروايتين لسان الأصل ، ولسان أدلّة الأوصاف لسان الأمارة ، فتكون حاكمة عليهما </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التنبيه على اُمور </w:t>
      </w:r>
      <w:r>
        <w:rPr>
          <w:rFonts w:eastAsia="Amiri" w:cs="Amiri" w:ascii="Amiri" w:hAnsi="Amiri"/>
          <w:color w:val="111111"/>
          <w:sz w:val="28"/>
          <w:szCs w:val="28"/>
          <w:rtl w:val="true"/>
          <w:lang w:bidi="ar-SA"/>
        </w:rPr>
        <w:t xml:space="preserve">: </w:t>
      </w:r>
      <w:bookmarkStart w:id="559" w:name="pg15019_190892"/>
    </w:p>
    <w:p>
      <w:pPr>
        <w:pStyle w:val="Heading6"/>
        <w:numPr>
          <w:ilvl w:val="5"/>
          <w:numId w:val="1"/>
        </w:numPr>
        <w:rPr/>
      </w:pPr>
      <w:bookmarkStart w:id="560" w:name="__RefHeading___Toc686570_3406789950"/>
      <w:bookmarkStart w:id="561" w:name="_Toc203"/>
      <w:bookmarkEnd w:id="559"/>
      <w:bookmarkEnd w:id="560"/>
      <w:r>
        <w:rPr>
          <w:rtl w:val="true"/>
        </w:rPr>
        <w:t>الأمر الأوّل في شرائط الرجوع إلى التمييز</w:t>
      </w:r>
      <w:bookmarkEnd w:id="561"/>
    </w:p>
    <w:p>
      <w:pPr>
        <w:pStyle w:val="BookText"/>
        <w:rPr/>
      </w:pPr>
      <w:r>
        <w:rPr>
          <w:rFonts w:ascii="Amiri" w:hAnsi="Amiri" w:eastAsia="Amiri" w:cs="Amiri"/>
          <w:color w:val="111111"/>
          <w:sz w:val="28"/>
          <w:sz w:val="28"/>
          <w:szCs w:val="28"/>
          <w:rtl w:val="true"/>
          <w:lang w:bidi="ar-SA"/>
        </w:rPr>
        <w:t xml:space="preserve">يشترط في الرجوع إلى التمييز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ينقص ما شابه دم الحيض عن ثلاثة أيّام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يزيد على عشرة أيّام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نقصان ما شابه الاستحاضة عن عشرة أيّام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جواز جعل ما شابه الحيض حيضاً ؛ إذا نقص عن ثلاثة أيّام أو زاد عن عشرة ، وعدم جواز جعل الطهر بين الحيضتين أقلّ من عشرة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ينبغي الإشكال فيه ؛ لما دلّ من المستفيضة على أنّ الحيض لا يكون أقلّ من ثلاثة أيّام ، ولا أكثرَ من عشرة أيّام</w:t>
      </w:r>
      <w:r>
        <w:rPr>
          <w:rStyle w:val="FootnoteAnchor"/>
          <w:rtl w:val="true"/>
        </w:rPr>
        <w:footnoteReference w:id="969"/>
      </w:r>
      <w:r>
        <w:rPr>
          <w:rFonts w:ascii="Amiri" w:hAnsi="Amiri" w:eastAsia="Amiri" w:cs="Amiri"/>
          <w:color w:val="111111"/>
          <w:sz w:val="28"/>
          <w:sz w:val="28"/>
          <w:szCs w:val="28"/>
          <w:rtl w:val="true"/>
          <w:lang w:bidi="ar-SA"/>
        </w:rPr>
        <w:t>، وما دلّ على أنّ الطهر لا يكون أقلَّ من عشرة أيّام</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62" w:name="__RefHeading___Toc686572_3406789950"/>
      <w:bookmarkStart w:id="563" w:name="_Toc204"/>
      <w:bookmarkEnd w:id="562"/>
      <w:r>
        <w:rPr>
          <w:rtl w:val="true"/>
        </w:rPr>
        <w:t xml:space="preserve">مختار صاحب </w:t>
      </w:r>
      <w:r>
        <w:rPr>
          <w:rtl w:val="true"/>
        </w:rPr>
        <w:t>«</w:t>
      </w:r>
      <w:r>
        <w:rPr>
          <w:rtl w:val="true"/>
        </w:rPr>
        <w:t>الحدائق</w:t>
      </w:r>
      <w:r>
        <w:rPr>
          <w:rtl w:val="true"/>
        </w:rPr>
        <w:t xml:space="preserve">» </w:t>
      </w:r>
      <w:r>
        <w:rPr>
          <w:rtl w:val="true"/>
        </w:rPr>
        <w:t>في المقام ونقده</w:t>
      </w:r>
      <w:bookmarkEnd w:id="563"/>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الأدلّة حاكمة على أدلّة الأوصاف ؛ لأنّ جعل الأمارة إنّما هو بعد الفراغ عن إمكان الحيض الواقعي واحتمال وجوده ، وهذه الأدلّة تحديد لواقع الحيض ، وليست الأمارة إلاّ كاشفة عمّا يمكن أن يكون حيضاً ويحتمل تحقّقه ، </w:t>
      </w:r>
    </w:p>
    <w:p>
      <w:pPr>
        <w:pStyle w:val="BookText"/>
        <w:rPr/>
      </w:pPr>
      <w:r>
        <w:rPr>
          <w:rFonts w:ascii="Amiri" w:hAnsi="Amiri" w:eastAsia="Amiri" w:cs="Amiri"/>
          <w:color w:val="111111"/>
          <w:sz w:val="28"/>
          <w:sz w:val="28"/>
          <w:szCs w:val="28"/>
          <w:rtl w:val="true"/>
          <w:lang w:bidi="ar-SA"/>
        </w:rPr>
        <w:t xml:space="preserve">وهذه الروايات ترفع الموضوع وتخرجه عمّا يمكن فيه ذلك ، فهي بلسانها مقدّمة على لسان الأمارات عرفاً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ذهب إليه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971"/>
      </w:r>
      <w:r>
        <w:rPr>
          <w:rFonts w:ascii="Amiri" w:hAnsi="Amiri" w:eastAsia="Amiri" w:cs="Amiri"/>
          <w:color w:val="111111"/>
          <w:sz w:val="28"/>
          <w:sz w:val="28"/>
          <w:szCs w:val="28"/>
          <w:rtl w:val="true"/>
          <w:lang w:bidi="ar-SA"/>
        </w:rPr>
        <w:t xml:space="preserve">من أ نّها تتحيّض بالأقلّ والأكثر ؛ زاعماً أنّ ذلك مقتضى إطلاق الروايات ، بل مقتضى قوله في مرسلة يونس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من قليل الأيّام وكثيره</w:t>
      </w:r>
      <w:r>
        <w:rPr>
          <w:rFonts w:eastAsia="Amiri" w:cs="Amiri" w:ascii="Amiri" w:hAnsi="Amiri"/>
          <w:color w:val="111111"/>
          <w:sz w:val="28"/>
          <w:szCs w:val="28"/>
          <w:rtl w:val="true"/>
          <w:lang w:bidi="ar-SA"/>
        </w:rPr>
        <w:t>»</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مردود ؛ ضرورة أنّ أدلّة التحديد الحاكمة على أدلّة الصفات ، توجب تحديد القليل والكثير بأيّام إمكان الحيض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ظهر حال ما تمسّك به لردّ الشرط الثالث ، وهو بلوغ الدم 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أو مع النقاء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أيّام ، قائلاً </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ذلك لا دليل عليه ، بل ظاهر الأخبار يردُّه ، كموثّقة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الصادق علیه السلام عن المرأة ترى الدم خمسة أيّام ، والطهرَ خمسةَ أيّام ، وترى الدم أربعة أيّام ، وترى الطهرَ ستّةَ أيّام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رأت الدم لم تصلِّ ، وإن رأت الطهر صلّت ما بينها وبين ثلاثين يوماً ، فإذا مضت ثلاثون يوماً </w:t>
      </w:r>
      <w:r>
        <w:rPr>
          <w:rFonts w:eastAsia="IRNazanin" w:cs="IRNazanin"/>
          <w:color w:val="111111"/>
          <w:sz w:val="28"/>
          <w:szCs w:val="28"/>
          <w:rtl w:val="true"/>
          <w:lang w:bidi="fa-IR"/>
        </w:rPr>
        <w:t>. . .»</w:t>
      </w:r>
      <w:r>
        <w:rPr>
          <w:rStyle w:val="FootnoteAnchor"/>
          <w:rtl w:val="true"/>
        </w:rPr>
        <w:footnoteReference w:id="973"/>
      </w:r>
      <w:r>
        <w:rPr>
          <w:rFonts w:ascii="Amiri" w:hAnsi="Amiri" w:eastAsia="Amiri" w:cs="Amiri"/>
          <w:color w:val="111111"/>
          <w:sz w:val="28"/>
          <w:sz w:val="28"/>
          <w:szCs w:val="28"/>
          <w:rtl w:val="true"/>
          <w:lang w:bidi="ar-SA"/>
        </w:rPr>
        <w:t>إلى آخره ، وقريب منها موثّقة يونس بن يعقوب</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والروايتان صحيحتان ، وتوصيفهما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 نّه في غير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 الدليل عليه</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تمسّكه بالروايتين ، ففيه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مفادهما غير ما نحن فيه ؛ لظهورهما في حصول النقاء ، لا في استمرار الدم واختلاف الألوان </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في محلّه ما هو مفادهما </w:t>
      </w:r>
      <w:r>
        <w:rPr>
          <w:rStyle w:val="FootnoteAnchor"/>
          <w:rtl w:val="true"/>
        </w:rPr>
        <w:footnoteReference w:id="977"/>
      </w:r>
      <w:r>
        <w:rPr>
          <w:rFonts w:ascii="Amiri" w:hAnsi="Amiri" w:eastAsia="Amiri" w:cs="Amiri"/>
          <w:color w:val="111111"/>
          <w:sz w:val="28"/>
          <w:sz w:val="28"/>
          <w:szCs w:val="28"/>
          <w:rtl w:val="true"/>
          <w:lang w:bidi="ar-SA"/>
        </w:rPr>
        <w:t>، وقد حملهما الشيخ على محمل صحيح</w:t>
      </w:r>
      <w:r>
        <w:rPr>
          <w:rStyle w:val="FootnoteAnchor"/>
          <w:rtl w:val="true"/>
        </w:rPr>
        <w:footnoteReference w:id="978"/>
      </w:r>
      <w:r>
        <w:rPr>
          <w:rFonts w:ascii="Amiri" w:hAnsi="Amiri" w:eastAsia="Amiri" w:cs="Amiri"/>
          <w:color w:val="111111"/>
          <w:sz w:val="28"/>
          <w:sz w:val="28"/>
          <w:szCs w:val="28"/>
          <w:rtl w:val="true"/>
          <w:lang w:bidi="ar-SA"/>
        </w:rPr>
        <w:t xml:space="preserve">، وبيّن المحقّق ما هو المحمل فيهما </w:t>
      </w:r>
      <w:r>
        <w:rPr>
          <w:rStyle w:val="FootnoteAnchor"/>
          <w:rtl w:val="true"/>
        </w:rPr>
        <w:footnoteReference w:id="979"/>
      </w:r>
      <w:r>
        <w:rPr>
          <w:rFonts w:ascii="Amiri" w:hAnsi="Amiri" w:eastAsia="Amiri" w:cs="Amiri"/>
          <w:color w:val="111111"/>
          <w:sz w:val="28"/>
          <w:sz w:val="28"/>
          <w:szCs w:val="28"/>
          <w:rtl w:val="true"/>
          <w:lang w:bidi="ar-SA"/>
        </w:rPr>
        <w:t xml:space="preserve">، فلا نعيد </w:t>
      </w:r>
      <w:r>
        <w:rPr>
          <w:rFonts w:eastAsia="Amiri" w:cs="Amiri" w:ascii="Amiri" w:hAnsi="Amiri"/>
          <w:color w:val="111111"/>
          <w:sz w:val="28"/>
          <w:szCs w:val="28"/>
          <w:rtl w:val="true"/>
          <w:lang w:bidi="ar-SA"/>
        </w:rPr>
        <w:t xml:space="preserve">. </w:t>
      </w:r>
      <w:bookmarkStart w:id="564" w:name="pg15019_190895"/>
    </w:p>
    <w:p>
      <w:pPr>
        <w:pStyle w:val="Heading6"/>
        <w:numPr>
          <w:ilvl w:val="5"/>
          <w:numId w:val="1"/>
        </w:numPr>
        <w:rPr/>
      </w:pPr>
      <w:bookmarkStart w:id="565" w:name="__RefHeading___Toc686574_3406789950"/>
      <w:bookmarkStart w:id="566" w:name="_Toc205"/>
      <w:bookmarkEnd w:id="564"/>
      <w:bookmarkEnd w:id="565"/>
      <w:r>
        <w:rPr>
          <w:rtl w:val="true"/>
        </w:rPr>
        <w:t>الأمر الثاني في حكم ما تراه بصفة الحيض أقلّ من ثلاثة أيّام</w:t>
      </w:r>
      <w:bookmarkEnd w:id="566"/>
    </w:p>
    <w:p>
      <w:pPr>
        <w:pStyle w:val="BookText"/>
        <w:rPr/>
      </w:pPr>
      <w:r>
        <w:rPr>
          <w:rFonts w:ascii="Amiri" w:hAnsi="Amiri" w:eastAsia="Amiri" w:cs="Amiri"/>
          <w:color w:val="111111"/>
          <w:sz w:val="28"/>
          <w:sz w:val="28"/>
          <w:szCs w:val="28"/>
          <w:rtl w:val="true"/>
          <w:lang w:bidi="ar-SA"/>
        </w:rPr>
        <w:t xml:space="preserve">إذا فقد الشرط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 ما رأت بصفة الحيض أقلّ من ثلاثة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w:t>
      </w:r>
    </w:p>
    <w:p>
      <w:pPr>
        <w:pStyle w:val="BookText"/>
        <w:rPr/>
      </w:pPr>
      <w:r>
        <w:rPr>
          <w:rFonts w:ascii="Amiri" w:hAnsi="Amiri" w:eastAsia="Amiri" w:cs="Amiri"/>
          <w:color w:val="111111"/>
          <w:sz w:val="28"/>
          <w:sz w:val="28"/>
          <w:szCs w:val="28"/>
          <w:rtl w:val="true"/>
          <w:lang w:bidi="ar-SA"/>
        </w:rPr>
        <w:t>هي فاقدة التمييز ، ولا بدّ لها من الرجوع إلى الأقارب أو الروايات ؛ لو قلنا برجوع الفاقدة إليهما مطلقاً ، أو هي واجدة له في الجملة ؟</w:t>
      </w:r>
    </w:p>
    <w:p>
      <w:pPr>
        <w:pStyle w:val="BookText"/>
        <w:rPr/>
      </w:pPr>
      <w:r>
        <w:rPr>
          <w:rFonts w:ascii="Amiri" w:hAnsi="Amiri" w:eastAsia="Amiri" w:cs="Amiri"/>
          <w:color w:val="111111"/>
          <w:sz w:val="28"/>
          <w:sz w:val="28"/>
          <w:szCs w:val="28"/>
          <w:rtl w:val="true"/>
          <w:lang w:bidi="ar-SA"/>
        </w:rPr>
        <w:t xml:space="preserve">قد يقال بالأوّل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أمارة الحيض في اليومين مثلاً التي يلزم منها كون الثالث حيضاً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دلّ على عدم كون الحيض أقلّ من ثلاثة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معارضة لأمارة الاستحاضة في اليوم الثالث التي يلزم منها كون اليومين أيضاً استحاضة ، فتتساقط الأمارتان ، فهي فاقدة التمييز</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يجاب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بأنّ سوق الأخبار يشهد بورودها لتمييز الحيض عمّا ليس بحيض الذي هو الاستحاضة ، وإنّما ذكر أوصاف الاستحاضة استطراداً لبيان أ نّه ليس بحيض ، فإذا تبيّن كون بعض ما رأته بصفة الاستحاضة حيضاً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كونه مكمّلاً لما علم حيضيته بالأوصاف التي اعتبرها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تنافيه هذه الأدلّة</w:t>
      </w:r>
      <w:r>
        <w:rPr>
          <w:rFonts w:eastAsia="Amiri" w:cs="Amiri" w:ascii="Amiri" w:hAnsi="Amiri"/>
          <w:color w:val="111111"/>
          <w:sz w:val="28"/>
          <w:szCs w:val="28"/>
          <w:rtl w:val="true"/>
          <w:lang w:bidi="ar-SA"/>
        </w:rPr>
        <w:t>»</w:t>
      </w:r>
      <w:r>
        <w:rPr>
          <w:rStyle w:val="FootnoteAnchor"/>
          <w:rtl w:val="true"/>
        </w:rPr>
        <w:footnoteReference w:id="980"/>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لم يتّضح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الاستطراد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المراد أنّ ذكر أوصاف الاستحاضة وقع بعد أوصاف الحيض تبعاً له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تماميته في جميع الروايات ؛ فإنّ في صحيحة معاوية بن عمّار قدّم ذكر الاستحاضة وصفتها على </w:t>
      </w:r>
    </w:p>
    <w:p>
      <w:pPr>
        <w:pStyle w:val="BookText"/>
        <w:rPr/>
      </w:pPr>
      <w:r>
        <w:rPr>
          <w:rFonts w:ascii="Amiri" w:hAnsi="Amiri" w:eastAsia="Amiri" w:cs="Amiri"/>
          <w:color w:val="111111"/>
          <w:sz w:val="28"/>
          <w:sz w:val="28"/>
          <w:szCs w:val="28"/>
          <w:rtl w:val="true"/>
          <w:lang w:bidi="ar-SA"/>
        </w:rPr>
        <w:t>الحيض وصفته</w:t>
      </w:r>
      <w:r>
        <w:rPr>
          <w:rStyle w:val="FootnoteAnchor"/>
          <w:rtl w:val="true"/>
        </w:rPr>
        <w:footnoteReference w:id="9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عدم كون الصفات أمارة ، أو رفع اليد عن أماريتها لدى التعارض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كان المراد أنّ الإمام علیه السلام ليس بصدد بيان أمارية أوصاف الاستحاضة ، بل يكون بصدد أمارية الحيض فقط ، وذكر الأوصاف المقابلة ليس لأجل أماريتها ، بل لبيان فقد أمارة الحيض ، كما يظهر من القائل في خلال كلامه ، فهو غير وجيه ؛ ضرورة ظهور الأدلّة في أمارية كلٍّ من الطائفتين ، ولا يمكن الالتزام بذلك ، خصوصاً في صحيحة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كأ نّه أشرنا سابقاً إلى أولوية أمارية صفات الاستحاضة من صفات الحيض</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لرفع اليد عن ظهور الروايات في أمارية صفاتهما </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يقال في جواب الإشكال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أمارة الاستحاضة فيما نحن فيه ، لا يمكن أن تعارض أمارة الحيض ؛ للعلم بكذب مفادها ، فإنّ المفروض أنّ غير اليومين من أيّام الدم يكون بصفة الاستحاضة ، فالأخذ بدليل صفات الاستحاضة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منه جعل اليومين أيضاً استحاضة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يمكن ؛ للعلم بكون بعض الأيّام حيضاً ، ضرورة اتّفاق النصّ والفتوى على حيضية بعض الدم المستمرّ ، فحينئذٍ تكون الأمارة الدالّة على كون الجميع استحاضةً ، مخالفةً للواقع ، فلا يمكن الأخذ بها ، فتبقى أمارة الحيض في اليومين بلا معارض ، ولازمها تتميم ما نقص </w:t>
      </w:r>
      <w:r>
        <w:rPr>
          <w:rFonts w:eastAsia="Amiri" w:cs="Amiri" w:ascii="Amiri" w:hAnsi="Amiri"/>
          <w:color w:val="111111"/>
          <w:sz w:val="28"/>
          <w:szCs w:val="28"/>
          <w:rtl w:val="true"/>
          <w:lang w:bidi="ar-SA"/>
        </w:rPr>
        <w:t xml:space="preserve">. </w:t>
      </w:r>
      <w:bookmarkStart w:id="567" w:name="pg15019_190897"/>
    </w:p>
    <w:p>
      <w:pPr>
        <w:pStyle w:val="Heading6"/>
        <w:numPr>
          <w:ilvl w:val="5"/>
          <w:numId w:val="1"/>
        </w:numPr>
        <w:rPr/>
      </w:pPr>
      <w:bookmarkStart w:id="568" w:name="__RefHeading___Toc686576_3406789950"/>
      <w:bookmarkStart w:id="569" w:name="_Toc206"/>
      <w:bookmarkEnd w:id="567"/>
      <w:bookmarkEnd w:id="568"/>
      <w:r>
        <w:rPr>
          <w:rtl w:val="true"/>
        </w:rPr>
        <w:t>الكلام في كيفية التتميم</w:t>
      </w:r>
      <w:bookmarkEnd w:id="569"/>
    </w:p>
    <w:p>
      <w:pPr>
        <w:pStyle w:val="BookText"/>
        <w:rPr/>
      </w:pPr>
      <w:r>
        <w:rPr>
          <w:rFonts w:ascii="Amiri" w:hAnsi="Amiri" w:eastAsia="Amiri" w:cs="Amiri"/>
          <w:color w:val="111111"/>
          <w:sz w:val="28"/>
          <w:sz w:val="28"/>
          <w:szCs w:val="28"/>
          <w:rtl w:val="true"/>
          <w:lang w:bidi="ar-SA"/>
        </w:rPr>
        <w:t xml:space="preserve">نعم ، يبقى الكلام في كيفية التتميم ، فقد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بالرجوع إلى عادات النساء أو الروايات ؛ فإنّه لم يعرف من أخبار التمييز إلاّ كون اليومين مثلاً حيضاً في الجملة ، وهذا المقدار من المعرفة ، لا يوجب خروجها من موضوع ما دلّ على الرجوع إلى عادات النساء أو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انصراف الأخبار يفهم حكمه منها عرفاً ؛ لأنّ هذه الأخبار ليست تعبّدية محضة ، بل مناطها اُمور مغروسة في الأذهان</w:t>
      </w:r>
      <w:r>
        <w:rPr>
          <w:rFonts w:eastAsia="Amiri" w:cs="Amiri" w:ascii="Amiri" w:hAnsi="Amiri"/>
          <w:color w:val="111111"/>
          <w:sz w:val="28"/>
          <w:szCs w:val="28"/>
          <w:rtl w:val="true"/>
          <w:lang w:bidi="ar-SA"/>
        </w:rPr>
        <w:t>»</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إطلاق أدلّة التمييز يحكم بأنّ اليومين حيض ، ولو لم يكن دليل تحديد الحيض بثلاثة أيّام ، لقلنا بمفادها بمقتضى إطلاقها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عدم الإطلاق في الروايات وخروج الفرض وأمثاله منها ، في غاية السقوط ؛ ضرورة أنّ الروايات في مقام البيان بلا إشكال ، وإطلاقها محكّم ، وإنّما يخرج منه بقدر ما ورد من التقييد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تنافيها أدلّة تحديد الحيض بثلاثة أيّام ؛ لعدم المنافاة بين كون اليومين حيضاً ، مع كون اليوم الثالث أيضاً حيضاً ؛ لأنّ وجدان الصفة أمارة على الحيضية ، وأمّا فقدانها فليس أمارة على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وجدان صفات الاستحاضة أمارة عليها ، ولازمها عدم الحيضية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قد عرفت عدم إمكان الأخذ بها </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فحينئذٍ يؤخذ بأمارة الحيض في اليومين ، وتترك أمارة الاستحاضة بمقدار </w:t>
      </w:r>
    </w:p>
    <w:p>
      <w:pPr>
        <w:pStyle w:val="BookText"/>
        <w:rPr/>
      </w:pPr>
      <w:r>
        <w:rPr>
          <w:rFonts w:ascii="Amiri" w:hAnsi="Amiri" w:eastAsia="Amiri" w:cs="Amiri"/>
          <w:color w:val="111111"/>
          <w:sz w:val="28"/>
          <w:sz w:val="28"/>
          <w:szCs w:val="28"/>
          <w:rtl w:val="true"/>
          <w:lang w:bidi="ar-SA"/>
        </w:rPr>
        <w:t xml:space="preserve">تتميم أقلّ الحيض ؛ لما دلّ على عدم كون الحيض أقلّ من ثلاثة ، وتبقى أمارية صفات الاستحاضة في اليوم الرابع وما زاد بلا معارض ، فيؤخذ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قيام الأمارة على الاستحاضة في الأيّام الزائدة ، وقيام الأمارة أيضاً على</w:t>
      </w:r>
    </w:p>
    <w:p>
      <w:pPr>
        <w:pStyle w:val="BookText"/>
        <w:rPr/>
      </w:pPr>
      <w:r>
        <w:rPr>
          <w:rFonts w:ascii="Amiri" w:hAnsi="Amiri" w:eastAsia="Amiri" w:cs="Amiri"/>
          <w:color w:val="111111"/>
          <w:sz w:val="28"/>
          <w:sz w:val="28"/>
          <w:szCs w:val="28"/>
          <w:rtl w:val="true"/>
          <w:lang w:bidi="ar-SA"/>
        </w:rPr>
        <w:t xml:space="preserve">حيضية ثلاثة أيّام ، لا وجه للرجوع إلى عادات النساء ممّا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 وفتوى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تأخّر أماريتها عن أمارية التمييز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وأوضح منه عدم الرجوع إلى الروايات ، الذي هو تكليف فاقدة التمييز والأمارة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فرفع اليد عن أدلّة التمييز إمّا لدعوى قصور أدلّتها عن شمول هذه الفروض ، فهي مدفوعة بما تقدّم من إطلاق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إطلاقها من الرجوع إليها والتأمّل في مفادها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ولَعَمْري ، إنّ الناظر فيها لا يشكّ في شمولها لجميع الفروض ؛ مع قطع النظر عن روايات التحديد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لدعوى دخول الفروض في أدلّة الرجوع إلى النساء والأخبار ، ففيها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مع شمول إطلاقات أدلّة التمييز لها لا معنى للرجوع إليهما ؛ لحكومة أدلّة التمييز عليهما على فرض شمولهما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بالرجوع إلى العادات والأخبار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أرى له وجهاً وجيهاً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على فرض خروج هذه الفروض عن مفاد الأدلّة وانصرافها عنها ، لا وجه لفهم أحكامها بالرجوع إلى العرف بدعوى ارتكازية المناط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الارتكاز والمغروسية في أذهان العرف ، يوجب عدمَ الانصراف ، بل إلغاءَ الخصوصيات عرفاً ، فله وجه ، لكنّه يرجع إلى دلالة الأدلّة ، لا إلى حكم العرف ؛ فإنّه لا معنى للرجوع إليه إلاّ في فهم مفادها </w:t>
      </w:r>
      <w:r>
        <w:rPr>
          <w:rFonts w:eastAsia="Amiri" w:cs="Amiri" w:ascii="Amiri" w:hAnsi="Amiri"/>
          <w:color w:val="111111"/>
          <w:sz w:val="28"/>
          <w:szCs w:val="28"/>
          <w:rtl w:val="true"/>
          <w:lang w:bidi="ar-SA"/>
        </w:rPr>
        <w:t xml:space="preserve">. </w:t>
      </w:r>
      <w:bookmarkStart w:id="570" w:name="pg15019_190899"/>
    </w:p>
    <w:p>
      <w:pPr>
        <w:pStyle w:val="Heading6"/>
        <w:numPr>
          <w:ilvl w:val="5"/>
          <w:numId w:val="1"/>
        </w:numPr>
        <w:rPr/>
      </w:pPr>
      <w:bookmarkStart w:id="571" w:name="__RefHeading___Toc686578_3406789950"/>
      <w:bookmarkStart w:id="572" w:name="_Toc207"/>
      <w:bookmarkEnd w:id="570"/>
      <w:bookmarkEnd w:id="571"/>
      <w:r>
        <w:rPr>
          <w:rtl w:val="true"/>
        </w:rPr>
        <w:t>الأمر الثالث في حكم ما تراه بصفة الحيض أكثر من عشرة أيّام</w:t>
      </w:r>
      <w:bookmarkEnd w:id="572"/>
    </w:p>
    <w:p>
      <w:pPr>
        <w:pStyle w:val="BookText"/>
        <w:rPr/>
      </w:pPr>
      <w:r>
        <w:rPr>
          <w:rFonts w:ascii="Amiri" w:hAnsi="Amiri" w:eastAsia="Amiri" w:cs="Amiri"/>
          <w:color w:val="111111"/>
          <w:sz w:val="28"/>
          <w:sz w:val="28"/>
          <w:szCs w:val="28"/>
          <w:rtl w:val="true"/>
          <w:lang w:bidi="ar-SA"/>
        </w:rPr>
        <w:t xml:space="preserve">إذا فقد الشرط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ترى زائداً على العشرة بصفة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هي فاقدة التمييز مطلقاً أو لا ؟</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يجب عليها التحيّض من أوّل الرؤية إلى عشرة أيّام ، أو التحيّض من أوّل الرؤية وتتميمه بمقدار عادات النساء أو الأخبار ، أو يجب عليها الرجوع إلى عادات النساء أو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أيّام رؤية الدم بصفة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مخيّرة بينهما ، أو يفصّل بين ما إذا كانت للأمارات جهة مشتركة أو لا ، كما تأتي الإشارة إليه ؟</w:t>
      </w:r>
    </w:p>
    <w:p>
      <w:pPr>
        <w:pStyle w:val="BookText"/>
        <w:rPr/>
      </w:pPr>
      <w:r>
        <w:rPr>
          <w:rFonts w:ascii="Amiri" w:hAnsi="Amiri" w:eastAsia="Amiri" w:cs="Amiri"/>
          <w:color w:val="111111"/>
          <w:sz w:val="28"/>
          <w:sz w:val="28"/>
          <w:szCs w:val="28"/>
          <w:rtl w:val="true"/>
          <w:lang w:bidi="ar-SA"/>
        </w:rPr>
        <w:t xml:space="preserve">وجوه ، مقتضى القواعد هو التفصيل الأخير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القول بكونها فاقدة التمييز مطلقاً </w:t>
      </w:r>
      <w:r>
        <w:rPr>
          <w:rStyle w:val="FootnoteAnchor"/>
          <w:rtl w:val="true"/>
        </w:rPr>
        <w:footnoteReference w:id="984"/>
      </w:r>
      <w:r>
        <w:rPr>
          <w:rFonts w:ascii="Amiri" w:hAnsi="Amiri" w:eastAsia="Amiri" w:cs="Amiri"/>
          <w:color w:val="111111"/>
          <w:sz w:val="28"/>
          <w:sz w:val="28"/>
          <w:szCs w:val="28"/>
          <w:rtl w:val="true"/>
          <w:lang w:bidi="ar-SA"/>
        </w:rPr>
        <w:t xml:space="preserve">فضعيف ؛ لأنّ رفع اليد عن أمارة الاستحاضة في أيّام رأته بصفتها ، ممّا لا وجه له بعد ما عرفت من إطلاق الأدلّة </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لازم الأمارات المتعارضة في صورة التعارض بينها ، هو عدم حيضية الضعيف في الجملة ، فأمارات الحيضية المتعارضة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أدلّة تحديد الحيض بالعشرة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متّفقة في عدم حيضية الضعيف وإن تعارضت في محلّ الحيض من </w:t>
      </w:r>
    </w:p>
    <w:p>
      <w:pPr>
        <w:pStyle w:val="BookText"/>
        <w:rPr/>
      </w:pPr>
      <w:r>
        <w:rPr>
          <w:rFonts w:ascii="Amiri" w:hAnsi="Amiri" w:eastAsia="Amiri" w:cs="Amiri"/>
          <w:color w:val="111111"/>
          <w:sz w:val="28"/>
          <w:sz w:val="28"/>
          <w:szCs w:val="28"/>
          <w:rtl w:val="true"/>
          <w:lang w:bidi="ar-SA"/>
        </w:rPr>
        <w:t>الأيّام ، ولازمُ الأمارات المتعارضة مع اتّفاقها فيه حجّةٌ ، فلا إشكال في التمييز في الجملة ؛ لا لفهم العرف بعد انصراف الأدلّة ، كما قيل</w:t>
      </w:r>
      <w:r>
        <w:rPr>
          <w:rStyle w:val="FootnoteAnchor"/>
          <w:rtl w:val="true"/>
        </w:rPr>
        <w:footnoteReference w:id="985"/>
      </w:r>
      <w:r>
        <w:rPr>
          <w:rFonts w:ascii="Amiri" w:hAnsi="Amiri" w:eastAsia="Amiri" w:cs="Amiri"/>
          <w:color w:val="111111"/>
          <w:sz w:val="28"/>
          <w:sz w:val="28"/>
          <w:szCs w:val="28"/>
          <w:rtl w:val="true"/>
          <w:lang w:bidi="ar-SA"/>
        </w:rPr>
        <w:t xml:space="preserve">، بل لما ذكرنا من إطلاقِ أدلّة أمارات الاستحاضة ، ولازمِ أمارات الحيض في فرض التعارض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التحيّض في أوّل الرؤية بعشرة أيّام ، كما عن شيخ الطائفة</w:t>
      </w:r>
      <w:r>
        <w:rPr>
          <w:rStyle w:val="FootnoteAnchor"/>
          <w:rtl w:val="true"/>
        </w:rPr>
        <w:footnoteReference w:id="986"/>
      </w:r>
      <w:r>
        <w:rPr>
          <w:rFonts w:ascii="Amiri" w:hAnsi="Amiri" w:eastAsia="Amiri" w:cs="Amiri"/>
          <w:color w:val="111111"/>
          <w:sz w:val="28"/>
          <w:sz w:val="28"/>
          <w:szCs w:val="28"/>
          <w:rtl w:val="true"/>
          <w:lang w:bidi="ar-SA"/>
        </w:rPr>
        <w:t>أو بالتتميم بالعادات أو الأخبار</w:t>
      </w:r>
      <w:r>
        <w:rPr>
          <w:rStyle w:val="FootnoteAnchor"/>
          <w:rtl w:val="true"/>
        </w:rPr>
        <w:footnoteReference w:id="987"/>
      </w:r>
      <w:r>
        <w:rPr>
          <w:rFonts w:ascii="Amiri" w:hAnsi="Amiri" w:eastAsia="Amiri" w:cs="Amiri"/>
          <w:color w:val="111111"/>
          <w:sz w:val="28"/>
          <w:sz w:val="28"/>
          <w:szCs w:val="28"/>
          <w:rtl w:val="true"/>
          <w:lang w:bidi="ar-SA"/>
        </w:rPr>
        <w:t xml:space="preserve">فغير تامّ ؛ لعدم الترجيح بين الأيّام في بعض الصور ، بل الترجيح لغير الأوّل في بعضها ، كما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والتمسّك بقاعدة الإمكان</w:t>
      </w:r>
      <w:r>
        <w:rPr>
          <w:rStyle w:val="FootnoteAnchor"/>
          <w:rtl w:val="true"/>
        </w:rPr>
        <w:footnoteReference w:id="9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تقدّم من عدم الدليل عليها </w:t>
      </w:r>
      <w:r>
        <w:rPr>
          <w:rStyle w:val="FootnoteAnchor"/>
          <w:rtl w:val="true"/>
        </w:rPr>
        <w:footnoteReference w:id="9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له هاهنا ولو فرض الدليل عليها ؛ لعدم الرجحان بين الأيّام بعد قيام الأمارة على جميعها وتساوي جريان القاعدة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ظهور الأدلّة في التحيّض أوّل ما رأت ، كقوله في صحيحة حفص بن البَخْتَري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 للدم حرارة ودفع وسواد فلتدع الصلاة</w:t>
      </w:r>
      <w:r>
        <w:rPr>
          <w:rFonts w:eastAsia="Amiri" w:cs="Amiri" w:ascii="Amiri" w:hAnsi="Amiri"/>
          <w:color w:val="111111"/>
          <w:sz w:val="28"/>
          <w:szCs w:val="28"/>
          <w:rtl w:val="true"/>
          <w:lang w:bidi="ar-SA"/>
        </w:rPr>
        <w:t>»</w:t>
      </w:r>
      <w:r>
        <w:rPr>
          <w:rStyle w:val="FootnoteAnchor"/>
          <w:rtl w:val="true"/>
        </w:rPr>
        <w:footnoteReference w:id="990"/>
      </w:r>
      <w:r>
        <w:rPr>
          <w:rFonts w:ascii="Amiri" w:hAnsi="Amiri" w:eastAsia="Amiri" w:cs="Amiri"/>
          <w:color w:val="111111"/>
          <w:sz w:val="28"/>
          <w:sz w:val="28"/>
          <w:szCs w:val="28"/>
          <w:rtl w:val="true"/>
          <w:lang w:bidi="ar-SA"/>
        </w:rPr>
        <w:t xml:space="preserve">، وقوله في مرسلة يونس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أقبلت الحيضة فدعي الصلاة</w:t>
      </w:r>
      <w:r>
        <w:rPr>
          <w:rFonts w:eastAsia="Amiri" w:cs="Amiri" w:ascii="Amiri" w:hAnsi="Amiri"/>
          <w:color w:val="111111"/>
          <w:sz w:val="28"/>
          <w:szCs w:val="28"/>
          <w:rtl w:val="true"/>
          <w:lang w:bidi="ar-SA"/>
        </w:rPr>
        <w:t>»</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وجيهة ؛ لأنّ الأدلّة إنّما هي بصدد بيان أمارية الأوصاف مطلقاً ، لا في أوّل الحدوث ، فمعنى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للدم حرارة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كلّما كان </w:t>
      </w:r>
    </w:p>
    <w:p>
      <w:pPr>
        <w:pStyle w:val="BookText"/>
        <w:rPr/>
      </w:pPr>
      <w:r>
        <w:rPr>
          <w:rFonts w:ascii="Amiri" w:hAnsi="Amiri" w:eastAsia="Amiri" w:cs="Amiri"/>
          <w:color w:val="111111"/>
          <w:sz w:val="28"/>
          <w:sz w:val="28"/>
          <w:szCs w:val="28"/>
          <w:rtl w:val="true"/>
          <w:lang w:bidi="ar-SA"/>
        </w:rPr>
        <w:t xml:space="preserve">للدم حرارة كان حيضاً ، ولهذا لو لم تكن أدلّة التحديد لقلنا بحيضية جميع الأيّام ، ومع تلك الأدلّة يقع التعارض في الأيّام بين الأمارات من غير 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والترجيح بتقدّم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خروج الزمان المتأخّر عن إمكان الحيضية بعد انطباق الأدلّة بلا مانع على الأيّام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وجه له ؛ لأنّ التقدّم الزماني لا يوجب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والتطبيق على الاُولى ورفع اليد عن الأدلّة في الأيّام الاُخرى من غير مرجّح ، لا وجه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التفصيل بين ما إذا كانت للأمارة جهة مشتركة ، كما إذا رأت خمسة عشر يوماً ، فإنّ اليوم السادس إلى العاشر مورد اتّفاق الأمارات على حيضيتها ؛ بعد الأخذِ بإطلاق أدلّتها ، وتحديدِ الحيض بما دلّ على أ نّه لا يزيد على عشرة أيّام ، فحينئذٍ يقع التعارض بين الأمارات من أوّل</w:t>
      </w:r>
    </w:p>
    <w:p>
      <w:pPr>
        <w:pStyle w:val="BookText"/>
        <w:rPr/>
      </w:pPr>
      <w:r>
        <w:rPr>
          <w:rFonts w:ascii="Amiri" w:hAnsi="Amiri" w:eastAsia="Amiri" w:cs="Amiri"/>
          <w:color w:val="111111"/>
          <w:sz w:val="28"/>
          <w:sz w:val="28"/>
          <w:szCs w:val="28"/>
          <w:rtl w:val="true"/>
          <w:lang w:bidi="ar-SA"/>
        </w:rPr>
        <w:t xml:space="preserve">رؤية الدم بصفة الحيض إلى الخامس ، ومن اليوم الحادي عشر إلى الخامس عشر ، وتتّفق في المفاد من اليوم السادس إلى العاشر ، فتكون المرأة ذات تمييز وقتاً وعدداً ، فلا ترجع إلى عادات نسائها والأخبار مطلقاً ؛ لتقدّم التمييز عليهما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وقع التعارض بينها من غير 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رأت عشرين يوماً بصفة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فتتعارض الأمارات في جميع الأيّام ، فتكون من جهة الوقت ذات تمييز في الجملة ، ومن جهة العدد غير ذات تمييز ، فترجع إلى التمييز في الوقت في الجملة ؛ بمعنى أ نّه لو كانت عادة النساء في آخر الشهر خمسة أيّام ، ورأت متّصفاً بصفات الحيض من أوّل الشهر إلى العشرين ، تحيّضت في أيّام التمييز ، فتقدّم أدلّة التمييز على أدلّة عادات النساء بالنسبة إلى الوقت ، وأمّا بالنسبة إلى</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العدد ، فلا مزاحم لإطلاق أدلّة الرجوع إلى عادات النساء ؛ لأنّ رفع اليد عنها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 إطلاقها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لفهم تقدّم أدلّة التمييز عليها ؛ وكونِ التمييز أمارة أقوى من أمارة العادات ، كما تشهد به رواية سَماعة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بل يمكن الاستدلال عليه بمرسلة يونس ، ومع التعارض بين أمارات التمييز تصير فاقدة بالنسبة إلى العدد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إمكان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التعارض بين الأمارات إنّما وقع في محلّ التحيّض ، لا في عدد الأيّام ، فهي ذات أمارة وتمييز بالنسبة إلى العشرة ، وغير ذات تمييز بالنسبة إلى المحلّ الخاصّ ، فتتخيّر في جعل العشرة في أيّ محلّ من اليوم الأوّل إلى العشرين ، إلاّ إذا عيّنت عادات النساء وقت حيضها ، كما لو فرض كون العادات من أوّل الشهر إلى خمسة أيّام ، فيجب عليها الأخذ بالعشرة من أوّل الشهر ؛ لأ نّها بالنسبة إلى الوقت غير ذات تمييز ، فلا بدّ من رجوعها إلى</w:t>
      </w:r>
    </w:p>
    <w:p>
      <w:pPr>
        <w:pStyle w:val="BookText"/>
        <w:rPr/>
      </w:pPr>
      <w:r>
        <w:rPr>
          <w:rFonts w:ascii="Amiri" w:hAnsi="Amiri" w:eastAsia="Amiri" w:cs="Amiri"/>
          <w:color w:val="111111"/>
          <w:sz w:val="28"/>
          <w:sz w:val="28"/>
          <w:szCs w:val="28"/>
          <w:rtl w:val="true"/>
          <w:lang w:bidi="ar-SA"/>
        </w:rPr>
        <w:t xml:space="preserve">الأمارة المتأخّرة عن التمييز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ذكرنا من لزوم الأخذ بعشرة أيّام ، جارٍ في الفرع المتقدّم ؛ أي ما إذا كانت للأمارات جهة مشتركة ؛ لعدم ما يدفع لزوم الأخذ بعشرة أيّام ، فإنّ عادات نسائها أمارة متأخّرة عن أمارة التمييز على عشرة أيّام ، فتدبّر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فقدت النساء ، وقلنا بأ نّها غير ذات تمييز بالنسبة إلى العدد ، فلا</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يبعد الرجوع إلى الأخبار ؛ بدعوى فهم ذلك من رواية يونس ؛ حيث قال في ذيلها عند بيان القاعدة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بيان السنّتين الاُوليين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فإن لم يكن الأمر كذلك ، ولكنّ الدم أطبق عليها ؛ فلم تزل الاستحاضة دارّة ، وكان الدم على لون واحد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 بأن يقال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يكن الأمر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مصاديق ، ويكون جميع مصاديقها موضوعاً للحكم المترتّب عليه ؛ أي السبع والثلاث والعشرين ، وإنّما ذكر بعض مصاديقه الواضحة من غير أن يكون الحكم منحصراً في هذا المصداق ، فمع فقدان التمييز الذي يمكن الرجوع إليه ، يكون تكليفها الرجوع إلى الروايات ؛ لصدق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الأمر كذلك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الإرجاع إلى التمييز في السنّة الثانية ، إنّما يكون فيما</w:t>
      </w:r>
    </w:p>
    <w:p>
      <w:pPr>
        <w:pStyle w:val="BookText"/>
        <w:rPr/>
      </w:pPr>
      <w:r>
        <w:rPr>
          <w:rFonts w:ascii="Amiri" w:hAnsi="Amiri" w:eastAsia="Amiri" w:cs="Amiri"/>
          <w:color w:val="111111"/>
          <w:sz w:val="28"/>
          <w:sz w:val="28"/>
          <w:szCs w:val="28"/>
          <w:rtl w:val="true"/>
          <w:lang w:bidi="ar-SA"/>
        </w:rPr>
        <w:t xml:space="preserve">يمكن الإرجاع إليه ؛ وهو كون التمييز بلا مزاحم ، فموضوع الحكم في التمييز هو التمييز القابل للإرجاع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مقابله المعبّر عنه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يكن الأمر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مطلق ما لا</w:t>
      </w:r>
    </w:p>
    <w:p>
      <w:pPr>
        <w:pStyle w:val="BookText"/>
        <w:rPr/>
      </w:pPr>
      <w:r>
        <w:rPr>
          <w:rFonts w:ascii="Amiri" w:hAnsi="Amiri" w:eastAsia="Amiri" w:cs="Amiri"/>
          <w:color w:val="111111"/>
          <w:sz w:val="28"/>
          <w:sz w:val="28"/>
          <w:szCs w:val="28"/>
          <w:rtl w:val="true"/>
          <w:lang w:bidi="ar-SA"/>
        </w:rPr>
        <w:t xml:space="preserve">يكون التمييز مرجعاً لها ؛ سواء فقد التمييز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المصداق الواضح المذكور في المرسلة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تمييز ، لكن لم يمكن الرجوع إليه ، كما فيما نحن فيه ، فتدبّر جيّداً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نّها بالنسبة إلى العدد ذات تمييز ، فلا يجوز لها الرجوع إلى عادات النساء في العدد ، فضلاً عن الرجوع إلى 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كانت بالنسبة إلى الوقت غير ذات تمييز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رأت عشرين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رجعت إلى عادات النساء في تعيين الوقت ، وإلاّ فتتخيَّر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كانت ذات تمييز بالنسبة إليه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رأت خمسة عشر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بالنسبة إلى اليوم السادس إلى العاشر ذات تمييز وقتاً ، فتأخذ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لو كانت عادة النساء في أوّل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تقدّم الأخذ بالعشرة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الشهر إلى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الأخذ من السادس إلى العاشر ، وفي العكس تقدُّم العكس </w:t>
      </w:r>
      <w:r>
        <w:rPr>
          <w:rFonts w:eastAsia="Amiri" w:cs="Amiri" w:ascii="Amiri" w:hAnsi="Amiri"/>
          <w:color w:val="111111"/>
          <w:sz w:val="28"/>
          <w:szCs w:val="28"/>
          <w:rtl w:val="true"/>
          <w:lang w:bidi="ar-SA"/>
        </w:rPr>
        <w:t xml:space="preserve">. </w:t>
      </w:r>
      <w:bookmarkStart w:id="573" w:name="pg15019_190904"/>
    </w:p>
    <w:p>
      <w:pPr>
        <w:pStyle w:val="Heading6"/>
        <w:numPr>
          <w:ilvl w:val="5"/>
          <w:numId w:val="1"/>
        </w:numPr>
        <w:rPr/>
      </w:pPr>
      <w:bookmarkStart w:id="574" w:name="__RefHeading___Toc686580_3406789950"/>
      <w:bookmarkStart w:id="575" w:name="_Toc208"/>
      <w:bookmarkEnd w:id="573"/>
      <w:bookmarkEnd w:id="574"/>
      <w:r>
        <w:rPr>
          <w:rtl w:val="true"/>
        </w:rPr>
        <w:t>الأمر الرابع في حكم ما إذا رأت ذات التمييز صفرة بين الدمين</w:t>
      </w:r>
      <w:bookmarkEnd w:id="575"/>
    </w:p>
    <w:p>
      <w:pPr>
        <w:pStyle w:val="BookText"/>
        <w:rPr/>
      </w:pPr>
      <w:r>
        <w:rPr>
          <w:rFonts w:ascii="Amiri" w:hAnsi="Amiri" w:eastAsia="Amiri" w:cs="Amiri"/>
          <w:color w:val="111111"/>
          <w:sz w:val="28"/>
          <w:sz w:val="28"/>
          <w:szCs w:val="28"/>
          <w:rtl w:val="true"/>
          <w:lang w:bidi="ar-SA"/>
        </w:rPr>
        <w:t xml:space="preserve">إذا فقد الشرط الثالث ؛ بأن ترى بين الدمين المتّصفين بصفة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الصالح كلٌّ منهما في نفسه أن يكون حيضاً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دماً بصفة الاستحاضة أقلّ من عشرة أيّام ،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مجموع الطرفين والوسط عشرة أيّام أو أقلّ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متجاوزاً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بعض الدم الثالث متمّماً للعشرة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الدم المتوسّط متمّماً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يحكم بكون الطرفين حيضاً ، ويتّبعهما الوسط ؛ إمّا بدعوى أولوية جعل الدم المتوسّط حيضاً من جعل النقاء حيضاً ، كما مرّ سابقاً ؟</w:t>
      </w:r>
    </w:p>
    <w:p>
      <w:pPr>
        <w:pStyle w:val="BookText"/>
        <w:rPr/>
      </w:pPr>
      <w:r>
        <w:rPr>
          <w:rFonts w:ascii="Amiri" w:hAnsi="Amiri" w:eastAsia="Amiri" w:cs="Amiri"/>
          <w:color w:val="111111"/>
          <w:sz w:val="28"/>
          <w:sz w:val="28"/>
          <w:szCs w:val="28"/>
          <w:rtl w:val="true"/>
          <w:lang w:bidi="ar-SA"/>
        </w:rPr>
        <w:t xml:space="preserve">أو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أوصاف الاستحاضة ليست أمارات لها ، بل الأمارية مختصّة بأوصاف الحيض ، وإنّما ذكر أوصافها استطراداً ولبيان فقدان أوصاف الحيض ، لا لوجدان أوصاف الاستحاضة ، فحينئذٍ تكون الأمارة القائمة على حيضية الطرفين بلا مانع ، فتأخذ بها ، وتجعل الوسط حيضاً تبعاً ؛ لكون أقلّ الطهر عشرة أيّام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ما في الدعويين ؛ لما مرّ من ظهور الأدلّة في أمارية الوصفين</w:t>
      </w:r>
      <w:r>
        <w:rPr>
          <w:rStyle w:val="FootnoteAnchor"/>
          <w:rtl w:val="true"/>
        </w:rPr>
        <w:footnoteReference w:id="992"/>
      </w:r>
      <w:r>
        <w:rPr>
          <w:rFonts w:ascii="Amiri" w:hAnsi="Amiri" w:eastAsia="Amiri" w:cs="Amiri"/>
          <w:color w:val="111111"/>
          <w:sz w:val="28"/>
          <w:sz w:val="28"/>
          <w:szCs w:val="28"/>
          <w:rtl w:val="true"/>
          <w:lang w:bidi="ar-SA"/>
        </w:rPr>
        <w:t xml:space="preserve">، ولا دليل على كون صفة الاستحاضة مذكورة استطراداً ، فحينئذٍ لا يكون جعل </w:t>
      </w:r>
      <w:bookmarkStart w:id="576" w:name="pg15019_190905"/>
    </w:p>
    <w:p>
      <w:pPr>
        <w:pStyle w:val="BookText"/>
        <w:rPr/>
      </w:pPr>
      <w:bookmarkEnd w:id="576"/>
      <w:r>
        <w:rPr>
          <w:rFonts w:ascii="Amiri" w:hAnsi="Amiri" w:eastAsia="Amiri" w:cs="Amiri"/>
          <w:color w:val="111111"/>
          <w:sz w:val="28"/>
          <w:sz w:val="28"/>
          <w:szCs w:val="28"/>
          <w:rtl w:val="true"/>
          <w:lang w:bidi="ar-SA"/>
        </w:rPr>
        <w:t xml:space="preserve">الدم الموصوف بصفات الاستحاضة حيضاً أولى من جعل النقاء كذلك ؛ لقيام الأمارة هاهنا على الاستحاضة وعدم الحيضية ، بخلاف ما هناك </w:t>
      </w:r>
      <w:r>
        <w:rPr>
          <w:rFonts w:eastAsia="Amiri" w:cs="Amiri" w:ascii="Amiri" w:hAnsi="Amiri"/>
          <w:color w:val="111111"/>
          <w:sz w:val="28"/>
          <w:szCs w:val="28"/>
          <w:rtl w:val="true"/>
          <w:lang w:bidi="ar-SA"/>
        </w:rPr>
        <w:t>.</w:t>
      </w:r>
    </w:p>
    <w:p>
      <w:pPr>
        <w:pStyle w:val="Heading6"/>
        <w:numPr>
          <w:ilvl w:val="5"/>
          <w:numId w:val="1"/>
        </w:numPr>
        <w:rPr/>
      </w:pPr>
      <w:bookmarkStart w:id="577" w:name="__RefHeading___Toc686582_3406789950"/>
      <w:bookmarkStart w:id="578" w:name="_Toc209"/>
      <w:bookmarkEnd w:id="577"/>
      <w:r>
        <w:rPr>
          <w:rtl w:val="true"/>
        </w:rPr>
        <w:t>فقدان المرأة للتمييز بناءً على أمارية أوصاف الاستحاضة</w:t>
      </w:r>
      <w:bookmarkEnd w:id="578"/>
    </w:p>
    <w:p>
      <w:pPr>
        <w:pStyle w:val="BookText"/>
        <w:rPr/>
      </w:pPr>
      <w:r>
        <w:rPr>
          <w:rFonts w:ascii="Amiri" w:hAnsi="Amiri" w:eastAsia="Amiri" w:cs="Amiri"/>
          <w:color w:val="111111"/>
          <w:sz w:val="28"/>
          <w:sz w:val="28"/>
          <w:szCs w:val="28"/>
          <w:rtl w:val="true"/>
          <w:lang w:bidi="ar-SA"/>
        </w:rPr>
        <w:t>ثمّ على فرض أمارية أوصاف الاستحاضة كما هو التحقيق ، فهل تصير المرأة فاقدة التمييز ، أو يحكم بكون الدم المتقدّم حيضاً ، والمتوسّط استحاضة ، ويتبعها المتأخّر ، أو يعكس الأمر ؛ فيحكم بكون الدم المتقدّم والمتوسّط استحاضة ، دون المتأخّر ؟</w:t>
      </w:r>
    </w:p>
    <w:p>
      <w:pPr>
        <w:pStyle w:val="BookText"/>
        <w:rPr/>
      </w:pPr>
      <w:r>
        <w:rPr>
          <w:rFonts w:ascii="Amiri" w:hAnsi="Amiri" w:eastAsia="Amiri" w:cs="Amiri"/>
          <w:color w:val="111111"/>
          <w:sz w:val="28"/>
          <w:sz w:val="28"/>
          <w:szCs w:val="28"/>
          <w:rtl w:val="true"/>
          <w:lang w:bidi="ar-SA"/>
        </w:rPr>
        <w:t xml:space="preserve">وجوه ، أوجهها الأوّل ؛ لمعارضة الأمارات في الأطراف ، فالأخذ بأمارة الطرفين تعارضه أمارة الوسط ، والأخذ بالوسط واتّباع الأوّل أو الثاني تعارضه أمارة الحيضية ، ومع عدم رجحان شيء منها لا يمكن الأخذ بواحدة منها ، فتصير فاقدة التمييز من هذه الجهة وإن كانت واجدة من بعض الجهات ؛ فإنّ أمارة الحيض في الطرفين توجب انحصار الحيض في أحدهما ، كما أنّ أمارة الاستحاضة فيما بعد الأيّام تدفع حيضيته </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المتّجه في هذه الصورة الحكم بكونِ الوسط استحاضة ، وكونِ الأسود اللاحق تابعاً له ؛ لإطلاق أدلّة الأوصاف المقيّدة بالإمكان ، فحينئذٍ يكون الأصفر موجوداً في زمان إمكان الاستحاضة ، بخلاف الأسود اللاحق ، فإنّه وجد في زمان امتناع الحيضية إلاّ على فرض كون الأصفر حيضاً ، وحيث إنّ الأصفر 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إطلاق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فالأسود اللاحق ليس بحيض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وببيان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وصف الدم اللاحق موقوف على عدم اعتبار صفة الدم السابق ، فلو كان </w:t>
      </w:r>
    </w:p>
    <w:p>
      <w:pPr>
        <w:pStyle w:val="BookText"/>
        <w:rPr/>
      </w:pPr>
      <w:r>
        <w:rPr>
          <w:rFonts w:ascii="Amiri" w:hAnsi="Amiri" w:eastAsia="Amiri" w:cs="Amiri"/>
          <w:color w:val="111111"/>
          <w:sz w:val="28"/>
          <w:sz w:val="28"/>
          <w:szCs w:val="28"/>
          <w:rtl w:val="true"/>
          <w:lang w:bidi="ar-SA"/>
        </w:rPr>
        <w:t>عدم اعتبار صفة السابق موقوفاً على اعتبار صفة اللاحق ، لزم الدور</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ترجيح أمارية صفة السابق على صفة اللاحق ، إن كان لتقدّمها</w:t>
      </w:r>
    </w:p>
    <w:p>
      <w:pPr>
        <w:pStyle w:val="BookText"/>
        <w:rPr/>
      </w:pPr>
      <w:r>
        <w:rPr>
          <w:rFonts w:ascii="Amiri" w:hAnsi="Amiri" w:eastAsia="Amiri" w:cs="Amiri"/>
          <w:color w:val="111111"/>
          <w:sz w:val="28"/>
          <w:sz w:val="28"/>
          <w:szCs w:val="28"/>
          <w:rtl w:val="true"/>
          <w:lang w:bidi="ar-SA"/>
        </w:rPr>
        <w:t xml:space="preserve">الزماني فلا وجه له ؛ ضرورة أنّ مجرّد القبلية في التحقّق ، لا يوجب الترجيح عقلاً ولا نقلاً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لأجل امتناع الأخذ بالثاني ؛ لكونه موجوداً في زمان يمتنع أن يكون حيضاً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مستلزم للدور ؛ لأنّ الامتناع يتوقّف على الترجيح ، ولو كان الترجيح متوقّفاً على الامتناع لزم الدور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الدور المدّعى ففيه ما لا يخفى ؛ ضرورة أ نّه لا توقّف لأحد الطرفين على الآخر ، ولا تقدّم ولا تأخّر لأحدهما حتّى يتحقّق 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 نّه يمكن 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اعتبار وصف الدم السابق موقوف على عدم اعتبار صفة اللاحق ، ولو كان عدم اعتبار صفة اللاحق موقوفاً على اعتبار صفة السابق ، لزم الدور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توقّف ولا دور ، ولا وجه لترجيح إحدى الأمارات على الاُخرى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الحال في الصورتين الأخيرتين ، فإنّ التحقيق فيهما أيضاً كونها فاقدة التمييز ؛ لتعارض الأمارات وعدم رجحان شيء منها </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مع إمكان التمييز من بعض الجهات دون بعض ، يجب عليها تقديم التمييز فيما يمكن ، والأخذ بعادة النساء أو الأخبار فيما لا يمكن ، ويظهر الحال ممّا مرّ </w:t>
      </w:r>
      <w:r>
        <w:rPr>
          <w:rFonts w:eastAsia="Amiri" w:cs="Amiri" w:ascii="Amiri" w:hAnsi="Amiri"/>
          <w:color w:val="111111"/>
          <w:sz w:val="28"/>
          <w:szCs w:val="28"/>
          <w:rtl w:val="true"/>
          <w:lang w:bidi="ar-SA"/>
        </w:rPr>
        <w:t xml:space="preserve">. </w:t>
      </w:r>
      <w:bookmarkStart w:id="579" w:name="pg15019_190907"/>
    </w:p>
    <w:p>
      <w:pPr>
        <w:pStyle w:val="Heading6"/>
        <w:numPr>
          <w:ilvl w:val="5"/>
          <w:numId w:val="1"/>
        </w:numPr>
        <w:rPr/>
      </w:pPr>
      <w:bookmarkStart w:id="580" w:name="__RefHeading___Toc686584_3406789950"/>
      <w:bookmarkStart w:id="581" w:name="_Toc210"/>
      <w:bookmarkEnd w:id="579"/>
      <w:bookmarkEnd w:id="580"/>
      <w:r>
        <w:rPr>
          <w:rtl w:val="true"/>
        </w:rPr>
        <w:t>الأمر الخامس في حكم المبتدئة الفاقدة للتمييز</w:t>
      </w:r>
      <w:bookmarkEnd w:id="581"/>
    </w:p>
    <w:p>
      <w:pPr>
        <w:pStyle w:val="Heading6"/>
        <w:numPr>
          <w:ilvl w:val="5"/>
          <w:numId w:val="1"/>
        </w:numPr>
        <w:rPr/>
      </w:pPr>
      <w:bookmarkStart w:id="582" w:name="__RefHeading___Toc686586_3406789950"/>
      <w:bookmarkStart w:id="583" w:name="_Toc211"/>
      <w:bookmarkEnd w:id="582"/>
      <w:r>
        <w:rPr>
          <w:rtl w:val="true"/>
        </w:rPr>
        <w:t>اشارة</w:t>
      </w:r>
      <w:bookmarkEnd w:id="583"/>
    </w:p>
    <w:p>
      <w:pPr>
        <w:pStyle w:val="BookText"/>
        <w:rPr/>
      </w:pPr>
      <w:r>
        <w:rPr>
          <w:rFonts w:ascii="Amiri" w:hAnsi="Amiri" w:eastAsia="Amiri" w:cs="Amiri"/>
          <w:color w:val="111111"/>
          <w:sz w:val="28"/>
          <w:sz w:val="28"/>
          <w:szCs w:val="28"/>
          <w:rtl w:val="true"/>
          <w:lang w:bidi="ar-SA"/>
        </w:rPr>
        <w:t xml:space="preserve">إن فقدت المبتدئة التمييز ؛ بأن ترى على لون واحد وحالة واحدة ، أو كان التمييز بحيث لا يجوز الرجوع إليه ، كما في تعارض الأمارات فيما لا يجوز الاتّكال عليها مطلقاً ، فالمشهور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إلى عادة نسائها </w:t>
      </w:r>
      <w:r>
        <w:rPr>
          <w:rStyle w:val="FootnoteAnchor"/>
          <w:rtl w:val="true"/>
        </w:rPr>
        <w:footnoteReference w:id="994"/>
      </w:r>
      <w:r>
        <w:rPr>
          <w:rFonts w:ascii="Amiri" w:hAnsi="Amiri" w:eastAsia="Amiri" w:cs="Amiri"/>
          <w:color w:val="111111"/>
          <w:sz w:val="28"/>
          <w:sz w:val="28"/>
          <w:szCs w:val="28"/>
          <w:rtl w:val="true"/>
          <w:lang w:bidi="ar-SA"/>
        </w:rPr>
        <w:t>، بل عن جماعة دعوى الإجماع والاتّفاق عليه</w:t>
      </w:r>
      <w:r>
        <w:rPr>
          <w:rStyle w:val="FootnoteAnchor"/>
          <w:rtl w:val="true"/>
        </w:rPr>
        <w:footnoteReference w:id="9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على الإجمال ممّا لا إشكال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الكلام يقع في جهات </w:t>
      </w:r>
      <w:r>
        <w:rPr>
          <w:rFonts w:eastAsia="Amiri" w:cs="Amiri" w:ascii="Amiri" w:hAnsi="Amiri"/>
          <w:color w:val="111111"/>
          <w:sz w:val="28"/>
          <w:szCs w:val="28"/>
          <w:rtl w:val="true"/>
          <w:lang w:bidi="ar-SA"/>
        </w:rPr>
        <w:t>:</w:t>
      </w:r>
    </w:p>
    <w:p>
      <w:pPr>
        <w:pStyle w:val="Heading6"/>
        <w:numPr>
          <w:ilvl w:val="5"/>
          <w:numId w:val="1"/>
        </w:numPr>
        <w:rPr/>
      </w:pPr>
      <w:bookmarkStart w:id="584" w:name="__RefHeading___Toc686588_3406789950"/>
      <w:bookmarkStart w:id="585" w:name="_Toc212"/>
      <w:bookmarkEnd w:id="584"/>
      <w:r>
        <w:rPr>
          <w:rtl w:val="true"/>
        </w:rPr>
        <w:t xml:space="preserve">الجهة الاُولى </w:t>
      </w:r>
      <w:r>
        <w:rPr>
          <w:rtl w:val="true"/>
        </w:rPr>
        <w:t xml:space="preserve">: </w:t>
      </w:r>
      <w:r>
        <w:rPr>
          <w:rtl w:val="true"/>
        </w:rPr>
        <w:t>في كيفية الجمع بين الروايات</w:t>
      </w:r>
      <w:bookmarkEnd w:id="585"/>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كيفية الجمع بين روايات التمييز وروايات العدد وروايات الرجوع إلى عادة النساء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روايات التمييز</w:t>
      </w:r>
      <w:r>
        <w:rPr>
          <w:rStyle w:val="FootnoteAnchor"/>
          <w:rtl w:val="true"/>
        </w:rPr>
        <w:footnoteReference w:id="996"/>
      </w:r>
      <w:r>
        <w:rPr>
          <w:rFonts w:ascii="Amiri" w:hAnsi="Amiri" w:eastAsia="Amiri" w:cs="Amiri"/>
          <w:color w:val="111111"/>
          <w:sz w:val="28"/>
          <w:sz w:val="28"/>
          <w:szCs w:val="28"/>
          <w:rtl w:val="true"/>
          <w:lang w:bidi="ar-SA"/>
        </w:rPr>
        <w:t xml:space="preserve">أنّ أمارية ألوان الدم وحالاته قويّة كاملة ؛ بحيث تستحقّ أن يطلق عليها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دم الحيض ليس به 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أسود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أماريته متأخّرة عن العادة نصّاً وفتوى </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لسان روايات الرجوع إلى العدد والأخبار فلسان أصل عملي ، كما يظهر </w:t>
      </w:r>
    </w:p>
    <w:p>
      <w:pPr>
        <w:pStyle w:val="BookText"/>
        <w:rPr/>
      </w:pPr>
      <w:r>
        <w:rPr>
          <w:rFonts w:ascii="Amiri" w:hAnsi="Amiri" w:eastAsia="Amiri" w:cs="Amiri"/>
          <w:color w:val="111111"/>
          <w:sz w:val="28"/>
          <w:sz w:val="28"/>
          <w:szCs w:val="28"/>
          <w:rtl w:val="true"/>
          <w:lang w:bidi="ar-SA"/>
        </w:rPr>
        <w:t xml:space="preserve">بالنظر في مرسلة يونس ؛ حيث قال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تحيّضي في علم اللّه </w:t>
      </w:r>
      <w:r>
        <w:rPr>
          <w:rFonts w:eastAsia="Amiri" w:cs="Amiri" w:ascii="Amiri" w:hAnsi="Amiri"/>
          <w:color w:val="111111"/>
          <w:sz w:val="28"/>
          <w:szCs w:val="28"/>
          <w:rtl w:val="true"/>
          <w:lang w:bidi="ar-SA"/>
        </w:rPr>
        <w:t>. . .»</w:t>
      </w:r>
      <w:r>
        <w:rPr>
          <w:rStyle w:val="FootnoteAnchor"/>
          <w:rtl w:val="true"/>
        </w:rPr>
        <w:footnoteReference w:id="997"/>
      </w:r>
      <w:r>
        <w:rPr>
          <w:rFonts w:ascii="IRNazanin" w:hAnsi="IRNazanin" w:eastAsia="IRNazanin"/>
          <w:color w:val="111111"/>
          <w:sz w:val="28"/>
          <w:sz w:val="28"/>
          <w:szCs w:val="28"/>
          <w:rtl w:val="true"/>
          <w:lang w:bidi="fa-IR"/>
        </w:rPr>
        <w:t xml:space="preserve">وفسّره الإمام علیه السلام بتكلّف عمل الحائض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وكذا الحال في رواية عبداللّه بن بكير ؛ حيث قال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وقت طهرها أكثر ما يكون من الطهر ، وتركها الصلاة أقلّ ما يكون</w:t>
      </w:r>
    </w:p>
    <w:p>
      <w:pPr>
        <w:pStyle w:val="BookText"/>
        <w:rPr/>
      </w:pPr>
      <w:r>
        <w:rPr>
          <w:rFonts w:ascii="Amiri" w:hAnsi="Amiri" w:eastAsia="Amiri" w:cs="Amiri"/>
          <w:color w:val="111111"/>
          <w:sz w:val="28"/>
          <w:sz w:val="28"/>
          <w:szCs w:val="28"/>
          <w:rtl w:val="true"/>
          <w:lang w:bidi="ar-SA"/>
        </w:rPr>
        <w:t>من الحيض</w:t>
      </w:r>
      <w:r>
        <w:rPr>
          <w:rFonts w:eastAsia="Amiri" w:cs="Amiri" w:ascii="Amiri" w:hAnsi="Amiri"/>
          <w:color w:val="111111"/>
          <w:sz w:val="28"/>
          <w:szCs w:val="28"/>
          <w:rtl w:val="true"/>
          <w:lang w:bidi="ar-SA"/>
        </w:rPr>
        <w:t>»</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فالظاهر من روايات العدد ، هو كون مفادها تكليف من لا طريق لها إلى حيضها ؛ وتكون متحيّرة فيه ، ولهذا أرجعها في مضمرة سَماعة إلى العدد بعد اختلاف عادات النساء ، فلا إشكال في تأخّر الرجوع إلى العدد عن الرجوع إلى عادات النساء والتمييز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حال التمييز مع عادات النساء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من أدلّتهما تقدّم التمييز على العادات ؛ لأنّ ما وردت في الرجوع إلى</w:t>
      </w:r>
    </w:p>
    <w:p>
      <w:pPr>
        <w:pStyle w:val="BookText"/>
        <w:rPr/>
      </w:pPr>
      <w:r>
        <w:rPr>
          <w:rFonts w:ascii="Amiri" w:hAnsi="Amiri" w:eastAsia="Amiri" w:cs="Amiri"/>
          <w:color w:val="111111"/>
          <w:sz w:val="28"/>
          <w:sz w:val="28"/>
          <w:szCs w:val="28"/>
          <w:rtl w:val="true"/>
          <w:lang w:bidi="ar-SA"/>
        </w:rPr>
        <w:t xml:space="preserve">العادات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سماعة على رواية الشيخ</w:t>
      </w:r>
      <w:r>
        <w:rPr>
          <w:rStyle w:val="FootnoteAnchor"/>
          <w:rtl w:val="true"/>
        </w:rPr>
        <w:footnoteReference w:id="999"/>
      </w:r>
      <w:r>
        <w:rPr>
          <w:rFonts w:ascii="Amiri" w:hAnsi="Amiri" w:eastAsia="Amiri" w:cs="Amiri"/>
          <w:color w:val="111111"/>
          <w:sz w:val="28"/>
          <w:sz w:val="28"/>
          <w:szCs w:val="28"/>
          <w:rtl w:val="true"/>
          <w:lang w:bidi="ar-SA"/>
        </w:rPr>
        <w:t xml:space="preserve">وقد حكم فيها بالرجوع إلى عادة النساء فيمن لم تعرف أيّام أقرائها </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أبي بصير وفيها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كانت لا تعرف أيّام نفاسها فابتليت ، </w:t>
      </w:r>
    </w:p>
    <w:p>
      <w:pPr>
        <w:pStyle w:val="BookText"/>
        <w:rPr/>
      </w:pPr>
      <w:r>
        <w:rPr>
          <w:rFonts w:ascii="Amiri" w:hAnsi="Amiri" w:eastAsia="Amiri" w:cs="Amiri"/>
          <w:color w:val="111111"/>
          <w:sz w:val="28"/>
          <w:sz w:val="28"/>
          <w:szCs w:val="28"/>
          <w:rtl w:val="true"/>
          <w:lang w:bidi="ar-SA"/>
        </w:rPr>
        <w:t xml:space="preserve">جلست بمثل أيّام اُمّها أو اُختها أو خالتها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آخره</w:t>
      </w:r>
      <w:r>
        <w:rPr>
          <w:rStyle w:val="FootnoteAnchor"/>
          <w:rtl w:val="true"/>
        </w:rPr>
        <w:footnoteReference w:id="1000"/>
      </w:r>
      <w:r>
        <w:rPr>
          <w:rFonts w:ascii="Amiri" w:hAnsi="Amiri" w:eastAsia="Amiri" w:cs="Amiri"/>
          <w:color w:val="111111"/>
          <w:sz w:val="28"/>
          <w:sz w:val="28"/>
          <w:szCs w:val="28"/>
          <w:rtl w:val="true"/>
          <w:lang w:bidi="ar-SA"/>
        </w:rPr>
        <w:t>؛ بناءً على كون النفاس بحكم الحيض على ما قيل</w:t>
      </w:r>
      <w:r>
        <w:rPr>
          <w:rStyle w:val="FootnoteAnchor"/>
          <w:rtl w:val="true"/>
        </w:rPr>
        <w:footnoteReference w:id="1001"/>
      </w:r>
      <w:r>
        <w:rPr>
          <w:rFonts w:ascii="Amiri" w:hAnsi="Amiri" w:eastAsia="Amiri" w:cs="Amiri"/>
          <w:color w:val="111111"/>
          <w:sz w:val="28"/>
          <w:sz w:val="28"/>
          <w:szCs w:val="28"/>
          <w:rtl w:val="true"/>
          <w:lang w:bidi="ar-SA"/>
        </w:rPr>
        <w:t xml:space="preserve">وإن كان للإشكال فيه مجال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فأدلّة التمييز حاكمة عليهما ؛ لأنّ لسان تلك الأدلّة هو معروفية الحيض بالأمارات ، وهما حكما بالرجوع إلى النساء مع عدم المعرفة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رواية زرارة ومحمّد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الموثّقة على 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يجب للمستحاضة أن تنظر بعض نسائها ، فتقتدي بأقرائها ، ثمّ تستظهر على ذلك بيوم</w:t>
      </w:r>
      <w:r>
        <w:rPr>
          <w:rFonts w:eastAsia="IRNazanin" w:cs="IRNazanin"/>
          <w:color w:val="111111"/>
          <w:sz w:val="28"/>
          <w:szCs w:val="28"/>
          <w:rtl w:val="true"/>
          <w:lang w:bidi="fa-IR"/>
        </w:rPr>
        <w:t>»</w:t>
      </w:r>
      <w:r>
        <w:rPr>
          <w:rStyle w:val="FootnoteAnchor"/>
          <w:rtl w:val="true"/>
        </w:rPr>
        <w:footnoteReference w:id="1002"/>
      </w:r>
      <w:r>
        <w:rPr>
          <w:rFonts w:ascii="Amiri" w:hAnsi="Amiri" w:eastAsia="Amiri" w:cs="Amiri"/>
          <w:color w:val="111111"/>
          <w:sz w:val="28"/>
          <w:sz w:val="28"/>
          <w:szCs w:val="28"/>
          <w:rtl w:val="true"/>
          <w:lang w:bidi="ar-SA"/>
        </w:rPr>
        <w:t xml:space="preserve">، فهي وإن لم تكن مثلهما ، لكنّ الظاهر حكومة 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لها أيّام معلومة من قليل أو كثير ، فهي على أيّامها وخلقها الذي جرت عليه ؛ ليس فيها عدد معلوم موقّت غير أيّامها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في ذات التمييز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تعرفها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تعرف أيّامها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أنّ دم الحيض أسود يعرف</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إلى غير ذلك على 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للمستحاضة أن تنظر بعض نسائها فتقتدي بأقرائها</w:t>
      </w:r>
      <w:r>
        <w:rPr>
          <w:rFonts w:eastAsia="Amiri" w:cs="Amiri" w:ascii="Amiri" w:hAnsi="Amiri"/>
          <w:color w:val="111111"/>
          <w:sz w:val="28"/>
          <w:szCs w:val="28"/>
          <w:rtl w:val="true"/>
          <w:lang w:bidi="ar-SA"/>
        </w:rPr>
        <w:t>»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لا معنى للاقتداء بالغير مع معلومية العدد والأيّام ، وإنّما الاقتداء بالنساء والأقارب لأجل الكشف الظنّي عن أيّامها ، ومع كون الطريق لنفسها وفي دمها لا مجال للرجوع إلى عادة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بوجهٍ نظير ظنّ المأموم </w:t>
      </w:r>
    </w:p>
    <w:p>
      <w:pPr>
        <w:pStyle w:val="BookText"/>
        <w:rPr/>
      </w:pPr>
      <w:r>
        <w:rPr>
          <w:rFonts w:ascii="Amiri" w:hAnsi="Amiri" w:eastAsia="Amiri" w:cs="Amiri"/>
          <w:color w:val="111111"/>
          <w:sz w:val="28"/>
          <w:sz w:val="28"/>
          <w:szCs w:val="28"/>
          <w:rtl w:val="true"/>
          <w:lang w:bidi="ar-SA"/>
        </w:rPr>
        <w:t xml:space="preserve">مع اعتباره إذا عارض ظنّ الإمام ؛ حيث إنّ الظاهر تقدّم ظنّه على ظنّ الإمام ، بل ما نحن فيه أولى منه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النظر في الروايات ، لا يبقى شكّ في تقدّم أدلّة التمييز على الرجوع إلى عادات النساء ، كتقدّم عادتهنّ على العدد والأخبار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أنّ في موثّقة محمّد بن مسلم وجوهاً من الخدشة توهن متنها ؛ بحيث توجب الإشكال في الاتّكال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كورود التخصيص الكثير المستهجن عليها ، فإنّ إطلاقها يشمل جميع أقسام المستحاضة ؛ ذات عادة كانت أو مميّزة أو مبتدئة أو غيرها ، ولا فرق في الاستهجان بين التقييد والتخصيص الاصطلاحيّين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الانصراف في غاية الوهن ؛ ألا ترى أ نّه لو لم يكن عندنا إلاّ هي ، لما</w:t>
      </w:r>
    </w:p>
    <w:p>
      <w:pPr>
        <w:pStyle w:val="BookText"/>
        <w:rPr/>
      </w:pPr>
      <w:r>
        <w:rPr>
          <w:rFonts w:ascii="Amiri" w:hAnsi="Amiri" w:eastAsia="Amiri" w:cs="Amiri"/>
          <w:color w:val="111111"/>
          <w:sz w:val="28"/>
          <w:sz w:val="28"/>
          <w:szCs w:val="28"/>
          <w:rtl w:val="true"/>
          <w:lang w:bidi="ar-SA"/>
        </w:rPr>
        <w:t xml:space="preserve">توقّفنا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توقّف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حكم المستحاضة الاقتداء ببعض نسائها ؛ كانت الاستحاضة ما كانت ، والمستحاضة من كانت ، وميزان الانصراف هو النظر في نفس الرواية دون معارضاتها ومقيّداتها ، فلا إشكال في إطلاقها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ذاتَ العادة سواء كانت حافظة لعادتها أو ناسية لها ، وذاتَ التمييز سواء كانت مبتدئة أو غيرها ، خارجتان منها نصّاً وفتوى وإجماعاً في بعضها ، فلا تبقى فيها إلاّ المبتدئ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بلا تمييز ، وغيرُ مستقرّة العادة مع عدم التمييز ؛ على إشكال في الثانية ، ولا إشكال في ندرة غير ذات العادة والتمييز ، فذكر هذا المطلق في مقام البيان لإفادة حكم أفراد قليلة غير صحيح ، فيوهن ذلك جواز التمسّك بها </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وكالإرجاع إلى بعض نسائها ، وهو مخالف للنصّ والفتوى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والعذر بأنّ عادة </w:t>
      </w:r>
      <w:bookmarkStart w:id="586" w:name="pg15019_190911"/>
    </w:p>
    <w:p>
      <w:pPr>
        <w:pStyle w:val="BookText"/>
        <w:rPr/>
      </w:pPr>
      <w:bookmarkEnd w:id="586"/>
      <w:r>
        <w:rPr>
          <w:rFonts w:ascii="Amiri" w:hAnsi="Amiri" w:eastAsia="Amiri" w:cs="Amiri"/>
          <w:color w:val="111111"/>
          <w:sz w:val="28"/>
          <w:sz w:val="28"/>
          <w:szCs w:val="28"/>
          <w:rtl w:val="true"/>
          <w:lang w:bidi="ar-SA"/>
        </w:rPr>
        <w:t>بعض نسائها أمارة على عادة سائرهنّ</w:t>
      </w:r>
      <w:r>
        <w:rPr>
          <w:rStyle w:val="FootnoteAnchor"/>
          <w:rtl w:val="true"/>
        </w:rPr>
        <w:footnoteReference w:id="1003"/>
      </w:r>
      <w:r>
        <w:rPr>
          <w:rFonts w:ascii="Amiri" w:hAnsi="Amiri" w:eastAsia="Amiri" w:cs="Amiri"/>
          <w:color w:val="111111"/>
          <w:sz w:val="28"/>
          <w:sz w:val="28"/>
          <w:szCs w:val="28"/>
          <w:rtl w:val="true"/>
          <w:lang w:bidi="ar-SA"/>
        </w:rPr>
        <w:t xml:space="preserve">، غير موجّه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فلعدم أمارية عادة فرد واحد من طائفة على عادة جميعها ؛ لا عقلاً ولا عرفاً ، ولا يحصل منها الظنّ بها بلا شبهة وريب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ظاهرها أنّ الاقتداء ببعض النسوة هو تكليفها الأوّلي ، لا لأجل كشف عادتها عن عادات الطائفة ، ولا إشكال في أنّ العرف يرى التعارض بينها وبين موثّقة سماعة التي تلقّاها الأصحاب بالقبول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وكالأمر بالاستظهار الذي لم يعهد القول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فالظاهر إعراض الأصحاب عن مضمونها ، فلا يمكن الاتّكال عليها ، كعدم إمكان الاتّكال على موثّقة أبي بصير التي هي كالنصّ في تخييرها بين الرجوع إلى اُمّها أو اُختها أو خالتها مع فرض اختلافهنّ في العادة </w:t>
      </w:r>
      <w:r>
        <w:rPr>
          <w:rFonts w:eastAsia="Amiri" w:cs="Amiri" w:ascii="Amiri" w:hAnsi="Amiri"/>
          <w:color w:val="111111"/>
          <w:sz w:val="28"/>
          <w:szCs w:val="28"/>
          <w:rtl w:val="true"/>
          <w:lang w:bidi="ar-SA"/>
        </w:rPr>
        <w:t>.</w:t>
      </w:r>
    </w:p>
    <w:p>
      <w:pPr>
        <w:pStyle w:val="Heading6"/>
        <w:numPr>
          <w:ilvl w:val="5"/>
          <w:numId w:val="1"/>
        </w:numPr>
        <w:rPr/>
      </w:pPr>
      <w:bookmarkStart w:id="587" w:name="__RefHeading___Toc686590_3406789950"/>
      <w:bookmarkStart w:id="588" w:name="_Toc213"/>
      <w:bookmarkEnd w:id="587"/>
      <w:r>
        <w:rPr>
          <w:rtl w:val="true"/>
        </w:rPr>
        <w:t xml:space="preserve">الجهة الثانية </w:t>
      </w:r>
      <w:r>
        <w:rPr>
          <w:rtl w:val="true"/>
        </w:rPr>
        <w:t xml:space="preserve">: </w:t>
      </w:r>
      <w:r>
        <w:rPr>
          <w:rtl w:val="true"/>
        </w:rPr>
        <w:t>في رجوع غير مستقرّة العادة إلى عادة نسائها</w:t>
      </w:r>
      <w:bookmarkEnd w:id="588"/>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إشكال نصّاً وفتوى في رجوع المبتدئة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الأخصّ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عادة نسائها ، فهل هو مختصّ بها ، أو يعمّ من لم تستقرّ لها عادة ولو رأت مراراً ؟</w:t>
      </w:r>
    </w:p>
    <w:p>
      <w:pPr>
        <w:pStyle w:val="BookText"/>
        <w:rPr/>
      </w:pPr>
      <w:r>
        <w:rPr>
          <w:rFonts w:ascii="Amiri" w:hAnsi="Amiri" w:eastAsia="Amiri" w:cs="Amiri"/>
          <w:color w:val="111111"/>
          <w:sz w:val="28"/>
          <w:sz w:val="28"/>
          <w:szCs w:val="28"/>
          <w:rtl w:val="true"/>
          <w:lang w:bidi="ar-SA"/>
        </w:rPr>
        <w:t>يمكن أن يقال بالتعميم ؛ بدعوى استفادة حكمها من مضمرة سماعة ؛ فإنّ الحكم بكون الأقراء أقراء نسائها وإن كان في مورد الجارية التي حاضت أوّل حيضها ، واستمرّ بها الدم ، وهي لا تعرف أيّام أقرائها ، لكنّ العرف لا يرى لابتداء</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الدم خصوصية ؛ لأنّ الإرجاع إلى الأقارب حكم موافق لارتكاز العقلاء ، لارتكازية كون عادات نساء طائفة إذا كانت متوافقةً ، كاشفةً عن حال </w:t>
      </w:r>
    </w:p>
    <w:p>
      <w:pPr>
        <w:pStyle w:val="BookText"/>
        <w:rPr/>
      </w:pPr>
      <w:r>
        <w:rPr>
          <w:rFonts w:ascii="Amiri" w:hAnsi="Amiri" w:eastAsia="Amiri" w:cs="Amiri"/>
          <w:color w:val="111111"/>
          <w:sz w:val="28"/>
          <w:sz w:val="28"/>
          <w:szCs w:val="28"/>
          <w:rtl w:val="true"/>
          <w:lang w:bidi="ar-SA"/>
        </w:rPr>
        <w:t xml:space="preserve">المجهولة ، ولحوقِ مجهولة الحال بهنّ ، ولا ريب في أنّ أمارية عادتهنّ إنّما هي لقرب أمزجتهنّ ، وعادة النساء أمارة لمن لم تكن لها أمارة من نفسها ، كعادتها الشخصية ، أو تميّز دمها ، فإذا لم تعرف عادتها بالأمارات التي عندها ، تكون عادات الطائفة والأرحام نحو طريق إلى عادتها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أمر ارتكازي عقلائي وإن لم يصل إلى حدّ يعتني به العقلاء بترتيب الآثار ، لكن إذا ورد من الشارع على هذا الموضوع حكم الاقتداء بنسائها وأنّ أقراءها أقراؤهنّ ، لا ينقدح في ذهن العقلاء إلاّ ما هو المغروس في أذهانهم من كون عادات الطائفة متشابهة ، وما هو المغروس في الأذهان ليس إلاّ ذلك من غير دخل لابتدائية الدم وعدمها ، فإذا ضُمّ هذا الارتكاز إلى موثّقة سماعة ، تُلغى خصوصية كون الجارية في أوّل ما حاضت ، ويرى العقلاء أنّ تمام الموضوع للإرجاع هو عدمُ معرفتها بأيّامها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بالطرق الخاصّة التي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عادات الطائفة متشابهة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غاية التقريب لاستفادة حكم غير مستقرّة العادة من موثّقة سَماعة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إنّما يتمّ لو لم تكن للمبتدئة خصوصية لدى العرف ، ولا لغير مستقرّة الدم خصوصية مخالفة لخصوصية المبتدئة ؛ بحيث تكون تلك الخصوصية ، موجبةً لقرب احتمال الافتراق بينهما في الحكم ، لكن فرق بين المبتدئة وغير مستقرّة الدم ؛ فإنّ الثانية مخالفة في رؤية الدم لنسائها ، فإنّها ترى</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كلّ شهر بعددٍ و وقت مغايرين لما ترى في الشهر الآخر ، في حين تكون عادة نسائها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منتظمة متوافقة في العدد ، أو مع الوقت أيضاً ، فلا يمكن مع هذا الاختلاف بينها وبين الطائفة ، أن تكون عادة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w:t>
      </w:r>
    </w:p>
    <w:p>
      <w:pPr>
        <w:pStyle w:val="BookText"/>
        <w:rPr/>
      </w:pPr>
      <w:r>
        <w:rPr>
          <w:rFonts w:ascii="Amiri" w:hAnsi="Amiri" w:eastAsia="Amiri" w:cs="Amiri"/>
          <w:color w:val="111111"/>
          <w:sz w:val="28"/>
          <w:sz w:val="28"/>
          <w:szCs w:val="28"/>
          <w:rtl w:val="true"/>
          <w:lang w:bidi="ar-SA"/>
        </w:rPr>
        <w:t xml:space="preserve">استمرار 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كاشفةً ولو ظنّاً عن عادتها ، بل الظنّ حاصل ببقاء الاختلاف ، وهذا بخلاف المبتدئة التي لم تَرَ الدم قطّ ، ولم تخالف نساءها في العادة بعدُ ، فتكون عاداتهنّ كاشفة ظنّاً عند العقلاء عن عادتها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الفرق لا يدع مجالاً لإلغاء الخصوصية المأخوذة في موضوع الحكم ؛ ولو كانت في سؤال السائل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من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الردّ على أنّ ثبوت اختلافها مع نسائها ، يمنع من الرجوع إلى عادتهنّ عند الاشتباه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ذلك مجرّد اعتبار لا يصلح مدركاً للأحكام الشرعية</w:t>
      </w:r>
      <w:r>
        <w:rPr>
          <w:rFonts w:eastAsia="Amiri" w:cs="Amiri" w:ascii="Amiri" w:hAnsi="Amiri"/>
          <w:color w:val="111111"/>
          <w:sz w:val="28"/>
          <w:szCs w:val="28"/>
          <w:rtl w:val="true"/>
          <w:lang w:bidi="ar-SA"/>
        </w:rPr>
        <w:t>»</w:t>
      </w:r>
      <w:r>
        <w:rPr>
          <w:rStyle w:val="FootnoteAnchor"/>
          <w:rtl w:val="true"/>
        </w:rPr>
        <w:footnoteReference w:id="1004"/>
      </w:r>
      <w:r>
        <w:rPr>
          <w:rFonts w:ascii="Amiri" w:hAnsi="Amiri" w:eastAsia="Amiri" w:cs="Amiri"/>
          <w:color w:val="111111"/>
          <w:sz w:val="28"/>
          <w:sz w:val="28"/>
          <w:szCs w:val="28"/>
          <w:rtl w:val="true"/>
          <w:lang w:bidi="ar-SA"/>
        </w:rPr>
        <w:t xml:space="preserve">، فإنّ هذا الاعتبار والاحتمال يمنع عن إثبات الحكم الشرعي لها بإلغاء الخصوصية ، لا أنّ مجرّده مدرك للحكم الشرعي ، وبينهما فرق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مع التقريب المتقدّم ، لا يبعد إلحاق من رأت مرّة واحدة كعادة نسائها ثمّ استمرّ بها الدم بها ، وهذا لا يوجب إلحاق المخالفة لهنّ بهنّ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يمكن دعوى إلحاق بعض ناسيات العادة بالمبتدئة ، وهي من تكون ناسية لعادتها ولم تعلم إجمالاً مخالفتها لعادات نسائها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المحكيّ عدم التزامهم بذلك </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يتمسّك</w:t>
      </w:r>
      <w:r>
        <w:rPr>
          <w:rStyle w:val="FootnoteAnchor"/>
          <w:rtl w:val="true"/>
        </w:rPr>
        <w:footnoteReference w:id="1005"/>
      </w:r>
      <w:r>
        <w:rPr>
          <w:rFonts w:ascii="Amiri" w:hAnsi="Amiri" w:eastAsia="Amiri" w:cs="Amiri"/>
          <w:color w:val="111111"/>
          <w:sz w:val="28"/>
          <w:sz w:val="28"/>
          <w:szCs w:val="28"/>
          <w:rtl w:val="true"/>
          <w:lang w:bidi="ar-SA"/>
        </w:rPr>
        <w:t xml:space="preserve">لإثبات الحكم في غير المستقرّة بموثّقة محمّد بن مسلم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أ نّها بما لها من الظاهر غير معمول بها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 xml:space="preserve">. </w:t>
      </w:r>
      <w:bookmarkStart w:id="589" w:name="pg15019_190914"/>
    </w:p>
    <w:p>
      <w:pPr>
        <w:pStyle w:val="BookText"/>
        <w:rPr/>
      </w:pPr>
      <w:bookmarkEnd w:id="589"/>
      <w:r>
        <w:rPr>
          <w:rFonts w:ascii="Amiri" w:hAnsi="Amiri" w:eastAsia="Amiri" w:cs="Amiri"/>
          <w:color w:val="111111"/>
          <w:sz w:val="28"/>
          <w:sz w:val="28"/>
          <w:szCs w:val="28"/>
          <w:rtl w:val="true"/>
          <w:lang w:bidi="ar-SA"/>
        </w:rPr>
        <w:t xml:space="preserve">بل بما قيل في تأويلها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الرجوع إلى بعض النساء أمارة على عادة الكلّ</w:t>
      </w:r>
      <w:r>
        <w:rPr>
          <w:rStyle w:val="FootnoteAnchor"/>
          <w:rtl w:val="true"/>
        </w:rPr>
        <w:footnoteReference w:id="10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غير معمول بها ، بل قد عرفت وهن إطلاقها ؛ لورود التقييد الكثير عليه</w:t>
      </w:r>
      <w:r>
        <w:rPr>
          <w:rStyle w:val="FootnoteAnchor"/>
          <w:rtl w:val="true"/>
        </w:rPr>
        <w:footnoteReference w:id="1008"/>
      </w:r>
      <w:r>
        <w:rPr>
          <w:rFonts w:ascii="Amiri" w:hAnsi="Amiri" w:eastAsia="Amiri" w:cs="Amiri"/>
          <w:color w:val="111111"/>
          <w:sz w:val="28"/>
          <w:sz w:val="28"/>
          <w:szCs w:val="28"/>
          <w:rtl w:val="true"/>
          <w:lang w:bidi="ar-SA"/>
        </w:rPr>
        <w:t xml:space="preserve">، فيكشف ذلك عن خلل فيها ، ولعلّه كان فيها قيد لم يصل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فيها حكمين غير معمول بهما لا 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تكون معتدّاً بها بمقدار تُكشف من عادتها عادةُ سائر النساء ، أو المراد الحدّ الذي يكون غيره بالنسبة إليه نادراً بحكم العدم ، فإنّ مثل ذلك التصرّف غير مرضيّ عند العقلاء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تلك الرواية موهونة المتن ، مغشوشة الظاهر ؛ ولهذا خصّ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حكي عنه</w:t>
      </w:r>
      <w:r>
        <w:rPr>
          <w:rStyle w:val="FootnoteAnchor"/>
          <w:rtl w:val="true"/>
        </w:rPr>
        <w:footnoteReference w:id="10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سماعة بكونها متلقّاة بالقبول بين الأصحاب</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90" w:name="__RefHeading___Toc686592_3406789950"/>
      <w:bookmarkStart w:id="591" w:name="_Toc214"/>
      <w:bookmarkEnd w:id="590"/>
      <w:r>
        <w:rPr>
          <w:rtl w:val="true"/>
        </w:rPr>
        <w:t xml:space="preserve">الجهة الثالثة </w:t>
      </w:r>
      <w:r>
        <w:rPr>
          <w:rtl w:val="true"/>
        </w:rPr>
        <w:t xml:space="preserve">: </w:t>
      </w:r>
      <w:r>
        <w:rPr>
          <w:rtl w:val="true"/>
        </w:rPr>
        <w:t>في بيان ما هو المعتبر عند الرجوع إلى عادة النساء</w:t>
      </w:r>
      <w:bookmarkEnd w:id="591"/>
    </w:p>
    <w:p>
      <w:pPr>
        <w:pStyle w:val="Heading6"/>
        <w:numPr>
          <w:ilvl w:val="5"/>
          <w:numId w:val="1"/>
        </w:numPr>
        <w:rPr/>
      </w:pPr>
      <w:bookmarkStart w:id="592" w:name="__RefHeading___Toc686594_3406789950"/>
      <w:bookmarkStart w:id="593" w:name="_Toc215"/>
      <w:bookmarkEnd w:id="592"/>
      <w:r>
        <w:rPr>
          <w:rtl w:val="true"/>
        </w:rPr>
        <w:t>اشارة</w:t>
      </w:r>
      <w:bookmarkEnd w:id="593"/>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المعتبر في الرجوع إلى الأقارب ، هل هو اتّفاق جميع نسائها وأقاربها من الأبوين أو أحدهما ؛ حيّاً وميّتاً وقريباً وبعيداً كائنة من كانت ، أو</w:t>
      </w:r>
    </w:p>
    <w:p>
      <w:pPr>
        <w:pStyle w:val="BookText"/>
        <w:rPr/>
      </w:pPr>
      <w:r>
        <w:rPr>
          <w:rFonts w:ascii="Amiri" w:hAnsi="Amiri" w:eastAsia="Amiri" w:cs="Amiri"/>
          <w:color w:val="111111"/>
          <w:sz w:val="28"/>
          <w:sz w:val="28"/>
          <w:szCs w:val="28"/>
          <w:rtl w:val="true"/>
          <w:lang w:bidi="ar-SA"/>
        </w:rPr>
        <w:t>يكفي اتّفاق الغالب مع الجهل بحال البقيّة ، أو مع العلم بالمخالفة أيضاً ؛ أو يكفي</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الغالب إذا كانت المخالفة معهنّ كالمعدومة ، أو إذا لم يعلم حال النادر كذلك ، أو </w:t>
      </w:r>
    </w:p>
    <w:p>
      <w:pPr>
        <w:pStyle w:val="BookText"/>
        <w:rPr/>
      </w:pPr>
      <w:r>
        <w:rPr>
          <w:rFonts w:ascii="Amiri" w:hAnsi="Amiri" w:eastAsia="Amiri" w:cs="Amiri"/>
          <w:color w:val="111111"/>
          <w:sz w:val="28"/>
          <w:sz w:val="28"/>
          <w:szCs w:val="28"/>
          <w:rtl w:val="true"/>
          <w:lang w:bidi="ar-SA"/>
        </w:rPr>
        <w:t>يكفي موافقة بعضهنّ مع الجهل بحال البقيّة ؟</w:t>
      </w:r>
    </w:p>
    <w:p>
      <w:pPr>
        <w:pStyle w:val="BookText"/>
        <w:rPr/>
      </w:pPr>
      <w:r>
        <w:rPr>
          <w:rFonts w:ascii="Amiri" w:hAnsi="Amiri" w:eastAsia="Amiri" w:cs="Amiri"/>
          <w:color w:val="111111"/>
          <w:sz w:val="28"/>
          <w:sz w:val="28"/>
          <w:szCs w:val="28"/>
          <w:rtl w:val="true"/>
          <w:lang w:bidi="ar-SA"/>
        </w:rPr>
        <w:t>وهل يعتبر التساوي أو التقارب في السنّ معهنّ ؟</w:t>
      </w:r>
    </w:p>
    <w:p>
      <w:pPr>
        <w:pStyle w:val="BookText"/>
        <w:rPr/>
      </w:pPr>
      <w:r>
        <w:rPr>
          <w:rFonts w:ascii="Amiri" w:hAnsi="Amiri" w:eastAsia="Amiri" w:cs="Amiri"/>
          <w:color w:val="111111"/>
          <w:sz w:val="28"/>
          <w:sz w:val="28"/>
          <w:szCs w:val="28"/>
          <w:rtl w:val="true"/>
          <w:lang w:bidi="ar-SA"/>
        </w:rPr>
        <w:t>أو يعتبر اتّحاد البلد أو قربه من حيث الآفاق أو لا ؟</w:t>
      </w:r>
    </w:p>
    <w:p>
      <w:pPr>
        <w:pStyle w:val="BookText"/>
        <w:rPr/>
      </w:pPr>
      <w:r>
        <w:rPr>
          <w:rFonts w:ascii="IRNazanin" w:hAnsi="IRNazanin" w:eastAsia="IRNazanin"/>
          <w:color w:val="111111"/>
          <w:sz w:val="28"/>
          <w:sz w:val="28"/>
          <w:szCs w:val="28"/>
          <w:rtl w:val="true"/>
          <w:lang w:bidi="fa-IR"/>
        </w:rPr>
        <w:t xml:space="preserve">احتمالات ووجوه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يبعد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المتفاهم عرفاً من 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بضميمة ارتكاز العقلاء على أنّ الإرجاع إليهنّ ، ليس لمحض التعبّد الصِرف ، بل لأجل أمارية خلق الطائفة على خلقها ؛ لتشابه أفراد الطائفة في الأمزجة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اتّفاق النوع بمثابةٍ تكون من تخالف معهنّ نادرةً ، يكفي في الأمارية ؛ لأنّ مثل تلك المخالفة لا يصدق عليها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كانت نساؤها مختلفات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نّهنّ غير متّفقات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تكون عادة تلك المرأة النادرة المخالفة لنوع الطائفة عند العقلاء ، معلولة بعلّة ، فيقال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الطائفة متّفقة ، وإنّما تخلّفت عنها تلك النادرة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لا يعدّ اختلاف الطائفة ، ولا يضرّ بأمارية حال النوع على مجهولة الحال ارتكازاً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ارتكازية الحكم يفهم العرف من رواية سماعة أنّ الشارع جعل موافقة أمزجة الطائفة ، كاشفةً عن عادة المبتدئة المستمرّة الدم ؛ على وزان الارتكاز العقلائي ؛ وهو عدم إضرار التخلّف النادر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وأولى بذلك ما إذا جهل حال بعضهنّ إذا كانت البقيّة بحيث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الطائفة خلقها كذا</w:t>
      </w:r>
      <w:r>
        <w:rPr>
          <w:rFonts w:eastAsia="Amiri" w:cs="Amiri" w:ascii="Amiri" w:hAnsi="Amiri"/>
          <w:color w:val="111111"/>
          <w:sz w:val="28"/>
          <w:szCs w:val="28"/>
          <w:rtl w:val="true"/>
          <w:lang w:bidi="ar-SA"/>
        </w:rPr>
        <w:t>»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ما هو المتفاهم من الموثّقة بضميمة الارتكاز المشار إليه ؛ أنّ عدد النساء لو كان قليلاً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كالاثنتين والثلاث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الاقتداء بعادتهنّ إلاّ إذا علم حال الأموات منهنّ ؛ بحيث يصدق على اتّفاقهنّ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نساء الطائفة كانت </w:t>
      </w:r>
      <w:bookmarkStart w:id="594" w:name="pg15019_190916"/>
    </w:p>
    <w:p>
      <w:pPr>
        <w:pStyle w:val="BookText"/>
        <w:rPr/>
      </w:pPr>
      <w:bookmarkEnd w:id="594"/>
      <w:r>
        <w:rPr>
          <w:rFonts w:ascii="Amiri" w:hAnsi="Amiri" w:eastAsia="Amiri" w:cs="Amiri"/>
          <w:color w:val="111111"/>
          <w:sz w:val="28"/>
          <w:sz w:val="28"/>
          <w:szCs w:val="28"/>
          <w:rtl w:val="true"/>
          <w:lang w:bidi="ar-SA"/>
        </w:rPr>
        <w:t>عادتهنّ كذلك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وبالجملة الميزان في الرجوع إلى نسائها هو ما ذكرنا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الإرجاع إلى عادة النساء من الفروض النادرة التحقّق ؛ بحيث لا ينافي الحصر المستفاد من المرسلة ، فإنّ السكوت عنه فيها كالسكوت عن مصداق غير مبتلى به ، وأمّا التعرّض له في المرسلة فلا مانع منه ؛ لأنّ التعرّض بالخصوص لفرد نادر غير عزيز </w:t>
      </w:r>
      <w:r>
        <w:rPr>
          <w:rFonts w:eastAsia="Amiri" w:cs="Amiri" w:ascii="Amiri" w:hAnsi="Amiri"/>
          <w:color w:val="111111"/>
          <w:sz w:val="28"/>
          <w:szCs w:val="28"/>
          <w:rtl w:val="true"/>
          <w:lang w:bidi="ar-SA"/>
        </w:rPr>
        <w:t>.</w:t>
      </w:r>
    </w:p>
    <w:p>
      <w:pPr>
        <w:pStyle w:val="Heading6"/>
        <w:numPr>
          <w:ilvl w:val="5"/>
          <w:numId w:val="1"/>
        </w:numPr>
        <w:rPr/>
      </w:pPr>
      <w:bookmarkStart w:id="595" w:name="__RefHeading___Toc686596_3406789950"/>
      <w:bookmarkStart w:id="596" w:name="_Toc216"/>
      <w:bookmarkEnd w:id="595"/>
      <w:r>
        <w:rPr>
          <w:rtl w:val="true"/>
        </w:rPr>
        <w:t>حول إجراء أصالة العدم الأزلي لإحراز موضوع الرجوع</w:t>
      </w:r>
      <w:bookmarkEnd w:id="596"/>
    </w:p>
    <w:p>
      <w:pPr>
        <w:pStyle w:val="BookText"/>
        <w:rPr/>
      </w:pPr>
      <w:r>
        <w:rPr>
          <w:rFonts w:ascii="Amiri" w:hAnsi="Amiri" w:eastAsia="Amiri" w:cs="Amiri"/>
          <w:color w:val="111111"/>
          <w:sz w:val="28"/>
          <w:sz w:val="28"/>
          <w:szCs w:val="28"/>
          <w:rtl w:val="true"/>
          <w:lang w:bidi="ar-SA"/>
        </w:rPr>
        <w:t xml:space="preserve">ثمّ إنّ الظاهر من الموثّقة ، هو كون موضوع الإرجاع إلى النساء متقيّداً بأمر وجودي ؛ وهو كون النساء متماثلة الأقراء ، وأمّا الإرجاع إلى العدد فلا يتوقّف إلاّ على فقد هذا المرجع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الاختلاف المفروض ليس موضوعاً للحكم بالرجوع إلى العدد ، بل عدم الموافقة موضوع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لو قلنا بجريان أصالة عدم الموافقة على نحو أصل العدم الأزلي ، يحرز موضوع الرجوع إلى الروايات مع الشكّ في الموافقة والمخالفة ، وهذا بخلاف ما لو كانت المخالفة أيضاً مأخوذة في موضوع العدد ؛ لكونها أمراً وجودياً غير مسبوق بالعلم </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 أصل جريان تلك الاُصول العدمية إشكال ومنع ، وقد فرغنا عن عدم جريانها في محلّه</w:t>
      </w:r>
      <w:r>
        <w:rPr>
          <w:rStyle w:val="FootnoteAnchor"/>
          <w:rtl w:val="true"/>
        </w:rPr>
        <w:footnoteReference w:id="1011"/>
      </w:r>
      <w:r>
        <w:rPr>
          <w:rFonts w:ascii="Amiri" w:hAnsi="Amiri" w:eastAsia="Amiri" w:cs="Amiri"/>
          <w:color w:val="111111"/>
          <w:sz w:val="28"/>
          <w:sz w:val="28"/>
          <w:szCs w:val="28"/>
          <w:rtl w:val="true"/>
          <w:lang w:bidi="ar-SA"/>
        </w:rPr>
        <w:t xml:space="preserve">، فلا يبقى لذلك النزاع ثمرة </w:t>
      </w:r>
      <w:r>
        <w:rPr>
          <w:rFonts w:eastAsia="Amiri" w:cs="Amiri" w:ascii="Amiri" w:hAnsi="Amiri"/>
          <w:color w:val="111111"/>
          <w:sz w:val="28"/>
          <w:szCs w:val="28"/>
          <w:rtl w:val="true"/>
          <w:lang w:bidi="ar-SA"/>
        </w:rPr>
        <w:t xml:space="preserve">. </w:t>
      </w:r>
      <w:bookmarkStart w:id="597" w:name="pg15019_190917"/>
    </w:p>
    <w:p>
      <w:pPr>
        <w:pStyle w:val="Heading6"/>
        <w:numPr>
          <w:ilvl w:val="5"/>
          <w:numId w:val="1"/>
        </w:numPr>
        <w:rPr/>
      </w:pPr>
      <w:bookmarkStart w:id="598" w:name="__RefHeading___Toc686598_3406789950"/>
      <w:bookmarkStart w:id="599" w:name="_Toc217"/>
      <w:bookmarkEnd w:id="597"/>
      <w:bookmarkEnd w:id="598"/>
      <w:r>
        <w:rPr>
          <w:rtl w:val="true"/>
        </w:rPr>
        <w:t>كفاية الاتّفاق في خصوص العدد أو خصوص الوقت</w:t>
      </w:r>
      <w:bookmarkEnd w:id="599"/>
    </w:p>
    <w:p>
      <w:pPr>
        <w:pStyle w:val="BookText"/>
        <w:rPr/>
      </w:pPr>
      <w:r>
        <w:rPr>
          <w:rFonts w:ascii="Amiri" w:hAnsi="Amiri" w:eastAsia="Amiri" w:cs="Amiri"/>
          <w:color w:val="111111"/>
          <w:sz w:val="28"/>
          <w:sz w:val="28"/>
          <w:szCs w:val="28"/>
          <w:rtl w:val="true"/>
          <w:lang w:bidi="ar-SA"/>
        </w:rPr>
        <w:t>ثمّ إنّ نساءها قد يتّفقن في العدد والوقت ، وقد يتّفقن في واحد منهما دون الآخر ، فهل المستفاد من الموثّقة هو كون النساء مرجعاً لها عند اتّفاقهنّ فيهما ، ومع الاختلاف ولو في واحد منهما لا ترجع إليهنّ ، بل ترجع إلى العدد ؟</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الاختلاف أو عدم الاتّفاق في الجملة ، موضوعاً للرجوع إلى العدد ، أو يكون الاتّفاق في الجملة موضوعاً للرجوع إلى النساء ، وعدم الاتّفاق مطلقاً والاختلاف فيهما موضوعاً للرجوع إلى العدد ؟</w:t>
      </w:r>
    </w:p>
    <w:p>
      <w:p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ظاهر ذيل الموثّقة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تعرّض للعدد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الإرجاع إليهنّ مع اتّفاقهنّ في العدد ، ولا تعرّض لها للوقت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 نّه لو توقّف الرجوع إلى النساء</w:t>
      </w:r>
    </w:p>
    <w:p>
      <w:pPr>
        <w:pStyle w:val="BookText"/>
        <w:rPr/>
      </w:pPr>
      <w:r>
        <w:rPr>
          <w:rFonts w:ascii="Amiri" w:hAnsi="Amiri" w:eastAsia="Amiri" w:cs="Amiri"/>
          <w:color w:val="111111"/>
          <w:sz w:val="28"/>
          <w:sz w:val="28"/>
          <w:szCs w:val="28"/>
          <w:rtl w:val="true"/>
          <w:lang w:bidi="ar-SA"/>
        </w:rPr>
        <w:t>على اتّفاقهنّ عدداً ووقتاً ، لزم منه أن يكون الرجوع إليهنّ فرضاً في غاية القلّة</w:t>
      </w:r>
      <w:r>
        <w:rPr>
          <w:rFonts w:eastAsia="Amiri" w:cs="Amiri" w:ascii="Amiri" w:hAnsi="Amiri"/>
          <w:color w:val="111111"/>
          <w:sz w:val="28"/>
          <w:szCs w:val="28"/>
          <w:rtl w:val="true"/>
          <w:lang w:bidi="ar-SA"/>
        </w:rPr>
        <w:t>»</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التعرّض للعدد في الذيل ، لا يدلّ على كون فرض الصدر كذلك ؛ لإمكان أن يكون الاتّفاق عدداً ووقتاً أمارة على عادتها ، ومع الاختلاف في الجملة تكون فاقدة الأمارة ، وحكمها الرجوع إلى العدد والتخيير في الوقت </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إمكان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لا تكون بصدد التعرّض للعدد والإرجاع إليه ، بل تكون بصدد بيان أ نّه مع اختلافهنّ ، تكون غاية جلوسها من طرف الزيادة هي العشر ، ومن طرف النقيصة هي الثلاث ؛ مخيّرةً بين الحدّين ، فتكون في العدد والوقت مخيّرة ، وسيأتي بيان ذيل الرواية عن قريب </w:t>
      </w:r>
      <w:r>
        <w:rPr>
          <w:rFonts w:eastAsia="Amiri" w:cs="Amiri" w:ascii="Amiri" w:hAnsi="Amiri"/>
          <w:color w:val="111111"/>
          <w:sz w:val="28"/>
          <w:szCs w:val="28"/>
          <w:rtl w:val="true"/>
          <w:lang w:bidi="ar-SA"/>
        </w:rPr>
        <w:t xml:space="preserve">. </w:t>
      </w:r>
      <w:bookmarkStart w:id="600" w:name="pg15019_190918"/>
    </w:p>
    <w:p>
      <w:pPr>
        <w:pStyle w:val="BookText"/>
        <w:rPr/>
      </w:pPr>
      <w:bookmarkEnd w:id="600"/>
      <w:r>
        <w:rPr>
          <w:rFonts w:ascii="Amiri" w:hAnsi="Amiri" w:eastAsia="Amiri" w:cs="Amiri"/>
          <w:color w:val="111111"/>
          <w:sz w:val="28"/>
          <w:sz w:val="28"/>
          <w:szCs w:val="28"/>
          <w:rtl w:val="true"/>
          <w:lang w:bidi="ar-SA"/>
        </w:rPr>
        <w:t xml:space="preserve">وأمّا صيرورة الفرد نادراً فلا محذور فيه ، بل هي مؤيّدة لحصر رواية يونس ، وموجبة لتوافق 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التحقيق شمول الموثّقة لاتّفاقهنّ عدداً فقط ، ووقتاً كذلك ؛ فإنّ الظاهر من صدرها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جعل أقراءها أقراء نسائها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إذا كان للنساء أقراء يكون أقراؤها مثلها ، ومع اتّفاق النساء في العدد لا شبهة في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كونهنّ ذوات الأقراء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وكذلك إذا اتّفقن في الوقت 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لهنّ أقراءً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فيجب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إطلاق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إليهنّ في أقرائهنّ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ذيل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كانت نساؤها مختلفات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عرفت أنّ الاختلاف ليس موضوعاً للحكم ، بل ما يتفاهم عرفاً من الرواية أنّ الذيل في مقام بيان مقابل ما يفهم من الصدر ، فكأ 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لم يكن لهنّ أقراء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وعدم</w:t>
      </w:r>
    </w:p>
    <w:p>
      <w:pPr>
        <w:pStyle w:val="BookText"/>
        <w:rPr/>
      </w:pPr>
      <w:r>
        <w:rPr>
          <w:rFonts w:ascii="Amiri" w:hAnsi="Amiri" w:eastAsia="Amiri" w:cs="Amiri"/>
          <w:color w:val="111111"/>
          <w:sz w:val="28"/>
          <w:sz w:val="28"/>
          <w:szCs w:val="28"/>
          <w:rtl w:val="true"/>
          <w:lang w:bidi="ar-SA"/>
        </w:rPr>
        <w:t xml:space="preserve">الأقراء عرفاً بعدم جميع المصاديق ، كما أنّ تحقّقها بتحقّق فردٍ 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موافقة الارتكاز العرفي لذلك ، وقد عرفت أنّ الظاهر أنّ الرواية وردت موافقة له ، لا تعبّداً محضاً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 نّه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الرواية تعرّضت للعدد</w:t>
      </w:r>
    </w:p>
    <w:p>
      <w:pPr>
        <w:pStyle w:val="BookText"/>
        <w:rPr/>
      </w:pPr>
      <w:r>
        <w:rPr>
          <w:rFonts w:ascii="Amiri" w:hAnsi="Amiri" w:eastAsia="Amiri" w:cs="Amiri"/>
          <w:color w:val="111111"/>
          <w:sz w:val="28"/>
          <w:sz w:val="28"/>
          <w:szCs w:val="28"/>
          <w:rtl w:val="true"/>
          <w:lang w:bidi="ar-SA"/>
        </w:rPr>
        <w:t xml:space="preserve">فقط ، وجب أن يلتزم بأ نّه إذا اتّفقن في العدد والوقت ، جاز لها أن تخالفهنّ في الوقت دون العدد ، مع أ نّه مخالف لفهم العرف من الرواية ، كما لا يخفى </w:t>
      </w:r>
      <w:r>
        <w:rPr>
          <w:rFonts w:eastAsia="Amiri" w:cs="Amiri" w:ascii="Amiri" w:hAnsi="Amiri"/>
          <w:color w:val="111111"/>
          <w:sz w:val="28"/>
          <w:szCs w:val="28"/>
          <w:rtl w:val="true"/>
          <w:lang w:bidi="ar-SA"/>
        </w:rPr>
        <w:t>.</w:t>
      </w:r>
    </w:p>
    <w:p>
      <w:pPr>
        <w:pStyle w:val="Heading6"/>
        <w:numPr>
          <w:ilvl w:val="5"/>
          <w:numId w:val="1"/>
        </w:numPr>
        <w:rPr/>
      </w:pPr>
      <w:bookmarkStart w:id="601" w:name="__RefHeading___Toc686600_3406789950"/>
      <w:bookmarkStart w:id="602" w:name="_Toc218"/>
      <w:bookmarkEnd w:id="601"/>
      <w:r>
        <w:rPr>
          <w:rtl w:val="true"/>
        </w:rPr>
        <w:t xml:space="preserve">الجهة الرابعة </w:t>
      </w:r>
      <w:r>
        <w:rPr>
          <w:rtl w:val="true"/>
        </w:rPr>
        <w:t xml:space="preserve">: </w:t>
      </w:r>
      <w:r>
        <w:rPr>
          <w:rtl w:val="true"/>
        </w:rPr>
        <w:t>في عدم الرجوع إلى عادة أقرانها عند فقد نسائها</w:t>
      </w:r>
      <w:bookmarkEnd w:id="602"/>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نسب إلى المشهور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نّها ترجع إلى عادة أقرانها مع فقد نسائها أو اختلافهنّ ، 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مذهب الأكثر 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ظاهر كلام المتأخّرين</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واستظهر بعضهم</w:t>
      </w:r>
      <w:r>
        <w:rPr>
          <w:rStyle w:val="FootnoteAnchor"/>
          <w:rtl w:val="true"/>
        </w:rPr>
        <w:footnoteReference w:id="1014"/>
      </w:r>
      <w:r>
        <w:rPr>
          <w:rFonts w:ascii="Amiri" w:hAnsi="Amiri" w:eastAsia="Amiri" w:cs="Amiri"/>
          <w:color w:val="111111"/>
          <w:sz w:val="28"/>
          <w:sz w:val="28"/>
          <w:szCs w:val="28"/>
          <w:rtl w:val="true"/>
          <w:lang w:bidi="ar-SA"/>
        </w:rPr>
        <w:t xml:space="preserve">دعوى الإجماع عليه من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1015"/>
      </w:r>
      <w:r>
        <w:rPr>
          <w:rFonts w:ascii="Amiri" w:hAnsi="Amiri" w:eastAsia="Amiri" w:cs="Amiri"/>
          <w:color w:val="111111"/>
          <w:sz w:val="28"/>
          <w:sz w:val="28"/>
          <w:szCs w:val="28"/>
          <w:rtl w:val="true"/>
          <w:lang w:bidi="ar-SA"/>
        </w:rPr>
        <w:t xml:space="preserve">وهو في محلّ المنع ، كما يظهر وجهه من الرجوع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 دعواه بعد أنّ القول بعدم اعتبار الرجوع إليهنّ محكيّ عن جمع من الأصحاب ، كالصدوق والمرتضى والشيخ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والمحقّق والعلاّمة وغيرهم ، فلا تكون المسألة إجماعية ولا مشهورة بحيث يمكن الاتّكال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دليل عليها إلاّ بعض وجوه ضعيفة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كحصول الظنّ من موافقة الأقران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حصوله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يعتمد عليه ، ولا دليل على اعتباره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وكالتشبّث بمرسلة يونس القصيرة ؛ حيث اعتبرت فيها مراتب السنين في القلّة والكثرة في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ضعفها سنداً ، ووهنها متناً ، كما تقدّم</w:t>
      </w:r>
      <w:r>
        <w:rPr>
          <w:rStyle w:val="FootnoteAnchor"/>
          <w:rtl w:val="true"/>
        </w:rPr>
        <w:footnoteReference w:id="10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تدلّ على المقصود ، غاية الأمر أنّ فيها إشعاراً لا يصل إلى حدّ الدلالة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وكدعوى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لأقرانها ، خصوصاً إذا كنّ في بلدها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منع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لازمه اشتراك الأقرباء والأقران في جواز الرجوع إليهنّ ، وهو ليس بمراد قطعاً ، ولم يقل به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والاتّكال في الترتيب بينهما على فهم العرف في غير محلّه ؛ لمنع ذلك </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فالأقوى هو عدم اعتبار الأقران ، ومعه لا داعي إلى تعيين الموضوع </w:t>
      </w:r>
      <w:r>
        <w:rPr>
          <w:rFonts w:eastAsia="Amiri" w:cs="Amiri" w:ascii="Amiri" w:hAnsi="Amiri"/>
          <w:color w:val="111111"/>
          <w:sz w:val="28"/>
          <w:szCs w:val="28"/>
          <w:rtl w:val="true"/>
          <w:lang w:bidi="ar-SA"/>
        </w:rPr>
        <w:t xml:space="preserve">. </w:t>
      </w:r>
      <w:bookmarkStart w:id="603" w:name="pg15019_190920"/>
    </w:p>
    <w:p>
      <w:pPr>
        <w:pStyle w:val="Heading6"/>
        <w:numPr>
          <w:ilvl w:val="5"/>
          <w:numId w:val="1"/>
        </w:numPr>
        <w:rPr/>
      </w:pPr>
      <w:bookmarkStart w:id="604" w:name="__RefHeading___Toc686602_3406789950"/>
      <w:bookmarkStart w:id="605" w:name="_Toc219"/>
      <w:bookmarkEnd w:id="603"/>
      <w:bookmarkEnd w:id="604"/>
      <w:r>
        <w:rPr>
          <w:rtl w:val="true"/>
        </w:rPr>
        <w:t>الأمر السادس في حكم من لا يمكنها الرجوع إلى نسائها</w:t>
      </w:r>
      <w:bookmarkEnd w:id="605"/>
    </w:p>
    <w:p>
      <w:pPr>
        <w:pStyle w:val="Heading6"/>
        <w:numPr>
          <w:ilvl w:val="5"/>
          <w:numId w:val="1"/>
        </w:numPr>
        <w:rPr/>
      </w:pPr>
      <w:bookmarkStart w:id="606" w:name="__RefHeading___Toc686604_3406789950"/>
      <w:bookmarkStart w:id="607" w:name="_Toc220"/>
      <w:bookmarkEnd w:id="606"/>
      <w:r>
        <w:rPr>
          <w:rtl w:val="true"/>
        </w:rPr>
        <w:t>اشارة</w:t>
      </w:r>
      <w:bookmarkEnd w:id="607"/>
    </w:p>
    <w:p>
      <w:pPr>
        <w:pStyle w:val="BookText"/>
        <w:rPr/>
      </w:pPr>
      <w:r>
        <w:rPr>
          <w:rFonts w:ascii="Amiri" w:hAnsi="Amiri" w:eastAsia="Amiri" w:cs="Amiri"/>
          <w:color w:val="111111"/>
          <w:sz w:val="28"/>
          <w:sz w:val="28"/>
          <w:szCs w:val="28"/>
          <w:rtl w:val="true"/>
          <w:lang w:bidi="ar-SA"/>
        </w:rPr>
        <w:t xml:space="preserve">إذا لم يمكن لها الرجوع إلى نسائها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لأجل اختلافهنّ ، أو فقدان عدّة يمكن الرجوع إليهنّ ؛ بناءً على ما تقدّم</w:t>
      </w:r>
      <w:r>
        <w:rPr>
          <w:rStyle w:val="FootnoteAnchor"/>
          <w:rtl w:val="true"/>
        </w:rPr>
        <w:footnoteReference w:id="10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الميزان في الرجوع إمكان كشف حال النوع منهنّ ؛ بأن تكون عدّتهنّ بمقدار يقال عند اتّفاقهنّ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الطائفة عادتها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فأقوال الأصحاب فيه مختلفة جدّاً </w:t>
      </w:r>
      <w:r>
        <w:rPr>
          <w:rStyle w:val="FootnoteAnchor"/>
          <w:rtl w:val="true"/>
        </w:rPr>
        <w:footnoteReference w:id="1018"/>
      </w:r>
      <w:r>
        <w:rPr>
          <w:rFonts w:ascii="Amiri" w:hAnsi="Amiri" w:eastAsia="Amiri" w:cs="Amiri"/>
          <w:color w:val="111111"/>
          <w:sz w:val="28"/>
          <w:sz w:val="28"/>
          <w:szCs w:val="28"/>
          <w:rtl w:val="true"/>
          <w:lang w:bidi="ar-SA"/>
        </w:rPr>
        <w:t>، فلا يمكن الاتّكال على دعوى الشهرة</w:t>
      </w:r>
      <w:r>
        <w:rPr>
          <w:rStyle w:val="FootnoteAnchor"/>
          <w:rtl w:val="true"/>
        </w:rPr>
        <w:footnoteReference w:id="1019"/>
      </w:r>
      <w:r>
        <w:rPr>
          <w:rFonts w:ascii="Amiri" w:hAnsi="Amiri" w:eastAsia="Amiri" w:cs="Amiri"/>
          <w:color w:val="111111"/>
          <w:sz w:val="28"/>
          <w:sz w:val="28"/>
          <w:szCs w:val="28"/>
          <w:rtl w:val="true"/>
          <w:lang w:bidi="ar-SA"/>
        </w:rPr>
        <w:t>أو الاتّفاق فيه</w:t>
      </w:r>
      <w:r>
        <w:rPr>
          <w:rStyle w:val="FootnoteAnchor"/>
          <w:rtl w:val="true"/>
        </w:rPr>
        <w:footnoteReference w:id="1020"/>
      </w:r>
      <w:r>
        <w:rPr>
          <w:rFonts w:ascii="Amiri" w:hAnsi="Amiri" w:eastAsia="Amiri" w:cs="Amiri"/>
          <w:color w:val="111111"/>
          <w:sz w:val="28"/>
          <w:sz w:val="28"/>
          <w:szCs w:val="28"/>
          <w:rtl w:val="true"/>
          <w:lang w:bidi="ar-SA"/>
        </w:rPr>
        <w:t xml:space="preserve">، فلا بدّ من النظر في روايات الباب ليتّضح الحال </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الروايات مختلفة ؛ بحيث لا يكون بينها جمع عقلائي مقبول يمكن الاتّكال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قيل في وجه الجمع بينها غير مرضيّ ، ففي 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الشيخ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فإن كانت نساؤها مختلفات فأكثر جلوسها عشرة أيّام ، وأقلّه ثلاثة أيّام</w:t>
      </w:r>
      <w:r>
        <w:rPr>
          <w:rFonts w:eastAsia="Amiri" w:cs="Amiri" w:ascii="Amiri" w:hAnsi="Amiri"/>
          <w:color w:val="111111"/>
          <w:sz w:val="28"/>
          <w:szCs w:val="28"/>
          <w:rtl w:val="true"/>
          <w:lang w:bidi="ar-SA"/>
        </w:rPr>
        <w:t>»</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 xml:space="preserve">. </w:t>
      </w:r>
      <w:bookmarkStart w:id="608" w:name="pg15019_190921"/>
    </w:p>
    <w:p>
      <w:pPr>
        <w:pStyle w:val="BookText"/>
        <w:rPr/>
      </w:pPr>
      <w:bookmarkEnd w:id="608"/>
      <w:r>
        <w:rPr>
          <w:rFonts w:ascii="Amiri" w:hAnsi="Amiri" w:eastAsia="Amiri" w:cs="Amiri"/>
          <w:color w:val="111111"/>
          <w:sz w:val="28"/>
          <w:sz w:val="28"/>
          <w:szCs w:val="28"/>
          <w:rtl w:val="true"/>
          <w:lang w:bidi="ar-SA"/>
        </w:rPr>
        <w:t xml:space="preserve">وفي رواية الخزّاز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يبعد أن تكون موثّقة</w:t>
      </w:r>
      <w:r>
        <w:rPr>
          <w:rStyle w:val="FootnoteAnchor"/>
          <w:rtl w:val="true"/>
        </w:rPr>
        <w:footnoteReference w:id="10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المستحاضة كيف تصنع إذا رأت الدم ، وإذا رأت الصفرة ، وكم تدع الصلاة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أقلّ الحيض ثلاثة ، وأكثره عشرة ، وتجمع بين الصلاتين</w:t>
      </w:r>
      <w:r>
        <w:rPr>
          <w:rFonts w:eastAsia="IRNazanin" w:cs="IRNazanin"/>
          <w:color w:val="111111"/>
          <w:sz w:val="28"/>
          <w:szCs w:val="28"/>
          <w:rtl w:val="true"/>
          <w:lang w:bidi="fa-IR"/>
        </w:rPr>
        <w:t>»</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09" w:name="__RefHeading___Toc686606_3406789950"/>
      <w:bookmarkStart w:id="610" w:name="_Toc221"/>
      <w:bookmarkEnd w:id="609"/>
      <w:r>
        <w:rPr>
          <w:rtl w:val="true"/>
        </w:rPr>
        <w:t>وجه للجمع بين أخبار المقام وبيان ما فيه</w:t>
      </w:r>
      <w:bookmarkEnd w:id="610"/>
    </w:p>
    <w:p>
      <w:pPr>
        <w:pStyle w:val="BookText"/>
        <w:rPr/>
      </w:pPr>
      <w:r>
        <w:rPr>
          <w:rFonts w:ascii="Amiri" w:hAnsi="Amiri" w:eastAsia="Amiri" w:cs="Amiri"/>
          <w:color w:val="111111"/>
          <w:sz w:val="28"/>
          <w:sz w:val="28"/>
          <w:szCs w:val="28"/>
          <w:rtl w:val="true"/>
          <w:lang w:bidi="ar-SA"/>
        </w:rPr>
        <w:t>وقد يجمع</w:t>
      </w:r>
      <w:r>
        <w:rPr>
          <w:rStyle w:val="FootnoteAnchor"/>
          <w:rtl w:val="true"/>
        </w:rPr>
        <w:footnoteReference w:id="1024"/>
      </w:r>
      <w:r>
        <w:rPr>
          <w:rFonts w:ascii="Amiri" w:hAnsi="Amiri" w:eastAsia="Amiri" w:cs="Amiri"/>
          <w:color w:val="111111"/>
          <w:sz w:val="28"/>
          <w:sz w:val="28"/>
          <w:szCs w:val="28"/>
          <w:rtl w:val="true"/>
          <w:lang w:bidi="ar-SA"/>
        </w:rPr>
        <w:t xml:space="preserve">بينهما وبين سائر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كموثّقتي ابن بكير</w:t>
      </w:r>
      <w:r>
        <w:rPr>
          <w:rStyle w:val="FootnoteAnchor"/>
          <w:rtl w:val="true"/>
        </w:rPr>
        <w:footnoteReference w:id="1025"/>
      </w:r>
      <w:r>
        <w:rPr>
          <w:rFonts w:ascii="Amiri" w:hAnsi="Amiri" w:eastAsia="Amiri" w:cs="Amiri"/>
          <w:color w:val="111111"/>
          <w:sz w:val="28"/>
          <w:sz w:val="28"/>
          <w:szCs w:val="28"/>
          <w:rtl w:val="true"/>
          <w:lang w:bidi="ar-SA"/>
        </w:rPr>
        <w:t>ومرسلة يونس الطويلة</w:t>
      </w:r>
      <w:r>
        <w:rPr>
          <w:rStyle w:val="FootnoteAnchor"/>
          <w:rtl w:val="true"/>
        </w:rPr>
        <w:footnoteReference w:id="10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بحملهما على التخيير بين الثلاثة إلى عشرة أيّام ، وحمل رواية يونس وابن بكير على مراتب الفضل </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موثّقة سماعة لا تدلّ على التخيير بين الثلاثة إلى العشرة ، بل يحتمل أن يكون المراد التخيير بين خصوص الحدّين ،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أ نّها ليست في مقام بيان كيفية جلوس عشرة أيّام وثلاثة ، بل من هذه الجهة مهملة أو مجملة ، ترفع إجمالها رواية ابن بكير الظاهرة في أنّ العشرة إنّما تكون في </w:t>
      </w:r>
    </w:p>
    <w:p>
      <w:pPr>
        <w:pStyle w:val="BookText"/>
        <w:rPr/>
      </w:pPr>
      <w:r>
        <w:rPr>
          <w:rFonts w:ascii="Amiri" w:hAnsi="Amiri" w:eastAsia="Amiri" w:cs="Amiri"/>
          <w:color w:val="111111"/>
          <w:sz w:val="28"/>
          <w:sz w:val="28"/>
          <w:szCs w:val="28"/>
          <w:rtl w:val="true"/>
          <w:lang w:bidi="ar-SA"/>
        </w:rPr>
        <w:t xml:space="preserve">الدورة الاُولى ، والثلاثة في بقيّة الدورات ، فالجمع بينهما عقلائي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حمل روايتي ابن بكير على أحد طرفي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كونه أفضل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فرع كون دلالة موثّقة سماعة على التخيير أقوى من دلالتهما على التعيين ، وهو في محلّ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التصرّف في 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بقرينية الموثّقتين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أهون ، لو لم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 نّه ليس تصرّفاً فيها ، بل من قبيل تفصيل ما اُجمل فيها وتوضيح ما اُبهم ، كما لا يخفى وجهه على الناظر فيهما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الحال في رواية الخزّاز حرفاً بحرف ، مع الغضّ عن الوهن الذي في متنها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حيث ورود التقييد الكثير عليها ؛ فإنّ موضوعها المستحاضة ، مع أنّ الحكم لقليل من أفرادها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رأت الدم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رأت الصفرة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 رؤية الدم محضاً بلا تغيّر حال ، أو رؤية الصفرة كذلك ، فلا إشكال من هذه الجهة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حيث إنّ ظاهرها أنّ مقدار تركها الصلاة ، أقلّ الحيض وأكثره ؛ أي مجموعهما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حيث إنّ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وتجمع بين الصلاتين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في غير محلّه ، فلا يخلو متنها من التشويش والاضطراب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فقرات مرسلة يونس آبية عن هذا الجمع </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كالانحصار المستفاد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التحيّض بالستّة أو السبعة إنّما هو في علم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أقصى وقتها سبع ، وأقصى طهرها ثلاث وعشرون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فسنّتها السبع والثلاث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هي آبية عن </w:t>
      </w:r>
      <w:bookmarkStart w:id="611" w:name="pg15019_190923"/>
    </w:p>
    <w:p>
      <w:pPr>
        <w:pStyle w:val="BookText"/>
        <w:rPr/>
      </w:pPr>
      <w:bookmarkEnd w:id="611"/>
      <w:r>
        <w:rPr>
          <w:rFonts w:ascii="Amiri" w:hAnsi="Amiri" w:eastAsia="Amiri" w:cs="Amiri"/>
          <w:color w:val="111111"/>
          <w:sz w:val="28"/>
          <w:sz w:val="28"/>
          <w:szCs w:val="28"/>
          <w:rtl w:val="true"/>
          <w:lang w:bidi="ar-SA"/>
        </w:rPr>
        <w:t>الحمل على الأفضلية ، ولا يكون الجمع المذكور بينها وبين تلك الروايات</w:t>
      </w:r>
    </w:p>
    <w:p>
      <w:pPr>
        <w:pStyle w:val="BookText"/>
        <w:rPr/>
      </w:pPr>
      <w:r>
        <w:rPr>
          <w:rFonts w:ascii="Amiri" w:hAnsi="Amiri" w:eastAsia="Amiri" w:cs="Amiri"/>
          <w:color w:val="111111"/>
          <w:sz w:val="28"/>
          <w:sz w:val="28"/>
          <w:szCs w:val="28"/>
          <w:rtl w:val="true"/>
          <w:lang w:bidi="ar-SA"/>
        </w:rPr>
        <w:t xml:space="preserve">مقبولاً عقلائياً </w:t>
      </w:r>
      <w:r>
        <w:rPr>
          <w:rFonts w:eastAsia="Amiri" w:cs="Amiri" w:ascii="Amiri" w:hAnsi="Amiri"/>
          <w:color w:val="111111"/>
          <w:sz w:val="28"/>
          <w:szCs w:val="28"/>
          <w:rtl w:val="true"/>
          <w:lang w:bidi="ar-SA"/>
        </w:rPr>
        <w:t>.</w:t>
      </w:r>
    </w:p>
    <w:p>
      <w:pPr>
        <w:pStyle w:val="Heading6"/>
        <w:numPr>
          <w:ilvl w:val="5"/>
          <w:numId w:val="1"/>
        </w:numPr>
        <w:rPr/>
      </w:pPr>
      <w:bookmarkStart w:id="612" w:name="__RefHeading___Toc686608_3406789950"/>
      <w:bookmarkStart w:id="613" w:name="_Toc222"/>
      <w:bookmarkEnd w:id="612"/>
      <w:r>
        <w:rPr>
          <w:rtl w:val="true"/>
        </w:rPr>
        <w:t>ترجيح العمل بمرسلة يونس على ما ينافيها</w:t>
      </w:r>
      <w:bookmarkEnd w:id="613"/>
    </w:p>
    <w:p>
      <w:pPr>
        <w:pStyle w:val="BookText"/>
        <w:rPr/>
      </w:pPr>
      <w:r>
        <w:rPr>
          <w:rFonts w:ascii="Amiri" w:hAnsi="Amiri" w:eastAsia="Amiri" w:cs="Amiri"/>
          <w:color w:val="111111"/>
          <w:sz w:val="28"/>
          <w:sz w:val="28"/>
          <w:szCs w:val="28"/>
          <w:rtl w:val="true"/>
          <w:lang w:bidi="ar-SA"/>
        </w:rPr>
        <w:t xml:space="preserve">والذي يمكن أن يقال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الجمع بين موثّقتي ابن بكير وموثّقة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عقلائي ، فتحمل الموثّقة على الموثّقتين حملاً للمجمل على المفصّل والمبيّن ، فيقع التعارض بينها وبين مرسلة يونس من غير إمكان الجمع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إشكال في أنّ المشهور اتّكلوا على المرسلة ، ولا ريب في أنّ مبنى أحد طرفي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سبعة ، أو كانت مخيَّرة بين السبعة والستّة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w:t>
      </w:r>
    </w:p>
    <w:p>
      <w:pPr>
        <w:pStyle w:val="BookText"/>
        <w:rPr/>
      </w:pPr>
      <w:r>
        <w:rPr>
          <w:rFonts w:ascii="Amiri" w:hAnsi="Amiri" w:eastAsia="Amiri" w:cs="Amiri"/>
          <w:color w:val="111111"/>
          <w:sz w:val="28"/>
          <w:sz w:val="28"/>
          <w:szCs w:val="28"/>
          <w:rtl w:val="true"/>
          <w:lang w:bidi="ar-SA"/>
        </w:rPr>
        <w:t xml:space="preserve">هو المرسلة </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الطرف الآخر للتخيير بالمعنى الذي ادّعي الشهرة والاتّفاق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ثلاثة من شهر ، وعشرة من شهر ، كما نسب إلى أشهر الروايات تارة</w:t>
      </w:r>
      <w:r>
        <w:rPr>
          <w:rStyle w:val="FootnoteAnchor"/>
          <w:rtl w:val="true"/>
        </w:rPr>
        <w:footnoteReference w:id="1027"/>
      </w:r>
      <w:r>
        <w:rPr>
          <w:rFonts w:ascii="IRNazanin" w:hAnsi="IRNazanin" w:eastAsia="IRNazanin"/>
          <w:color w:val="111111"/>
          <w:sz w:val="28"/>
          <w:sz w:val="28"/>
          <w:szCs w:val="28"/>
          <w:rtl w:val="true"/>
          <w:lang w:bidi="fa-IR"/>
        </w:rPr>
        <w:t>، وإلى المشهور اُخرى</w:t>
      </w:r>
      <w:r>
        <w:rPr>
          <w:rStyle w:val="FootnoteAnchor"/>
          <w:rtl w:val="true"/>
        </w:rPr>
        <w:footnoteReference w:id="1028"/>
      </w:r>
      <w:r>
        <w:rPr>
          <w:rFonts w:ascii="Amiri" w:hAnsi="Amiri" w:eastAsia="Amiri" w:cs="Amiri"/>
          <w:color w:val="111111"/>
          <w:sz w:val="28"/>
          <w:sz w:val="28"/>
          <w:szCs w:val="28"/>
          <w:rtl w:val="true"/>
          <w:lang w:bidi="ar-SA"/>
        </w:rPr>
        <w:t>، أو الثلاثة في الأوّل ، والعشرة في الثاني ، كما ادّعي الإجماع عليه</w:t>
      </w:r>
      <w:r>
        <w:rPr>
          <w:rStyle w:val="FootnoteAnchor"/>
          <w:rtl w:val="true"/>
        </w:rPr>
        <w:footnoteReference w:id="1029"/>
      </w:r>
      <w:r>
        <w:rPr>
          <w:rFonts w:ascii="Amiri" w:hAnsi="Amiri" w:eastAsia="Amiri" w:cs="Amiri"/>
          <w:color w:val="111111"/>
          <w:sz w:val="28"/>
          <w:sz w:val="28"/>
          <w:szCs w:val="28"/>
          <w:rtl w:val="true"/>
          <w:lang w:bidi="ar-SA"/>
        </w:rPr>
        <w:t xml:space="preserve">، أو أنّ المضطربة مخيّرة بين الستّة والسبعة في شهر ، والثلاثة والعشرة في شهر آخر ، كما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الحكم هو المعروف بين الأصحاب</w:t>
      </w:r>
      <w:r>
        <w:rPr>
          <w:rFonts w:eastAsia="Amiri" w:cs="Amiri" w:ascii="Amiri" w:hAnsi="Amiri"/>
          <w:color w:val="111111"/>
          <w:sz w:val="28"/>
          <w:szCs w:val="28"/>
          <w:rtl w:val="true"/>
          <w:lang w:bidi="ar-SA"/>
        </w:rPr>
        <w:t>»</w:t>
      </w:r>
      <w:r>
        <w:rPr>
          <w:rStyle w:val="FootnoteAnchor"/>
          <w:rtl w:val="true"/>
        </w:rPr>
        <w:footnoteReference w:id="10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w:t>
      </w:r>
    </w:p>
    <w:p>
      <w:pPr>
        <w:pStyle w:val="BookText"/>
        <w:rPr/>
      </w:pPr>
      <w:r>
        <w:rPr>
          <w:rFonts w:ascii="Amiri" w:hAnsi="Amiri" w:eastAsia="Amiri" w:cs="Amiri"/>
          <w:color w:val="111111"/>
          <w:sz w:val="28"/>
          <w:sz w:val="28"/>
          <w:szCs w:val="28"/>
          <w:rtl w:val="true"/>
          <w:lang w:bidi="ar-SA"/>
        </w:rPr>
        <w:t>أن تكون الروايات الواردة في الباب مستنداً له ؛ ضرورة عدم دلالة شيء منها عليه ؛ لا فرداً ولا جمعاً ؛ فإنّ الموثّقتين ظاهرتان ظهوراً قويّاً في التفصيل بين</w:t>
      </w:r>
    </w:p>
    <w:p>
      <w:pPr>
        <w:pStyle w:val="BookText"/>
        <w:rPr/>
      </w:pPr>
      <w:r>
        <w:rPr>
          <w:rFonts w:ascii="Amiri" w:hAnsi="Amiri" w:eastAsia="Amiri" w:cs="Amiri"/>
          <w:color w:val="111111"/>
          <w:sz w:val="28"/>
          <w:sz w:val="28"/>
          <w:szCs w:val="28"/>
          <w:rtl w:val="true"/>
          <w:lang w:bidi="ar-SA"/>
        </w:rPr>
        <w:t xml:space="preserve">الدور الأوّل فثلاثة ، وسائر الأدوار فعشرة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نوقش في دلالتهما على التفصيل المذكور ، فلا شبهة في عدم شائبة دلالة لهما على فتوى المشهور ، خصوصاً إذا قيل بتقدّم الثلاثة على العشرة ، فإنّه على عكس مفاد الروايتين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موثّقة سماعة أيضاً لا يمكن أن تكون مستنداً لفتوى المشهور ؛ سواء قلنا بظهورها في التخيير بين الثلاثة إلى العشرة ، أو في التخيير بين خصوص الحدّين ، أو قلنا بإجمالها من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 بينهما أيضاً لا يقتضي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غفلة المشهور عن ظاهر الموثّقتين ، أو عدم دلالة موثّقة سماعة ، في غاية السقوط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الروايات ممّا لا يمكن الاتّكال عليها ؛ بعد شذوذها وعدم نقل العمل بها</w:t>
      </w:r>
    </w:p>
    <w:p>
      <w:pPr>
        <w:pStyle w:val="BookText"/>
        <w:rPr/>
      </w:pPr>
      <w:r>
        <w:rPr>
          <w:rFonts w:ascii="Amiri" w:hAnsi="Amiri" w:eastAsia="Amiri" w:cs="Amiri"/>
          <w:color w:val="111111"/>
          <w:sz w:val="28"/>
          <w:sz w:val="28"/>
          <w:szCs w:val="28"/>
          <w:rtl w:val="true"/>
          <w:lang w:bidi="ar-SA"/>
        </w:rPr>
        <w:t>إلاّ عن الإسكافي</w:t>
      </w:r>
      <w:r>
        <w:rPr>
          <w:rStyle w:val="FootnoteAnchor"/>
          <w:rtl w:val="true"/>
        </w:rPr>
        <w:footnoteReference w:id="1031"/>
      </w:r>
      <w:r>
        <w:rPr>
          <w:rFonts w:ascii="Amiri" w:hAnsi="Amiri" w:eastAsia="Amiri" w:cs="Amiri"/>
          <w:color w:val="111111"/>
          <w:sz w:val="28"/>
          <w:sz w:val="28"/>
          <w:szCs w:val="28"/>
          <w:rtl w:val="true"/>
          <w:lang w:bidi="ar-SA"/>
        </w:rPr>
        <w:t>وبعض متأخّري المتأخّرين</w:t>
      </w:r>
      <w:r>
        <w:rPr>
          <w:rStyle w:val="FootnoteAnchor"/>
          <w:rtl w:val="true"/>
        </w:rPr>
        <w:footnoteReference w:id="1032"/>
      </w:r>
      <w:r>
        <w:rPr>
          <w:rFonts w:ascii="Amiri" w:hAnsi="Amiri" w:eastAsia="Amiri" w:cs="Amiri"/>
          <w:color w:val="111111"/>
          <w:sz w:val="28"/>
          <w:sz w:val="28"/>
          <w:szCs w:val="28"/>
          <w:rtl w:val="true"/>
          <w:lang w:bidi="ar-SA"/>
        </w:rPr>
        <w:t xml:space="preserve">، ولا يجوز رفع اليد عن ظهور مرسلة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إشكال في كونها مورد اعتماد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 تلك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الشهرة في المسألة الفرعية بحيث يمكن الاتّكال عليها ويثبت الحكم بها ؛ بعد كون المسألة ذات أقوال كثيرة </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اختلافهم في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متّفقون تقريباً </w:t>
      </w:r>
      <w:bookmarkStart w:id="614" w:name="pg15019_190925"/>
    </w:p>
    <w:p>
      <w:pPr>
        <w:pStyle w:val="BookText"/>
        <w:rPr/>
      </w:pPr>
      <w:bookmarkEnd w:id="614"/>
      <w:r>
        <w:rPr>
          <w:rFonts w:ascii="Amiri" w:hAnsi="Amiri" w:eastAsia="Amiri" w:cs="Amiri"/>
          <w:color w:val="111111"/>
          <w:sz w:val="28"/>
          <w:sz w:val="28"/>
          <w:szCs w:val="28"/>
          <w:rtl w:val="true"/>
          <w:lang w:bidi="ar-SA"/>
        </w:rPr>
        <w:t xml:space="preserve">على العمل بمرسلة يونس وعلى ترك العمل بالموثّقات ، ومعه لا يبقى مجال للعمل بها ، ولكن لا يوجب ذلك جواز الاتّكال على نقل الشهرة في المسألة الفرعية ؛ لعدم قيام الشهرة المعتبرة بحيث يمكن كشف دليل معتبر ، فتبقى مرسلة يونس بلا معارض </w:t>
      </w:r>
      <w:r>
        <w:rPr>
          <w:rFonts w:eastAsia="Amiri" w:cs="Amiri" w:ascii="Amiri" w:hAnsi="Amiri"/>
          <w:color w:val="111111"/>
          <w:sz w:val="28"/>
          <w:szCs w:val="28"/>
          <w:rtl w:val="true"/>
          <w:lang w:bidi="ar-SA"/>
        </w:rPr>
        <w:t>.</w:t>
      </w:r>
    </w:p>
    <w:p>
      <w:pPr>
        <w:pStyle w:val="Heading6"/>
        <w:numPr>
          <w:ilvl w:val="5"/>
          <w:numId w:val="1"/>
        </w:numPr>
        <w:rPr/>
      </w:pPr>
      <w:bookmarkStart w:id="615" w:name="__RefHeading___Toc686610_3406789950"/>
      <w:bookmarkStart w:id="616" w:name="_Toc223"/>
      <w:bookmarkEnd w:id="615"/>
      <w:r>
        <w:rPr>
          <w:rtl w:val="true"/>
        </w:rPr>
        <w:t>تعارض فقرات المرسلة وقوّة الأخذ بالسبعة</w:t>
      </w:r>
      <w:bookmarkEnd w:id="616"/>
    </w:p>
    <w:p>
      <w:pPr>
        <w:pStyle w:val="BookText"/>
        <w:rPr/>
      </w:pPr>
      <w:r>
        <w:rPr>
          <w:rFonts w:ascii="IRNazanin" w:hAnsi="IRNazanin" w:eastAsia="IRNazanin"/>
          <w:color w:val="111111"/>
          <w:sz w:val="28"/>
          <w:sz w:val="28"/>
          <w:szCs w:val="28"/>
          <w:rtl w:val="true"/>
          <w:lang w:bidi="fa-IR"/>
        </w:rPr>
        <w:t xml:space="preserve">نعم ، تختلف فقرات المرسلة في التخيير بين الستّة والسبعة المستفاد من قوله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تحيّضي في علم اللّه ستّة أيّام أو سبعة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وتعيينِ خصوص السبعة المستفاد من جملة من فقراتها ، كقول أبي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ترى أنّ أيّامها لو كانت أقلّ من سبع وكانت خمساً أو أقلّ من ذلك ، ما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تحيّضي سبعاً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 حيضها أكثر من سبع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أقصى وقتها سبع ، وأقصى طهرها ثلاث وعشرون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فوقتها سبع ، وطهرها ثلاث وعشرون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فسنّتها السبع والثلاث والعشرون</w:t>
      </w:r>
      <w:r>
        <w:rPr>
          <w:rFonts w:eastAsia="IRNazanin" w:cs="IRNazanin"/>
          <w:color w:val="111111"/>
          <w:sz w:val="28"/>
          <w:szCs w:val="28"/>
          <w:rtl w:val="true"/>
          <w:lang w:bidi="fa-IR"/>
        </w:rPr>
        <w:t>»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والجمع بينهما بحمل ما عدا الفقرة الاُولى على الإجمال في البيان ؛ والإشارة إلى تكليفها التخييري الذي سبق الكلام فيه ، وحمل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أقصى طهرها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على الأقصى مع الأخذ بالسبع ، في غاية البعد ، خصوصاً الحمل الأخير ؛ ضرورة أنّ الأخذ بالسبع لا يوجب صيرورة الثلاث والعشرين أقلّ الطهر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الثلاث والعشرين أقصاه على تقدير اختيار السبع ؛ حيث إنّه ربّما يكون على هذا التقدير طهرها أقلّ من ذلك إذا كان الشهر ناقصاً</w:t>
      </w:r>
      <w:r>
        <w:rPr>
          <w:rFonts w:eastAsia="Amiri" w:cs="Amiri" w:ascii="Amiri" w:hAnsi="Amiri"/>
          <w:color w:val="111111"/>
          <w:sz w:val="28"/>
          <w:szCs w:val="28"/>
          <w:rtl w:val="true"/>
          <w:lang w:bidi="ar-SA"/>
        </w:rPr>
        <w:t>»</w:t>
      </w:r>
      <w:r>
        <w:rPr>
          <w:rStyle w:val="FootnoteAnchor"/>
          <w:rtl w:val="true"/>
        </w:rPr>
        <w:footnoteReference w:id="1033"/>
      </w:r>
      <w:r>
        <w:rPr>
          <w:rFonts w:ascii="Amiri" w:hAnsi="Amiri" w:eastAsia="Amiri" w:cs="Amiri"/>
          <w:color w:val="111111"/>
          <w:sz w:val="28"/>
          <w:sz w:val="28"/>
          <w:szCs w:val="28"/>
          <w:rtl w:val="true"/>
          <w:lang w:bidi="ar-SA"/>
        </w:rPr>
        <w:t>مبنيّ على كون 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الشهر الهلالي ، وسيأتي الإشكال فيه</w:t>
      </w:r>
      <w:r>
        <w:rPr>
          <w:rStyle w:val="FootnoteAnchor"/>
          <w:rtl w:val="true"/>
        </w:rPr>
        <w:footnoteReference w:id="10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المقصود فيما إذا اتّفق سيلان الدم في أوّل الشهر الهلالي ، وقلنا في مثل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الميزان هو الشهر الهلالي ولو كان ناقصاً ، فيكون الأقصى إضافياً في بعض الفروض النادرة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 للفهم العرفي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إشكال في تعارض الفقرات ؛ فإنّ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وقتها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سنّتها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أقصى طهرها ثلاث وعشرون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يجتمع مع التخيير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القول بسهو الراوي</w:t>
      </w:r>
      <w:r>
        <w:rPr>
          <w:rStyle w:val="FootnoteAnchor"/>
          <w:rtl w:val="true"/>
        </w:rPr>
        <w:footnoteReference w:id="1035"/>
      </w:r>
      <w:r>
        <w:rPr>
          <w:rFonts w:ascii="Amiri" w:hAnsi="Amiri" w:eastAsia="Amiri" w:cs="Amiri"/>
          <w:color w:val="111111"/>
          <w:sz w:val="28"/>
          <w:sz w:val="28"/>
          <w:szCs w:val="28"/>
          <w:rtl w:val="true"/>
          <w:lang w:bidi="ar-SA"/>
        </w:rPr>
        <w:t xml:space="preserve">مخالف للأصل ، بل بعيد جدّاً في المقام ، خصوصاً مع تكرار الترديد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صومي ثلاثة وعشرين يوماً أو أربعة وعشرين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وخصوصاً مع الجزم في سائر الفقرات </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مع ذلك لزوم الأخذ بالسبعة لا يخلو من قوّة ؛ إمّا لأجل الدوران بين التعيين والتخيير ولزوم الأخذ بالتعيين ، وإمّا لأنّ أصالة عدم الخطأ أصل عقلائي يشكل جريانها في مثل المقام الذي كانت الفقرات المتأخّرة كلّها شاهدة عليه ، وليس الكلام ظاهراً في التخيير ، بل وقوع التعارض إنّما هو لأجل جريان الأصل العقلائي ، وهو محلّ إشكال ، فالأخذ بالسبعة لو لم يكن أقوى فهو أحوط </w:t>
      </w:r>
      <w:r>
        <w:rPr>
          <w:rFonts w:eastAsia="Amiri" w:cs="Amiri" w:ascii="Amiri" w:hAnsi="Amiri"/>
          <w:color w:val="111111"/>
          <w:sz w:val="28"/>
          <w:szCs w:val="28"/>
          <w:rtl w:val="true"/>
          <w:lang w:bidi="ar-SA"/>
        </w:rPr>
        <w:t xml:space="preserve">. </w:t>
      </w:r>
      <w:bookmarkStart w:id="617" w:name="pg15019_190927"/>
    </w:p>
    <w:p>
      <w:pPr>
        <w:pStyle w:val="Heading6"/>
        <w:numPr>
          <w:ilvl w:val="5"/>
          <w:numId w:val="1"/>
        </w:numPr>
        <w:rPr/>
      </w:pPr>
      <w:bookmarkStart w:id="618" w:name="__RefHeading___Toc686612_3406789950"/>
      <w:bookmarkStart w:id="619" w:name="_Toc224"/>
      <w:bookmarkEnd w:id="617"/>
      <w:bookmarkEnd w:id="618"/>
      <w:r>
        <w:rPr>
          <w:rtl w:val="true"/>
        </w:rPr>
        <w:t>عدم اختصاص المرسلة بالمبتدئة بالمعنى الأخصّ بخلاف الموثّقات</w:t>
      </w:r>
      <w:bookmarkEnd w:id="619"/>
    </w:p>
    <w:p>
      <w:pPr>
        <w:pStyle w:val="BookText"/>
        <w:rPr/>
      </w:pPr>
      <w:r>
        <w:rPr>
          <w:rFonts w:ascii="Amiri" w:hAnsi="Amiri" w:eastAsia="Amiri" w:cs="Amiri"/>
          <w:color w:val="111111"/>
          <w:sz w:val="28"/>
          <w:sz w:val="28"/>
          <w:szCs w:val="28"/>
          <w:rtl w:val="true"/>
          <w:lang w:bidi="ar-SA"/>
        </w:rPr>
        <w:t xml:space="preserve">ثمّ إنّ الظاهر عدم اختصاص لزوم الأخذ بالسبعة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رجّحنا العمل بالمرسلة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بالمبتدئة بالمعنى الأخصّ ؛ لما تقدّم من استفادة حكم من لم تستقرّ لها عادة من ذيل المرسلة</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 لا إشكال في اختصاص الموثّقات بالمبتدئة بالمعنى الأخصّ ، فلو رجّحناها على المرسلة أو قلنا بالتخيير بين المضمونين ، لما جاز إسراء الحكم إلى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اختصاص مورد تلك الموثّقات بالمبتدئة ، مثل اختصاص مورد المرسلة بها ، والمناط في الجميع سواء</w:t>
      </w:r>
      <w:r>
        <w:rPr>
          <w:rFonts w:eastAsia="Amiri" w:cs="Amiri" w:ascii="Amiri" w:hAnsi="Amiri"/>
          <w:color w:val="111111"/>
          <w:sz w:val="28"/>
          <w:szCs w:val="28"/>
          <w:rtl w:val="true"/>
          <w:lang w:bidi="ar-SA"/>
        </w:rPr>
        <w:t>»</w:t>
      </w:r>
      <w:r>
        <w:rPr>
          <w:rStyle w:val="FootnoteAnchor"/>
          <w:rtl w:val="true"/>
        </w:rPr>
        <w:footnoteReference w:id="1037"/>
      </w:r>
      <w:r>
        <w:rPr>
          <w:rFonts w:ascii="IRNazanin" w:hAnsi="IRNazanin" w:eastAsia="IRNazanin"/>
          <w:color w:val="111111"/>
          <w:sz w:val="28"/>
          <w:sz w:val="28"/>
          <w:szCs w:val="28"/>
          <w:rtl w:val="true"/>
          <w:lang w:bidi="fa-IR"/>
        </w:rPr>
        <w:t xml:space="preserve">كما ترى ؛ فإنّ مورد ما سئل عنه رسول اللّه صلی الله علیه و آله وسلم في المرسلة وإن كان المبتدئة ، لكنّ الذيل ظاهر في أعمّية الحكم ، مضافاً إلى حصر السنن ، ولو لا ذلك لما تعدّينا عن مفاد الصدر ، وهذا بخلاف الموثّقات ، فإنّها واردة في المبتدئة من غير دليل على التعدّي ، ودعوى وحدة المناط في غير محلّها </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دعوى استفادة ذلك من قوله في ذيل المرسلة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بيان من لم تستقرّ لها عادة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سنّتها السبع والثلاث والعشرون ؛ لأنّ قصّتها قصّة حمنة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مثّل للمبتدئة بالمعنى الأخصّ بحمنة ، وعلم من سائر الروايات أنّ لها </w:t>
      </w:r>
    </w:p>
    <w:p>
      <w:pPr>
        <w:pStyle w:val="BookText"/>
        <w:rPr/>
      </w:pPr>
      <w:r>
        <w:rPr>
          <w:rFonts w:ascii="Amiri" w:hAnsi="Amiri" w:eastAsia="Amiri" w:cs="Amiri"/>
          <w:color w:val="111111"/>
          <w:sz w:val="28"/>
          <w:sz w:val="28"/>
          <w:szCs w:val="28"/>
          <w:rtl w:val="true"/>
          <w:lang w:bidi="ar-SA"/>
        </w:rPr>
        <w:t>الخيار</w:t>
      </w:r>
      <w:r>
        <w:rPr>
          <w:rStyle w:val="FootnoteAnchor"/>
          <w:rtl w:val="true"/>
        </w:rPr>
        <w:footnoteReference w:id="1038"/>
      </w:r>
      <w:r>
        <w:rPr>
          <w:rFonts w:ascii="Amiri" w:hAnsi="Amiri" w:eastAsia="Amiri" w:cs="Amiri"/>
          <w:color w:val="111111"/>
          <w:sz w:val="28"/>
          <w:sz w:val="28"/>
          <w:szCs w:val="28"/>
          <w:rtl w:val="true"/>
          <w:lang w:bidi="ar-SA"/>
        </w:rPr>
        <w:t xml:space="preserve">، في غير محلّها ؛ لأنّ كون قصّتها قصّة حمنة في الأخذ بالسبعة ، لا يوجب أن يكون حكمها حكم حمنة مطلقاً </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التعليل أنّ من كانت قصّتها قصّة حمنة تكون سنّتها السبعة والثلاثة والعشرين ، لا أنّ كلّ ما لحمنة يكون لها ، فالتخيير المستفاد من الجمع بين الروايتين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الفتوى بالتخيير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يشمل غير المبتدئة بالمعنى الأخصّ </w:t>
      </w:r>
      <w:r>
        <w:rPr>
          <w:rFonts w:eastAsia="Amiri" w:cs="Amiri" w:ascii="Amiri" w:hAnsi="Amiri"/>
          <w:color w:val="111111"/>
          <w:sz w:val="28"/>
          <w:szCs w:val="28"/>
          <w:rtl w:val="true"/>
          <w:lang w:bidi="ar-SA"/>
        </w:rPr>
        <w:t xml:space="preserve">. </w:t>
      </w:r>
      <w:bookmarkStart w:id="620" w:name="pg15019_190929"/>
    </w:p>
    <w:p>
      <w:pPr>
        <w:pStyle w:val="Heading6"/>
        <w:numPr>
          <w:ilvl w:val="5"/>
          <w:numId w:val="1"/>
        </w:numPr>
        <w:rPr/>
      </w:pPr>
      <w:bookmarkStart w:id="621" w:name="__RefHeading___Toc686614_3406789950"/>
      <w:bookmarkStart w:id="622" w:name="_Toc225"/>
      <w:bookmarkEnd w:id="620"/>
      <w:bookmarkEnd w:id="621"/>
      <w:r>
        <w:rPr>
          <w:rtl w:val="true"/>
        </w:rPr>
        <w:t>تنبيه</w:t>
      </w:r>
      <w:bookmarkEnd w:id="622"/>
    </w:p>
    <w:p>
      <w:pPr>
        <w:pStyle w:val="BookText"/>
        <w:rPr/>
      </w:pPr>
      <w:r>
        <w:rPr>
          <w:rFonts w:ascii="Amiri" w:hAnsi="Amiri" w:eastAsia="Amiri" w:cs="Amiri"/>
          <w:color w:val="111111"/>
          <w:sz w:val="28"/>
          <w:sz w:val="28"/>
          <w:szCs w:val="28"/>
          <w:rtl w:val="true"/>
          <w:lang w:bidi="ar-SA"/>
        </w:rPr>
        <w:t>في أنّ المبتدئة يتعيّن عليها جعل ما تختاره من العدد أوّل الرؤية</w:t>
      </w:r>
    </w:p>
    <w:p>
      <w:pPr>
        <w:pStyle w:val="BookText"/>
        <w:rPr/>
      </w:pPr>
      <w:r>
        <w:rPr>
          <w:rFonts w:ascii="Amiri" w:hAnsi="Amiri" w:eastAsia="Amiri" w:cs="Amiri"/>
          <w:color w:val="111111"/>
          <w:sz w:val="28"/>
          <w:sz w:val="28"/>
          <w:szCs w:val="28"/>
          <w:rtl w:val="true"/>
          <w:lang w:bidi="ar-SA"/>
        </w:rPr>
        <w:t>هل تتخيّر في وضع العدد فيما تشاء من الشهر ، أو يتعيّن عليها جعله في أوّل الشهر الهلالي ، أو يتعيّن جعله في أوّل رؤية الدم ؟</w:t>
      </w:r>
    </w:p>
    <w:p>
      <w:pPr>
        <w:pStyle w:val="BookText"/>
        <w:rPr/>
      </w:pPr>
      <w:r>
        <w:rPr>
          <w:rFonts w:ascii="Amiri" w:hAnsi="Amiri" w:eastAsia="Amiri" w:cs="Amiri"/>
          <w:color w:val="111111"/>
          <w:sz w:val="28"/>
          <w:sz w:val="28"/>
          <w:szCs w:val="28"/>
          <w:rtl w:val="true"/>
          <w:lang w:bidi="ar-SA"/>
        </w:rPr>
        <w:t xml:space="preserve">نسب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الأصحاب تخيّرها </w:t>
      </w:r>
      <w:r>
        <w:rPr>
          <w:rStyle w:val="FootnoteAnchor"/>
          <w:rtl w:val="true"/>
        </w:rPr>
        <w:footnoteReference w:id="1039"/>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اختيارها </w:t>
      </w:r>
      <w:r>
        <w:rPr>
          <w:rStyle w:val="FootnoteAnchor"/>
          <w:rtl w:val="true"/>
        </w:rPr>
        <w:footnoteReference w:id="1040"/>
      </w:r>
      <w:r>
        <w:rPr>
          <w:rFonts w:ascii="Amiri" w:hAnsi="Amiri" w:eastAsia="Amiri" w:cs="Amiri"/>
          <w:color w:val="111111"/>
          <w:sz w:val="28"/>
          <w:sz w:val="28"/>
          <w:szCs w:val="28"/>
          <w:rtl w:val="true"/>
          <w:lang w:bidi="ar-SA"/>
        </w:rPr>
        <w:t xml:space="preserve">، وكذا 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 نّه يتعيّن عليها وضع ما تختاره من العدد</w:t>
      </w:r>
    </w:p>
    <w:p>
      <w:pPr>
        <w:pStyle w:val="BookText"/>
        <w:rPr/>
      </w:pPr>
      <w:r>
        <w:rPr>
          <w:rFonts w:ascii="IRNazanin" w:hAnsi="IRNazanin" w:eastAsia="IRNazanin"/>
          <w:color w:val="111111"/>
          <w:sz w:val="28"/>
          <w:sz w:val="28"/>
          <w:szCs w:val="28"/>
          <w:rtl w:val="true"/>
          <w:lang w:bidi="fa-IR"/>
        </w:rPr>
        <w:t>أوّل ما ترى الدم</w:t>
      </w:r>
      <w:r>
        <w:rPr>
          <w:rFonts w:eastAsia="IRNazanin" w:cs="IRNazanin"/>
          <w:color w:val="111111"/>
          <w:sz w:val="28"/>
          <w:szCs w:val="28"/>
          <w:rtl w:val="true"/>
          <w:lang w:bidi="fa-IR"/>
        </w:rPr>
        <w:t>»</w:t>
      </w:r>
      <w:r>
        <w:rPr>
          <w:rStyle w:val="FootnoteAnchor"/>
          <w:rtl w:val="true"/>
        </w:rPr>
        <w:footnoteReference w:id="1042"/>
      </w:r>
      <w:r>
        <w:rPr>
          <w:rFonts w:ascii="Amiri" w:hAnsi="Amiri" w:eastAsia="Amiri" w:cs="Amiri"/>
          <w:color w:val="111111"/>
          <w:sz w:val="28"/>
          <w:sz w:val="28"/>
          <w:szCs w:val="28"/>
          <w:rtl w:val="true"/>
          <w:lang w:bidi="ar-SA"/>
        </w:rPr>
        <w:t xml:space="preserve">وهو الأقوى ؛ لظهور مرسلة يونس فيه ؛ حيث قال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تحيّضي في كلّ شهر في علم اللّه ستّة أيّام أو سبعة أيّام ، ثمّ اغتسلي غسلاً وصومي ثلاثة وعشرين يوماً أو أربعة وعشرين ، واغتسلي للفجر غسلاً </w:t>
      </w:r>
      <w:r>
        <w:rPr>
          <w:rFonts w:eastAsia="Amiri" w:cs="Amiri" w:ascii="Amiri" w:hAnsi="Amiri"/>
          <w:color w:val="111111"/>
          <w:sz w:val="28"/>
          <w:szCs w:val="28"/>
          <w:rtl w:val="true"/>
          <w:lang w:bidi="ar-SA"/>
        </w:rPr>
        <w:t>. . .»</w:t>
      </w:r>
      <w:r>
        <w:rPr>
          <w:rStyle w:val="FootnoteAnchor"/>
          <w:rtl w:val="true"/>
        </w:rPr>
        <w:footnoteReference w:id="1043"/>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المورد وإن كان ظاهراً في الهلالي ، لكن حمله في المورد على الهلالي في غاية البعد ، بل فاسد ؛ لأنّ لازمه عدم التعرّض لحكمها من حين </w:t>
      </w:r>
    </w:p>
    <w:p>
      <w:pPr>
        <w:pStyle w:val="BookText"/>
        <w:rPr/>
      </w:pPr>
      <w:r>
        <w:rPr>
          <w:rFonts w:ascii="Amiri" w:hAnsi="Amiri" w:eastAsia="Amiri" w:cs="Amiri"/>
          <w:color w:val="111111"/>
          <w:sz w:val="28"/>
          <w:sz w:val="28"/>
          <w:szCs w:val="28"/>
          <w:rtl w:val="true"/>
          <w:lang w:bidi="ar-SA"/>
        </w:rPr>
        <w:t xml:space="preserve">الرؤية إلى أوّل الشهر الهلالي ، أو عدم حكم لها إذا رأت الدم فيما بين الشهر ، وكلاهما فاسدان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الظاهر من المرسلة أنّ السبعة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الثلاثة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w:t>
      </w:r>
    </w:p>
    <w:p>
      <w:pPr>
        <w:pStyle w:val="BookText"/>
        <w:rPr/>
      </w:pPr>
      <w:r>
        <w:rPr>
          <w:rFonts w:ascii="Amiri" w:hAnsi="Amiri" w:eastAsia="Amiri" w:cs="Amiri"/>
          <w:color w:val="111111"/>
          <w:sz w:val="28"/>
          <w:sz w:val="28"/>
          <w:szCs w:val="28"/>
          <w:rtl w:val="true"/>
          <w:lang w:bidi="ar-SA"/>
        </w:rPr>
        <w:t xml:space="preserve">أن تكون متّصلة لا متفرّقة ، ومع حساب الشهر من أوّل الهلالي ، يلزم إمّا زيادة الطهر على الثلاثة والعشرين ، أو التفرّق بين أجزائها ، وهما خلاف المتفاهم من الرواية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منها أ نّه من حين رؤية الدم يحسب الشهر ، ولا تكون بقيّة الشهر من حين الرؤية ساقطةً عن الحكم ، فحينئذٍ يكون ظاهرها أ نّه من حين الرؤية تجعل الستّة أو السبعة حيضاً ، ثمّ تجعل ثلاثة وعشرين أو أربعة وعشرين طهراً ، ولا إشكال في أنّ الظاهر منها مع العطف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تقديم الحيض على الطهر ، وبعد كون الظاهر منها أنّ الحساب من حين الرؤية ، وأنّ أيّام الحيض والطهر لا بدّ وأن تكون متّصلة لا متفرّقة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المتفاهم من المرسلة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يبقى ريب فيما تقدّم 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عدم كون المرسلة في مقام البيان ، فاسد جدّاً ؛ فإنّ عدم البيان المدّعى</w:t>
      </w:r>
    </w:p>
    <w:p>
      <w:pPr>
        <w:pStyle w:val="BookText"/>
        <w:rPr/>
      </w:pPr>
      <w:r>
        <w:rPr>
          <w:rFonts w:ascii="IRNazanin" w:hAnsi="IRNazanin" w:eastAsia="IRNazanin"/>
          <w:color w:val="111111"/>
          <w:sz w:val="28"/>
          <w:sz w:val="28"/>
          <w:szCs w:val="28"/>
          <w:rtl w:val="true"/>
          <w:lang w:bidi="fa-IR"/>
        </w:rPr>
        <w:t xml:space="preserve">إن كان في نقل أبي عبداللّه علیه السلام قصّة حمنة ، فظاهر المرسلة أ نّه علیه السلام ذكر جميع الخصوصيات ؛ حتّى ما لا تكون دخيلة في الحكم </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كان في بيان رسول اللّه صلی الله علیه و آله وسلم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فساده عقلاً ؛ لأنّ حمنة سألته عن تكليفها الفعلي ، فلا يعقل الإهمال في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ظاهر الرواية ؛ بعد بيان خصوصيات تكليفها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الغسل ، وتأخير الظهر والمغرب ، وتقديم العصر والعشاء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إلى غير ذلك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فلا إشكال في كونه صلی الله علیه و آله وسلم في مقام البيان ، وكون أبي عبداللّه علیه السلام في مقام نقل خصوصيات القضيّة ، فلا بدّ من الأخذ بجميع الخصوصيات التي يستفاد منها الحكم ، ومنها تخلّل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المستفاد منه تأخّر ثلاثة وعشرين عن السبعة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الأخذ ببعض مفاد القضيّة لخلل ، لا يوجب عدم الأخذ بالخصوصية التي لا خلل فيها ، فإذا ضمّ إليه ما قلنا من كون مبدأ الشهر أوّل الرؤية ، يستفاد المقصود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موثّقة ابن بكير فقد عرفت أ نّها ليست مستنداً للحكم</w:t>
      </w:r>
      <w:r>
        <w:rPr>
          <w:rStyle w:val="FootnoteAnchor"/>
          <w:rtl w:val="true"/>
        </w:rPr>
        <w:footnoteReference w:id="10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التشبّث</w:t>
      </w:r>
      <w:r>
        <w:rPr>
          <w:rStyle w:val="FootnoteAnchor"/>
          <w:rtl w:val="true"/>
        </w:rPr>
        <w:footnoteReference w:id="1045"/>
      </w:r>
      <w:r>
        <w:rPr>
          <w:rFonts w:ascii="Amiri" w:hAnsi="Amiri" w:eastAsia="Amiri" w:cs="Amiri"/>
          <w:color w:val="111111"/>
          <w:sz w:val="28"/>
          <w:sz w:val="28"/>
          <w:szCs w:val="28"/>
          <w:rtl w:val="true"/>
          <w:lang w:bidi="ar-SA"/>
        </w:rPr>
        <w:t>بمرسلة يونس القصيرة</w:t>
      </w:r>
      <w:r>
        <w:rPr>
          <w:rStyle w:val="FootnoteAnchor"/>
          <w:rtl w:val="true"/>
        </w:rPr>
        <w:footnoteReference w:id="1046"/>
      </w:r>
      <w:r>
        <w:rPr>
          <w:rFonts w:ascii="Amiri" w:hAnsi="Amiri" w:eastAsia="Amiri" w:cs="Amiri"/>
          <w:color w:val="111111"/>
          <w:sz w:val="28"/>
          <w:sz w:val="28"/>
          <w:szCs w:val="28"/>
          <w:rtl w:val="true"/>
          <w:lang w:bidi="ar-SA"/>
        </w:rPr>
        <w:t xml:space="preserve">غير محتاج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موردها غير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ورود الإشكالات المتقدّمة عليها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تقريب كون المعيار من أوّل الرؤية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 نّه ربّما يمتنع جعل الابتداء من أوّل الشهر الهلالي ، كما لو كان ابتداء رؤيتها في أواخر الشهر ؛ بحيث لا يتخلّل بين أقلّ الحيض منه وبين أوّل الشهر الثاني أقلُّ الطهر ؛ فإنّ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يجب عليها في أوّل الرؤية أن تتحيّض إلى العاشر ، كما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الإجماع وقاعدة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الكثيرة التي منها موثّقتا ابن بكير ، ومع التجاوز عن العشرة وعدم التصادف للعادة والتمييز ، فلا مقتضي لرفع اليد عمّا ثبت عليها بمقتضى تكليفها الظاهري ، ولا دليل على عدم كونه حيضاً</w:t>
      </w:r>
      <w:r>
        <w:rPr>
          <w:rFonts w:eastAsia="Amiri" w:cs="Amiri" w:ascii="Amiri" w:hAnsi="Amiri"/>
          <w:color w:val="111111"/>
          <w:sz w:val="28"/>
          <w:szCs w:val="28"/>
          <w:rtl w:val="true"/>
          <w:lang w:bidi="ar-SA"/>
        </w:rPr>
        <w:t>»</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فغير وجيه ؛ فإنّ لزوم التحيّض في أوّل الرؤية لا يوجب كونه حيضاً ، نعم لو انقطع على العاشر أو قبله يكون المجموع حيضاً ، وهو القدر المتيقّن من الإجماع المدّعى على قاعدة الإمكان ، كما تقدّم ، وأمّا مع التجاوز فلا إشكال في عدم الدليل على الحيضية ، فضلاً عن قيام النصوص الكثيرة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وموثّقتا ابن بكير ظاهرتان في أنّ تكليف مستمرّة الدم هو العدد ، لكن في الدورة الاُولى يكون عددها عشرة ، وفي سائر الدورات ثلاثة ، ولا دلالة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في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العشرة الاُولى حيض واقعاً ؛ حتّى يمتنع جعل أوّل الهلالي المفروض حيضاً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الأخذ بالعدد مطلقاً إنّما هو بعد العشرة الاُولى ، وأمّا قبل تمامها فليست مستحاضة</w:t>
      </w:r>
      <w:r>
        <w:rPr>
          <w:rFonts w:eastAsia="Amiri" w:cs="Amiri" w:ascii="Amiri" w:hAnsi="Amiri"/>
          <w:color w:val="111111"/>
          <w:sz w:val="28"/>
          <w:szCs w:val="28"/>
          <w:rtl w:val="true"/>
          <w:lang w:bidi="ar-SA"/>
        </w:rPr>
        <w:t>»</w:t>
      </w:r>
      <w:r>
        <w:rPr>
          <w:rStyle w:val="FootnoteAnchor"/>
          <w:rtl w:val="true"/>
        </w:rPr>
        <w:footnoteReference w:id="1049"/>
      </w:r>
      <w:r>
        <w:rPr>
          <w:rFonts w:ascii="Amiri" w:hAnsi="Amiri" w:eastAsia="Amiri" w:cs="Amiri"/>
          <w:color w:val="111111"/>
          <w:sz w:val="28"/>
          <w:sz w:val="28"/>
          <w:szCs w:val="28"/>
          <w:rtl w:val="true"/>
          <w:lang w:bidi="ar-SA"/>
        </w:rPr>
        <w:t xml:space="preserve">غير تامّ ؛ لأنّ ظاهر المرسلة والموثّقات ، هو أنّ تكليف مستمرّة الدم مطلقاً هو الأخذ بالعدد ، وعدم علمها بكونها مستمرّة الدم لا يوجب عدم محكوميتها بحكمها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فالمعوّل عليه في المقام هو المرسلة ، وقد عرفت ظهورها في لزوم التحيّض من حين رؤيتها في كلّ شهر سبعةً ، وبعده محلّ طهرها </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لو صادف أوّل الرؤية أوّل الشهر الهلالي ، وجب عليها في السبع الأوّل منه التحيّض ، وفي بقيّة الشهر الصلاة وإن كان ناقصاً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الثلاثة والعشرين إنّما هو لأجل كون الوقوع في أوّل الهلالي نادراً ، خصوصاً في صورة نقصان الشهر ، والغالب وقوعه بين الهلالين ، فيجب عليها التلفيق والأخذ بالثلاثة والعشرين </w:t>
      </w:r>
      <w:r>
        <w:rPr>
          <w:rFonts w:eastAsia="Amiri" w:cs="Amiri" w:ascii="Amiri" w:hAnsi="Amiri"/>
          <w:color w:val="111111"/>
          <w:sz w:val="28"/>
          <w:szCs w:val="28"/>
          <w:rtl w:val="true"/>
          <w:lang w:bidi="ar-SA"/>
        </w:rPr>
        <w:t xml:space="preserve">. </w:t>
      </w:r>
      <w:bookmarkStart w:id="623" w:name="pg15019_190933"/>
    </w:p>
    <w:p>
      <w:pPr>
        <w:pStyle w:val="Heading6"/>
        <w:numPr>
          <w:ilvl w:val="5"/>
          <w:numId w:val="1"/>
        </w:numPr>
        <w:rPr/>
      </w:pPr>
      <w:bookmarkStart w:id="624" w:name="__RefHeading___Toc686616_3406789950"/>
      <w:bookmarkStart w:id="625" w:name="_Toc226"/>
      <w:bookmarkEnd w:id="623"/>
      <w:bookmarkEnd w:id="624"/>
      <w:r>
        <w:rPr>
          <w:rtl w:val="true"/>
        </w:rPr>
        <w:t>المسألة الثانية في تقديم ذات العادة لعادتها على التمييز</w:t>
      </w:r>
      <w:bookmarkEnd w:id="625"/>
    </w:p>
    <w:p>
      <w:pPr>
        <w:pStyle w:val="BookText"/>
        <w:rPr/>
      </w:pPr>
      <w:r>
        <w:rPr>
          <w:rFonts w:ascii="Amiri" w:hAnsi="Amiri" w:eastAsia="Amiri" w:cs="Amiri"/>
          <w:color w:val="111111"/>
          <w:sz w:val="28"/>
          <w:sz w:val="28"/>
          <w:szCs w:val="28"/>
          <w:rtl w:val="true"/>
          <w:lang w:bidi="ar-SA"/>
        </w:rPr>
        <w:t xml:space="preserve">لا إشكال في أنّ ذات العادة تجعل عادتها حيضاً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استمرار دمها وتجاوزه</w:t>
      </w:r>
    </w:p>
    <w:p>
      <w:pPr>
        <w:pStyle w:val="BookText"/>
        <w:rPr/>
      </w:pPr>
      <w:r>
        <w:rPr>
          <w:rFonts w:ascii="Amiri" w:hAnsi="Amiri" w:eastAsia="Amiri" w:cs="Amiri"/>
          <w:color w:val="111111"/>
          <w:sz w:val="28"/>
          <w:sz w:val="28"/>
          <w:szCs w:val="28"/>
          <w:rtl w:val="true"/>
          <w:lang w:bidi="ar-SA"/>
        </w:rPr>
        <w:t xml:space="preserve">عن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سواها استحاضة مع عدم معارضتها للتمييز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 اجتماع العادة والتمييز والتعارض بينهما ؛ كأن لا يفصل بينهما أقلّ الطهر من الدم غير المتميّز ، فهل تعمل على العادة ، كما عن المشهور</w:t>
      </w:r>
      <w:r>
        <w:rPr>
          <w:rStyle w:val="FootnoteAnchor"/>
          <w:rtl w:val="true"/>
        </w:rPr>
        <w:footnoteReference w:id="1050"/>
      </w:r>
      <w:r>
        <w:rPr>
          <w:rFonts w:ascii="Amiri" w:hAnsi="Amiri" w:eastAsia="Amiri" w:cs="Amiri"/>
          <w:color w:val="111111"/>
          <w:sz w:val="28"/>
          <w:sz w:val="28"/>
          <w:szCs w:val="28"/>
          <w:rtl w:val="true"/>
          <w:lang w:bidi="ar-SA"/>
        </w:rPr>
        <w:t xml:space="preserve">، أو على التمييز ، كما 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051"/>
      </w:r>
      <w:r>
        <w:rPr>
          <w:rFonts w:ascii="Amiri" w:hAnsi="Amiri" w:eastAsia="Amiri" w:cs="Amiri"/>
          <w:color w:val="111111"/>
          <w:sz w:val="28"/>
          <w:sz w:val="28"/>
          <w:szCs w:val="28"/>
          <w:rtl w:val="true"/>
          <w:lang w:bidi="ar-SA"/>
        </w:rPr>
        <w:t xml:space="preserve">، أو تتخيّر بينهما ،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105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ريب في أنّ العادة مقدّمة ؛ لما يظهر من مرسلة يونس</w:t>
      </w:r>
      <w:r>
        <w:rPr>
          <w:rStyle w:val="FootnoteAnchor"/>
          <w:rtl w:val="true"/>
        </w:rPr>
        <w:footnoteReference w:id="1053"/>
      </w:r>
      <w:r>
        <w:rPr>
          <w:rFonts w:ascii="Amiri" w:hAnsi="Amiri" w:eastAsia="Amiri" w:cs="Amiri"/>
          <w:color w:val="111111"/>
          <w:sz w:val="28"/>
          <w:sz w:val="28"/>
          <w:szCs w:val="28"/>
          <w:rtl w:val="true"/>
          <w:lang w:bidi="ar-SA"/>
        </w:rPr>
        <w:t>وموثّقة إسحاق بن جرير</w:t>
      </w:r>
      <w:r>
        <w:rPr>
          <w:rStyle w:val="FootnoteAnchor"/>
          <w:rtl w:val="true"/>
        </w:rPr>
        <w:footnoteReference w:id="1054"/>
      </w:r>
      <w:r>
        <w:rPr>
          <w:rFonts w:ascii="Amiri" w:hAnsi="Amiri" w:eastAsia="Amiri" w:cs="Amiri"/>
          <w:color w:val="111111"/>
          <w:sz w:val="28"/>
          <w:sz w:val="28"/>
          <w:szCs w:val="28"/>
          <w:rtl w:val="true"/>
          <w:lang w:bidi="ar-SA"/>
        </w:rPr>
        <w:t xml:space="preserve">أنّ ذات العادة لا وقت لها إلاّ أيّامها المعلومة ، وأنّ الرجوع إلى التمييز متأخّر عن الرجوع إلى العادة التي هي أقوى الأمارات ، وأنّ الصفرة والكدرة في أيّام العادة حيض ، فلا إشكال في المسألة </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الظاهر أنّ ذات العادة الوقتية فقط ، ترجع في وقتها إلى عادتها ، وترجع إلى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التمييز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ذات العددية ترجع في العدد إلى العادة ، وفي الوقت إلى غيرها ، كما يظهر ذلك كلّه من المرسلة ، وتقدّم بعض الكلام فيها </w:t>
      </w:r>
      <w:r>
        <w:rPr>
          <w:rFonts w:eastAsia="Amiri" w:cs="Amiri" w:ascii="Amiri" w:hAnsi="Amiri"/>
          <w:color w:val="111111"/>
          <w:sz w:val="28"/>
          <w:szCs w:val="28"/>
          <w:rtl w:val="true"/>
          <w:lang w:bidi="ar-SA"/>
        </w:rPr>
        <w:t xml:space="preserve">. </w:t>
      </w:r>
      <w:bookmarkStart w:id="626" w:name="pg15019_190934"/>
    </w:p>
    <w:p>
      <w:pPr>
        <w:pStyle w:val="Heading6"/>
        <w:numPr>
          <w:ilvl w:val="5"/>
          <w:numId w:val="1"/>
        </w:numPr>
        <w:rPr/>
      </w:pPr>
      <w:bookmarkStart w:id="627" w:name="__RefHeading___Toc686618_3406789950"/>
      <w:bookmarkStart w:id="628" w:name="_Toc227"/>
      <w:bookmarkEnd w:id="626"/>
      <w:bookmarkEnd w:id="627"/>
      <w:r>
        <w:rPr>
          <w:rtl w:val="true"/>
        </w:rPr>
        <w:t>المسألة الثالثة في أقسام الناسية وأحكامها</w:t>
      </w:r>
      <w:bookmarkEnd w:id="628"/>
    </w:p>
    <w:p>
      <w:pPr>
        <w:pStyle w:val="Heading6"/>
        <w:numPr>
          <w:ilvl w:val="5"/>
          <w:numId w:val="1"/>
        </w:numPr>
        <w:rPr/>
      </w:pPr>
      <w:bookmarkStart w:id="629" w:name="__RefHeading___Toc686620_3406789950"/>
      <w:bookmarkStart w:id="630" w:name="_Toc228"/>
      <w:bookmarkEnd w:id="629"/>
      <w:r>
        <w:rPr>
          <w:rtl w:val="true"/>
        </w:rPr>
        <w:t>اشارة</w:t>
      </w:r>
      <w:bookmarkEnd w:id="630"/>
    </w:p>
    <w:p>
      <w:pPr>
        <w:pStyle w:val="BookText"/>
        <w:rPr/>
      </w:pPr>
      <w:r>
        <w:rPr>
          <w:rFonts w:ascii="Amiri" w:hAnsi="Amiri" w:eastAsia="Amiri" w:cs="Amiri"/>
          <w:color w:val="111111"/>
          <w:sz w:val="28"/>
          <w:sz w:val="28"/>
          <w:szCs w:val="28"/>
          <w:rtl w:val="true"/>
          <w:lang w:bidi="ar-SA"/>
        </w:rPr>
        <w:t xml:space="preserve">وفيها جهات من البحث </w:t>
      </w:r>
      <w:r>
        <w:rPr>
          <w:rFonts w:eastAsia="Amiri" w:cs="Amiri" w:ascii="Amiri" w:hAnsi="Amiri"/>
          <w:color w:val="111111"/>
          <w:sz w:val="28"/>
          <w:szCs w:val="28"/>
          <w:rtl w:val="true"/>
          <w:lang w:bidi="ar-SA"/>
        </w:rPr>
        <w:t>:</w:t>
      </w:r>
    </w:p>
    <w:p>
      <w:pPr>
        <w:pStyle w:val="Heading6"/>
        <w:numPr>
          <w:ilvl w:val="5"/>
          <w:numId w:val="1"/>
        </w:numPr>
        <w:rPr/>
      </w:pPr>
      <w:bookmarkStart w:id="631" w:name="__RefHeading___Toc686622_3406789950"/>
      <w:bookmarkStart w:id="632" w:name="_Toc229"/>
      <w:bookmarkEnd w:id="631"/>
      <w:r>
        <w:rPr>
          <w:rtl w:val="true"/>
        </w:rPr>
        <w:t xml:space="preserve">الجهة الاُولى </w:t>
      </w:r>
      <w:r>
        <w:rPr>
          <w:rtl w:val="true"/>
        </w:rPr>
        <w:t xml:space="preserve">: </w:t>
      </w:r>
      <w:r>
        <w:rPr>
          <w:rtl w:val="true"/>
        </w:rPr>
        <w:t>في أقسام الناسية</w:t>
      </w:r>
      <w:bookmarkEnd w:id="632"/>
    </w:p>
    <w:p>
      <w:pPr>
        <w:pStyle w:val="BookText"/>
        <w:rPr/>
      </w:pPr>
      <w:r>
        <w:rPr>
          <w:rFonts w:ascii="Amiri" w:hAnsi="Amiri" w:eastAsia="Amiri" w:cs="Amiri"/>
          <w:color w:val="111111"/>
          <w:sz w:val="28"/>
          <w:sz w:val="28"/>
          <w:szCs w:val="28"/>
          <w:rtl w:val="true"/>
          <w:lang w:bidi="ar-SA"/>
        </w:rPr>
        <w:t xml:space="preserve">الناسية إمّا ناسية للعادة وقتاً وعدداً ، أو وقتاً فقط مع ذكر عددها ، أو عدداً مع ذكر وقتها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تكون ناسية للوقت والعدد مطلقاً ، وقد تكون ذاكرة في الجملة لهما ، وناسية كذلك ، كما إذا علمت أ نّها في أوّل الشهر كانت حائضاً ، ولم تعلم أنّ</w:t>
      </w:r>
    </w:p>
    <w:p>
      <w:pPr>
        <w:pStyle w:val="BookText"/>
        <w:rPr/>
      </w:pPr>
      <w:r>
        <w:rPr>
          <w:rFonts w:ascii="Amiri" w:hAnsi="Amiri" w:eastAsia="Amiri" w:cs="Amiri"/>
          <w:color w:val="111111"/>
          <w:sz w:val="28"/>
          <w:sz w:val="28"/>
          <w:szCs w:val="28"/>
          <w:rtl w:val="true"/>
          <w:lang w:bidi="ar-SA"/>
        </w:rPr>
        <w:t xml:space="preserve">أوّل الشهر أوّل حيضها أو آخره أو وسطه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بالنسبة إلى الوقت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العدد ، فكما إذا علمت أ نّه لم يكن أقلّ من خمسة أيّام ، ونسيت الزيادة أ نّها يوم واحد أو 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تكون ذاكرة في الجملة لأحدهما ، وناسية للآخر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تكون ذاكرة لكون حيضها في النصف الأوّل من الشهر مثلاً ، وناسية لمحلّه من النصف ، وحينئذٍ قد يكون تمييزها في هذا النصف من الشهر ، وقد يكون في النصف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تعلم أنّ عادتها في كلّ شهر مرّة واحدة ، وقد تنسى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تمييزها بمقدار عددها ، وقد يكون أقلّ ، وقد يكون أكثر </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الناسية قد تكون غير ذاكرة بقول مطلق ؛ فلا تكون لها جهة </w:t>
      </w:r>
      <w:bookmarkStart w:id="633" w:name="pg15019_190935"/>
    </w:p>
    <w:p>
      <w:pPr>
        <w:pStyle w:val="BookText"/>
        <w:rPr/>
      </w:pPr>
      <w:bookmarkEnd w:id="633"/>
      <w:r>
        <w:rPr>
          <w:rFonts w:ascii="Amiri" w:hAnsi="Amiri" w:eastAsia="Amiri" w:cs="Amiri"/>
          <w:color w:val="111111"/>
          <w:sz w:val="28"/>
          <w:sz w:val="28"/>
          <w:szCs w:val="28"/>
          <w:rtl w:val="true"/>
          <w:lang w:bidi="ar-SA"/>
        </w:rPr>
        <w:t xml:space="preserve">ذُكر مطلقاً ، وقد تكون ذاكرة لجهة من الجهات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تقدير قد تكون ذات تمييز ، وقد لا تكون كذلك </w:t>
      </w:r>
      <w:r>
        <w:rPr>
          <w:rFonts w:eastAsia="Amiri" w:cs="Amiri" w:ascii="Amiri" w:hAnsi="Amiri"/>
          <w:color w:val="111111"/>
          <w:sz w:val="28"/>
          <w:szCs w:val="28"/>
          <w:rtl w:val="true"/>
          <w:lang w:bidi="ar-SA"/>
        </w:rPr>
        <w:t>.</w:t>
      </w:r>
    </w:p>
    <w:p>
      <w:pPr>
        <w:pStyle w:val="Heading6"/>
        <w:numPr>
          <w:ilvl w:val="5"/>
          <w:numId w:val="1"/>
        </w:numPr>
        <w:rPr/>
      </w:pPr>
      <w:bookmarkStart w:id="634" w:name="__RefHeading___Toc686624_3406789950"/>
      <w:bookmarkStart w:id="635" w:name="_Toc230"/>
      <w:bookmarkEnd w:id="634"/>
      <w:r>
        <w:rPr>
          <w:rtl w:val="true"/>
        </w:rPr>
        <w:t>الجهة الثانية في دلالة المرسلة على رجوع الناسية إلى العادة أوّلاً ثمّ إلى التمييز</w:t>
      </w:r>
      <w:bookmarkEnd w:id="635"/>
    </w:p>
    <w:p>
      <w:pPr>
        <w:pStyle w:val="BookText"/>
        <w:rPr/>
      </w:pPr>
      <w:r>
        <w:rPr>
          <w:rFonts w:ascii="Amiri" w:hAnsi="Amiri" w:eastAsia="Amiri" w:cs="Amiri"/>
          <w:color w:val="111111"/>
          <w:sz w:val="28"/>
          <w:sz w:val="28"/>
          <w:szCs w:val="28"/>
          <w:rtl w:val="true"/>
          <w:lang w:bidi="ar-SA"/>
        </w:rPr>
        <w:t>لا ينبغي الإشكال في رجوع الناسية ذات التمييز إلى التمييز في الجملة ، وذلك لا لكونها القدر المتيقّن من مرسلة يونس ، كما قيل</w:t>
      </w:r>
      <w:r>
        <w:rPr>
          <w:rStyle w:val="FootnoteAnchor"/>
          <w:rtl w:val="true"/>
        </w:rPr>
        <w:footnoteReference w:id="1055"/>
      </w:r>
      <w:r>
        <w:rPr>
          <w:rFonts w:ascii="Amiri" w:hAnsi="Amiri" w:eastAsia="Amiri" w:cs="Amiri"/>
          <w:color w:val="111111"/>
          <w:sz w:val="28"/>
          <w:sz w:val="28"/>
          <w:szCs w:val="28"/>
          <w:rtl w:val="true"/>
          <w:lang w:bidi="ar-SA"/>
        </w:rPr>
        <w:t>؛ لما تقدّم</w:t>
      </w:r>
      <w:r>
        <w:rPr>
          <w:rStyle w:val="FootnoteAnchor"/>
          <w:rtl w:val="true"/>
        </w:rPr>
        <w:footnoteReference w:id="1056"/>
      </w:r>
      <w:r>
        <w:rPr>
          <w:rFonts w:ascii="Amiri" w:hAnsi="Amiri" w:eastAsia="Amiri" w:cs="Amiri"/>
          <w:color w:val="111111"/>
          <w:sz w:val="28"/>
          <w:sz w:val="28"/>
          <w:szCs w:val="28"/>
          <w:rtl w:val="true"/>
          <w:lang w:bidi="ar-SA"/>
        </w:rPr>
        <w:t xml:space="preserve">من أنّ فيها احتمالين ، وأرجحهما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مختلطة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كانت لها أيّام منضبطة ، ثمّ اختلطت بالنقص والزيادة والتقدّم والتأخّر حتّى أهملت وتركت أيّامها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لاستفادة حكمها من المرسلة بعد التأمّل في مفادها ؛ حيث إنّ أبا عبداللّه علیه السلام وإن بيّن أوّلاً في السنّة الثانية سنّة التي قد كانت لها أيّام متقدّمة ، ثمّ اختلطت عليها ، لكن تمسّك في ذيلها بقول النبي صلی الله علیه و آله وسلم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وذلك أنّ فاطمة بنت أبي حبيش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تسمع رسول اللّه صلی الله علیه و آله وسلم أمر هذه بغير ما أمر به تلك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ترى أ نّه لم يقل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دعي الصلاة أيّام أقرائك ، ولكن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أقبلت الحيضة فدعي الصلاة </w:t>
      </w:r>
      <w:r>
        <w:rPr>
          <w:rFonts w:eastAsia="IRNazanin" w:cs="IRNazanin"/>
          <w:color w:val="111111"/>
          <w:sz w:val="28"/>
          <w:szCs w:val="28"/>
          <w:rtl w:val="true"/>
          <w:lang w:bidi="fa-IR"/>
        </w:rPr>
        <w:t>!»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فطريق استفادة حكم مختلطة الأيّام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بالمعنى المتقدّم ؛ بناءً على إرشاد 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رسول اللّه صلی الله علیه و آله وسلم لم يأمرها بترك الصلاة أيّام الأقراء ، وأمرها بتركها إذا أقبلت الحيضة ، فدلّ ذلك على أنّ هذه امرأة لم تكن عارفة </w:t>
      </w:r>
    </w:p>
    <w:p>
      <w:pPr>
        <w:pStyle w:val="BookText"/>
        <w:rPr/>
      </w:pPr>
      <w:r>
        <w:rPr>
          <w:rFonts w:ascii="Amiri" w:hAnsi="Amiri" w:eastAsia="Amiri" w:cs="Amiri"/>
          <w:color w:val="111111"/>
          <w:sz w:val="28"/>
          <w:sz w:val="28"/>
          <w:szCs w:val="28"/>
          <w:rtl w:val="true"/>
          <w:lang w:bidi="ar-SA"/>
        </w:rPr>
        <w:t xml:space="preserve">بوقتها ، ولم تكن أيّامها معلومة قد أحصتها ، كما في السنّة الاُولى ، فمنه تعلم قاعدة كلّية 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كلّ امرأة لم تعلم عددها ولا وقتها ، لا بدّ لها من الرجوع إلى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ويستفاد من تلك القاعدة حال مختلطة الأيّام بالمعنى المتقدّم التي هي إحدى المصاديق لمطلق الجاهلة بالأيّام ، والتي لم تعرف أيّامها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فهذا يبيِّن أنّ هذه امرأة قد اختلط عليها أيّامها ؛ لم تعرف عددها ولا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المراد منه المختلطة بالمعنى المتقدّم ؛ ضرورة أنّ مجرّد إرجاع النبي صلی الله علیه و آله وسلم إيّاها إلى التمييز وعدمِ إرجاعها إلى العادة ، لا يبيّن ذلك ، بل يبيّن الاختلاط بمعنى أعمّ منه ، فيكون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الفقرة هو عدم المعرفة بالعدد والوقت مطلقاً ، ولهذا جعل عدم معرفتهما موضّحاً للاختلاط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يبيّن ذلك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فهذا يبيّن لك أنّ قليلَ الدم وكثيره أيّام الحيض ، حيضٌ كلّه إذا كانت الأيّام معلومة ، فإذا جهلت الأيّام وعددها احتاجت إلى النظر حينئذٍ إلى إقبال الدم وإدباره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جعل الجهل بالأيّام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العلم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 لاحتياجها إلى التمييز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التأمّل في فقرات الرواية ، يدفع الريب في دلالتها على حكم الناسية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في الجملة ممّا لا إشكال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الأظهر اعتبار العادة وتقدّمها على التمييز ؛ إذا أمكن التشخيص بها ولو في الجملة ، فإذا ذكرت عادتها من حيث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ونسيت العدد ، وجب عليها التحيّض في الوقت على حسب ذُكرها ، وفي العدد الرجوع إلى المرتبة المتأخّرة </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مع ذكر العدد ونسيان الوقت ، لا بدّ لها من أخذ العدد حسب عادتها ، </w:t>
      </w:r>
    </w:p>
    <w:p>
      <w:pPr>
        <w:pStyle w:val="BookText"/>
        <w:rPr/>
      </w:pPr>
      <w:r>
        <w:rPr>
          <w:rFonts w:ascii="Amiri" w:hAnsi="Amiri" w:eastAsia="Amiri" w:cs="Amiri"/>
          <w:color w:val="111111"/>
          <w:sz w:val="28"/>
          <w:sz w:val="28"/>
          <w:szCs w:val="28"/>
          <w:rtl w:val="true"/>
          <w:lang w:bidi="ar-SA"/>
        </w:rPr>
        <w:t xml:space="preserve">والعمل بالتمييز لتشخيص وقتها بمقدار الإمكان ؛ حتّى أ نّه لا يبعد ذلك لو كانت عالمة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وقتها لا يكون خارجاً عن النصف الأوّل ، فلا يبعد تقديم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التمييز الحاصل في النصف الآخر ، ومع عدم التمييز في الأوّل ترجع إلى المرتبة المتأخّرة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 نّه لا يبعد عدم الاعتبار بالتمييز ؛ إذا كان في الشهر أزيد من مرّة واحدة ، مع علمها بعدم زيادة عادتها في كلّ شهر على مرّة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أن يكون المتفاهم من الرواية والحصر المصرّح به وغير ذلك من الفقرات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الدم في العادة لمّا كان أمارة قويّة على الحيض ، تكون تلك الأمارة مقدّمة على التمييز الذي هو أيضاً أمارة بعدها ، وكلّما يمكن كشف الحيض بالأمارة القويّة ، لا تصل النوبة إلى الأمارة المتأخّرة ؛ سواء كانت كاشفة عن الوقت والعدد مطلقاً ، أو عن واحد منهما ، أو عنهما في الجملة ، فيجب عليها الرجوع إلى العادة حتّى الإمكان ، ومع عدمه ترجع إلى التمييز ، كما يشعر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يدلّ عليه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أغفلت عددها وموضعها من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فعلّق الحكم بالرجوع إلى التمييز على إغفال العدد والموضع من الشهر ، فيستفاد منه أ نّه مع عدم إغفال أحدهما ، لا يجوز الرجوع إلى التمييز في مورده ، فيعلم من ذلك حال جميع الصور المتقدّمة في الجهة الاُولى وغيرها </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المتحيّرة التي كان تكليفها الرجوع إلى التمييز ، يجب عليها التحيّض عند وجود التمييز ، ولا تنتظر استقرار حيضها بمضيّ ثلاثة أيّام مثلاً ؛ لأدلّة التمييز ، كصحيحة معاوية بن عمّار ومرسلة يونس وغيرهما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 xml:space="preserve">. </w:t>
      </w:r>
      <w:bookmarkStart w:id="636" w:name="pg15019_190938"/>
    </w:p>
    <w:p>
      <w:pPr>
        <w:pStyle w:val="Heading6"/>
        <w:numPr>
          <w:ilvl w:val="5"/>
          <w:numId w:val="1"/>
        </w:numPr>
        <w:rPr/>
      </w:pPr>
      <w:bookmarkStart w:id="637" w:name="__RefHeading___Toc686626_3406789950"/>
      <w:bookmarkStart w:id="638" w:name="_Toc231"/>
      <w:bookmarkEnd w:id="636"/>
      <w:bookmarkEnd w:id="637"/>
      <w:r>
        <w:rPr>
          <w:rtl w:val="true"/>
        </w:rPr>
        <w:t>الجهة الثالثة في حكم الناسية إذا فقدت التمييز</w:t>
      </w:r>
      <w:bookmarkEnd w:id="638"/>
    </w:p>
    <w:p>
      <w:pPr>
        <w:pStyle w:val="Heading6"/>
        <w:numPr>
          <w:ilvl w:val="5"/>
          <w:numId w:val="1"/>
        </w:numPr>
        <w:rPr/>
      </w:pPr>
      <w:bookmarkStart w:id="639" w:name="__RefHeading___Toc686628_3406789950"/>
      <w:bookmarkStart w:id="640" w:name="_Toc232"/>
      <w:bookmarkEnd w:id="639"/>
      <w:r>
        <w:rPr>
          <w:rtl w:val="true"/>
        </w:rPr>
        <w:t>اشارة</w:t>
      </w:r>
      <w:bookmarkEnd w:id="640"/>
    </w:p>
    <w:p>
      <w:pPr>
        <w:pStyle w:val="BookText"/>
        <w:rPr/>
      </w:pPr>
      <w:r>
        <w:rPr>
          <w:rFonts w:ascii="Amiri" w:hAnsi="Amiri" w:eastAsia="Amiri" w:cs="Amiri"/>
          <w:color w:val="111111"/>
          <w:sz w:val="28"/>
          <w:sz w:val="28"/>
          <w:szCs w:val="28"/>
          <w:rtl w:val="true"/>
          <w:lang w:bidi="ar-SA"/>
        </w:rPr>
        <w:t xml:space="preserve">إذا فقدت الناسية التمييز ؛ بأن استمرّ عليها الدم على نهج واحد ، أو اختلف ، لكن لا على وجه يمكن الرجوع إليه ، فإمّا أن تكون ذاكرة العدد ناسية الوقت ، أو العكس ، أو ناسيتهما ، فيقع الكلام في ثلاثة مواضع </w:t>
      </w:r>
      <w:r>
        <w:rPr>
          <w:rFonts w:eastAsia="Amiri" w:cs="Amiri" w:ascii="Amiri" w:hAnsi="Amiri"/>
          <w:color w:val="111111"/>
          <w:sz w:val="28"/>
          <w:szCs w:val="28"/>
          <w:rtl w:val="true"/>
          <w:lang w:bidi="ar-SA"/>
        </w:rPr>
        <w:t>:</w:t>
      </w:r>
    </w:p>
    <w:p>
      <w:pPr>
        <w:pStyle w:val="Heading6"/>
        <w:numPr>
          <w:ilvl w:val="5"/>
          <w:numId w:val="1"/>
        </w:numPr>
        <w:rPr/>
      </w:pPr>
      <w:bookmarkStart w:id="641" w:name="__RefHeading___Toc686630_3406789950"/>
      <w:bookmarkStart w:id="642" w:name="_Toc233"/>
      <w:bookmarkEnd w:id="641"/>
      <w:r>
        <w:rPr>
          <w:rtl w:val="true"/>
        </w:rPr>
        <w:t xml:space="preserve">الموضع الأوّل </w:t>
      </w:r>
      <w:r>
        <w:rPr>
          <w:rtl w:val="true"/>
        </w:rPr>
        <w:t xml:space="preserve">: </w:t>
      </w:r>
      <w:r>
        <w:rPr>
          <w:rtl w:val="true"/>
        </w:rPr>
        <w:t>في ناسية الوقت دون العدد</w:t>
      </w:r>
      <w:bookmarkEnd w:id="642"/>
    </w:p>
    <w:p>
      <w:pPr>
        <w:pStyle w:val="Heading6"/>
        <w:numPr>
          <w:ilvl w:val="5"/>
          <w:numId w:val="1"/>
        </w:numPr>
        <w:rPr/>
      </w:pPr>
      <w:bookmarkStart w:id="643" w:name="__RefHeading___Toc686632_3406789950"/>
      <w:bookmarkStart w:id="644" w:name="_Toc234"/>
      <w:bookmarkEnd w:id="643"/>
      <w:r>
        <w:rPr>
          <w:rtl w:val="true"/>
        </w:rPr>
        <w:t>اشارة</w:t>
      </w:r>
      <w:bookmarkEnd w:id="644"/>
    </w:p>
    <w:p>
      <w:pPr>
        <w:pStyle w:val="BookText"/>
        <w:rPr/>
      </w:pPr>
      <w:r>
        <w:rPr>
          <w:rFonts w:ascii="Amiri" w:hAnsi="Amiri" w:eastAsia="Amiri" w:cs="Amiri"/>
          <w:color w:val="111111"/>
          <w:sz w:val="28"/>
          <w:sz w:val="28"/>
          <w:szCs w:val="28"/>
          <w:rtl w:val="true"/>
          <w:lang w:bidi="ar-SA"/>
        </w:rPr>
        <w:t>القول بوجوب الاحتياط في المقام</w:t>
      </w:r>
    </w:p>
    <w:p>
      <w:pPr>
        <w:pStyle w:val="BookText"/>
        <w:rPr/>
      </w:pPr>
      <w:r>
        <w:rPr>
          <w:rFonts w:ascii="Amiri" w:hAnsi="Amiri" w:eastAsia="Amiri" w:cs="Amiri"/>
          <w:color w:val="111111"/>
          <w:sz w:val="28"/>
          <w:sz w:val="28"/>
          <w:szCs w:val="28"/>
          <w:rtl w:val="true"/>
          <w:lang w:bidi="ar-SA"/>
        </w:rPr>
        <w:t xml:space="preserve">لو ذكرت العدد دون الوقت ؛ بأن تكون ناسية للوقت مطلقاً ؛ بحيث لا تذكر منه شيئاً لا تفصيلاً ولا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العدد المحفوظ في ضمن عدد ، لا يزيد عن نصف ما وقع الضلال فيه ، كالخمسة أو الأربعة في العشرة ، لا كالستّة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الاحتياط عليها </w:t>
      </w:r>
      <w:r>
        <w:rPr>
          <w:rStyle w:val="FootnoteAnchor"/>
          <w:rtl w:val="true"/>
        </w:rPr>
        <w:footnoteReference w:id="1058"/>
      </w:r>
      <w:r>
        <w:rPr>
          <w:rFonts w:ascii="Amiri" w:hAnsi="Amiri" w:eastAsia="Amiri" w:cs="Amiri"/>
          <w:color w:val="111111"/>
          <w:sz w:val="28"/>
          <w:sz w:val="28"/>
          <w:szCs w:val="28"/>
          <w:rtl w:val="true"/>
          <w:lang w:bidi="ar-SA"/>
        </w:rPr>
        <w:t xml:space="preserve">؛ بأن تعمل في الزمان الذي وقع الضلال فيه عمل المستحاضة ، وتترك ما يحرم على الحائض ، وتغتسل للحيض في كلّ وقت تحتمل انقطاع دم الحيض فيه ، وتقضي صوم عادتها ؛ قضاءً للعلم الإجمالي </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ونوقش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الاحتياط مستلزم للحرج والضرر المنفيين في الشريعة</w:t>
      </w:r>
      <w:r>
        <w:rPr>
          <w:rFonts w:eastAsia="Amiri" w:cs="Amiri" w:ascii="Amiri" w:hAnsi="Amiri"/>
          <w:color w:val="111111"/>
          <w:sz w:val="28"/>
          <w:szCs w:val="28"/>
          <w:rtl w:val="true"/>
          <w:lang w:bidi="ar-SA"/>
        </w:rPr>
        <w:t>»</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دليل نفي الحرج ظاهر في أنّ اللّه تعالى لم يجعل في الدين الحرج ، كالغسل والوضوء الحرجيين بواسطة شدّة البرد والمرض وغيرهما ، وفيما نحن فيه لا يكون المجعول الشرعي أو موضوعه حرجياً ، وإنّما الحرج من قبل الجمع بين المحتملات اللازم عقلاً ، وهو أمر غير مجعول ؛ لعدم كون الاحتياط واجباً شرعياً حتّى يرفع بدليل الحرج ، ولا دليل على أنّ كلّ تكليف يستلزم الحرج مطلقاً مرفوع ، وما ورد من الآيات والأخبار في هذا المضمار ، إنّما يدلّ على عدم جعل الشارع العسر والحرج في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اللّه‌ُ بِكُمُ الْيُسْرَ وَلاَ يُرِيدُ بِكُمُ الْعُسْرَ</w:t>
      </w:r>
      <w:r>
        <w:rPr>
          <w:rFonts w:eastAsia="Amiri" w:cs="Amiri" w:ascii="Amiri" w:hAnsi="Amiri"/>
          <w:color w:val="111111"/>
          <w:sz w:val="28"/>
          <w:szCs w:val="28"/>
          <w:rtl w:val="true"/>
          <w:lang w:bidi="ar-SA"/>
        </w:rPr>
        <w:t>(</w:t>
      </w:r>
      <w:r>
        <w:rPr>
          <w:rStyle w:val="FootnoteAnchor"/>
          <w:rtl w:val="true"/>
        </w:rPr>
        <w:footnoteReference w:id="1060"/>
      </w:r>
      <w:r>
        <w:rPr>
          <w:rFonts w:ascii="Amiri" w:hAnsi="Amiri" w:eastAsia="Amiri" w:cs="Amiri"/>
          <w:color w:val="111111"/>
          <w:sz w:val="28"/>
          <w:sz w:val="28"/>
          <w:szCs w:val="28"/>
          <w:rtl w:val="true"/>
          <w:lang w:bidi="ar-SA"/>
        </w:rPr>
        <w:t xml:space="preserve">دالّ على أنّ الجمع بين المحتملات اللازم منه العسر ، خلاف إرادة اللّه ورضاه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الظاهر من سياق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كَانَ مَرِيضاً أَوْ عَلَى سَفَرٍ فَعِدَّةٌ مِنْ أَيَّامٍ اُخَرَ يُرِيدُ اللّه‌ُ بِكُمُ الْيُسْرَ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أحكام اللّه تعالى لا تكون حرجية ، ولا يريد في أحكامه الحرج على العبيد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نظير قوله في ذيل آية الوضوء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يُرِيدُ اللّه‌ُ لِيَجْعَلَ عَلَيْكُمْ مِنْ حَرَجٍ وَلَكِنْ يُرِيدُ لِيُطَهِّرَكُمْ</w:t>
      </w:r>
      <w:r>
        <w:rPr>
          <w:rFonts w:eastAsia="Amiri" w:cs="Amiri" w:ascii="Amiri" w:hAnsi="Amiri"/>
          <w:color w:val="111111"/>
          <w:sz w:val="28"/>
          <w:szCs w:val="28"/>
          <w:rtl w:val="true"/>
          <w:lang w:bidi="ar-SA"/>
        </w:rPr>
        <w:t>(</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ولكنّ الظاهر منهم عدم الفرق بين الحرج الذي في أصل التكليف أو موضوعه ، والذي يلزم منه ولو بواسطة جهات 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والمسألة تحتاج إلى زيادة تأمّل </w:t>
      </w:r>
      <w:r>
        <w:rPr>
          <w:rFonts w:eastAsia="Amiri" w:cs="Amiri" w:ascii="Amiri" w:hAnsi="Amiri"/>
          <w:color w:val="111111"/>
          <w:sz w:val="28"/>
          <w:szCs w:val="28"/>
          <w:rtl w:val="true"/>
          <w:lang w:bidi="ar-SA"/>
        </w:rPr>
        <w:t xml:space="preserve">. </w:t>
      </w:r>
      <w:bookmarkStart w:id="645" w:name="pg15019_190940"/>
    </w:p>
    <w:p>
      <w:pPr>
        <w:pStyle w:val="BookText"/>
        <w:rPr/>
      </w:pPr>
      <w:bookmarkEnd w:id="645"/>
      <w:r>
        <w:rPr>
          <w:rFonts w:ascii="Amiri" w:hAnsi="Amiri" w:eastAsia="Amiri" w:cs="Amiri"/>
          <w:color w:val="111111"/>
          <w:sz w:val="28"/>
          <w:sz w:val="28"/>
          <w:szCs w:val="28"/>
          <w:rtl w:val="true"/>
          <w:lang w:bidi="ar-SA"/>
        </w:rPr>
        <w:t xml:space="preserve">هذا مضافاً إلى أنّ الحرج إنّما ينفي مثل الغسل والوضوء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حصول الحرج بمثل هذا الاحتياط ، دون مثل حرمة اللبث في المسجد ومسّ الكتاب وقراءة العزائم وأمثالها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الموارد مختلفة ، والأشخاص متفاوتون ، فلا يفي دليل الحرج بجميع الموارد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يُردّ دليل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تنجيز العلم الإجمالي في التدريجيات</w:t>
      </w:r>
      <w:r>
        <w:rPr>
          <w:rStyle w:val="FootnoteAnchor"/>
          <w:rtl w:val="true"/>
        </w:rPr>
        <w:footnoteReference w:id="10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 ؛ لما حقّق في محلّه من عدم الفرق بين الدفعيات والتدريجيات في تنجيز العلم</w:t>
      </w:r>
      <w:r>
        <w:rPr>
          <w:rStyle w:val="FootnoteAnchor"/>
          <w:rtl w:val="true"/>
        </w:rPr>
        <w:footnoteReference w:id="10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التنجيز في المقام إنّما هو إذا قلنا في العبادات بالحرمة التشريعية ، وهو خلاف ظاهر الأدلّة ، وأمّا إذا قلنا بالحرمة الذاتية فمحلّ إشكال ، كما سبقت الإشارة إليه</w:t>
      </w:r>
      <w:r>
        <w:rPr>
          <w:rStyle w:val="FootnoteAnchor"/>
          <w:rtl w:val="true"/>
        </w:rPr>
        <w:footnoteReference w:id="10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أمر العبادات حينئذٍ دائر بين المحذورين ، فلا يكون العلم في مورد الدوران منجّزاً ، ومع عدم التنجيز في أحد الأطراف ، تبقى بقيّة الأطراف بلا منجّز ، فالقاعدة تقتضي جواز ترك الصلاة وارتكاب محرّمات الحائض ، إلاّ أ نّه قام الإجماع على عدم جواز ترك الصلاة في جميع الأيّام </w:t>
      </w:r>
      <w:r>
        <w:rPr>
          <w:rFonts w:eastAsia="Amiri" w:cs="Amiri" w:ascii="Amiri" w:hAnsi="Amiri"/>
          <w:color w:val="111111"/>
          <w:sz w:val="28"/>
          <w:szCs w:val="28"/>
          <w:rtl w:val="true"/>
          <w:lang w:bidi="ar-SA"/>
        </w:rPr>
        <w:t>.</w:t>
      </w:r>
    </w:p>
    <w:p>
      <w:pPr>
        <w:pStyle w:val="Heading6"/>
        <w:numPr>
          <w:ilvl w:val="5"/>
          <w:numId w:val="1"/>
        </w:numPr>
        <w:rPr/>
      </w:pPr>
      <w:bookmarkStart w:id="646" w:name="__RefHeading___Toc686634_3406789950"/>
      <w:bookmarkStart w:id="647" w:name="_Toc235"/>
      <w:bookmarkEnd w:id="646"/>
      <w:r>
        <w:rPr>
          <w:rtl w:val="true"/>
        </w:rPr>
        <w:t>التمسّك بمثل مرسلة يونس على التحيّض ونفي الاحتياط</w:t>
      </w:r>
      <w:bookmarkEnd w:id="647"/>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ولكنّ الذي يسهّل الخطب أنّ استفادة حكم الواقعة من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كمرسلة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يدع مجالاً للعلم الإجمالي والاحتياط ؛ فإنّ الظاهر منها أنّ ذات </w:t>
      </w:r>
    </w:p>
    <w:p>
      <w:pPr>
        <w:pStyle w:val="BookText"/>
        <w:rPr/>
      </w:pPr>
      <w:r>
        <w:rPr>
          <w:rFonts w:ascii="Amiri" w:hAnsi="Amiri" w:eastAsia="Amiri" w:cs="Amiri"/>
          <w:color w:val="111111"/>
          <w:sz w:val="28"/>
          <w:sz w:val="28"/>
          <w:szCs w:val="28"/>
          <w:rtl w:val="true"/>
          <w:lang w:bidi="ar-SA"/>
        </w:rPr>
        <w:t>العادة لا وقت لها إلاّ عادتها ، وقد مرّ</w:t>
      </w:r>
      <w:r>
        <w:rPr>
          <w:rStyle w:val="FootnoteAnchor"/>
          <w:rtl w:val="true"/>
        </w:rPr>
        <w:footnoteReference w:id="1065"/>
      </w:r>
      <w:r>
        <w:rPr>
          <w:rFonts w:ascii="Amiri" w:hAnsi="Amiri" w:eastAsia="Amiri" w:cs="Amiri"/>
          <w:color w:val="111111"/>
          <w:sz w:val="28"/>
          <w:sz w:val="28"/>
          <w:szCs w:val="28"/>
          <w:rtl w:val="true"/>
          <w:lang w:bidi="ar-SA"/>
        </w:rPr>
        <w:t>أنّ المتفاهم منها بعد التأمّل في فقراتها ؛ أنّ الدم في العادة أمارة قويّة لا تصل النوبة معها إلى التمييز الذي هو أيضاً أمارة</w:t>
      </w:r>
    </w:p>
    <w:p>
      <w:pPr>
        <w:pStyle w:val="BookText"/>
        <w:rPr/>
      </w:pPr>
      <w:r>
        <w:rPr>
          <w:rFonts w:ascii="Amiri" w:hAnsi="Amiri" w:eastAsia="Amiri" w:cs="Amiri"/>
          <w:color w:val="111111"/>
          <w:sz w:val="28"/>
          <w:sz w:val="28"/>
          <w:szCs w:val="28"/>
          <w:rtl w:val="true"/>
          <w:lang w:bidi="ar-SA"/>
        </w:rPr>
        <w:t xml:space="preserve">عليه ، فضلاً عمّا إذا لم يكن لها تمييز ، ففي المرسلة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بيان السنّة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ترى أنّ أيّامها لو كانت أقلّ من سبع ، وكانت خمساً أو أقلّ من ذلك ، ما قال لها تحيّضي سبعاً ، فيكون قد أمرها بترك الصلاة وهي مستحاضة غير حائض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كان حيضها أكثر من سبع ، وكانت أيّامها عشراً أو أكثر ، لم يأمرها بالصلاة وهي حائض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وهذا صريح في أنّ ذات العادة أيّامها حيض ، والزائد عليها استحاضة ، ومع كون أيّامها عدداً معيّناً يكون هذا العدد بخصوصه حيضها ، ولا يجوز لها التحيّض زائداً عنه ولا ناقصاً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المقصود أيضاً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ممّا يزيد هذا بياناً قوله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تحيّضي ، وليس يكون التحيّض إلاّ للمرأة التي تريد أن تكلّف ما تعمل الحائض ، ألا تراه لم يقل لها أيّاماً معلومة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تحيّضي أيّام حيضك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 الظاهر منه أنّ من كانت لها أيّام معلومة ، تكون أيّامها أيّام الحيض ، لا أنّ عليها التحيّض والتكلّف ، وإنّما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تحيّضي وتكلّفي عمل الحائض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لم تكن لها أيّام </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أيضاً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كانت لها أيّام معلومة من قليل أو كثير ، فهي على أيّامها وخلقها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من فقراتها </w:t>
      </w:r>
      <w:r>
        <w:rPr>
          <w:rFonts w:eastAsia="Amiri" w:cs="Amiri" w:ascii="Amiri" w:hAnsi="Amiri"/>
          <w:color w:val="111111"/>
          <w:sz w:val="28"/>
          <w:szCs w:val="28"/>
          <w:rtl w:val="true"/>
          <w:lang w:bidi="ar-SA"/>
        </w:rPr>
        <w:t xml:space="preserve">. </w:t>
      </w:r>
      <w:bookmarkStart w:id="648" w:name="pg15019_190942"/>
    </w:p>
    <w:p>
      <w:pPr>
        <w:pStyle w:val="Heading6"/>
        <w:numPr>
          <w:ilvl w:val="5"/>
          <w:numId w:val="1"/>
        </w:numPr>
        <w:rPr/>
      </w:pPr>
      <w:bookmarkStart w:id="649" w:name="__RefHeading___Toc686636_3406789950"/>
      <w:bookmarkStart w:id="650" w:name="_Toc236"/>
      <w:bookmarkEnd w:id="648"/>
      <w:bookmarkEnd w:id="649"/>
      <w:r>
        <w:rPr>
          <w:rtl w:val="true"/>
        </w:rPr>
        <w:t>في كيفية تحيّض الناسية</w:t>
      </w:r>
      <w:bookmarkEnd w:id="650"/>
    </w:p>
    <w:p>
      <w:pPr>
        <w:pStyle w:val="BookText"/>
        <w:rPr/>
      </w:pPr>
      <w:r>
        <w:rPr>
          <w:rFonts w:ascii="Amiri" w:hAnsi="Amiri" w:eastAsia="Amiri" w:cs="Amiri"/>
          <w:color w:val="111111"/>
          <w:sz w:val="28"/>
          <w:sz w:val="28"/>
          <w:szCs w:val="28"/>
          <w:rtl w:val="true"/>
          <w:lang w:bidi="ar-SA"/>
        </w:rPr>
        <w:t>ثمّ إنّ تلك الناسية هل هي مختارة في جعل عددها في الشهر حيث شاءت ، أو يتعيّن عليها جعله فيما يظنّ كونه وقتاً لحيضها ، أو يتعيّن جعله في أوّل الدورة</w:t>
      </w:r>
    </w:p>
    <w:p>
      <w:pPr>
        <w:pStyle w:val="BookText"/>
        <w:rPr/>
      </w:pPr>
      <w:r>
        <w:rPr>
          <w:rFonts w:ascii="Amiri" w:hAnsi="Amiri" w:eastAsia="Amiri" w:cs="Amiri"/>
          <w:color w:val="111111"/>
          <w:sz w:val="28"/>
          <w:sz w:val="28"/>
          <w:szCs w:val="28"/>
          <w:rtl w:val="true"/>
          <w:lang w:bidi="ar-SA"/>
        </w:rPr>
        <w:t>إذا علمت أوّلها ، وفي سائر الدورات على هذا النسق ، فلو كان مبدأ دورتها أوّل الشهر وجب عليها التحيّض في أوّل كلّ شهر ، أو يتعيّن جعله في أوّل الدورة الاُولى ، وتختار في سائر الدورات ، أو يجب عليها التحيّض في الوقت المظنون كونه وقتاً لها في غير الدورة الاُولى ؟</w:t>
      </w:r>
    </w:p>
    <w:p>
      <w:p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بوجوب جعله في أوّل الدورة ؛ فإنّ الأخبار وإن كانت منصرفة عن الناسية ، لكن لمّا كان المتعيّن عليها التحيّض في ابتداء رؤية الدم إلى العشرة ، يتعيّن عليها جعل حيضها في جملة العشرة ؛ إذ لا دليل على جواز تحيّضها ثانياً بعد انكشاف أمرها وصيرورتها مستحاضة ، بل الأدلّة قاضية بخلافه ، كما أشرنا إليه في المبتدئة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تعيّن عليها ذلك في الدور الأوّل يتبعه سائر الأدوار ؛ لما</w:t>
      </w:r>
    </w:p>
    <w:p>
      <w:pPr>
        <w:pStyle w:val="BookText"/>
        <w:rPr/>
      </w:pPr>
      <w:r>
        <w:rPr>
          <w:rFonts w:ascii="Amiri" w:hAnsi="Amiri" w:eastAsia="Amiri" w:cs="Amiri"/>
          <w:color w:val="111111"/>
          <w:sz w:val="28"/>
          <w:sz w:val="28"/>
          <w:szCs w:val="28"/>
          <w:rtl w:val="true"/>
          <w:lang w:bidi="ar-SA"/>
        </w:rPr>
        <w:t>يستفاد من جملة من الأخبار من وجوب جعل المستحاضة حيضها قبل طهرها</w:t>
      </w:r>
      <w:r>
        <w:rPr>
          <w:rFonts w:eastAsia="Amiri" w:cs="Amiri" w:ascii="Amiri" w:hAnsi="Amiri"/>
          <w:color w:val="111111"/>
          <w:sz w:val="28"/>
          <w:szCs w:val="28"/>
          <w:rtl w:val="true"/>
          <w:lang w:bidi="ar-SA"/>
        </w:rPr>
        <w:t>»</w:t>
      </w:r>
      <w:r>
        <w:rPr>
          <w:rStyle w:val="FootnoteAnchor"/>
          <w:rtl w:val="true"/>
        </w:rPr>
        <w:footnoteReference w:id="1066"/>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بعد فرض الانصراف لا وجه لذلك ؛ لعدم الدليل على وجوب تحيّضها في ابتداء رؤية الدم مطلقاً ؛ لعدم تمامية قاعدة الإمكان ، خصوصاً في مثل ناسية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المقام إجماع أو نصّ ، فإنّ موثّقتي ابن بكير</w:t>
      </w:r>
      <w:r>
        <w:rPr>
          <w:rStyle w:val="FootnoteAnchor"/>
          <w:rtl w:val="true"/>
        </w:rPr>
        <w:footnoteReference w:id="10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p>
    <w:p>
      <w:pPr>
        <w:pStyle w:val="BookText"/>
        <w:rPr/>
      </w:pPr>
      <w:r>
        <w:rPr>
          <w:rFonts w:ascii="Amiri" w:hAnsi="Amiri" w:eastAsia="Amiri" w:cs="Amiri"/>
          <w:color w:val="111111"/>
          <w:sz w:val="28"/>
          <w:sz w:val="28"/>
          <w:szCs w:val="28"/>
          <w:rtl w:val="true"/>
          <w:lang w:bidi="ar-SA"/>
        </w:rPr>
        <w:t xml:space="preserve">ما تقدّم من الإشكال فيهما </w:t>
      </w:r>
      <w:r>
        <w:rPr>
          <w:rStyle w:val="FootnoteAnchor"/>
          <w:rtl w:val="true"/>
        </w:rPr>
        <w:footnoteReference w:id="10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مختصّتان بالمبتدئة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رأت بصفة الحيض أوّل ما رأت وجب عليها العمل بالأمارة ، لكن بعد بقاء الدم على صفة واحدة إلى تجاوزه عن العشرة ، تتعارض الأمارتان ، ويكشف ذلك عن خطئها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المتعيّن هو الأخذ بالأمارة المتقدّمة زماناً ؛ لإمكان كون الدم</w:t>
      </w:r>
    </w:p>
    <w:p>
      <w:pPr>
        <w:pStyle w:val="BookText"/>
        <w:rPr/>
      </w:pPr>
      <w:r>
        <w:rPr>
          <w:rFonts w:ascii="Amiri" w:hAnsi="Amiri" w:eastAsia="Amiri" w:cs="Amiri"/>
          <w:color w:val="111111"/>
          <w:sz w:val="28"/>
          <w:sz w:val="28"/>
          <w:szCs w:val="28"/>
          <w:rtl w:val="true"/>
          <w:lang w:bidi="ar-SA"/>
        </w:rPr>
        <w:t>حيضاً في الزمان الأوّل وتحقّق موضوع الأمارة ، وبعد ذلك يخرج الدم في الزمان المتأخّر عن الإمكان ، فلا تكون الأمارة حجّة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سبق الإشكال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التقدّم الزماني ليس مناطاً لتقدّم الأمارة</w:t>
      </w:r>
      <w:r>
        <w:rPr>
          <w:rStyle w:val="FootnoteAnchor"/>
          <w:rtl w:val="true"/>
        </w:rPr>
        <w:footnoteReference w:id="1069"/>
      </w:r>
      <w:r>
        <w:rPr>
          <w:rFonts w:ascii="IRNazanin" w:hAnsi="IRNazanin" w:eastAsia="IRNazanin"/>
          <w:color w:val="111111"/>
          <w:sz w:val="28"/>
          <w:sz w:val="28"/>
          <w:szCs w:val="28"/>
          <w:rtl w:val="true"/>
          <w:lang w:bidi="fa-IR"/>
        </w:rPr>
        <w:t xml:space="preserve">، فراجع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أ نّه لو سلّم الأمر في الدورة الاُولى ، فلا دليل على تبعية سائر الدورات</w:t>
      </w:r>
    </w:p>
    <w:p>
      <w:pPr>
        <w:pStyle w:val="BookText"/>
        <w:rPr/>
      </w:pP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دلّ على أنّ المستحاضة تجعل حيضها قبل طهرها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ارتباطه بالمقام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يدلّ على التقديم في الدورة الاُولى من غير تعرّض له لسائر الدورات ، كما يأتي الكلام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الاستدلال على وجوب الجعل في أوّل الدورة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نسقه في سائر الدورات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بدوران الأمر بين التعيين والتخيير ، والأصل فيه الاشتغال</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على فرض الدوران بينهما ، فالاشتغال في مثل هذا الدوران غير مسلّم ، بل المسلّم في الاشتغال هو في مورد يعلم بتعلّق تكليف بمعيّن ، ويشكّ في أنّ له طرفاً يسقط التكليف بإتيانه أو لا ، وأمّا إذا كان الدوران من </w:t>
      </w:r>
      <w:bookmarkStart w:id="651" w:name="pg15019_190944"/>
    </w:p>
    <w:p>
      <w:pPr>
        <w:pStyle w:val="BookText"/>
        <w:rPr/>
      </w:pPr>
      <w:bookmarkEnd w:id="651"/>
      <w:r>
        <w:rPr>
          <w:rFonts w:ascii="Amiri" w:hAnsi="Amiri" w:eastAsia="Amiri" w:cs="Amiri"/>
          <w:color w:val="111111"/>
          <w:sz w:val="28"/>
          <w:sz w:val="28"/>
          <w:szCs w:val="28"/>
          <w:rtl w:val="true"/>
          <w:lang w:bidi="ar-SA"/>
        </w:rPr>
        <w:t xml:space="preserve">أوّل الأمر بينهما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والمسألة تحتاج إلى زيادة بحث وتحقيق لا يسعها المجال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بلزوم التحيّض في أوّل الدورة ؛ لظهور بعض الأخبار في وجوب عمل المستحاضة بعد التحيّض بمقدار العادة والاستظهار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مقابله احتمال إطلاق بعض الأدلّة لأخذ المستحاضة مقدار عادتها ، ومقتضى الإطلاق تخييرها في وضعه حيث شاءت ، وكما أ نّها بإطلاقها تنفي تعيّن التحيّض في أوّل الدورة الاُولى ، وعلى نسقه في سائر الدورات ، كذلك تنفي تعيّن جعل العدد في الوقت المظنون ؛ فإنّ تعيّنه إنّما يكون فيما إذا كان الحاكم بالتخيير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يحكم العقل بالتخيير مع تساوي الأزمنة ،</w:t>
      </w:r>
    </w:p>
    <w:p>
      <w:pPr>
        <w:pStyle w:val="BookText"/>
        <w:rPr/>
      </w:pPr>
      <w:r>
        <w:rPr>
          <w:rFonts w:ascii="Amiri" w:hAnsi="Amiri" w:eastAsia="Amiri" w:cs="Amiri"/>
          <w:color w:val="111111"/>
          <w:sz w:val="28"/>
          <w:sz w:val="28"/>
          <w:szCs w:val="28"/>
          <w:rtl w:val="true"/>
          <w:lang w:bidi="ar-SA"/>
        </w:rPr>
        <w:t xml:space="preserve">وأمّا مع ترجيح بعضها ولو ظنّاً فيرتفع موضوع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استفيد حكم التخيير من إطلاق الدليل ، فلا يبقى للترجيح بالظنّ مجال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بأس بذكر بعض الروايات التي يمكن دعوى إطلاقها أو دلالتها على التعيين ؛ حتّى يتّضح الحال </w:t>
      </w:r>
      <w:r>
        <w:rPr>
          <w:rFonts w:eastAsia="Amiri" w:cs="Amiri" w:ascii="Amiri" w:hAnsi="Amiri"/>
          <w:color w:val="111111"/>
          <w:sz w:val="28"/>
          <w:szCs w:val="28"/>
          <w:rtl w:val="true"/>
          <w:lang w:bidi="ar-SA"/>
        </w:rPr>
        <w:t>:</w:t>
      </w:r>
    </w:p>
    <w:p>
      <w:pPr>
        <w:pStyle w:val="Heading6"/>
        <w:numPr>
          <w:ilvl w:val="5"/>
          <w:numId w:val="1"/>
        </w:numPr>
        <w:rPr/>
      </w:pPr>
      <w:bookmarkStart w:id="652" w:name="__RefHeading___Toc686638_3406789950"/>
      <w:bookmarkStart w:id="653" w:name="_Toc237"/>
      <w:bookmarkEnd w:id="652"/>
      <w:r>
        <w:rPr>
          <w:rtl w:val="true"/>
        </w:rPr>
        <w:t>الروايات التي بإطلاقها يقتضي التخيير</w:t>
      </w:r>
      <w:bookmarkEnd w:id="653"/>
    </w:p>
    <w:p>
      <w:p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محمّد بن عمرو بن سعيد عن أبي الحسن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الطامث وقدر جلوسها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تنتظر عدّة ما كانت تحيض ، ثمّ تستظهر بثلاثة أيّام ، ثمّ هي مستحاضة</w:t>
      </w:r>
      <w:r>
        <w:rPr>
          <w:rFonts w:eastAsia="Amiri" w:cs="Amiri" w:ascii="Amiri" w:hAnsi="Amiri"/>
          <w:color w:val="111111"/>
          <w:sz w:val="28"/>
          <w:szCs w:val="28"/>
          <w:rtl w:val="true"/>
          <w:lang w:bidi="ar-SA"/>
        </w:rPr>
        <w:t>»</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الطامث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جلوسها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استمرّ بها الدم ولو بقرينة الجواب ، وإطلاقها يقتضي كونها مخيّرة في وضع عدّة أيّام حيضها حيث شاءت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نّها بصدد بيان مقدار الجلوس سؤالاً وجواباً ، فلا إطلاق فيها من جهة محلّ الجلوس ؛ لو لم نقل بانصرافها إلى الجلوس في أوّل الرؤية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هي تدلّ بإطلاقها على أنّ مقدار جلوس ذاكرة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ناسية</w:t>
      </w:r>
    </w:p>
    <w:p>
      <w:pPr>
        <w:pStyle w:val="BookText"/>
        <w:rPr/>
      </w:pPr>
      <w:r>
        <w:rPr>
          <w:rFonts w:ascii="Amiri" w:hAnsi="Amiri" w:eastAsia="Amiri" w:cs="Amiri"/>
          <w:color w:val="111111"/>
          <w:sz w:val="28"/>
          <w:sz w:val="28"/>
          <w:szCs w:val="28"/>
          <w:rtl w:val="true"/>
          <w:lang w:bidi="ar-SA"/>
        </w:rPr>
        <w:t xml:space="preserve">للوقت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عدّة أيّام العادة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يونس بن يعقوب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رأت الدم في حيضها حتّى تجاوز وقتها ، متى ينبغي لها أن تصلّي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تنتظر عدّتها التي كانت تجلس ، ثمّ تستظهر بعشرة أيّام </w:t>
      </w:r>
      <w:r>
        <w:rPr>
          <w:rFonts w:eastAsia="IRNazanin" w:cs="IRNazanin"/>
          <w:color w:val="111111"/>
          <w:sz w:val="28"/>
          <w:szCs w:val="28"/>
          <w:rtl w:val="true"/>
          <w:lang w:bidi="fa-IR"/>
        </w:rPr>
        <w:t>. . .»</w:t>
      </w:r>
      <w:r>
        <w:rPr>
          <w:rStyle w:val="FootnoteAnchor"/>
          <w:rtl w:val="true"/>
        </w:rPr>
        <w:footnoteReference w:id="1072"/>
      </w:r>
      <w:r>
        <w:rPr>
          <w:rFonts w:ascii="Amiri" w:hAnsi="Amiri" w:eastAsia="Amiri" w:cs="Amiri"/>
          <w:color w:val="111111"/>
          <w:sz w:val="28"/>
          <w:sz w:val="28"/>
          <w:szCs w:val="28"/>
          <w:rtl w:val="true"/>
          <w:lang w:bidi="ar-SA"/>
        </w:rPr>
        <w:t xml:space="preserve">إلى آخره ، بدعوى إطلاق الجواب وإن كان السؤال عن ذاكرة الوقت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ما لا يخفى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عبداللّه بن المغيرة عن رجل ، عن 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المرأة التي ترى الدم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قُرؤها دون العشرة انتظرت العشرة ، وإن كانت أيّامها عشرة لم تستظهر</w:t>
      </w:r>
      <w:r>
        <w:rPr>
          <w:rFonts w:eastAsia="IRNazanin" w:cs="IRNazanin"/>
          <w:color w:val="111111"/>
          <w:sz w:val="28"/>
          <w:szCs w:val="28"/>
          <w:rtl w:val="true"/>
          <w:lang w:bidi="fa-IR"/>
        </w:rPr>
        <w:t>»</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أيضاً لا إطلاق فيها ؛ لكونها في مقام بيان حكم الاستظهار </w:t>
      </w:r>
      <w:r>
        <w:rPr>
          <w:rFonts w:eastAsia="Amiri" w:cs="Amiri" w:ascii="Amiri" w:hAnsi="Amiri"/>
          <w:color w:val="111111"/>
          <w:sz w:val="28"/>
          <w:szCs w:val="28"/>
          <w:rtl w:val="true"/>
          <w:lang w:bidi="ar-SA"/>
        </w:rPr>
        <w:t xml:space="preserve">. </w:t>
      </w:r>
      <w:bookmarkStart w:id="654" w:name="pg15019_190946"/>
    </w:p>
    <w:p>
      <w:pPr>
        <w:pStyle w:val="Heading6"/>
        <w:numPr>
          <w:ilvl w:val="5"/>
          <w:numId w:val="1"/>
        </w:numPr>
        <w:rPr/>
      </w:pPr>
      <w:bookmarkStart w:id="655" w:name="__RefHeading___Toc686640_3406789950"/>
      <w:bookmarkStart w:id="656" w:name="_Toc238"/>
      <w:bookmarkEnd w:id="654"/>
      <w:bookmarkEnd w:id="655"/>
      <w:r>
        <w:rPr>
          <w:rtl w:val="true"/>
        </w:rPr>
        <w:t>الروايات التي يمكن الاستدلال بها على لزوم التحيّض في أوّل الرؤية</w:t>
      </w:r>
      <w:bookmarkEnd w:id="656"/>
    </w:p>
    <w:p>
      <w:pPr>
        <w:pStyle w:val="BookText"/>
        <w:rPr/>
      </w:pPr>
      <w:r>
        <w:rPr>
          <w:rFonts w:ascii="Amiri" w:hAnsi="Amiri" w:eastAsia="Amiri" w:cs="Amiri"/>
          <w:color w:val="111111"/>
          <w:sz w:val="28"/>
          <w:sz w:val="28"/>
          <w:szCs w:val="28"/>
          <w:rtl w:val="true"/>
          <w:lang w:bidi="ar-SA"/>
        </w:rPr>
        <w:t xml:space="preserve">وأمّا ما يمكن أن يستدلّ به على لزوم التحيّض في أوّل الرؤية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عبداللّه بن المغيرة المتقدّمة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المنصرف منها أ نّها تنتظر من أوّل الرؤية إلى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ذلك لو لا ضعف سندها </w:t>
      </w:r>
      <w:r>
        <w:rPr>
          <w:rStyle w:val="FootnoteAnchor"/>
          <w:rtl w:val="true"/>
        </w:rPr>
        <w:footnoteReference w:id="10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يحتمل هذا الانصراف في رواية محمّد بن عمرو المتقدّمة ، لكنّه بعيد ، بل ممنوع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النفساء متى تصلّي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تقعد بقدر حيضها ، وتستظهر بيومين ، فإن انقطع الدم ، وإلاّ اغتسلت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والحائض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ذلك سواء</w:t>
      </w:r>
      <w:r>
        <w:rPr>
          <w:rFonts w:eastAsia="Amiri" w:cs="Amiri" w:ascii="Amiri" w:hAnsi="Amiri"/>
          <w:color w:val="111111"/>
          <w:sz w:val="28"/>
          <w:szCs w:val="28"/>
          <w:rtl w:val="true"/>
          <w:lang w:bidi="ar-SA"/>
        </w:rPr>
        <w:t>»</w:t>
      </w:r>
      <w:r>
        <w:rPr>
          <w:rStyle w:val="FootnoteAnchor"/>
          <w:rtl w:val="true"/>
        </w:rPr>
        <w:footnoteReference w:id="1075"/>
      </w:r>
      <w:r>
        <w:rPr>
          <w:rFonts w:ascii="Amiri" w:hAnsi="Amiri" w:eastAsia="Amiri" w:cs="Amiri"/>
          <w:color w:val="111111"/>
          <w:sz w:val="28"/>
          <w:sz w:val="28"/>
          <w:szCs w:val="28"/>
          <w:rtl w:val="true"/>
          <w:lang w:bidi="ar-SA"/>
        </w:rPr>
        <w:t xml:space="preserve">،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إشكال في أنّ الواجب على النفساء الجلوس أوّل ما رأت الدم ، فعموم التسوية بينها وبين الحائض يدلّ على المطلوب ؛ وهو تحيّضها في أوّل الدورة </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لا يخلو من إشكال ؛ لاحتمال انصراف التسوية إلى مقدار التحيّض والاستظهار وسائر الأحكام المذكورة ، دون مبدأ التحيّض </w:t>
      </w:r>
      <w:r>
        <w:rPr>
          <w:rFonts w:eastAsia="Amiri" w:cs="Amiri" w:ascii="Amiri" w:hAnsi="Amiri"/>
          <w:color w:val="111111"/>
          <w:sz w:val="28"/>
          <w:szCs w:val="28"/>
          <w:rtl w:val="true"/>
          <w:lang w:bidi="ar-SA"/>
        </w:rPr>
        <w:t xml:space="preserve">. </w:t>
      </w:r>
      <w:bookmarkStart w:id="657" w:name="pg15019_190947"/>
    </w:p>
    <w:p>
      <w:pPr>
        <w:pStyle w:val="BookText"/>
        <w:rPr/>
      </w:pPr>
      <w:bookmarkEnd w:id="657"/>
      <w:r>
        <w:rPr>
          <w:rFonts w:ascii="Amiri" w:hAnsi="Amiri" w:eastAsia="Amiri" w:cs="Amiri"/>
          <w:color w:val="111111"/>
          <w:sz w:val="28"/>
          <w:sz w:val="28"/>
          <w:szCs w:val="28"/>
          <w:rtl w:val="true"/>
          <w:lang w:bidi="ar-SA"/>
        </w:rPr>
        <w:t xml:space="preserve">ثمّ لو سلّم دلالة الأدلّة على لزوم التحيّض في أوّل الدورة الاُولى ، فلا دليل على تبعية سائر الدورات لها إلاّ بعض اُمور اعتبارية لا يصلح للاستناد إليه ، وإن كان الأحوط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قلنا بدلالة الأدلّة على تعيّن التحيّض في مبدأ الدورة الاُولى ؛ وأنّ المتفاهم منها النظم على نهج واحد ، فلا وجه لتقدّم العمل بالظنّ عليها ، بل المتعيّن تقدّم العمل بها على الظنّ ، كما هو واضح </w:t>
      </w:r>
      <w:r>
        <w:rPr>
          <w:rFonts w:eastAsia="Amiri" w:cs="Amiri" w:ascii="Amiri" w:hAnsi="Amiri"/>
          <w:color w:val="111111"/>
          <w:sz w:val="28"/>
          <w:szCs w:val="28"/>
          <w:rtl w:val="true"/>
          <w:lang w:bidi="ar-SA"/>
        </w:rPr>
        <w:t>.</w:t>
      </w:r>
    </w:p>
    <w:p>
      <w:pPr>
        <w:pStyle w:val="Heading6"/>
        <w:numPr>
          <w:ilvl w:val="5"/>
          <w:numId w:val="1"/>
        </w:numPr>
        <w:rPr/>
      </w:pPr>
      <w:bookmarkStart w:id="658" w:name="__RefHeading___Toc686642_3406789950"/>
      <w:bookmarkStart w:id="659" w:name="_Toc239"/>
      <w:bookmarkEnd w:id="658"/>
      <w:r>
        <w:rPr>
          <w:rtl w:val="true"/>
        </w:rPr>
        <w:t xml:space="preserve">الموضع الثاني </w:t>
      </w:r>
      <w:r>
        <w:rPr>
          <w:rtl w:val="true"/>
        </w:rPr>
        <w:t xml:space="preserve">: </w:t>
      </w:r>
      <w:r>
        <w:rPr>
          <w:rtl w:val="true"/>
        </w:rPr>
        <w:t>في ناسية العدد دون الوقت</w:t>
      </w:r>
      <w:bookmarkEnd w:id="659"/>
    </w:p>
    <w:p>
      <w:pPr>
        <w:pStyle w:val="BookText"/>
        <w:rPr/>
      </w:pPr>
      <w:r>
        <w:rPr>
          <w:rFonts w:ascii="Amiri" w:hAnsi="Amiri" w:eastAsia="Amiri" w:cs="Amiri"/>
          <w:color w:val="111111"/>
          <w:sz w:val="28"/>
          <w:sz w:val="28"/>
          <w:szCs w:val="28"/>
          <w:rtl w:val="true"/>
          <w:lang w:bidi="ar-SA"/>
        </w:rPr>
        <w:t xml:space="preserve">لو ذكرت الوقت في الجملة ونسيت العدد ، فإمّا ذاكرة لأوّل حيضها ، أو لآخره ، أو لوسطه الحقيقي ، أو لوسطه غير الحقيقي ، أو ذاكرة لكون اليوم الكذائي بين أيّام الحيض ؛ أي بين المبدأ والمنتهى ، أو عالمة بكون اليوم الفلاني من أيّام الحيض في الجملة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وهاهنا صور كثيرة يعلم حكمها من ذكر حكم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حالٍ قد تعلم أنّ عددها كان مخالفاً لما في الروايات ، وقد لا تعلم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ذاكرة لأوّل حيضها ، ولم تعلم مخالفة عددها للروايات ، فلا إشكال في لزوم إكماله ثلاثة أيّام ؛ إذا لم تعلم زيادة عددها عليها ، وإلاّ فبمقدار العلم</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بالزيادة ؛ لما دلّ</w:t>
      </w:r>
      <w:r>
        <w:rPr>
          <w:rStyle w:val="FootnoteAnchor"/>
          <w:rtl w:val="true"/>
        </w:rPr>
        <w:footnoteReference w:id="1076"/>
      </w:r>
      <w:r>
        <w:rPr>
          <w:rFonts w:ascii="Amiri" w:hAnsi="Amiri" w:eastAsia="Amiri" w:cs="Amiri"/>
          <w:color w:val="111111"/>
          <w:sz w:val="28"/>
          <w:sz w:val="28"/>
          <w:szCs w:val="28"/>
          <w:rtl w:val="true"/>
          <w:lang w:bidi="ar-SA"/>
        </w:rPr>
        <w:t xml:space="preserve">على أنّ الصفرة والكدرة وما فوقها في أيّام الحيض حيض ، وأنّ قليل الدم وكثيره أيّام الحيض حيضٌ كلّه إذا كانت الأيّام معلومة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والتقييد </w:t>
      </w:r>
    </w:p>
    <w:p>
      <w:pPr>
        <w:pStyle w:val="BookText"/>
        <w:rPr/>
      </w:pPr>
      <w:r>
        <w:rPr>
          <w:rFonts w:ascii="Amiri" w:hAnsi="Amiri" w:eastAsia="Amiri" w:cs="Amiri"/>
          <w:color w:val="111111"/>
          <w:sz w:val="28"/>
          <w:sz w:val="28"/>
          <w:szCs w:val="28"/>
          <w:rtl w:val="true"/>
          <w:lang w:bidi="ar-SA"/>
        </w:rPr>
        <w:t xml:space="preserve">بالعلم بالأيّام ليس إلاّ لطريقيته إلى الواقع ، لا لتقييد واقع الحيض به ، فمع العلم بكون اليوم الفلاني أوّل حيضها ، يكون الدم فيه دم الحيض بمقتضى إطلاق الأدلّة ، وأقلّ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ثلاثة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متيقّن الحيضية ، فيجب عليها إكماله بالثلاثة ، أو بما فوقها ممّا تعلم عدم نقصان حيضها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لا إشكال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الإشكال فيما زاد على العشرة ممّا تحتمل كونه من عادتها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يقال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مقتضى العلم الإجمالي هو الجمع بين تروك الحائض وأعمال المستحاضة وغسل الحيض في وقت تحتمل انقطاعه وقضاء صوم عشرة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الذي اختاره المحقّق رحمه الله علیه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مراراً </w:t>
      </w:r>
      <w:r>
        <w:rPr>
          <w:rStyle w:val="FootnoteAnchor"/>
          <w:rtl w:val="true"/>
        </w:rPr>
        <w:footnoteReference w:id="1078"/>
      </w:r>
      <w:r>
        <w:rPr>
          <w:rFonts w:ascii="Amiri" w:hAnsi="Amiri" w:eastAsia="Amiri" w:cs="Amiri"/>
          <w:color w:val="111111"/>
          <w:sz w:val="28"/>
          <w:sz w:val="28"/>
          <w:szCs w:val="28"/>
          <w:rtl w:val="true"/>
          <w:lang w:bidi="ar-SA"/>
        </w:rPr>
        <w:t>من عدم منجّزية هذا العلم الإجمالي ؛ بناءً على</w:t>
      </w:r>
    </w:p>
    <w:p>
      <w:pPr>
        <w:pStyle w:val="BookText"/>
        <w:rPr/>
      </w:pPr>
      <w:r>
        <w:rPr>
          <w:rFonts w:ascii="Amiri" w:hAnsi="Amiri" w:eastAsia="Amiri" w:cs="Amiri"/>
          <w:color w:val="111111"/>
          <w:sz w:val="28"/>
          <w:sz w:val="28"/>
          <w:szCs w:val="28"/>
          <w:rtl w:val="true"/>
          <w:lang w:bidi="ar-SA"/>
        </w:rPr>
        <w:t xml:space="preserve">الحرمة الذاتية في العبادات ، كما هي ظاهر الأدلّة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منجّزيته ينحلّ بالاستصحاب ، ولا إشكال في جريان استصحاب الحيضية </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أفاد الشيخ الأعظم في المقام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عدم جريانه في الاُمور التدريجية ، بل يجري استصحاب عدم الحيضية بالنسبة إلى الأيّام المشكوك فيها ، فيجب عليها أن تعمل عمل المستحاضة بعد ثلاثة أيّام</w:t>
      </w:r>
      <w:r>
        <w:rPr>
          <w:rFonts w:eastAsia="Amiri" w:cs="Amiri" w:ascii="Amiri" w:hAnsi="Amiri"/>
          <w:color w:val="111111"/>
          <w:sz w:val="28"/>
          <w:szCs w:val="28"/>
          <w:rtl w:val="true"/>
          <w:lang w:bidi="ar-SA"/>
        </w:rPr>
        <w:t>»</w:t>
      </w:r>
      <w:r>
        <w:rPr>
          <w:rStyle w:val="FootnoteAnchor"/>
          <w:rtl w:val="true"/>
        </w:rPr>
        <w:footnoteReference w:id="1079"/>
      </w:r>
      <w:r>
        <w:rPr>
          <w:rFonts w:ascii="Amiri" w:hAnsi="Amiri" w:eastAsia="Amiri" w:cs="Amiri"/>
          <w:color w:val="111111"/>
          <w:sz w:val="28"/>
          <w:sz w:val="28"/>
          <w:szCs w:val="28"/>
          <w:rtl w:val="true"/>
          <w:lang w:bidi="ar-SA"/>
        </w:rPr>
        <w:t xml:space="preserve">فغير وجيه ؛ لما حقّق في </w:t>
      </w:r>
    </w:p>
    <w:p>
      <w:pPr>
        <w:pStyle w:val="BookText"/>
        <w:rPr/>
      </w:pPr>
      <w:r>
        <w:rPr>
          <w:rFonts w:ascii="Amiri" w:hAnsi="Amiri" w:eastAsia="Amiri" w:cs="Amiri"/>
          <w:color w:val="111111"/>
          <w:sz w:val="28"/>
          <w:sz w:val="28"/>
          <w:szCs w:val="28"/>
          <w:rtl w:val="true"/>
          <w:lang w:bidi="ar-SA"/>
        </w:rPr>
        <w:t xml:space="preserve">محلّه من جريانه فيها </w:t>
      </w:r>
      <w:r>
        <w:rPr>
          <w:rStyle w:val="FootnoteAnchor"/>
          <w:rtl w:val="true"/>
        </w:rPr>
        <w:footnoteReference w:id="1080"/>
      </w:r>
      <w:r>
        <w:rPr>
          <w:rFonts w:ascii="Amiri" w:hAnsi="Amiri" w:eastAsia="Amiri" w:cs="Amiri"/>
          <w:color w:val="111111"/>
          <w:sz w:val="28"/>
          <w:sz w:val="28"/>
          <w:szCs w:val="28"/>
          <w:rtl w:val="true"/>
          <w:lang w:bidi="ar-SA"/>
        </w:rPr>
        <w:t xml:space="preserve">، فلا يبقى مجال للاحتياط والاشتغال ، ولا للزوم عمل المستحاضة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لكنّ التحقيق استفادة حكم المسألة من مرسلة يونس ؛ فإنّ المتأمّل في جميع فقراتها لا يكاد يشكّ في أنّ التي ليس مرجعها العادة ولا التمييز ، مرجعها السبعة والثلاثة والعشرون ، خصوصاً فقراتها الأخيرة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فجميع حالات المستحاضة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إلى آخر الرواية ، 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اختلط عليها أيّامها وزادت ونقصت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يقف منها على حدّ ، ولا من الدم على 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عملت بإقبال الدم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شامل لذاكرة الوقت في الجملة ، فحينئذٍ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لم يكن الأمر كذلك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 دالٌّ على المقصود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المتأمّل في المرسلة والحصر المستفاد منها والقواعد المستنبطة من السنن الثلاث الواردة عن رسول اللّه صلی الله علیه و آله وسلم في ثلاث قضايا</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شخصية ، لا ينبغي أن يرتاب في أنّ السنن المذكورة مرجع المستحاضة على الترتيب الذي فيها ، ولا تكاد تكون امرأة خارجة عنها ؛ وأ نّها مع الإمكان ترجع إلى العادة ولو في الجملة ، ومع التمييز وعدم إمكان الرجوع إلى العادة ، ترجع إليه ولو في الجملة ، ومع فقدانهما ترجع إلى العدد ، ومع إمكان الرجوع إلى إحدى المتقدّمتين لا ترجع إلى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الرجوع إلى الأقارب فقد عرفت أ 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لشدّة ندرته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مضرّاً بالحصر</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 xml:space="preserve">. </w:t>
      </w:r>
      <w:bookmarkStart w:id="660" w:name="pg15019_190950"/>
    </w:p>
    <w:p>
      <w:pPr>
        <w:pStyle w:val="BookText"/>
        <w:rPr/>
      </w:pPr>
      <w:bookmarkEnd w:id="660"/>
      <w:r>
        <w:rPr>
          <w:rFonts w:ascii="Amiri" w:hAnsi="Amiri" w:eastAsia="Amiri" w:cs="Amiri"/>
          <w:color w:val="111111"/>
          <w:sz w:val="28"/>
          <w:sz w:val="28"/>
          <w:szCs w:val="28"/>
          <w:rtl w:val="true"/>
          <w:lang w:bidi="ar-SA"/>
        </w:rPr>
        <w:t xml:space="preserve">وممّا ذكرنا يظهر حال سائر الصور ، فلا تحتاج إلى التطويل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الرجوع إلى خصوص السبعة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أقوى فهو أحوط</w:t>
      </w:r>
      <w:r>
        <w:rPr>
          <w:rStyle w:val="FootnoteAnchor"/>
          <w:rtl w:val="true"/>
        </w:rPr>
        <w:footnoteReference w:id="10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بنينا على العمل بالأصل وأغمضنا عن الروايات ، يكون حال الأصل بالنسبة إلى الصور المتقدّمة مختلفاً ، كما هو واضح </w:t>
      </w:r>
      <w:r>
        <w:rPr>
          <w:rFonts w:eastAsia="Amiri" w:cs="Amiri" w:ascii="Amiri" w:hAnsi="Amiri"/>
          <w:color w:val="111111"/>
          <w:sz w:val="28"/>
          <w:szCs w:val="28"/>
          <w:rtl w:val="true"/>
          <w:lang w:bidi="ar-SA"/>
        </w:rPr>
        <w:t>.</w:t>
      </w:r>
    </w:p>
    <w:p>
      <w:pPr>
        <w:pStyle w:val="Heading6"/>
        <w:numPr>
          <w:ilvl w:val="5"/>
          <w:numId w:val="1"/>
        </w:numPr>
        <w:rPr/>
      </w:pPr>
      <w:bookmarkStart w:id="661" w:name="__RefHeading___Toc686644_3406789950"/>
      <w:bookmarkStart w:id="662" w:name="_Toc240"/>
      <w:bookmarkEnd w:id="661"/>
      <w:r>
        <w:rPr>
          <w:rtl w:val="true"/>
        </w:rPr>
        <w:t xml:space="preserve">الموضع الثالث </w:t>
      </w:r>
      <w:r>
        <w:rPr>
          <w:rtl w:val="true"/>
        </w:rPr>
        <w:t xml:space="preserve">: </w:t>
      </w:r>
      <w:r>
        <w:rPr>
          <w:rtl w:val="true"/>
        </w:rPr>
        <w:t>في ناسية الوقت والعدد</w:t>
      </w:r>
      <w:bookmarkEnd w:id="662"/>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الموضع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إذا نسيت الوقت والعدد جميعاً ؛ ولم تحفظ شيئاً منهما ، فقد ظهر ممّا مرّ أنّ سنّتها السبعة والثلاثة والعشرون على الأحوط ، بل الأقرب ؛ لما مرّ</w:t>
      </w:r>
      <w:r>
        <w:rPr>
          <w:rStyle w:val="FootnoteAnchor"/>
          <w:rtl w:val="true"/>
        </w:rPr>
        <w:footnoteReference w:id="1083"/>
      </w:r>
      <w:r>
        <w:rPr>
          <w:rFonts w:ascii="Amiri" w:hAnsi="Amiri" w:eastAsia="Amiri" w:cs="Amiri"/>
          <w:color w:val="111111"/>
          <w:sz w:val="28"/>
          <w:sz w:val="28"/>
          <w:szCs w:val="28"/>
          <w:rtl w:val="true"/>
          <w:lang w:bidi="ar-SA"/>
        </w:rPr>
        <w:t xml:space="preserve">من المناقشة في سائر الروايات وفي الستّة الواردة في المرسلة </w:t>
      </w:r>
      <w:r>
        <w:rPr>
          <w:rFonts w:eastAsia="Amiri" w:cs="Amiri" w:ascii="Amiri" w:hAnsi="Amiri"/>
          <w:color w:val="111111"/>
          <w:sz w:val="28"/>
          <w:szCs w:val="28"/>
          <w:rtl w:val="true"/>
          <w:lang w:bidi="ar-SA"/>
        </w:rPr>
        <w:t xml:space="preserve">. </w:t>
      </w:r>
      <w:bookmarkStart w:id="663" w:name="pg15019_190951"/>
    </w:p>
    <w:p>
      <w:pPr>
        <w:pStyle w:val="Heading5"/>
        <w:numPr>
          <w:ilvl w:val="4"/>
          <w:numId w:val="1"/>
        </w:numPr>
        <w:rPr/>
      </w:pPr>
      <w:bookmarkStart w:id="664" w:name="__RefHeading___Toc686646_3406789950"/>
      <w:bookmarkStart w:id="665" w:name="_Toc241"/>
      <w:bookmarkEnd w:id="663"/>
      <w:bookmarkEnd w:id="664"/>
      <w:r>
        <w:rPr>
          <w:rtl w:val="true"/>
        </w:rPr>
        <w:t>المطلب الثاني</w:t>
      </w:r>
      <w:r>
        <w:rPr>
          <w:rtl w:val="true"/>
        </w:rPr>
        <w:t xml:space="preserve">: </w:t>
      </w:r>
      <w:r>
        <w:rPr>
          <w:rtl w:val="true"/>
        </w:rPr>
        <w:t>في أقسام الاستحاضة</w:t>
      </w:r>
      <w:bookmarkEnd w:id="665"/>
    </w:p>
    <w:p>
      <w:pPr>
        <w:pStyle w:val="Heading6"/>
        <w:numPr>
          <w:ilvl w:val="5"/>
          <w:numId w:val="1"/>
        </w:numPr>
        <w:rPr/>
      </w:pPr>
      <w:bookmarkStart w:id="666" w:name="__RefHeading___Toc686648_3406789950"/>
      <w:bookmarkStart w:id="667" w:name="_Toc242"/>
      <w:bookmarkEnd w:id="666"/>
      <w:r>
        <w:rPr>
          <w:rtl w:val="true"/>
        </w:rPr>
        <w:t>اشارة</w:t>
      </w:r>
      <w:bookmarkEnd w:id="667"/>
    </w:p>
    <w:p>
      <w:pPr>
        <w:pStyle w:val="BookText"/>
        <w:rPr/>
      </w:pP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وتحصيلاً ، شهرةً كادت أن تكون إجماعاً ،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0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للاستحاضة أقساماً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القليلة ، والكثيرة ، والمتوسّطة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للمحكيّ عن ابن أبي عقيل فأنكر القسم الأوّل</w:t>
      </w:r>
      <w:r>
        <w:rPr>
          <w:rStyle w:val="FootnoteAnchor"/>
          <w:rtl w:val="true"/>
        </w:rPr>
        <w:footnoteReference w:id="10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الجنيد وابن أبي عقيل أيضاً </w:t>
      </w:r>
      <w:r>
        <w:rPr>
          <w:rStyle w:val="FootnoteAnchor"/>
          <w:rtl w:val="true"/>
        </w:rPr>
        <w:footnoteReference w:id="1086"/>
      </w:r>
      <w:r>
        <w:rPr>
          <w:rFonts w:ascii="Amiri" w:hAnsi="Amiri" w:eastAsia="Amiri" w:cs="Amiri"/>
          <w:color w:val="111111"/>
          <w:sz w:val="28"/>
          <w:sz w:val="28"/>
          <w:szCs w:val="28"/>
          <w:rtl w:val="true"/>
          <w:lang w:bidi="ar-SA"/>
        </w:rPr>
        <w:t xml:space="preserve">والفاضلين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108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1088"/>
      </w:r>
      <w:r>
        <w:rPr>
          <w:rFonts w:ascii="Amiri" w:hAnsi="Amiri" w:eastAsia="Amiri" w:cs="Amiri"/>
          <w:color w:val="111111"/>
          <w:sz w:val="28"/>
          <w:sz w:val="28"/>
          <w:szCs w:val="28"/>
          <w:rtl w:val="true"/>
          <w:lang w:bidi="ar-SA"/>
        </w:rPr>
        <w:t xml:space="preserve">إدخال الثانية في الثالثة ، فأوجبوا الأغسال الثلاثة فيها </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والمحقّق الخراساني فصّل بين الدم والصفرة ، وقسّم الدم إلى قسمين ؛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يثقب الكرسف ، فأوجب فيه الأغسال الثلاثة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يثقب ، فأوجب </w:t>
      </w:r>
      <w:bookmarkStart w:id="668" w:name="pg15019_190952"/>
    </w:p>
    <w:p>
      <w:pPr>
        <w:pStyle w:val="BookText"/>
        <w:rPr/>
      </w:pPr>
      <w:bookmarkEnd w:id="668"/>
      <w:r>
        <w:rPr>
          <w:rFonts w:ascii="Amiri" w:hAnsi="Amiri" w:eastAsia="Amiri" w:cs="Amiri"/>
          <w:color w:val="111111"/>
          <w:sz w:val="28"/>
          <w:sz w:val="28"/>
          <w:szCs w:val="28"/>
          <w:rtl w:val="true"/>
          <w:lang w:bidi="ar-SA"/>
        </w:rPr>
        <w:t xml:space="preserve">الغسلَ في كلّ يوم مرّةً واحدة ، والوضوءَ لكلّ 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وقسّم الصفرة أيضاً إلى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القليلة ، فأوجب فيها الوضوء لكلّ صلاة ، ولم يوجب الغسل ، والكثيرة ، فأوجب فيها الأغسال الثلاثة ، وادّعى أنّ ذلك مقتضى الجمع بين الأخبار ؛ بحمل مطلقها على مقيّدها وتقديم نصّها على ظاهرها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69" w:name="__RefHeading___Toc686650_3406789950"/>
      <w:bookmarkStart w:id="670" w:name="_Toc243"/>
      <w:bookmarkEnd w:id="669"/>
      <w:r>
        <w:rPr>
          <w:rtl w:val="true"/>
        </w:rPr>
        <w:t>مقتضى الجمع بين الروايات تثليث الأقسام</w:t>
      </w:r>
      <w:bookmarkEnd w:id="670"/>
    </w:p>
    <w:p>
      <w:pPr>
        <w:pStyle w:val="BookText"/>
        <w:rPr/>
      </w:pPr>
      <w:r>
        <w:rPr>
          <w:rFonts w:ascii="Amiri" w:hAnsi="Amiri" w:eastAsia="Amiri" w:cs="Amiri"/>
          <w:color w:val="111111"/>
          <w:sz w:val="28"/>
          <w:sz w:val="28"/>
          <w:szCs w:val="28"/>
          <w:rtl w:val="true"/>
          <w:lang w:bidi="ar-SA"/>
        </w:rPr>
        <w:t xml:space="preserve">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القول المشهور ، لا لصريح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الرضوي</w:t>
      </w:r>
      <w:r>
        <w:rPr>
          <w:rFonts w:eastAsia="Amiri" w:cs="Amiri" w:ascii="Amiri" w:hAnsi="Amiri"/>
          <w:color w:val="111111"/>
          <w:sz w:val="28"/>
          <w:szCs w:val="28"/>
          <w:rtl w:val="true"/>
          <w:lang w:bidi="ar-SA"/>
        </w:rPr>
        <w:t>»</w:t>
      </w:r>
      <w:r>
        <w:rPr>
          <w:rStyle w:val="FootnoteAnchor"/>
          <w:rtl w:val="true"/>
        </w:rPr>
        <w:footnoteReference w:id="1090"/>
      </w:r>
      <w:r>
        <w:rPr>
          <w:rFonts w:ascii="IRNazanin" w:hAnsi="IRNazanin" w:eastAsia="IRNazanin"/>
          <w:color w:val="111111"/>
          <w:sz w:val="28"/>
          <w:sz w:val="28"/>
          <w:szCs w:val="28"/>
          <w:rtl w:val="true"/>
          <w:lang w:bidi="fa-IR"/>
        </w:rPr>
        <w:t>الموافق لفتوى الصدوق</w:t>
      </w:r>
      <w:r>
        <w:rPr>
          <w:rStyle w:val="FootnoteAnchor"/>
          <w:rtl w:val="true"/>
        </w:rPr>
        <w:footnoteReference w:id="10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يخل من وجه ؛ لتطابق الفتاوى على وفقه بعد كون الاختلاف بينهما في اللفظ دون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لأنّ تثليث الأقسام في الجملة مقتضى الجمع بين الروايات ، ففي رواية معاوية بن عمّار الصحيحة على الأصحّ</w:t>
      </w:r>
      <w:r>
        <w:rPr>
          <w:rStyle w:val="FootnoteAnchor"/>
          <w:rtl w:val="true"/>
        </w:rPr>
        <w:footnoteReference w:id="1092"/>
      </w:r>
      <w:r>
        <w:rPr>
          <w:rFonts w:ascii="IRNazanin" w:hAnsi="IRNazanin" w:eastAsia="IRNazanin"/>
          <w:color w:val="111111"/>
          <w:sz w:val="28"/>
          <w:sz w:val="28"/>
          <w:szCs w:val="28"/>
          <w:rtl w:val="true"/>
          <w:lang w:bidi="fa-IR"/>
        </w:rPr>
        <w:t xml:space="preserve">، عن أبي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جازت أيّامها ورأت الدم يثقب الكُرسُف ،</w:t>
      </w:r>
    </w:p>
    <w:p>
      <w:pPr>
        <w:pStyle w:val="BookText"/>
        <w:rPr/>
      </w:pPr>
      <w:r>
        <w:rPr>
          <w:rFonts w:ascii="Amiri" w:hAnsi="Amiri" w:eastAsia="Amiri" w:cs="Amiri"/>
          <w:color w:val="111111"/>
          <w:sz w:val="28"/>
          <w:sz w:val="28"/>
          <w:szCs w:val="28"/>
          <w:rtl w:val="true"/>
          <w:lang w:bidi="ar-SA"/>
        </w:rPr>
        <w:t xml:space="preserve">اغتسلت للظهر والعصر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الدم لا يثقب الكرسف توضّأت ، ودخلت المسجد ، وصلّت كلّ صلاة بوضوء</w:t>
      </w:r>
      <w:r>
        <w:rPr>
          <w:rFonts w:eastAsia="Amiri" w:cs="Amiri" w:ascii="Amiri" w:hAnsi="Amiri"/>
          <w:color w:val="111111"/>
          <w:sz w:val="28"/>
          <w:szCs w:val="28"/>
          <w:rtl w:val="true"/>
          <w:lang w:bidi="ar-SA"/>
        </w:rPr>
        <w:t>»</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فأوجب الأغسال الثلاثة للثاقب الأعمّ من السائل وغيره ، والمتجاوز عن </w:t>
      </w:r>
    </w:p>
    <w:p>
      <w:pPr>
        <w:pStyle w:val="BookText"/>
        <w:rPr/>
      </w:pPr>
      <w:r>
        <w:rPr>
          <w:rFonts w:ascii="Amiri" w:hAnsi="Amiri" w:eastAsia="Amiri" w:cs="Amiri"/>
          <w:color w:val="111111"/>
          <w:sz w:val="28"/>
          <w:sz w:val="28"/>
          <w:szCs w:val="28"/>
          <w:rtl w:val="true"/>
          <w:lang w:bidi="ar-SA"/>
        </w:rPr>
        <w:t xml:space="preserve">الكرسف وغيره ، ولغير الثاقب لم يوجب إلاّ الوضوء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زرارة في النفساء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انقطع الدم ، وإلاّ اغتسلت واحتشت واستثفرت وصلّت ، وإن جاز الدم الكرسف تعصّبت واغتسلت ، ثمّ صلّت الغداة بغسل ، والظهر والعصر بغسل ، والمغرب والعشاء بغسل ، وإن لم يجز الدمُ الكرسفَ صلّت بغسل واحد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والحائض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ذلك سواء</w:t>
      </w:r>
      <w:r>
        <w:rPr>
          <w:rFonts w:eastAsia="Amiri" w:cs="Amiri" w:ascii="Amiri" w:hAnsi="Amiri"/>
          <w:color w:val="111111"/>
          <w:sz w:val="28"/>
          <w:szCs w:val="28"/>
          <w:rtl w:val="true"/>
          <w:lang w:bidi="ar-SA"/>
        </w:rPr>
        <w:t>»</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والجمع بينها وبين الصحيحة المتقدّمة بتثليث الأقسام ؛ فإنّ إطلاق صدر صحيحة معاوية يقيّد بقوله في صحيحة زرارة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يجز الدم الكرسف صلّت بغسل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المتجاوز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عبارة عن عبور الدم عن القطنة إلى غيرها ، وهو موافق للسيلان ، والجمع العرفي بين الفقرتين يقتضي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الثقب المتجاوز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أن يكون الثاقب نوعاً متجاوزاً وسائلاً ، فلا يكون تقييده تقييداً بعيداً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وتقيّد الفقرة الثانية من صحيحة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يجز الدم الكرسف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بالفقرة الثانية من صحيحة معاوية ؛ وهي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كان الدم لا يثقب الكرسف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 غير المتجاوز أعمّ من الثاقب وغيره ، وغير الثاقب أخصّ منه مطلقاً </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تقييد الفقرة الثانية من صحيحة زرارة بالفقرة الثانية من صحيحة معاوية ، تصير أخصّ مطلقاً من الفقرة الاُولى من صحيحة زرارة ، </w:t>
      </w:r>
    </w:p>
    <w:p>
      <w:pPr>
        <w:pStyle w:val="BookText"/>
        <w:rPr/>
      </w:pPr>
      <w:r>
        <w:rPr>
          <w:rFonts w:ascii="Amiri" w:hAnsi="Amiri" w:eastAsia="Amiri" w:cs="Amiri"/>
          <w:color w:val="111111"/>
          <w:sz w:val="28"/>
          <w:sz w:val="28"/>
          <w:szCs w:val="28"/>
          <w:rtl w:val="true"/>
          <w:lang w:bidi="ar-SA"/>
        </w:rPr>
        <w:t xml:space="preserve">ونتيجة التقييدين تثليث الأقسام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الجمع العقلائي بين فقرات الصحيحتين هو تثليث الأقسام ؛ وإن كان بين بعض الفقرات عموم من 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وتشهد لما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معاوية على الثاقب المتجاوز المنطبق على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المستحاضة إذا ثقب الدم الكرسفَ اغتسلت لكلّ صلاتين ، وللفجر غسلاً ، وإن لم يجز الدم الكرسفَ فعليها الغسل لكلّ يوم مرّة</w:t>
      </w:r>
      <w:r>
        <w:rPr>
          <w:rFonts w:eastAsia="Amiri" w:cs="Amiri" w:ascii="Amiri" w:hAnsi="Amiri"/>
          <w:color w:val="111111"/>
          <w:sz w:val="28"/>
          <w:szCs w:val="28"/>
          <w:rtl w:val="true"/>
          <w:lang w:bidi="ar-SA"/>
        </w:rPr>
        <w:t>»</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قابل فيها بين الثقب وعدم التجاوز ، فيعلم أنّ مراده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 نّه يقيّد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لم يَجُز الدمُ الكُرْسفَ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بالفقرة الثانية من صحيحة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في الموثّقة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صفرة فعليها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فمحمول على القليلة ؛ لنوعية كون الصفرة قليلة ، كما قيل</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ربّما يشهد له قوله في رواية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اجتماع الحيض والحمل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كان دماً أحمر كثيراً فلا تصلّي ، وإن كان قليلاً أصفر فليس عليها إلاّ الوضوء</w:t>
      </w:r>
      <w:r>
        <w:rPr>
          <w:rFonts w:eastAsia="Amiri" w:cs="Amiri" w:ascii="Amiri" w:hAnsi="Amiri"/>
          <w:color w:val="111111"/>
          <w:sz w:val="28"/>
          <w:szCs w:val="28"/>
          <w:rtl w:val="true"/>
          <w:lang w:bidi="ar-SA"/>
        </w:rPr>
        <w:t>»</w:t>
      </w:r>
      <w:r>
        <w:rPr>
          <w:rStyle w:val="FootnoteAnchor"/>
          <w:rtl w:val="true"/>
        </w:rPr>
        <w:footnoteReference w:id="1097"/>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وتشهد لتثليث الأقسام صحيحة عبد الرحمان قال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فيه خلاف فلتحتط بيوم أو يومين ولتغتسل ، ولتستدخل كرسفاً ، فإن ظهر على الكرسف فلتغتسل ، ثمّ تضع كرسفاً آخر ثمّ تصلّي ، فإذا كان سائلاً فلتؤخّر الصلاة إلى الصلاة ، ثمّ تصلّي صلاتين بغسل واحد</w:t>
      </w:r>
      <w:r>
        <w:rPr>
          <w:rFonts w:eastAsia="Amiri" w:cs="Amiri" w:ascii="Amiri" w:hAnsi="Amiri"/>
          <w:color w:val="111111"/>
          <w:sz w:val="28"/>
          <w:szCs w:val="28"/>
          <w:rtl w:val="true"/>
          <w:lang w:bidi="ar-SA"/>
        </w:rPr>
        <w:t>»</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فإنّها متعرّضة للمتوسّطة والكثيرة ، فأوجبت الغسلَ الواحد إن ظهر على الكرسف ، والأغسالَ الثلاثة إن سال الدم ، فهي بضميمة روايات اُخر تفيد الأقسام الثلاثة ، كموثّقة زرارة عن أبي جعفر علیه السلام ففيها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هي مستحاضة ؛ فلتغتسل وتستوثق من نفسها ، وتصلّي كلّ صلاة بوضوء ما لم ينفذ الدم ، فإذا نفذ اغتسلت وصلّت</w:t>
      </w:r>
      <w:r>
        <w:rPr>
          <w:rFonts w:eastAsia="Amiri" w:cs="Amiri" w:ascii="Amiri" w:hAnsi="Amiri"/>
          <w:color w:val="111111"/>
          <w:sz w:val="28"/>
          <w:szCs w:val="28"/>
          <w:rtl w:val="true"/>
          <w:lang w:bidi="ar-SA"/>
        </w:rPr>
        <w:t>»</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وعليها تحمل صحيحة الصحّاف حيث يظهر منها التثليث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قد يتراءى منها خلاف ما تقدّم في الجملة ؛ حيث قال فيها بعد الاستظهار بيوم أو يومين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فلتغتسل ، ثمّ تحتشي وتستذفر وتصلّي الظهر والعصر ، ثمّ لتنظر ؛ فإن كان الدم فيما بينها وبين المغرب لا يسيل من خلف الكرسف ، فلتتوضّأ ولتصلِّ عند وقت كلّ صلاة ما لم تطرح الكرسف عنها ، فإن طرحت الكرسف عنها فسال الدم ، وجب عليها الغسل ، وإن طرحت الكرسف ولم يسل فلتتوضّأ ولتصلّ ، ولا غسل عليها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كان الدم إذا أمسكت الكرسف ، يسيل من خلف </w:t>
      </w:r>
    </w:p>
    <w:p>
      <w:pPr>
        <w:pStyle w:val="BookText"/>
        <w:rPr/>
      </w:pPr>
      <w:r>
        <w:rPr>
          <w:rFonts w:ascii="Amiri" w:hAnsi="Amiri" w:eastAsia="Amiri" w:cs="Amiri"/>
          <w:color w:val="111111"/>
          <w:sz w:val="28"/>
          <w:sz w:val="28"/>
          <w:szCs w:val="28"/>
          <w:rtl w:val="true"/>
          <w:lang w:bidi="ar-SA"/>
        </w:rPr>
        <w:t>الكرسف صبيباً لا يرقأ ، فإنّ عليها أن تغتسل في كلّ يوم وليلة ثلاث مرّات</w:t>
      </w:r>
      <w:r>
        <w:rPr>
          <w:rFonts w:eastAsia="Amiri" w:cs="Amiri" w:ascii="Amiri" w:hAnsi="Amiri"/>
          <w:color w:val="111111"/>
          <w:sz w:val="28"/>
          <w:szCs w:val="28"/>
          <w:rtl w:val="true"/>
          <w:lang w:bidi="ar-SA"/>
        </w:rPr>
        <w:t>»</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تقييد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يسيل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 ببعض الروايات المتقدّمة ، وحملِ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فسال الدم وجب عليها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سيلانه بلا مانع ؛ بحيث إن وضعت الكرسف ثَقَبَه ولم يسل منه ؛ بقرينة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كان الدم إذا أمسكت الكرسف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الأقسام الثلاثة ؛ فإنّ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طرحت الكرسف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 صريح في ثلاثة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السيلان بعد طرح الكرسف ، وهو لا</w:t>
      </w:r>
    </w:p>
    <w:p>
      <w:pPr>
        <w:pStyle w:val="BookText"/>
        <w:rPr/>
      </w:pPr>
      <w:r>
        <w:rPr>
          <w:rFonts w:ascii="Amiri" w:hAnsi="Amiri" w:eastAsia="Amiri" w:cs="Amiri"/>
          <w:color w:val="111111"/>
          <w:sz w:val="28"/>
          <w:sz w:val="28"/>
          <w:szCs w:val="28"/>
          <w:rtl w:val="true"/>
          <w:lang w:bidi="ar-SA"/>
        </w:rPr>
        <w:t xml:space="preserve">ينطبق إلاّ على القليلة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سيلانه بعد طرحه ، فإنّه بملاحظة مقابلته مع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إذا</w:t>
      </w:r>
    </w:p>
    <w:p>
      <w:pPr>
        <w:pStyle w:val="BookText"/>
        <w:rPr/>
      </w:pPr>
      <w:r>
        <w:rPr>
          <w:rFonts w:ascii="Amiri" w:hAnsi="Amiri" w:eastAsia="Amiri" w:cs="Amiri"/>
          <w:color w:val="111111"/>
          <w:sz w:val="28"/>
          <w:sz w:val="28"/>
          <w:szCs w:val="28"/>
          <w:rtl w:val="true"/>
          <w:lang w:bidi="ar-SA"/>
        </w:rPr>
        <w:t xml:space="preserve">أمسكت الكرسف سال من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ينطبق إلاّ على المتوسّطة ؛ فإنّ الدم إذا كان سائلاً مع طرح الكرسف ، وليس سيلانه بحيث إذا أمسكت الكرسف سال من خلفه ، لا محالة يكون ثاقباً ونافذاً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أمسكت الكرسف يسيل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فلا إشكال في إفادتها الأقسام الثلاثة موافقاً للمشهور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 أنّ تثليث الأقسام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كونه مشهوراً شهرة كادت أن تكون</w:t>
      </w:r>
    </w:p>
    <w:p>
      <w:pPr>
        <w:pStyle w:val="BookText"/>
        <w:rPr/>
      </w:pPr>
      <w:r>
        <w:rPr>
          <w:rFonts w:ascii="Amiri" w:hAnsi="Amiri" w:eastAsia="Amiri" w:cs="Amiri"/>
          <w:color w:val="111111"/>
          <w:sz w:val="28"/>
          <w:sz w:val="28"/>
          <w:szCs w:val="28"/>
          <w:rtl w:val="true"/>
          <w:lang w:bidi="ar-SA"/>
        </w:rPr>
        <w:t>إجماعاً ، كما مرّ</w:t>
      </w:r>
      <w:r>
        <w:rPr>
          <w:rStyle w:val="FootnoteAnchor"/>
          <w:rtl w:val="true"/>
        </w:rPr>
        <w:footnoteReference w:id="1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مقتضى الجمع بين الروايات وحمل بعضها على بعض ، ومقتضى ظهور بعض الروايات أيضاً </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صحيحة الصحّاف ، لا ينصرف إلى الحمرة مقابل </w:t>
      </w:r>
    </w:p>
    <w:p>
      <w:pPr>
        <w:pStyle w:val="BookText"/>
        <w:rPr/>
      </w:pPr>
      <w:r>
        <w:rPr>
          <w:rFonts w:ascii="Amiri" w:hAnsi="Amiri" w:eastAsia="Amiri" w:cs="Amiri"/>
          <w:color w:val="111111"/>
          <w:sz w:val="28"/>
          <w:sz w:val="28"/>
          <w:szCs w:val="28"/>
          <w:rtl w:val="true"/>
          <w:lang w:bidi="ar-SA"/>
        </w:rPr>
        <w:t xml:space="preserve">الصفرة لو قلنا بانصرافه في بعض الروايات ؛ فإنّ الصفرة في دم الاستحاضة لعلّها غالبة نوعية ، ولهذا جعلت علامة لها وأمارة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الانصراف مطلقاً محلّ منع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إذا ذكرت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ذلك قرينة على إرادة الحمرة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المقابل لها ، وهذا نظير ما إذا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لا ينفعل ، وإذا كان قليلاً</w:t>
      </w:r>
    </w:p>
    <w:p>
      <w:pPr>
        <w:pStyle w:val="BookText"/>
        <w:rPr/>
      </w:pPr>
      <w:r>
        <w:rPr>
          <w:rFonts w:ascii="Amiri" w:hAnsi="Amiri" w:eastAsia="Amiri" w:cs="Amiri"/>
          <w:color w:val="111111"/>
          <w:sz w:val="28"/>
          <w:sz w:val="28"/>
          <w:szCs w:val="28"/>
          <w:rtl w:val="true"/>
          <w:lang w:bidi="ar-SA"/>
        </w:rPr>
        <w:t>ينفعل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يفهم من المقابلة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الصدر هو الكثير ، وهذا لا يوجب الانصراف إذا لم يكن مقابلاً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يستفاد من الصحيحة وغيرها أنّ الدم مطلقاً ثلاثي الأقسام ، ويحمل عليها ما ورد من أنّ في الصفرة الوضوء خاصّةً ، كموثّقة سَماعة</w:t>
      </w:r>
      <w:r>
        <w:rPr>
          <w:rStyle w:val="FootnoteAnchor"/>
          <w:rtl w:val="true"/>
        </w:rPr>
        <w:footnoteReference w:id="1102"/>
      </w:r>
      <w:r>
        <w:rPr>
          <w:rFonts w:ascii="Amiri" w:hAnsi="Amiri" w:eastAsia="Amiri" w:cs="Amiri"/>
          <w:color w:val="111111"/>
          <w:sz w:val="28"/>
          <w:sz w:val="28"/>
          <w:szCs w:val="28"/>
          <w:rtl w:val="true"/>
          <w:lang w:bidi="ar-SA"/>
        </w:rPr>
        <w:t xml:space="preserve">وروايتي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r>
        <w:rPr>
          <w:rStyle w:val="FootnoteAnchor"/>
          <w:rtl w:val="true"/>
        </w:rPr>
        <w:footnoteReference w:id="1103"/>
      </w:r>
      <w:r>
        <w:rPr>
          <w:rFonts w:ascii="Amiri" w:hAnsi="Amiri" w:eastAsia="Amiri" w:cs="Amiri"/>
          <w:color w:val="111111"/>
          <w:sz w:val="28"/>
          <w:sz w:val="28"/>
          <w:szCs w:val="28"/>
          <w:rtl w:val="true"/>
          <w:lang w:bidi="ar-SA"/>
        </w:rPr>
        <w:t>وصحيحة يونس بن يعقوب</w:t>
      </w:r>
      <w:r>
        <w:rPr>
          <w:rStyle w:val="FootnoteAnchor"/>
          <w:rtl w:val="true"/>
        </w:rPr>
        <w:footnoteReference w:id="1104"/>
      </w:r>
      <w:r>
        <w:rPr>
          <w:rFonts w:ascii="Amiri" w:hAnsi="Amiri" w:eastAsia="Amiri" w:cs="Amiri"/>
          <w:color w:val="111111"/>
          <w:sz w:val="28"/>
          <w:sz w:val="28"/>
          <w:szCs w:val="28"/>
          <w:rtl w:val="true"/>
          <w:lang w:bidi="ar-SA"/>
        </w:rPr>
        <w:t xml:space="preserve">وما ورد من أنّ فيها الغسل عند كلّ صلاة مطلقاً </w:t>
      </w:r>
      <w:r>
        <w:rPr>
          <w:rStyle w:val="FootnoteAnchor"/>
          <w:rtl w:val="true"/>
        </w:rPr>
        <w:footnoteReference w:id="1105"/>
      </w:r>
      <w:r>
        <w:rPr>
          <w:rFonts w:ascii="Amiri" w:hAnsi="Amiri" w:eastAsia="Amiri" w:cs="Amiri"/>
          <w:color w:val="111111"/>
          <w:sz w:val="28"/>
          <w:sz w:val="28"/>
          <w:szCs w:val="28"/>
          <w:rtl w:val="true"/>
          <w:lang w:bidi="ar-SA"/>
        </w:rPr>
        <w:t xml:space="preserve">، فتحمل الروايات الاُولى على القليلة ، بل في بعضها إشعار بقلّة الدم والثانية على الكثيرة </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فتثليث الأقسام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إشكال فيه </w:t>
      </w:r>
      <w:r>
        <w:rPr>
          <w:rFonts w:eastAsia="Amiri" w:cs="Amiri" w:ascii="Amiri" w:hAnsi="Amiri"/>
          <w:color w:val="111111"/>
          <w:sz w:val="28"/>
          <w:szCs w:val="28"/>
          <w:rtl w:val="true"/>
          <w:lang w:bidi="ar-SA"/>
        </w:rPr>
        <w:t xml:space="preserve">. </w:t>
      </w:r>
      <w:bookmarkStart w:id="671" w:name="pg15019_190958"/>
    </w:p>
    <w:p>
      <w:pPr>
        <w:pStyle w:val="Heading6"/>
        <w:numPr>
          <w:ilvl w:val="5"/>
          <w:numId w:val="1"/>
        </w:numPr>
        <w:rPr/>
      </w:pPr>
      <w:bookmarkStart w:id="672" w:name="__RefHeading___Toc686652_3406789950"/>
      <w:bookmarkStart w:id="673" w:name="_Toc244"/>
      <w:bookmarkEnd w:id="671"/>
      <w:bookmarkEnd w:id="672"/>
      <w:r>
        <w:rPr>
          <w:rtl w:val="true"/>
        </w:rPr>
        <w:t>ضابطة الاستحاضة الكثيرة والمتوسّطة والقليلة</w:t>
      </w:r>
      <w:bookmarkEnd w:id="673"/>
    </w:p>
    <w:p>
      <w:pPr>
        <w:pStyle w:val="BookText"/>
        <w:rPr/>
      </w:pPr>
      <w:r>
        <w:rPr>
          <w:rFonts w:ascii="Amiri" w:hAnsi="Amiri" w:eastAsia="Amiri" w:cs="Amiri"/>
          <w:color w:val="111111"/>
          <w:sz w:val="28"/>
          <w:sz w:val="28"/>
          <w:szCs w:val="28"/>
          <w:rtl w:val="true"/>
          <w:lang w:bidi="ar-SA"/>
        </w:rPr>
        <w:t>ثمّ إنّ عبارات الأصحاب مختلفة في ضابطة الأقسام ؛ فعن جملة منهم التعبير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الثاقب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القليلة ، 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الثاقب غير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المتوسّطة ، 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الكثيرة</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جملةٍ التعبير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الراشح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الراشح غير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السائل</w:t>
      </w:r>
      <w:r>
        <w:rPr>
          <w:rFonts w:eastAsia="Amiri" w:cs="Amiri" w:ascii="Amiri" w:hAnsi="Amiri"/>
          <w:color w:val="111111"/>
          <w:sz w:val="28"/>
          <w:szCs w:val="28"/>
          <w:rtl w:val="true"/>
          <w:lang w:bidi="ar-SA"/>
        </w:rPr>
        <w:t>»</w:t>
      </w:r>
      <w:r>
        <w:rPr>
          <w:rStyle w:val="FootnoteAnchor"/>
          <w:rtl w:val="true"/>
        </w:rPr>
        <w:footnoteReference w:id="1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بعضهم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الظاهر على الكرسف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عليه غير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السائل</w:t>
      </w:r>
      <w:r>
        <w:rPr>
          <w:rFonts w:eastAsia="Amiri" w:cs="Amiri" w:ascii="Amiri" w:hAnsi="Amiri"/>
          <w:color w:val="111111"/>
          <w:sz w:val="28"/>
          <w:szCs w:val="28"/>
          <w:rtl w:val="true"/>
          <w:lang w:bidi="ar-SA"/>
        </w:rPr>
        <w:t>»</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جملة من كتب العلاّمة التعبير عنها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غمس القطنة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غمسها من غير 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السيل</w:t>
      </w:r>
      <w:r>
        <w:rPr>
          <w:rFonts w:eastAsia="Amiri" w:cs="Amiri" w:ascii="Amiri" w:hAnsi="Amiri"/>
          <w:color w:val="111111"/>
          <w:sz w:val="28"/>
          <w:szCs w:val="28"/>
          <w:rtl w:val="true"/>
          <w:lang w:bidi="ar-SA"/>
        </w:rPr>
        <w:t>»</w:t>
      </w:r>
      <w:r>
        <w:rPr>
          <w:rStyle w:val="FootnoteAnchor"/>
          <w:rtl w:val="true"/>
        </w:rPr>
        <w:footnoteReference w:id="1109"/>
      </w:r>
      <w:r>
        <w:rPr>
          <w:rFonts w:ascii="Amiri" w:hAnsi="Amiri" w:eastAsia="Amiri" w:cs="Amiri"/>
          <w:color w:val="111111"/>
          <w:sz w:val="28"/>
          <w:sz w:val="28"/>
          <w:szCs w:val="28"/>
          <w:rtl w:val="true"/>
          <w:lang w:bidi="ar-SA"/>
        </w:rPr>
        <w:t>وبعضهم حمل سائر العبارات على ما يوافق عبارات العلاّمة</w:t>
      </w:r>
      <w:r>
        <w:rPr>
          <w:rStyle w:val="FootnoteAnchor"/>
          <w:rtl w:val="true"/>
        </w:rPr>
        <w:footnoteReference w:id="1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عكس الأمر</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لا</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لإرجاع عبارات القوم إلى فتوى العلاّمة ، ولا يمكن إرجاع بعض عباراته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عبارات القوم ؛ فإنّ قوله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ظهر على القطنة ولم يغمسها وجب عليها تجديد الوضوء </w:t>
      </w:r>
      <w:r>
        <w:rPr>
          <w:rFonts w:eastAsia="Amiri" w:cs="Amiri" w:ascii="Amiri" w:hAnsi="Amiri"/>
          <w:color w:val="111111"/>
          <w:sz w:val="28"/>
          <w:szCs w:val="28"/>
          <w:rtl w:val="true"/>
          <w:lang w:bidi="ar-SA"/>
        </w:rPr>
        <w:t>. . .»</w:t>
      </w:r>
      <w:r>
        <w:rPr>
          <w:rStyle w:val="FootnoteAnchor"/>
          <w:rtl w:val="true"/>
        </w:rPr>
        <w:footnoteReference w:id="1112"/>
      </w:r>
      <w:r>
        <w:rPr>
          <w:rFonts w:ascii="Amiri" w:hAnsi="Amiri" w:eastAsia="Amiri" w:cs="Amiri"/>
          <w:color w:val="111111"/>
          <w:sz w:val="28"/>
          <w:sz w:val="28"/>
          <w:szCs w:val="28"/>
          <w:rtl w:val="true"/>
          <w:lang w:bidi="ar-SA"/>
        </w:rPr>
        <w:t xml:space="preserve">إلى آخره ،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نصّاً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الثقب والظهور على الكرسف ، لا يخرج الدم عن </w:t>
      </w:r>
    </w:p>
    <w:p>
      <w:pPr>
        <w:pStyle w:val="BookText"/>
        <w:rPr/>
      </w:pPr>
      <w:r>
        <w:rPr>
          <w:rFonts w:ascii="Amiri" w:hAnsi="Amiri" w:eastAsia="Amiri" w:cs="Amiri"/>
          <w:color w:val="111111"/>
          <w:sz w:val="28"/>
          <w:sz w:val="28"/>
          <w:szCs w:val="28"/>
          <w:rtl w:val="true"/>
          <w:lang w:bidi="ar-SA"/>
        </w:rPr>
        <w:t xml:space="preserve">القلّة ما لم يغمس القطنة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فالمتّبع هو الأدلّة ، وقد وردت فيها عناوين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الظهور على القطنة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أعمّ ظاهراً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إشكال في كون المراد من العناوين شيئاً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الثاقب النافذ والظاهر على القطنة ؛ سواء غمسها أو لا ، فلو نفذ من القطنة ولم يغمسها كانت الاستحاضة متوسّطة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الدم بنفسه لا يكون بمقتضى العادة ثاقباً إلاّ بعد إحاطته بأطراف القطنة الملاصقة للباطن فينفذ فيها شيئاً فشيئاً إلى أن ترتوي القطنة ، فيظهر الدم على الجانب الآخر الملاصق للخرقة ، فيكون الثقب ملازماً للغمس</w:t>
      </w:r>
      <w:r>
        <w:rPr>
          <w:rFonts w:eastAsia="Amiri" w:cs="Amiri" w:ascii="Amiri" w:hAnsi="Amiri"/>
          <w:color w:val="111111"/>
          <w:sz w:val="28"/>
          <w:szCs w:val="28"/>
          <w:rtl w:val="true"/>
          <w:lang w:bidi="ar-SA"/>
        </w:rPr>
        <w:t>»</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فيه ما لا يخفى ؛ ضرورة أنّ القطنة الموضوعة على المحلّ ، تكون نقطتها المحاذية لمخرج الدم ، أسرعَ انفعالاً من سائر أطرافها ، ويكون الدم بمقتضى طبعه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 المحلّ ممّا تكون فيه حرارة الدم محفوظة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نافذاً في وسط القطنة ، وثاقباً لقطرها قبل غمسها وارتوائها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وتوصيف دم الاستحاضة بالبرودة ، إنّما هو في مقابل الحرقة والحرارة القويّة في دم الحيض ، وإلاّ فلا شبهة في عدم كونه كالماء البارد ؛ حتّى لا يكون نافذاً في مثل القطنة </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فملاك القلّة عدمُ الثقب النافذ ، والتوسّطِ الثقبُ النافذ غير السائل ، والكثرةِ الثاقبُ السائل </w:t>
      </w:r>
      <w:r>
        <w:rPr>
          <w:rFonts w:eastAsia="Amiri" w:cs="Amiri" w:ascii="Amiri" w:hAnsi="Amiri"/>
          <w:color w:val="111111"/>
          <w:sz w:val="28"/>
          <w:szCs w:val="28"/>
          <w:rtl w:val="true"/>
          <w:lang w:bidi="ar-SA"/>
        </w:rPr>
        <w:t xml:space="preserve">. </w:t>
      </w:r>
      <w:bookmarkStart w:id="674" w:name="pg15019_190960"/>
    </w:p>
    <w:p>
      <w:pPr>
        <w:pStyle w:val="Heading5"/>
        <w:numPr>
          <w:ilvl w:val="4"/>
          <w:numId w:val="1"/>
        </w:numPr>
        <w:rPr/>
      </w:pPr>
      <w:bookmarkStart w:id="675" w:name="__RefHeading___Toc686654_3406789950"/>
      <w:bookmarkStart w:id="676" w:name="_Toc245"/>
      <w:bookmarkEnd w:id="674"/>
      <w:bookmarkEnd w:id="675"/>
      <w:r>
        <w:rPr>
          <w:rtl w:val="true"/>
        </w:rPr>
        <w:t>المطلب الثالث</w:t>
      </w:r>
      <w:r>
        <w:rPr>
          <w:rtl w:val="true"/>
        </w:rPr>
        <w:t xml:space="preserve">: </w:t>
      </w:r>
      <w:r>
        <w:rPr>
          <w:rtl w:val="true"/>
        </w:rPr>
        <w:t>في بيان أحكام الأقسام الثلاثة</w:t>
      </w:r>
      <w:bookmarkEnd w:id="676"/>
    </w:p>
    <w:p>
      <w:pPr>
        <w:pStyle w:val="Heading6"/>
        <w:numPr>
          <w:ilvl w:val="5"/>
          <w:numId w:val="1"/>
        </w:numPr>
        <w:rPr/>
      </w:pPr>
      <w:bookmarkStart w:id="677" w:name="__RefHeading___Toc686656_3406789950"/>
      <w:bookmarkStart w:id="678" w:name="_Toc246"/>
      <w:bookmarkEnd w:id="677"/>
      <w:r>
        <w:rPr>
          <w:rtl w:val="true"/>
        </w:rPr>
        <w:t>حكم الاستحاضة القليلة</w:t>
      </w:r>
      <w:bookmarkEnd w:id="678"/>
    </w:p>
    <w:p>
      <w:pPr>
        <w:pStyle w:val="BookText"/>
        <w:rPr/>
      </w:pPr>
      <w:r>
        <w:rPr>
          <w:rFonts w:ascii="Amiri" w:hAnsi="Amiri" w:eastAsia="Amiri" w:cs="Amiri"/>
          <w:color w:val="111111"/>
          <w:sz w:val="28"/>
          <w:sz w:val="28"/>
          <w:szCs w:val="28"/>
          <w:rtl w:val="true"/>
          <w:lang w:bidi="ar-SA"/>
        </w:rPr>
        <w:t xml:space="preserve">أمّا القسم الأوّل ؛ أي القليلة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فحكمه تغيير القطنة ، وتجديد الوضوء عند كلّ 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تغيير القطنة</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فإجماعاً كما 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Style w:val="FootnoteAnchor"/>
          <w:rtl w:val="true"/>
        </w:rPr>
        <w:footnoteReference w:id="1114"/>
      </w:r>
      <w:r>
        <w:rPr>
          <w:rFonts w:ascii="Amiri" w:hAnsi="Amiri" w:eastAsia="Amiri" w:cs="Amiri"/>
          <w:color w:val="111111"/>
          <w:sz w:val="28"/>
          <w:sz w:val="28"/>
          <w:szCs w:val="28"/>
          <w:rtl w:val="true"/>
          <w:lang w:bidi="ar-SA"/>
        </w:rPr>
        <w:t xml:space="preserve">، وهو مذهب علمائنا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115"/>
      </w:r>
      <w:r>
        <w:rPr>
          <w:rFonts w:ascii="Amiri" w:hAnsi="Amiri" w:eastAsia="Amiri" w:cs="Amiri"/>
          <w:color w:val="111111"/>
          <w:sz w:val="28"/>
          <w:sz w:val="28"/>
          <w:szCs w:val="28"/>
          <w:rtl w:val="true"/>
          <w:lang w:bidi="ar-SA"/>
        </w:rPr>
        <w:t xml:space="preserve">، ولا خلاف فيه عندنا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116"/>
      </w:r>
      <w:r>
        <w:rPr>
          <w:rFonts w:ascii="Amiri" w:hAnsi="Amiri" w:eastAsia="Amiri" w:cs="Amiri"/>
          <w:color w:val="111111"/>
          <w:sz w:val="28"/>
          <w:sz w:val="28"/>
          <w:szCs w:val="28"/>
          <w:rtl w:val="true"/>
          <w:lang w:bidi="ar-SA"/>
        </w:rPr>
        <w:t xml:space="preserve">، وهو المشهور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الالتباس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1117"/>
      </w:r>
      <w:r>
        <w:rPr>
          <w:rFonts w:ascii="Amiri" w:hAnsi="Amiri" w:eastAsia="Amiri" w:cs="Amiri"/>
          <w:color w:val="111111"/>
          <w:sz w:val="28"/>
          <w:sz w:val="28"/>
          <w:szCs w:val="28"/>
          <w:rtl w:val="true"/>
          <w:lang w:bidi="ar-SA"/>
        </w:rPr>
        <w:t xml:space="preserve">، وبه قطع أكثر الأصحاب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التأمّل في الإجماع</w:t>
      </w:r>
      <w:r>
        <w:rPr>
          <w:rStyle w:val="FootnoteAnchor"/>
          <w:rtl w:val="true"/>
        </w:rPr>
        <w:footnoteReference w:id="1119"/>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 نّه لم يذكره الصدوقان ولا القاضي</w:t>
      </w:r>
      <w:r>
        <w:rPr>
          <w:rFonts w:eastAsia="Amiri" w:cs="Amiri" w:ascii="Amiri" w:hAnsi="Amiri"/>
          <w:color w:val="111111"/>
          <w:sz w:val="28"/>
          <w:szCs w:val="28"/>
          <w:rtl w:val="true"/>
          <w:lang w:bidi="ar-SA"/>
        </w:rPr>
        <w:t>»</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لزوم التغيير مشهور نقلاً وتحصيلاً ، ونَقل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البرهان</w:t>
      </w:r>
      <w:r>
        <w:rPr>
          <w:rFonts w:eastAsia="Amiri" w:cs="Amiri" w:ascii="Amiri" w:hAnsi="Amiri"/>
          <w:color w:val="111111"/>
          <w:sz w:val="28"/>
          <w:szCs w:val="28"/>
          <w:rtl w:val="true"/>
          <w:lang w:bidi="ar-SA"/>
        </w:rPr>
        <w:t>»</w:t>
      </w:r>
      <w:r>
        <w:rPr>
          <w:rStyle w:val="FootnoteAnchor"/>
          <w:rtl w:val="true"/>
        </w:rPr>
        <w:footnoteReference w:id="1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لزومه كأ نّه إجماعي</w:t>
      </w:r>
      <w:r>
        <w:rPr>
          <w:rFonts w:eastAsia="Amiri" w:cs="Amiri" w:ascii="Amiri" w:hAnsi="Amiri"/>
          <w:color w:val="111111"/>
          <w:sz w:val="28"/>
          <w:szCs w:val="28"/>
          <w:rtl w:val="true"/>
          <w:lang w:bidi="ar-SA"/>
        </w:rPr>
        <w:t>»</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والعمدة في المقام هي هذه الشهرة المسلّمة ، مع كون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بظاهرها أو إطلاقها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عدم لزوم التغيير ، وهما بمثابة لا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الشهرة</w:t>
      </w:r>
    </w:p>
    <w:p>
      <w:pPr>
        <w:pStyle w:val="BookText"/>
        <w:rPr/>
      </w:pPr>
      <w:r>
        <w:rPr>
          <w:rFonts w:ascii="Amiri" w:hAnsi="Amiri" w:eastAsia="Amiri" w:cs="Amiri"/>
          <w:color w:val="111111"/>
          <w:sz w:val="28"/>
          <w:sz w:val="28"/>
          <w:szCs w:val="28"/>
          <w:rtl w:val="true"/>
          <w:lang w:bidi="ar-SA"/>
        </w:rPr>
        <w:t xml:space="preserve">لعلّها لتخلّل الاجتهاد ، أو لتحكيم 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ونفي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 على إلحاق دم الاستحاضة بالحيض في عدم العفو</w:t>
      </w:r>
      <w:r>
        <w:rPr>
          <w:rStyle w:val="FootnoteAnchor"/>
          <w:rtl w:val="true"/>
        </w:rPr>
        <w:footnoteReference w:id="1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الأدلّة ، أو تحكيم ما دلّ في الكثيرة والمتوسّطة على لزوم التغيير</w:t>
      </w:r>
      <w:r>
        <w:rPr>
          <w:rStyle w:val="FootnoteAnchor"/>
          <w:rtl w:val="true"/>
        </w:rPr>
        <w:footnoteReference w:id="1124"/>
      </w:r>
      <w:r>
        <w:rPr>
          <w:rFonts w:ascii="Amiri" w:hAnsi="Amiri" w:eastAsia="Amiri" w:cs="Amiri"/>
          <w:color w:val="111111"/>
          <w:sz w:val="28"/>
          <w:sz w:val="28"/>
          <w:szCs w:val="28"/>
          <w:rtl w:val="true"/>
          <w:lang w:bidi="ar-SA"/>
        </w:rPr>
        <w:t xml:space="preserve">، مع عدم تعقّل الفرق ، أو عدم القائل به ، أو تحكيم الإجماع المركّب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125"/>
      </w:r>
      <w:r>
        <w:rPr>
          <w:rFonts w:ascii="Amiri" w:hAnsi="Amiri" w:eastAsia="Amiri" w:cs="Amiri"/>
          <w:color w:val="111111"/>
          <w:sz w:val="28"/>
          <w:sz w:val="28"/>
          <w:szCs w:val="28"/>
          <w:rtl w:val="true"/>
          <w:lang w:bidi="ar-SA"/>
        </w:rPr>
        <w:t xml:space="preserve">على هذه الأدلّة ؛ فإنّ تلك الأدلّة ظاهرة الدلالة في عدم لزوم التبديل </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ففي صحيحة الحلبي عن أبي جعفر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رسول اللّه صلی الله علیه و آله وسلم عن </w:t>
      </w:r>
    </w:p>
    <w:p>
      <w:pPr>
        <w:pStyle w:val="BookText"/>
        <w:rPr/>
      </w:pPr>
      <w:r>
        <w:rPr>
          <w:rFonts w:ascii="Amiri" w:hAnsi="Amiri" w:eastAsia="Amiri" w:cs="Amiri"/>
          <w:color w:val="111111"/>
          <w:sz w:val="28"/>
          <w:sz w:val="28"/>
          <w:szCs w:val="28"/>
          <w:rtl w:val="true"/>
          <w:lang w:bidi="ar-SA"/>
        </w:rPr>
        <w:t>المرأة تستحاض ، فأمرها أن تمكث أيّام حيضها ؛ لا تصلّي فيها ، ثمّ تغتسل وتستدخل قطنة وتستثفر بثوب ، ثمّ تصلّي حتّى يخرج الدم من وراء الثوب</w:t>
      </w:r>
      <w:r>
        <w:rPr>
          <w:rFonts w:eastAsia="Amiri" w:cs="Amiri" w:ascii="Amiri" w:hAnsi="Amiri"/>
          <w:color w:val="111111"/>
          <w:sz w:val="28"/>
          <w:szCs w:val="28"/>
          <w:rtl w:val="true"/>
          <w:lang w:bidi="ar-SA"/>
        </w:rPr>
        <w:t>»</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صحيحة زرارة عن أبي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انقطع الدم ، وإلاّ اغتسلت واحتشت واستثفرت وصلّت ، فإن جاز الدم الكُرْسُف تعصّبت واغتسلت</w:t>
      </w:r>
      <w:r>
        <w:rPr>
          <w:rFonts w:eastAsia="IRNazanin" w:cs="IRNazanin"/>
          <w:color w:val="111111"/>
          <w:sz w:val="28"/>
          <w:szCs w:val="28"/>
          <w:rtl w:val="true"/>
          <w:lang w:bidi="fa-IR"/>
        </w:rPr>
        <w:t>»</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صحيحة الصحّاف عن أبي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لم ينقطع الدم عنها إلاّ بعد ما تمضي الأيّام التي كانت ترى الدم فيها بيوم أو يومين فلتغتسل ، ثمّ تحتشي وتستذفر ، وتصلّي الظهر والعصر ، ثمّ لتنظر ؛ فإن كان الدم فيما بينها وبين المغرب لا يسيل من خلف الكرسف ، فلتتوضّأ ولتصلِّ عند وقت كلّ صلاة ما لم تطرح الكرسف عنها</w:t>
      </w:r>
      <w:r>
        <w:rPr>
          <w:rFonts w:eastAsia="IRNazanin" w:cs="IRNazanin"/>
          <w:color w:val="111111"/>
          <w:sz w:val="28"/>
          <w:szCs w:val="28"/>
          <w:rtl w:val="true"/>
          <w:lang w:bidi="fa-IR"/>
        </w:rPr>
        <w:t>»</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موثّقة عبد الرحمان عن أبي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كان فيه خلاف فلتحتط بيوم أو يومين ، ولتغتسل ولتستدخل كرسفاً ، فإن ظهر على الكرسف فلتغتسل ، ثمّ تضع كرسفاً آخر</w:t>
      </w:r>
      <w:r>
        <w:rPr>
          <w:rFonts w:eastAsia="IRNazanin" w:cs="IRNazanin"/>
          <w:color w:val="111111"/>
          <w:sz w:val="28"/>
          <w:szCs w:val="28"/>
          <w:rtl w:val="true"/>
          <w:lang w:bidi="fa-IR"/>
        </w:rPr>
        <w:t>»</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وفي موثّقة زرارة عن أبي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هي مستحاضة ؛ فلتغتسل وتستوثق من نفسها ، وتصلّي كلّ صلاة بوضوء ما لم ينفذ الدم</w:t>
      </w:r>
      <w:r>
        <w:rPr>
          <w:rFonts w:eastAsia="IRNazanin" w:cs="IRNazanin"/>
          <w:color w:val="111111"/>
          <w:sz w:val="28"/>
          <w:szCs w:val="28"/>
          <w:rtl w:val="true"/>
          <w:lang w:bidi="fa-IR"/>
        </w:rPr>
        <w:t>»</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رواية الجُعْفي عن أبي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لم تر طهراً اغتسلت واحتشت ، ولا تزال تصلّي بذلك الغسل حتّى يظهر الدم على الكرسف ، فإذا ظهر أعادت الغسل وأعادت الكرسف</w:t>
      </w:r>
      <w:r>
        <w:rPr>
          <w:rFonts w:eastAsia="IRNazanin" w:cs="IRNazanin"/>
          <w:color w:val="111111"/>
          <w:sz w:val="28"/>
          <w:szCs w:val="28"/>
          <w:rtl w:val="true"/>
          <w:lang w:bidi="fa-IR"/>
        </w:rPr>
        <w:t>»</w:t>
      </w:r>
      <w:r>
        <w:rPr>
          <w:rStyle w:val="FootnoteAnchor"/>
          <w:rtl w:val="true"/>
        </w:rPr>
        <w:footnoteReference w:id="1131"/>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غير ذلك من الروايات التي لا مجال للشبهة</w:t>
      </w:r>
    </w:p>
    <w:p>
      <w:pPr>
        <w:pStyle w:val="BookText"/>
        <w:rPr/>
      </w:pPr>
      <w:r>
        <w:rPr>
          <w:rFonts w:ascii="Amiri" w:hAnsi="Amiri" w:eastAsia="Amiri" w:cs="Amiri"/>
          <w:color w:val="111111"/>
          <w:sz w:val="28"/>
          <w:sz w:val="28"/>
          <w:szCs w:val="28"/>
          <w:rtl w:val="true"/>
          <w:lang w:bidi="ar-SA"/>
        </w:rPr>
        <w:t xml:space="preserve">فيها وفي دلالتها ؛ حتّى يتوهّم تخلّل الاجتهاد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 نّه لا وجه لتخيّل تحكيم 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التحكيم المذكور بعده على تلك الأدلّة ؛ ضرورة أنّ 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فرض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إطلاق فيه بالنسبة إلى البواطن ، بل العفو عنها ممّا لا إشكال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دعوى عدم تعقّل الفرق بين القليلة وغيرها ، في محلّ المنع بعد اختلاف أحكام الثلاثة ، وعدم طريق للعقول إلى الواقع في التعبّديات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في دلالة الخبرين في موردهما إشكالاً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رفع اليد عن الشهرة الثابتة والإجماع المحكيّ لأجل تلك الأدلّة المعرض عنها مع كونها بمنظر منهم ، فالأحوط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تغيير الكرسف </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الخرقة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تلوّثها يجب تبديلها مطلقاً ؛ إن قلنا بعدم العفو في دم </w:t>
      </w:r>
    </w:p>
    <w:p>
      <w:pPr>
        <w:pStyle w:val="BookText"/>
        <w:rPr/>
      </w:pPr>
      <w:r>
        <w:rPr>
          <w:rFonts w:ascii="Amiri" w:hAnsi="Amiri" w:eastAsia="Amiri" w:cs="Amiri"/>
          <w:color w:val="111111"/>
          <w:sz w:val="28"/>
          <w:sz w:val="28"/>
          <w:szCs w:val="28"/>
          <w:rtl w:val="true"/>
          <w:lang w:bidi="ar-SA"/>
        </w:rPr>
        <w:t xml:space="preserve">الاستحاضة ، وإلاّ ففي المقدار الغير المعفوّ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إمكان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الشهرة على وجوب التبديل في القطنة ، تدلّ على مانعية دم الاستحاضة ولو كان قليلاً ، ومنه يظهر مانعيته إذا كان في الخرقة ، بل مانعيته فيها 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الحال في ظاهر الفرج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يبدو منه عند الجلوس على القدمين</w:t>
      </w:r>
      <w:r>
        <w:rPr>
          <w:rFonts w:eastAsia="Amiri" w:cs="Amiri" w:ascii="Amiri" w:hAnsi="Amiri"/>
          <w:color w:val="111111"/>
          <w:sz w:val="28"/>
          <w:szCs w:val="28"/>
          <w:rtl w:val="true"/>
          <w:lang w:bidi="ar-SA"/>
        </w:rPr>
        <w:t>»</w:t>
      </w:r>
      <w:r>
        <w:rPr>
          <w:rStyle w:val="FootnoteAnchor"/>
          <w:rtl w:val="true"/>
        </w:rPr>
        <w:footnoteReference w:id="1132"/>
      </w:r>
      <w:r>
        <w:rPr>
          <w:rFonts w:ascii="IRNazanin" w:hAnsi="IRNazanin" w:eastAsia="IRNazanin"/>
          <w:color w:val="111111"/>
          <w:sz w:val="28"/>
          <w:sz w:val="28"/>
          <w:szCs w:val="28"/>
          <w:rtl w:val="true"/>
          <w:lang w:bidi="fa-IR"/>
        </w:rPr>
        <w:t xml:space="preserve">وهو الأحوط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تجديد الوضوء</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تجديد الوضوء لكلّ صلاة ، فهو إجماعي في الجملة ، كما عن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133"/>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 نّه مذهب علمائنا</w:t>
      </w:r>
      <w:r>
        <w:rPr>
          <w:rFonts w:eastAsia="Amiri" w:cs="Amiri" w:ascii="Amiri" w:hAnsi="Amiri"/>
          <w:color w:val="111111"/>
          <w:sz w:val="28"/>
          <w:szCs w:val="28"/>
          <w:rtl w:val="true"/>
          <w:lang w:bidi="ar-SA"/>
        </w:rPr>
        <w:t>»</w:t>
      </w:r>
      <w:r>
        <w:rPr>
          <w:rStyle w:val="FootnoteAnchor"/>
          <w:rtl w:val="true"/>
        </w:rPr>
        <w:footnoteReference w:id="1134"/>
      </w:r>
      <w:r>
        <w:rPr>
          <w:rFonts w:ascii="Amiri" w:hAnsi="Amiri" w:eastAsia="Amiri" w:cs="Amiri"/>
          <w:color w:val="111111"/>
          <w:sz w:val="28"/>
          <w:sz w:val="28"/>
          <w:szCs w:val="28"/>
          <w:rtl w:val="true"/>
          <w:lang w:bidi="ar-SA"/>
        </w:rPr>
        <w:t>، وهو المشهور ، كما عن جملة من الأعلام</w:t>
      </w:r>
      <w:r>
        <w:rPr>
          <w:rStyle w:val="FootnoteAnchor"/>
          <w:rtl w:val="true"/>
        </w:rPr>
        <w:footnoteReference w:id="1135"/>
      </w:r>
      <w:r>
        <w:rPr>
          <w:rFonts w:ascii="Amiri" w:hAnsi="Amiri" w:eastAsia="Amiri" w:cs="Amiri"/>
          <w:color w:val="111111"/>
          <w:sz w:val="28"/>
          <w:sz w:val="28"/>
          <w:szCs w:val="28"/>
          <w:rtl w:val="true"/>
          <w:lang w:bidi="ar-SA"/>
        </w:rPr>
        <w:t xml:space="preserve">، وهو مذهب الخمسة وأتباعهم ،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للمحكيّ عن ابن عقيل فلم يوجب في القليلة غسلاً ولا وضوءاً </w:t>
      </w:r>
      <w:r>
        <w:rPr>
          <w:rStyle w:val="FootnoteAnchor"/>
          <w:rtl w:val="true"/>
        </w:rPr>
        <w:footnoteReference w:id="113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وللمحكيّ عن ابن الجنيد فأوجب فيها غسلاً واحداً في كلّ يوم وليلة</w:t>
      </w:r>
      <w:r>
        <w:rPr>
          <w:rStyle w:val="FootnoteAnchor"/>
          <w:rtl w:val="true"/>
        </w:rPr>
        <w:footnoteReference w:id="1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نقل ذهاب المحقّق الخراساني أيضاً إلى إيجاب الغسلِ الواحد عليها ، والوضوء لكلّ صلاة</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والأقوى ما عليه المشهور ، ويدلّ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ما تقدّم من عدم نقل خلاف إلاّ ممّن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معاوية عن أبي عبداللّه علیه السلام وفيها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كان الدم لا يثقب الكرسف توضّأت ودخلت المسجد، وصلّت كلّ صلاة بوضوء</w:t>
      </w:r>
      <w:r>
        <w:rPr>
          <w:rFonts w:eastAsia="IRNazanin" w:cs="IRNazanin"/>
          <w:color w:val="111111"/>
          <w:sz w:val="28"/>
          <w:szCs w:val="28"/>
          <w:rtl w:val="true"/>
          <w:lang w:bidi="fa-IR"/>
        </w:rPr>
        <w:t>»</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في مقابل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أوجب الغسل عليها إذا ثقبه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كالصريح في عدم وجوب الغسل عليها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وأوضح منها موثّقة زرارة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الطامث تقعد بعدد أيّامها ، كيف تصنع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تستظهر بيوم أو يومين ، ثمّ هي مستحاضة ؛ فلتغتسل وتستوثق من نفسها ، وتصلّي كلّ صلاة بوضوء ما لم ينفذ الدم ، فإذا نفذ اغتسلت وصلّت</w:t>
      </w:r>
      <w:r>
        <w:rPr>
          <w:rFonts w:eastAsia="IRNazanin" w:cs="IRNazanin"/>
          <w:color w:val="111111"/>
          <w:sz w:val="28"/>
          <w:szCs w:val="28"/>
          <w:rtl w:val="true"/>
          <w:lang w:bidi="fa-IR"/>
        </w:rPr>
        <w:t>»</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إشكال في ظهورهما في المقصود ، ومعهما لا مجال للتمسّك بإطلاق بعض الأدلّة ، أو عدم ذكر الوضوء في آخر ، مثل صحيحة صفوان عن أبي الحسن علیه السلام وفيها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 هذه مستحاضة ؛ تغتسل وتستدخل قطنة بعد </w:t>
      </w:r>
    </w:p>
    <w:p>
      <w:pPr>
        <w:pStyle w:val="BookText"/>
        <w:rPr/>
      </w:pPr>
      <w:r>
        <w:rPr>
          <w:rFonts w:ascii="Amiri" w:hAnsi="Amiri" w:eastAsia="Amiri" w:cs="Amiri"/>
          <w:color w:val="111111"/>
          <w:sz w:val="28"/>
          <w:sz w:val="28"/>
          <w:szCs w:val="28"/>
          <w:rtl w:val="true"/>
          <w:lang w:bidi="ar-SA"/>
        </w:rPr>
        <w:t>قطنة ، وتجمع بين صلاتين بغسل</w:t>
      </w:r>
      <w:r>
        <w:rPr>
          <w:rFonts w:eastAsia="Amiri" w:cs="Amiri" w:ascii="Amiri" w:hAnsi="Amiri"/>
          <w:color w:val="111111"/>
          <w:sz w:val="28"/>
          <w:szCs w:val="28"/>
          <w:rtl w:val="true"/>
          <w:lang w:bidi="ar-SA"/>
        </w:rPr>
        <w:t>»</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وصحيحة زرارة عن أبي جعفر علیه السلام وفيها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انقطع الدم ، وإلاّ اغتسلت واحتشت واستثفرت وصلّت ، فإن جاز الدم الكرسف تعصّبت واغتسلت</w:t>
      </w:r>
      <w:r>
        <w:rPr>
          <w:rFonts w:eastAsia="IRNazanin" w:cs="IRNazanin"/>
          <w:color w:val="111111"/>
          <w:sz w:val="28"/>
          <w:szCs w:val="28"/>
          <w:rtl w:val="true"/>
          <w:lang w:bidi="fa-IR"/>
        </w:rPr>
        <w:t>»</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وصحيحة الصحّاف</w:t>
      </w:r>
      <w:r>
        <w:rPr>
          <w:rStyle w:val="FootnoteAnchor"/>
          <w:rtl w:val="true"/>
        </w:rPr>
        <w:footnoteReference w:id="1144"/>
      </w:r>
      <w:r>
        <w:rPr>
          <w:rFonts w:ascii="Amiri" w:hAnsi="Amiri" w:eastAsia="Amiri" w:cs="Amiri"/>
          <w:color w:val="111111"/>
          <w:sz w:val="28"/>
          <w:sz w:val="28"/>
          <w:szCs w:val="28"/>
          <w:rtl w:val="true"/>
          <w:lang w:bidi="ar-SA"/>
        </w:rPr>
        <w:t>حيث أمر فيها بالاحتشاء وصلاة الظهر والعصر ، ومع</w:t>
      </w:r>
    </w:p>
    <w:p>
      <w:pPr>
        <w:pStyle w:val="BookText"/>
        <w:rPr/>
      </w:pPr>
      <w:r>
        <w:rPr>
          <w:rFonts w:ascii="Amiri" w:hAnsi="Amiri" w:eastAsia="Amiri" w:cs="Amiri"/>
          <w:color w:val="111111"/>
          <w:sz w:val="28"/>
          <w:sz w:val="28"/>
          <w:szCs w:val="28"/>
          <w:rtl w:val="true"/>
          <w:lang w:bidi="ar-SA"/>
        </w:rPr>
        <w:t xml:space="preserve">عدم السيلان بالوضوء عند وقت كلّ صلاة ، فأوجب الوضوء للصلاتين لا لكلّ صلاة ؛ بمناسبة ذكر الوقت فيها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ممّا يكون الجمع العرفي بينها وبين الروايتين بتقييد إطلاقها ؛ لأنّ السكوت في مقام البيان ، لا يقاوم ما هو ظاهر في وجوب الوضوء لكلّ صلاة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يدلّ على المقصود إطلاق موثّقة سماعة عن أبي عبداللّه علیه السلام وفيها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 الاستحاضة واجب ؛ إذا احتشت بالكرسف وجاز الدم الكرسفَ ، فعليها الغسل لكلّ صلاتين ، وللفجر غسل ، وإن لم يجز الدم الكرسف ، فعليها الغسل كلّ يوم مرّة والوضوء لكلّ صلاة</w:t>
      </w:r>
      <w:r>
        <w:rPr>
          <w:rFonts w:eastAsia="IRNazanin" w:cs="IRNazanin"/>
          <w:color w:val="111111"/>
          <w:sz w:val="28"/>
          <w:szCs w:val="28"/>
          <w:rtl w:val="true"/>
          <w:lang w:bidi="fa-IR"/>
        </w:rPr>
        <w:t>»</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وعدم تجاوز الدم أعمّ من كونه ثاقباً وغيره ، فيقيّد إطلاق وجوب الغسل بما دلّ على عدم وجوبه لغير الثاقب ، ويبقى إطلاق وجوب الوضوء لكلّ صلاة </w:t>
      </w:r>
    </w:p>
    <w:p>
      <w:pPr>
        <w:pStyle w:val="BookText"/>
        <w:rPr/>
      </w:pPr>
      <w:r>
        <w:rPr>
          <w:rFonts w:ascii="Amiri" w:hAnsi="Amiri" w:eastAsia="Amiri" w:cs="Amiri"/>
          <w:color w:val="111111"/>
          <w:sz w:val="28"/>
          <w:sz w:val="28"/>
          <w:szCs w:val="28"/>
          <w:rtl w:val="true"/>
          <w:lang w:bidi="ar-SA"/>
        </w:rPr>
        <w:t xml:space="preserve">للثاقب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الغسل على المستحاضة الوسطى دون الصغرى ، لا يوجب أن يكون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يجز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مختصّاً بالوسطى حتّى في الوضوء ؛ فإنّ تقييد الإطلاق بالنسبة إلى حكم بدليل ، لا يوجب تقييده بالنسبة إلى حكم آخر لم يقم دليل على تقييده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وأولى من ذلك ، الاستدلال عليه بمرسلة يونس الطويلة ، قال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وسئل عن المستحاضة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ذلك عزف عامر أو ركضة من الشيطان ، فلتدع الصلاة أيّام أقرائها ، ثمّ تغتسل وتتوضّأ لكلّ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سال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سال مثل المَثْعَب</w:t>
      </w:r>
      <w:r>
        <w:rPr>
          <w:rFonts w:eastAsia="Amiri" w:cs="Amiri" w:ascii="Amiri" w:hAnsi="Amiri"/>
          <w:color w:val="111111"/>
          <w:sz w:val="28"/>
          <w:szCs w:val="28"/>
          <w:rtl w:val="true"/>
          <w:lang w:bidi="ar-SA"/>
        </w:rPr>
        <w:t>»</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إطلاقها يقتضي وجوب الوضوء لكلّ صلاة ؛ سال الدم أو لا ، كان سيلانه كثيراً مثل المَثْعَب أو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لا يبعد التمسّك بموثّقة سماعة المضمرة ، وفيها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لم يجز الدم الكرسف فعليها الغسل لكلّ يوم مرّة والوضوء لكلّ صلاة ، وإن أراد زوجها أن يأتيها فحين تغتسل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دمها عبيطاً ، وإن كان صفرة فعليها الوضوء</w:t>
      </w:r>
      <w:r>
        <w:rPr>
          <w:rFonts w:eastAsia="Amiri" w:cs="Amiri" w:ascii="Amiri" w:hAnsi="Amiri"/>
          <w:color w:val="111111"/>
          <w:sz w:val="28"/>
          <w:szCs w:val="28"/>
          <w:rtl w:val="true"/>
          <w:lang w:bidi="ar-SA"/>
        </w:rPr>
        <w:t>»</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إمّا بإطلاق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لم يجز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بالتقريب المتقدّم </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بحمل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القليلة ، والوضوء على المعهود في الصدر ؛ أي يكون عليها الوضوء المذكور لزومه لكلّ صلاة ، وليس عليها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bookmarkStart w:id="679" w:name="pg15019_190968"/>
    </w:p>
    <w:p>
      <w:pPr>
        <w:pStyle w:val="BookText"/>
        <w:rPr/>
      </w:pPr>
      <w:bookmarkEnd w:id="679"/>
      <w:r>
        <w:rPr>
          <w:rFonts w:ascii="Amiri" w:hAnsi="Amiri" w:eastAsia="Amiri" w:cs="Amiri"/>
          <w:color w:val="111111"/>
          <w:sz w:val="28"/>
          <w:sz w:val="28"/>
          <w:szCs w:val="28"/>
          <w:rtl w:val="true"/>
          <w:lang w:bidi="ar-SA"/>
        </w:rPr>
        <w:t xml:space="preserve">لا منافاة بين التمسّكين ، كما يظهر بالتأمّل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تلك الروايات يحمل ما ورد في صحيح الصحّاف من إيجاب الوضوء عند وقت كلّ صلاة ، خصوصاً مع تعارف التفريق بين الصلوات في تلك الأزمنة ؛ بحيث كانت الأوقات الخمسة معروفة بين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تحتشي وتصلّي الظهر والعصر ، ثمّ لتنظر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يقاوم ظهور تلك الأدلّة ، خصوصاً مع تذييله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فلتتوضّأ ولتصلِّ عند وقت 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بالتقريب المذكور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الجمع بين الأدلّة وجوب الوضوء لكلّ صلاة في القليلة وعدم الغسل </w:t>
      </w:r>
      <w:r>
        <w:rPr>
          <w:rFonts w:eastAsia="Amiri" w:cs="Amiri" w:ascii="Amiri" w:hAnsi="Amiri"/>
          <w:color w:val="111111"/>
          <w:sz w:val="28"/>
          <w:szCs w:val="28"/>
          <w:rtl w:val="true"/>
          <w:lang w:bidi="ar-SA"/>
        </w:rPr>
        <w:t>.</w:t>
      </w:r>
    </w:p>
    <w:p>
      <w:pPr>
        <w:pStyle w:val="Heading6"/>
        <w:numPr>
          <w:ilvl w:val="5"/>
          <w:numId w:val="1"/>
        </w:numPr>
        <w:rPr/>
      </w:pPr>
      <w:bookmarkStart w:id="680" w:name="__RefHeading___Toc686658_3406789950"/>
      <w:bookmarkStart w:id="681" w:name="_Toc247"/>
      <w:bookmarkEnd w:id="680"/>
      <w:r>
        <w:rPr>
          <w:rtl w:val="true"/>
        </w:rPr>
        <w:t>عدم الفرق بين الفريضة والنافلة في الحكم</w:t>
      </w:r>
      <w:bookmarkEnd w:id="681"/>
    </w:p>
    <w:p>
      <w:pPr>
        <w:pStyle w:val="BookText"/>
        <w:rPr/>
      </w:pPr>
      <w:r>
        <w:rPr>
          <w:rFonts w:ascii="Amiri" w:hAnsi="Amiri" w:eastAsia="Amiri" w:cs="Amiri"/>
          <w:color w:val="111111"/>
          <w:sz w:val="28"/>
          <w:sz w:val="28"/>
          <w:szCs w:val="28"/>
          <w:rtl w:val="true"/>
          <w:lang w:bidi="ar-SA"/>
        </w:rPr>
        <w:t>ثمّ إنّ مقتضى عموم تلك الأدلّة وإطلاقها ، عدم الفرق بين الفريضة والنافلة ؛ كانت النافلة من الرواتب أو لا ، خصوصاً مع تعارف الإتيان بالنوافل في الصدر الأوّل ، بل تعارف إتيان صلاة التحيّة ونحوها ، فحينئذٍ لا وجه لدعوى</w:t>
      </w:r>
      <w:r>
        <w:rPr>
          <w:rStyle w:val="FootnoteAnchor"/>
          <w:rtl w:val="true"/>
        </w:rPr>
        <w:footnoteReference w:id="1148"/>
      </w:r>
      <w:r>
        <w:rPr>
          <w:rFonts w:ascii="Amiri" w:hAnsi="Amiri" w:eastAsia="Amiri" w:cs="Amiri"/>
          <w:color w:val="111111"/>
          <w:sz w:val="28"/>
          <w:sz w:val="28"/>
          <w:szCs w:val="28"/>
          <w:rtl w:val="true"/>
          <w:lang w:bidi="ar-SA"/>
        </w:rPr>
        <w:t xml:space="preserve">انصراف الأدلّة إلى الفرائض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قضيّة حرجية ذلك وبناء الشريعة السهلة على التسامح والتساهل ، فهي غير جارية في النوافل التي لا إلزام في إتيانها ، فإن أرادت الوصول إلى الثواب الجزيل ، تأتي بها مع ما فيها من المشقّة ، فتنال فضيلة أحمز الأعمال </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يمكن الاستدلال على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المتفاهم من الأدلّة حدثية دم </w:t>
      </w:r>
    </w:p>
    <w:p>
      <w:pPr>
        <w:pStyle w:val="BookText"/>
        <w:rPr/>
      </w:pPr>
      <w:r>
        <w:rPr>
          <w:rFonts w:ascii="Amiri" w:hAnsi="Amiri" w:eastAsia="Amiri" w:cs="Amiri"/>
          <w:color w:val="111111"/>
          <w:sz w:val="28"/>
          <w:sz w:val="28"/>
          <w:szCs w:val="28"/>
          <w:rtl w:val="true"/>
          <w:lang w:bidi="ar-SA"/>
        </w:rPr>
        <w:t xml:space="preserve">الاستحاضة في الجملة ، فحينئذٍ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أن يكون حدثاً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اقتضاءً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بأوّل حدوثه دون استمراره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w:t>
      </w:r>
    </w:p>
    <w:p>
      <w:pPr>
        <w:pStyle w:val="BookText"/>
        <w:rPr/>
      </w:pPr>
      <w:r>
        <w:rPr>
          <w:rFonts w:ascii="Amiri" w:hAnsi="Amiri" w:eastAsia="Amiri" w:cs="Amiri"/>
          <w:color w:val="111111"/>
          <w:sz w:val="28"/>
          <w:sz w:val="28"/>
          <w:szCs w:val="28"/>
          <w:rtl w:val="true"/>
          <w:lang w:bidi="ar-SA"/>
        </w:rPr>
        <w:t xml:space="preserve">بوجوده المستمرّ إلى آخره حدثاً ؛ بحيث لا تتحقّق الحدثية إلاّ بعد تمام الاستمرار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حدثاً بحدوثه واستمراره ؛ أي يكون كلّ قطعة وقطرة منه حدثاً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سبيل إلى الأوّلين ؛ ضرورة مخالفتهما لما دلّ على لزوم الوضوء لكلّ صلاة ، كما يظهر بأدنى تأمّل ، فلا محالة يكون حدثاً على النحو الثالث ، فحينئذٍ لا محيص عن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 دلّ على العفو أو سلب الحدثية ، إنّما هو بالنسبة إلى القطرات التي تخرج بعد الوضوء أو بينه إلى آخر الصلاة التي صلّت به ، ولم يثبت العفو عن غيرها ، وكذا سلب الحدثية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 يدفع ما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عدم ثبوت حدثيته</w:t>
      </w:r>
      <w:r>
        <w:rPr>
          <w:rFonts w:eastAsia="Amiri" w:cs="Amiri" w:ascii="Amiri" w:hAnsi="Amiri"/>
          <w:color w:val="111111"/>
          <w:sz w:val="28"/>
          <w:szCs w:val="28"/>
          <w:rtl w:val="true"/>
          <w:lang w:bidi="ar-SA"/>
        </w:rPr>
        <w:t>»</w:t>
      </w:r>
      <w:r>
        <w:rPr>
          <w:rStyle w:val="FootnoteAnchor"/>
          <w:rtl w:val="true"/>
        </w:rPr>
        <w:footnoteReference w:id="114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كون طبيعته حدثاً</w:t>
      </w:r>
      <w:r>
        <w:rPr>
          <w:rFonts w:eastAsia="Amiri" w:cs="Amiri" w:ascii="Amiri" w:hAnsi="Amiri"/>
          <w:color w:val="111111"/>
          <w:sz w:val="28"/>
          <w:szCs w:val="28"/>
          <w:rtl w:val="true"/>
          <w:lang w:bidi="ar-SA"/>
        </w:rPr>
        <w:t>»</w:t>
      </w:r>
      <w:r>
        <w:rPr>
          <w:rStyle w:val="FootnoteAnchor"/>
          <w:rtl w:val="true"/>
        </w:rPr>
        <w:footnoteReference w:id="1150"/>
      </w:r>
      <w:r>
        <w:rPr>
          <w:rFonts w:ascii="Amiri" w:hAnsi="Amiri" w:eastAsia="Amiri" w:cs="Amiri"/>
          <w:color w:val="111111"/>
          <w:sz w:val="28"/>
          <w:sz w:val="28"/>
          <w:szCs w:val="28"/>
          <w:rtl w:val="true"/>
          <w:lang w:bidi="ar-SA"/>
        </w:rPr>
        <w:t xml:space="preserve">فتدبّر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بُعد الالتزام بأنّ الدم الخارج بعد الفريضة حدث دون غيره لو لم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 نّه مقطوع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يلتزم الخصم بأنّ الفريضة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كما ترى </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التفصيل بين الرواتب وغيرها </w:t>
      </w:r>
      <w:r>
        <w:rPr>
          <w:rStyle w:val="FootnoteAnchor"/>
          <w:rtl w:val="true"/>
        </w:rPr>
        <w:footnoteReference w:id="1151"/>
      </w:r>
      <w:r>
        <w:rPr>
          <w:rFonts w:ascii="Amiri" w:hAnsi="Amiri" w:eastAsia="Amiri" w:cs="Amiri"/>
          <w:color w:val="111111"/>
          <w:sz w:val="28"/>
          <w:sz w:val="28"/>
          <w:szCs w:val="28"/>
          <w:rtl w:val="true"/>
          <w:lang w:bidi="ar-SA"/>
        </w:rPr>
        <w:t xml:space="preserve">فغير وجيه ، كما لا يخفى </w:t>
      </w:r>
      <w:r>
        <w:rPr>
          <w:rFonts w:eastAsia="Amiri" w:cs="Amiri" w:ascii="Amiri" w:hAnsi="Amiri"/>
          <w:color w:val="111111"/>
          <w:sz w:val="28"/>
          <w:szCs w:val="28"/>
          <w:rtl w:val="true"/>
          <w:lang w:bidi="ar-SA"/>
        </w:rPr>
        <w:t xml:space="preserve">. </w:t>
      </w:r>
      <w:bookmarkStart w:id="682" w:name="pg15019_190970"/>
    </w:p>
    <w:p>
      <w:pPr>
        <w:pStyle w:val="Heading6"/>
        <w:numPr>
          <w:ilvl w:val="5"/>
          <w:numId w:val="1"/>
        </w:numPr>
        <w:rPr/>
      </w:pPr>
      <w:bookmarkStart w:id="683" w:name="__RefHeading___Toc686660_3406789950"/>
      <w:bookmarkStart w:id="684" w:name="_Toc248"/>
      <w:bookmarkEnd w:id="682"/>
      <w:bookmarkEnd w:id="683"/>
      <w:r>
        <w:rPr>
          <w:rtl w:val="true"/>
        </w:rPr>
        <w:t>حكم الاستحاضة المتوسّطة</w:t>
      </w:r>
      <w:bookmarkEnd w:id="6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تبديل القطنة</w:t>
      </w:r>
    </w:p>
    <w:p>
      <w:pPr>
        <w:pStyle w:val="BookText"/>
        <w:rPr/>
      </w:pPr>
      <w:r>
        <w:rPr>
          <w:rFonts w:ascii="Amiri" w:hAnsi="Amiri" w:eastAsia="Amiri" w:cs="Amiri"/>
          <w:color w:val="111111"/>
          <w:sz w:val="28"/>
          <w:sz w:val="28"/>
          <w:szCs w:val="28"/>
          <w:rtl w:val="true"/>
          <w:lang w:bidi="ar-SA"/>
        </w:rPr>
        <w:t xml:space="preserve">وأمّا القسم الثاني ؛ أي المتوسّطة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فيه تبديل القطنة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صريح</w:t>
      </w:r>
    </w:p>
    <w:p>
      <w:pPr>
        <w:pStyle w:val="BookText"/>
        <w:rPr/>
      </w:pPr>
      <w:r>
        <w:rPr>
          <w:rFonts w:ascii="Amiri" w:hAnsi="Amiri" w:eastAsia="Amiri" w:cs="Amiri"/>
          <w:color w:val="111111"/>
          <w:sz w:val="28"/>
          <w:sz w:val="28"/>
          <w:szCs w:val="28"/>
          <w:rtl w:val="true"/>
          <w:lang w:bidi="ar-SA"/>
        </w:rPr>
        <w:t>أجده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152"/>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لفخر الإسلام إجماع المسلمين عليه</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وتدلّ عليه الشهرة القطعية الكاشفة عن معروفية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لدن زمن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الاستحاضة القليلة ، وفهم الحكم منها عرفاً بالأولوية القطعية في المتوسّطة والكثيرة ؛ ضرورة أنّ العرف والعقلاء إذا سمعوا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الأحكام تبديل الكُرْسُف إذا تلوّث بدم الاستحاضة في الجملة ، ولا تصحّ صلاة المستحاضة القليلة بلا تبديله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يفهمون منه أنّ دم الاستحاضة قليله وكثيره مانع عن الصلاة ، ويجب على المرأة تبديل الكرسف مطلقاً ؛ بلا التماس دليل بالنسبة إلى المتوسّطة والكثيرة </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فالخدشة في دلالة الأخبار على جميع المقصود</w:t>
      </w:r>
      <w:r>
        <w:rPr>
          <w:rStyle w:val="FootnoteAnchor"/>
          <w:rtl w:val="true"/>
        </w:rPr>
        <w:footnoteReference w:id="1154"/>
      </w:r>
      <w:r>
        <w:rPr>
          <w:rFonts w:ascii="Amiri" w:hAnsi="Amiri" w:eastAsia="Amiri" w:cs="Amiri"/>
          <w:color w:val="111111"/>
          <w:sz w:val="28"/>
          <w:sz w:val="28"/>
          <w:szCs w:val="28"/>
          <w:rtl w:val="true"/>
          <w:lang w:bidi="ar-SA"/>
        </w:rPr>
        <w:t xml:space="preserve">في غير محلّها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w:t>
      </w:r>
    </w:p>
    <w:p>
      <w:pPr>
        <w:pStyle w:val="BookText"/>
        <w:rPr/>
      </w:pPr>
      <w:r>
        <w:rPr>
          <w:rFonts w:ascii="Amiri" w:hAnsi="Amiri" w:eastAsia="Amiri" w:cs="Amiri"/>
          <w:color w:val="111111"/>
          <w:sz w:val="28"/>
          <w:sz w:val="28"/>
          <w:szCs w:val="28"/>
          <w:rtl w:val="true"/>
          <w:lang w:bidi="ar-SA"/>
        </w:rPr>
        <w:t xml:space="preserve">فرض الصحّة لا توجب الخدشة في أصل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الخدشة في الشهرة أو الإجماع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تخلّل الاجتهاد</w:t>
      </w:r>
    </w:p>
    <w:p>
      <w:pPr>
        <w:pStyle w:val="BookText"/>
        <w:rPr/>
      </w:pPr>
      <w:r>
        <w:rPr>
          <w:rFonts w:ascii="Amiri" w:hAnsi="Amiri" w:eastAsia="Amiri" w:cs="Amiri"/>
          <w:color w:val="111111"/>
          <w:sz w:val="28"/>
          <w:sz w:val="28"/>
          <w:szCs w:val="28"/>
          <w:rtl w:val="true"/>
          <w:lang w:bidi="ar-SA"/>
        </w:rPr>
        <w:t xml:space="preserve">وفهم الأصحاب الحكم من الأخبار الواردة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توجب الخدشة في الحكم ؛ لما عرفت</w:t>
      </w:r>
      <w:r>
        <w:rPr>
          <w:rStyle w:val="FootnoteAnchor"/>
          <w:rtl w:val="true"/>
        </w:rPr>
        <w:footnoteReference w:id="1155"/>
      </w:r>
      <w:r>
        <w:rPr>
          <w:rFonts w:ascii="Amiri" w:hAnsi="Amiri" w:eastAsia="Amiri" w:cs="Amiri"/>
          <w:color w:val="111111"/>
          <w:sz w:val="28"/>
          <w:sz w:val="28"/>
          <w:szCs w:val="28"/>
          <w:rtl w:val="true"/>
          <w:lang w:bidi="ar-SA"/>
        </w:rPr>
        <w:t xml:space="preserve">من أنّ الشهرة في المسألة السابقة ، من الشهرات التي انسدّ فيها باب الاجتهاد ، مع ورود أخبار دالّة على الخلاف ، فهي حجّة فيها ، ومنها يتّضح الحكم في القسمين الآخرين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مع إمكان الاستدلال على لزوم التبديل بموثّقة عبد الرحمان بن أبي عبداللّه قال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كان فيه خلاف فلتحتط بيوم أو يومين ، ولتغتسل ولتستدخل كرسفاً ، فإن ظهر على الكرسف فلتغتسل ، ثمّ تضع كرسفاً آخر ، ثمّ تصلّي ، فإذا كان دماً سائلاً </w:t>
      </w:r>
      <w:r>
        <w:rPr>
          <w:rFonts w:eastAsia="Amiri" w:cs="Amiri" w:ascii="Amiri" w:hAnsi="Amiri"/>
          <w:color w:val="111111"/>
          <w:sz w:val="28"/>
          <w:szCs w:val="28"/>
          <w:rtl w:val="true"/>
          <w:lang w:bidi="ar-SA"/>
        </w:rPr>
        <w:t>. . .»</w:t>
      </w:r>
      <w:r>
        <w:rPr>
          <w:rStyle w:val="FootnoteAnchor"/>
          <w:rtl w:val="true"/>
        </w:rPr>
        <w:footnoteReference w:id="1156"/>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إشكال في ظهوره في تبديل الكرسف ؛ فإنّ القطنة التي ظهر الدم عليها تخرج حين الغسل ، فإذا قيل بعد فرض إخراجها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تضع كرسفاً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يفهم منه تبديلها ، ولا يحتمل وضع كرسف على كرسفها ، فحينئذٍ لا إشكال في ظهوره في مانعية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ظهر على الكرسُف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وجه لحمل ذلك على الجري مجرى العادة</w:t>
      </w:r>
      <w:r>
        <w:rPr>
          <w:rStyle w:val="FootnoteAnchor"/>
          <w:rtl w:val="true"/>
        </w:rPr>
        <w:footnoteReference w:id="1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العناية بوضع كرسف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التعبّد وبيان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دخله في الحكم ، فلا حجّة على رفع اليد عن الظهور باحتمال الجري مجرى العادة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وبعد فهم المانعية عن الصلاة ، لا ينقدح في الذهن أنّ المانعية منحصرة في صلاةٍ ، فاحتمال كون التبديل مختصّاً بما بعد الغسل فقط ، مخالف لفهم العرف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تضع كرسفاً آخر ، ثمّ تصلّي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الكرسف الكذائي مانع عن طبيعة الصلاة ، لا عن مصداق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وجه الاستدلال عليه برواية الجُعْفي</w:t>
      </w:r>
      <w:r>
        <w:rPr>
          <w:rStyle w:val="FootnoteAnchor"/>
          <w:rtl w:val="true"/>
        </w:rPr>
        <w:footnoteReference w:id="1158"/>
      </w:r>
      <w:r>
        <w:rPr>
          <w:rFonts w:ascii="Amiri" w:hAnsi="Amiri" w:eastAsia="Amiri" w:cs="Amiri"/>
          <w:color w:val="111111"/>
          <w:sz w:val="28"/>
          <w:sz w:val="28"/>
          <w:szCs w:val="28"/>
          <w:rtl w:val="true"/>
          <w:lang w:bidi="ar-SA"/>
        </w:rPr>
        <w:t xml:space="preserve">فإنّ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ظهر أعادت الغسل ، وأعادت الكرسف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التبديل ، لا إعادة الكرسف المتلوّث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في رواية ابن أبي يعفور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ظهر على الكرسف زادت كرسفها</w:t>
      </w:r>
      <w:r>
        <w:rPr>
          <w:rFonts w:eastAsia="Amiri" w:cs="Amiri" w:ascii="Amiri" w:hAnsi="Amiri"/>
          <w:color w:val="111111"/>
          <w:sz w:val="28"/>
          <w:szCs w:val="28"/>
          <w:rtl w:val="true"/>
          <w:lang w:bidi="ar-SA"/>
        </w:rPr>
        <w:t>»</w:t>
      </w:r>
      <w:r>
        <w:rPr>
          <w:rStyle w:val="FootnoteAnchor"/>
          <w:rtl w:val="true"/>
        </w:rPr>
        <w:footnoteReference w:id="1159"/>
      </w:r>
      <w:r>
        <w:rPr>
          <w:rFonts w:ascii="Amiri" w:hAnsi="Amiri" w:eastAsia="Amiri" w:cs="Amiri"/>
          <w:color w:val="111111"/>
          <w:sz w:val="28"/>
          <w:sz w:val="28"/>
          <w:szCs w:val="28"/>
          <w:rtl w:val="true"/>
          <w:lang w:bidi="ar-SA"/>
        </w:rPr>
        <w:t xml:space="preserve">فيحتمل فيه إرادة زيادة كرسف على كرسفها ، ويحتمل إرادة وضع كرسف زائد حجماً على الكرسف الأوّل على المحلّ ؛ أي تبديل كرسفها بكرسف آخر زائد عليه ، ولا ترجيح لأحدهما ، فيرفع هذا الإجمال بالروايتين السابقتين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الظهور على الكرسف موجب للغسل بحسب دلالة الروايتين ، وحين الغسل لا يمكن إبقاء الكرسف ، فحينئذٍ يمكن ترجيح الاحتمال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فلا إشكال في المسألة </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لا إشكال في لزوم تبديل الخرقة على فرض التلوّث ؛ لاستفادة مانعية </w:t>
      </w:r>
    </w:p>
    <w:p>
      <w:pPr>
        <w:pStyle w:val="BookText"/>
        <w:rPr/>
      </w:pPr>
      <w:r>
        <w:rPr>
          <w:rFonts w:ascii="Amiri" w:hAnsi="Amiri" w:eastAsia="Amiri" w:cs="Amiri"/>
          <w:color w:val="111111"/>
          <w:sz w:val="28"/>
          <w:sz w:val="28"/>
          <w:szCs w:val="28"/>
          <w:rtl w:val="true"/>
          <w:lang w:bidi="ar-SA"/>
        </w:rPr>
        <w:t xml:space="preserve">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الشهرة في المسألة السابقة على ما مرّ</w:t>
      </w:r>
      <w:r>
        <w:rPr>
          <w:rStyle w:val="FootnoteAnchor"/>
          <w:rtl w:val="true"/>
        </w:rPr>
        <w:footnoteReference w:id="1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قلنا بالعفو عن دم الاستحاضة ، وإلاّ فالأمر أوضح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الوضوء</w:t>
      </w:r>
    </w:p>
    <w:p>
      <w:pPr>
        <w:pStyle w:val="BookText"/>
        <w:rPr/>
      </w:pPr>
      <w:r>
        <w:rPr>
          <w:rFonts w:ascii="Amiri" w:hAnsi="Amiri" w:eastAsia="Amiri" w:cs="Amiri"/>
          <w:color w:val="111111"/>
          <w:sz w:val="28"/>
          <w:sz w:val="28"/>
          <w:szCs w:val="28"/>
          <w:rtl w:val="true"/>
          <w:lang w:bidi="ar-SA"/>
        </w:rPr>
        <w:t xml:space="preserve">وكذا يجب عليها الوضوء لكلّ صلاة حتّى صلاة الغداة التي اغتسلت قبلها ؛ لعدم الخلاف في غير الغداة ، كما احتمله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161"/>
      </w:r>
      <w:r>
        <w:rPr>
          <w:rFonts w:ascii="Amiri" w:hAnsi="Amiri" w:eastAsia="Amiri" w:cs="Amiri"/>
          <w:color w:val="111111"/>
          <w:sz w:val="28"/>
          <w:sz w:val="28"/>
          <w:szCs w:val="28"/>
          <w:rtl w:val="true"/>
          <w:lang w:bidi="ar-SA"/>
        </w:rPr>
        <w:t>بل قد يدّعي</w:t>
      </w:r>
      <w:r>
        <w:rPr>
          <w:rStyle w:val="FootnoteAnchor"/>
          <w:rtl w:val="true"/>
        </w:rPr>
        <w:footnoteReference w:id="1162"/>
      </w:r>
      <w:r>
        <w:rPr>
          <w:rFonts w:ascii="Amiri" w:hAnsi="Amiri" w:eastAsia="Amiri" w:cs="Amiri"/>
          <w:color w:val="111111"/>
          <w:sz w:val="28"/>
          <w:sz w:val="28"/>
          <w:szCs w:val="28"/>
          <w:rtl w:val="true"/>
          <w:lang w:bidi="ar-SA"/>
        </w:rPr>
        <w:t xml:space="preserve">تناول 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163"/>
      </w:r>
      <w:r>
        <w:rPr>
          <w:rFonts w:ascii="Amiri" w:hAnsi="Amiri" w:eastAsia="Amiri" w:cs="Amiri"/>
          <w:color w:val="111111"/>
          <w:sz w:val="28"/>
          <w:sz w:val="28"/>
          <w:szCs w:val="28"/>
          <w:rtl w:val="true"/>
          <w:lang w:bidi="ar-SA"/>
        </w:rPr>
        <w:t xml:space="preserve">لغيرها ، بل احتمل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المسألة مطلقاً غير خلافية ؛ لحمل غير بعيد لعبارات بعض الأصحاب ممّا احتمل الخلاف منهم</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وتدلّ على المطلوب موثّقتا سماعة الصريحتان في وجوب الوضوء لكلّ صلاة</w:t>
      </w:r>
      <w:r>
        <w:rPr>
          <w:rStyle w:val="FootnoteAnchor"/>
          <w:rtl w:val="true"/>
        </w:rPr>
        <w:footnoteReference w:id="1165"/>
      </w:r>
      <w:r>
        <w:rPr>
          <w:rFonts w:ascii="Amiri" w:hAnsi="Amiri" w:eastAsia="Amiri" w:cs="Amiri"/>
          <w:color w:val="111111"/>
          <w:sz w:val="28"/>
          <w:sz w:val="28"/>
          <w:szCs w:val="28"/>
          <w:rtl w:val="true"/>
          <w:lang w:bidi="ar-SA"/>
        </w:rPr>
        <w:t xml:space="preserve">، ومرسلة يونس حيث قال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وسئل عن المستحاضة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ذلك عزف عامر ، أو ركضة من الشيطان ، فلتدع الصلاة أيّام أقرائها ، ثمّ تغتسل وتتوضّأ لكلّ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سال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سال مثل المَثْعَب</w:t>
      </w:r>
      <w:r>
        <w:rPr>
          <w:rFonts w:eastAsia="Amiri" w:cs="Amiri" w:ascii="Amiri" w:hAnsi="Amiri"/>
          <w:color w:val="111111"/>
          <w:sz w:val="28"/>
          <w:szCs w:val="28"/>
          <w:rtl w:val="true"/>
          <w:lang w:bidi="ar-SA"/>
        </w:rPr>
        <w:t>»</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حيث دلّت على وجوب الوضوء لكلّ صلاة ؛ سال الدم أو لم يسل ، كان سيلانه قليلاً أو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ابن أبي يعفور ، وفيها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وتنظر ؛ فإن ظهر على الكرسف زادت كرسفها ، وتوضّأت وصلّت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فهي ظاهرة في أنّ الظهور على الكرسف موجب للوضوء ، فبضميمة ما دلّت على أنّ الظهور عليه موجب للغسل وإعادة الكرسف ، تدلّ على المدّعى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رواية ابن أبي يعفور ورواية الجُعفي وموثّقة عبد الرحمان أنّ الظهور على الكرسف سبب لاُمور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الاغتسال ، والتبديل ، والوضوء ، فيفهم منها أنّ الغسل لا يجزي عن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وتدلّ على المطلوب أيضاً صحيحة الصحّاف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في مقابلها إلاّ توهّم إطلاق بعض الروايات ، والسكوت عنه في مقام البيان في بعضها ، ولا يخفى ما فيهما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الإطلاق فيجب تقييده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السكوت ، فعلى فرض كونه في مقام البيان ، لا يقاوم الأدلّة المصرّحة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إمكان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غالب الأدلّة ليس في مقام البيان ، كصحيحة زرارة في النفساء</w:t>
      </w:r>
      <w:r>
        <w:rPr>
          <w:rStyle w:val="FootnoteAnchor"/>
          <w:rtl w:val="true"/>
        </w:rPr>
        <w:footnoteReference w:id="1167"/>
      </w:r>
      <w:r>
        <w:rPr>
          <w:rFonts w:ascii="Amiri" w:hAnsi="Amiri" w:eastAsia="Amiri" w:cs="Amiri"/>
          <w:color w:val="111111"/>
          <w:sz w:val="28"/>
          <w:sz w:val="28"/>
          <w:szCs w:val="28"/>
          <w:rtl w:val="true"/>
          <w:lang w:bidi="ar-SA"/>
        </w:rPr>
        <w:t xml:space="preserve">؛ لإمكان كونها بصدد بيان مورد لزوم الغسل الواحد والمتعدّد ، لا في مقام بيان جميع الأحكام ، ولهذا لم يذكر فيها الوضوء للقليلة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ومثلها موثّقة</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الرحمان ، فالمسألة خالية عن الإشكال بحمد اللّه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الغسل</w:t>
      </w:r>
    </w:p>
    <w:p>
      <w:pPr>
        <w:pStyle w:val="BookText"/>
        <w:rPr/>
      </w:pPr>
      <w:r>
        <w:rPr>
          <w:rFonts w:ascii="Amiri" w:hAnsi="Amiri" w:eastAsia="Amiri" w:cs="Amiri"/>
          <w:color w:val="111111"/>
          <w:sz w:val="28"/>
          <w:sz w:val="28"/>
          <w:szCs w:val="28"/>
          <w:rtl w:val="true"/>
          <w:lang w:bidi="ar-SA"/>
        </w:rPr>
        <w:t xml:space="preserve">وكذا يجب عليها الغسل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إشكال فيه نصّاً وفتوى ،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الإشكال والخلاف في أ نّه هل يجب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غسل للغداة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غسلان آخران للظهرين والعشاءين أو لا ؟</w:t>
      </w:r>
    </w:p>
    <w:p>
      <w:pPr>
        <w:pStyle w:val="BookText"/>
        <w:rPr/>
      </w:pPr>
      <w:r>
        <w:rPr>
          <w:rFonts w:ascii="Amiri" w:hAnsi="Amiri" w:eastAsia="Amiri" w:cs="Amiri"/>
          <w:color w:val="111111"/>
          <w:sz w:val="28"/>
          <w:sz w:val="28"/>
          <w:szCs w:val="28"/>
          <w:rtl w:val="true"/>
          <w:lang w:bidi="ar-SA"/>
        </w:rPr>
        <w:t xml:space="preserve">فعن المشهور عدم وجوب غير ما للغداة عليها </w:t>
      </w:r>
      <w:r>
        <w:rPr>
          <w:rStyle w:val="FootnoteAnchor"/>
          <w:rtl w:val="true"/>
        </w:rPr>
        <w:footnoteReference w:id="1169"/>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ظاهر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صريحهم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غيره</w:t>
      </w:r>
      <w:r>
        <w:rPr>
          <w:rFonts w:eastAsia="Amiri" w:cs="Amiri" w:ascii="Amiri" w:hAnsi="Amiri"/>
          <w:color w:val="111111"/>
          <w:sz w:val="28"/>
          <w:szCs w:val="28"/>
          <w:rtl w:val="true"/>
          <w:lang w:bidi="ar-SA"/>
        </w:rPr>
        <w:t>»</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ابني عقيل والجنيد</w:t>
      </w:r>
      <w:r>
        <w:rPr>
          <w:rStyle w:val="FootnoteAnchor"/>
          <w:rtl w:val="true"/>
        </w:rPr>
        <w:footnoteReference w:id="1171"/>
      </w:r>
      <w:r>
        <w:rPr>
          <w:rFonts w:ascii="Amiri" w:hAnsi="Amiri" w:eastAsia="Amiri" w:cs="Amiri"/>
          <w:color w:val="111111"/>
          <w:sz w:val="28"/>
          <w:sz w:val="28"/>
          <w:szCs w:val="28"/>
          <w:rtl w:val="true"/>
          <w:lang w:bidi="ar-SA"/>
        </w:rPr>
        <w:t xml:space="preserve">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1172"/>
      </w:r>
      <w:r>
        <w:rPr>
          <w:rFonts w:ascii="Amiri" w:hAnsi="Amiri" w:eastAsia="Amiri" w:cs="Amiri"/>
          <w:color w:val="111111"/>
          <w:sz w:val="28"/>
          <w:sz w:val="28"/>
          <w:szCs w:val="28"/>
          <w:rtl w:val="true"/>
          <w:lang w:bidi="ar-SA"/>
        </w:rPr>
        <w:t xml:space="preserve">والعلاّمة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173"/>
      </w:r>
      <w:r>
        <w:rPr>
          <w:rFonts w:ascii="Amiri" w:hAnsi="Amiri" w:eastAsia="Amiri" w:cs="Amiri"/>
          <w:color w:val="111111"/>
          <w:sz w:val="28"/>
          <w:sz w:val="28"/>
          <w:szCs w:val="28"/>
          <w:rtl w:val="true"/>
          <w:lang w:bidi="ar-SA"/>
        </w:rPr>
        <w:t>وبعض متأخّري المتأخّرين</w:t>
      </w:r>
      <w:r>
        <w:rPr>
          <w:rStyle w:val="FootnoteAnchor"/>
          <w:rtl w:val="true"/>
        </w:rPr>
        <w:footnoteReference w:id="1174"/>
      </w:r>
      <w:r>
        <w:rPr>
          <w:rFonts w:ascii="Amiri" w:hAnsi="Amiri" w:eastAsia="Amiri" w:cs="Amiri"/>
          <w:color w:val="111111"/>
          <w:sz w:val="28"/>
          <w:sz w:val="28"/>
          <w:szCs w:val="28"/>
          <w:rtl w:val="true"/>
          <w:lang w:bidi="ar-SA"/>
        </w:rPr>
        <w:t xml:space="preserve">إدخال هذا القسم في الثالثة ، فأوجبوا الأغسال الثلاثة عليها </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بعض المحقّقين لزوم الغسل عليها كلّما ظهر الدم على الكرسف ، وإذا كان سائلاً يتعذّر عليها أو يتعسّر استمساكه بالكرسف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صبيباً لا يرقأ </w:t>
      </w:r>
      <w:r>
        <w:rPr>
          <w:rFonts w:eastAsia="Amiri" w:cs="Amiri" w:ascii="Amiri" w:hAnsi="Amiri"/>
          <w:color w:val="111111"/>
          <w:sz w:val="28"/>
          <w:szCs w:val="28"/>
          <w:rtl w:val="true"/>
          <w:lang w:bidi="ar-SA"/>
        </w:rPr>
        <w:t xml:space="preserve">- </w:t>
      </w:r>
      <w:bookmarkStart w:id="685" w:name="pg15019_190976"/>
    </w:p>
    <w:p>
      <w:pPr>
        <w:pStyle w:val="BookText"/>
        <w:rPr/>
      </w:pPr>
      <w:bookmarkEnd w:id="685"/>
      <w:r>
        <w:rPr>
          <w:rFonts w:ascii="Amiri" w:hAnsi="Amiri" w:eastAsia="Amiri" w:cs="Amiri"/>
          <w:color w:val="111111"/>
          <w:sz w:val="28"/>
          <w:sz w:val="28"/>
          <w:szCs w:val="28"/>
          <w:rtl w:val="true"/>
          <w:lang w:bidi="ar-SA"/>
        </w:rPr>
        <w:t>فعليها الأغسال الثلاثة</w:t>
      </w:r>
      <w:r>
        <w:rPr>
          <w:rStyle w:val="FootnoteAnchor"/>
          <w:rtl w:val="true"/>
        </w:rPr>
        <w:footnoteReference w:id="1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ولازمه وجوب خمسة أغسال عليها في اليوم والليلة في بعض الأحيان ، فتكون أسوأ حالاً من الكثيرة </w:t>
      </w:r>
      <w:r>
        <w:rPr>
          <w:rFonts w:eastAsia="Amiri" w:cs="Amiri" w:ascii="Amiri" w:hAnsi="Amiri"/>
          <w:color w:val="111111"/>
          <w:sz w:val="28"/>
          <w:szCs w:val="28"/>
          <w:rtl w:val="true"/>
          <w:lang w:bidi="ar-SA"/>
        </w:rPr>
        <w:t>.</w:t>
      </w:r>
    </w:p>
    <w:p>
      <w:pPr>
        <w:pStyle w:val="Heading6"/>
        <w:numPr>
          <w:ilvl w:val="5"/>
          <w:numId w:val="1"/>
        </w:numPr>
        <w:rPr/>
      </w:pPr>
      <w:bookmarkStart w:id="686" w:name="__RefHeading___Toc686662_3406789950"/>
      <w:bookmarkStart w:id="687" w:name="_Toc249"/>
      <w:bookmarkEnd w:id="686"/>
      <w:r>
        <w:rPr>
          <w:rtl w:val="true"/>
        </w:rPr>
        <w:t>منشأ الاختلاف في عدد الغسل</w:t>
      </w:r>
      <w:bookmarkEnd w:id="687"/>
    </w:p>
    <w:p>
      <w:pPr>
        <w:pStyle w:val="BookText"/>
        <w:rPr/>
      </w:pPr>
      <w:r>
        <w:rPr>
          <w:rFonts w:ascii="Amiri" w:hAnsi="Amiri" w:eastAsia="Amiri" w:cs="Amiri"/>
          <w:color w:val="111111"/>
          <w:sz w:val="28"/>
          <w:sz w:val="28"/>
          <w:szCs w:val="28"/>
          <w:rtl w:val="true"/>
          <w:lang w:bidi="ar-SA"/>
        </w:rPr>
        <w:t>ومنشأ الاختلاف اختلاف أنظارهم في الجمع بين شتات الروايات ، وقد تقدّم بعض الكلام في استفادة الأقسام الثلاثة من الروايات في أوّل البحث</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التحقيق في الجمع بين الروايات هو تثليث الأقسام ؛ وعدم وجوب الغسل على الصغرى ، ووجوب غسل واحد على الوسطى ، وثلاثة أغسال على الكبرى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ففي موثّقة سماعة عن أبي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وغسل الاستحاضة واجب ؛ إذا احتشت بالكرسف وجاز الدم الكرسفَ فعليها الغسل لكلّ صلاتين ، وللفجر غسل ، وإن لم يجز الدم الكرسف فعليها الغسل كلّ يوم مرّة ، والوضوء لكلّ صلاة</w:t>
      </w:r>
      <w:r>
        <w:rPr>
          <w:rFonts w:eastAsia="IRNazanin" w:cs="IRNazanin"/>
          <w:color w:val="111111"/>
          <w:sz w:val="28"/>
          <w:szCs w:val="28"/>
          <w:rtl w:val="true"/>
          <w:lang w:bidi="fa-IR"/>
        </w:rPr>
        <w:t>»</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وقريب منها موثّقته الاُخرى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المستحاضة إذا ثقب الدم الكرسف اغتسلت لكلّ صلاتين ، وللفجر غسلاً ، وإن لم يجز الدم الكرسف فعليها الغسل لكلّ يوم مرّة ، والوضوء لكلّ صلاة ، وإن أراد زوجها أن يأتيها فحين تغتسل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إذا كان دمها عبيطاً ، وإن كان صفرة فعليها الوضوء</w:t>
      </w:r>
      <w:r>
        <w:rPr>
          <w:rFonts w:eastAsia="Amiri" w:cs="Amiri" w:ascii="Amiri" w:hAnsi="Amiri"/>
          <w:color w:val="111111"/>
          <w:sz w:val="28"/>
          <w:szCs w:val="28"/>
          <w:rtl w:val="true"/>
          <w:lang w:bidi="ar-SA"/>
        </w:rPr>
        <w:t>»</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بثقب الدم في هذه هو التجاوز ؛ بقرينة تقابله بعدم التجاوز ، وبقرينة</w:t>
      </w:r>
    </w:p>
    <w:p>
      <w:pPr>
        <w:pStyle w:val="BookText"/>
        <w:rPr/>
      </w:pPr>
      <w:r>
        <w:rPr>
          <w:rFonts w:ascii="Amiri" w:hAnsi="Amiri" w:eastAsia="Amiri" w:cs="Amiri"/>
          <w:color w:val="111111"/>
          <w:sz w:val="28"/>
          <w:sz w:val="28"/>
          <w:szCs w:val="28"/>
          <w:rtl w:val="true"/>
          <w:lang w:bidi="ar-SA"/>
        </w:rPr>
        <w:t xml:space="preserve">موثّقته السابقة ، وبقرينة أنّ الثقب ملازم للتجاوز بحسب الغالب ، ولا إشكال في 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التجاوز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عرفاً ولغةً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الثقب والظهور على الكرسف والنفوذ ، بل هو عبارة عن العبور من الكرسف والسراية إلى شيء آخر ، وهو عبارة اُخرى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في الروايات الاُخر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صحيحة زرارة عن أبي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جاز الدم الكرسف تعصّبت واغتسلت ، ثمّ صلّت الغداة بغسل ، والظهر والعصر بغسل ، والمغرب والعشاء بغسل ، وإن لم يجز الدم الكرسف صلّت بغسل واحد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والحائض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ذلك سواء</w:t>
      </w:r>
      <w:r>
        <w:rPr>
          <w:rFonts w:eastAsia="Amiri" w:cs="Amiri" w:ascii="Amiri" w:hAnsi="Amiri"/>
          <w:color w:val="111111"/>
          <w:sz w:val="28"/>
          <w:szCs w:val="28"/>
          <w:rtl w:val="true"/>
          <w:lang w:bidi="ar-SA"/>
        </w:rPr>
        <w:t>»</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إشكال في أنّ ظاهرها أنّ الدم المتجاوز ، يوجب الأغسال الثلاثة ، وغير المتجاوز لا يوجب إلاّ غسلاً 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غير المتجاوز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بإطلاقه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للثاقب وغيره ، لكن يتقيّد بموثّقة زرارة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الطامث تقعد بعدد أيّامها ، كيف تصنع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تستظهر بيوم أو يومين ، ثمّ هي مستحاضة ، فلتغتسل وتستوثق من نفسها ، وتصلّي كلّ صلاة بوضوء ما </w:t>
      </w:r>
    </w:p>
    <w:p>
      <w:pPr>
        <w:pStyle w:val="BookText"/>
        <w:rPr/>
      </w:pPr>
      <w:r>
        <w:rPr>
          <w:rFonts w:ascii="Amiri" w:hAnsi="Amiri" w:eastAsia="Amiri" w:cs="Amiri"/>
          <w:color w:val="111111"/>
          <w:sz w:val="28"/>
          <w:sz w:val="28"/>
          <w:szCs w:val="28"/>
          <w:rtl w:val="true"/>
          <w:lang w:bidi="ar-SA"/>
        </w:rPr>
        <w:t>لم ينفذ الدم ، فإذا نفذ اغتسلت وصلّت</w:t>
      </w:r>
      <w:r>
        <w:rPr>
          <w:rFonts w:eastAsia="Amiri" w:cs="Amiri" w:ascii="Amiri" w:hAnsi="Amiri"/>
          <w:color w:val="111111"/>
          <w:sz w:val="28"/>
          <w:szCs w:val="28"/>
          <w:rtl w:val="true"/>
          <w:lang w:bidi="ar-SA"/>
        </w:rPr>
        <w:t>»</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ومقتضى الجمع بينها وبين ما تقدّم هو تثليث الأقسام بلا إشكال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ذكرنا ظهر حال صحيحة معاوية بن عمّار عن أبي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المستحاضة تنظر أيّامها ؛ فلا تصلّي فيها ، ولا يقربها بعلها ، فإذا جازت أيّامها ورأت الدم يثقب الكرسف ، اغتسلت للظهر والعصر ؛ تؤخّر هذه ، وتعجّل هذه ، وللمغرب والعشاء غسلاً ؛ تؤخّر هذه ، وتعجّل هذه ، وتغتسل للصبح ، وتحتشي وتستثفر وتحشّي ، وتضمُّ فخذيها في المسجد وسائر جسدها خارج ، ولا يأتيها بعلها أيّام قرئها ، وإن كان الدم لا يثقب الكرسف ، توضّأت ودخلت المسجد ، وصلّت كلّ صلاة بوضوء ، وهذه يأتيها بعلها إلاّ في أيّام حيضها</w:t>
      </w:r>
      <w:r>
        <w:rPr>
          <w:rFonts w:eastAsia="IRNazanin" w:cs="IRNazanin"/>
          <w:color w:val="111111"/>
          <w:sz w:val="28"/>
          <w:szCs w:val="28"/>
          <w:rtl w:val="true"/>
          <w:lang w:bidi="fa-IR"/>
        </w:rPr>
        <w:t>»</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صدرها إمّا مطلق يجب تقييده بمثل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يجز الدم الكرسف صلّت بغسل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ظاهراً في الكثيرة بمقتضى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وتحتشي وتستثفر وتحشّي وتضمّ فخذيها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للتحفّظ عن السيلان وتلويث أثوابها </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تحشّي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مضبوط في بعض النسخ المعتمد عليها بالحاء المهملة والشين المعجمة ، وفسّر بربط خرقة محشوّة بالقطن يقال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عجيزتها للتحفّظ من تعدّي الدم حال القعود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المِحْشى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العِظامة تعظّم بها المرأة عجيزتها</w:t>
      </w:r>
      <w:r>
        <w:rPr>
          <w:rFonts w:eastAsia="Amiri" w:cs="Amiri" w:ascii="Amiri" w:hAnsi="Amiri"/>
          <w:color w:val="111111"/>
          <w:sz w:val="28"/>
          <w:szCs w:val="28"/>
          <w:rtl w:val="true"/>
          <w:lang w:bidi="ar-SA"/>
        </w:rPr>
        <w:t>»</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تحتبي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بالتاء المثنّاة من فوق والباء الموحّدة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الاحتباء ، وهو جمع الساقين والفخذين إلى الظهر بعمامة ونحوها ؛ ليكون ذلك موجباً لزيادة تحفّظها من تعدّي الدم</w:t>
      </w:r>
      <w:r>
        <w:rPr>
          <w:rStyle w:val="FootnoteAnchor"/>
          <w:rtl w:val="true"/>
        </w:rPr>
        <w:footnoteReference w:id="1183"/>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النسختين ، يكون الاحتشاء والاستثفار والربط بالخرقة المحشوّة أو الاحتباء ؛ لكثرة التحفّظ ، ومعلوم أنّ هذه المبالغة إنّما هي في الكثيرة لا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بناءً عليه يكون عدم الثقب المقابل له مساوقاً لغير المتجاوز ، فيكون أعمّ من المتوسّطة والقليلة ، فيقيّد بما دلّ على عدم الغسل مع عدم النفوذ والثقب ، فتصير النتيجة تثليث الأقسام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وتدلّ على تثليثها صحيحة الصحّاف</w:t>
      </w:r>
      <w:r>
        <w:rPr>
          <w:rStyle w:val="FootnoteAnchor"/>
          <w:rtl w:val="true"/>
        </w:rPr>
        <w:footnoteReference w:id="1184"/>
      </w:r>
      <w:r>
        <w:rPr>
          <w:rFonts w:ascii="Amiri" w:hAnsi="Amiri" w:eastAsia="Amiri" w:cs="Amiri"/>
          <w:color w:val="111111"/>
          <w:sz w:val="28"/>
          <w:sz w:val="28"/>
          <w:szCs w:val="28"/>
          <w:rtl w:val="true"/>
          <w:lang w:bidi="ar-SA"/>
        </w:rPr>
        <w:t xml:space="preserve">أيضاً ؛ فإنّ الظاهر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ردّ الصدرِ على الذيل ، والإجمالِ فيه على التفصيل في ذيلها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الدم إمّا أن يكون</w:t>
      </w:r>
    </w:p>
    <w:p>
      <w:pPr>
        <w:pStyle w:val="BookText"/>
        <w:rPr/>
      </w:pPr>
      <w:r>
        <w:rPr>
          <w:rFonts w:ascii="Amiri" w:hAnsi="Amiri" w:eastAsia="Amiri" w:cs="Amiri"/>
          <w:color w:val="111111"/>
          <w:sz w:val="28"/>
          <w:sz w:val="28"/>
          <w:szCs w:val="28"/>
          <w:rtl w:val="true"/>
          <w:lang w:bidi="ar-SA"/>
        </w:rPr>
        <w:t xml:space="preserve">غير سائل مطلقاً ؛ وُضع الكرسف أو لا ، أو سائلاً مطلقاً ؛ وضع الكرسف أو لا ، أو سائلاً بلا وضعه ، وغير سائل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الأوّل ليس عليها إلاّ الوضوء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الثاني عليها ثلاثة أغسال </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الثالث عليها طبيعة الغسل ، لا أغسال ثلاثة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الدم إذا لم يكن سائلاً حتّى مع عدم الكرسف ، لا يكون إلاّ قليلاً ، وإذا كان سائلاً مع الكرسف يكون كثيراً ، والمتوسّط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السائل بلا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ينطبق إلاّ على المتوسّطة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احتمله فيها الشيخ الأعظم</w:t>
      </w:r>
      <w:r>
        <w:rPr>
          <w:rStyle w:val="FootnoteAnchor"/>
          <w:rtl w:val="true"/>
        </w:rPr>
        <w:footnoteReference w:id="1185"/>
      </w:r>
      <w:r>
        <w:rPr>
          <w:rFonts w:ascii="Amiri" w:hAnsi="Amiri" w:eastAsia="Amiri" w:cs="Amiri"/>
          <w:color w:val="111111"/>
          <w:sz w:val="28"/>
          <w:sz w:val="28"/>
          <w:szCs w:val="28"/>
          <w:rtl w:val="true"/>
          <w:lang w:bidi="ar-SA"/>
        </w:rPr>
        <w:t xml:space="preserve">خلاف المتفاهم منها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لا مخالفة بينها وبين الجمع المتقدّم في سائر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شاهدة للجمع المذكور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بقيت 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عبد الرحمان وفيها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فيه خلاف فلتحتط بيوم أو يومين ، ولتغتسل ولتستدخل كرسفاً ، فإن ظهر على الكرسف فلتغتسل ، ثمّ تضع كرسفاً آخر ، ثمّ تصلّي ، فإذا كان دماً سائلاً فلتؤخّر الصلاة إلى الصلاة ، ثمّ تصلّي</w:t>
      </w:r>
    </w:p>
    <w:p>
      <w:pPr>
        <w:pStyle w:val="BookText"/>
        <w:rPr/>
      </w:pPr>
      <w:r>
        <w:rPr>
          <w:rFonts w:ascii="Amiri" w:hAnsi="Amiri" w:eastAsia="Amiri" w:cs="Amiri"/>
          <w:color w:val="111111"/>
          <w:sz w:val="28"/>
          <w:sz w:val="28"/>
          <w:szCs w:val="28"/>
          <w:rtl w:val="true"/>
          <w:lang w:bidi="ar-SA"/>
        </w:rPr>
        <w:t>صلاتين بغسل واحد</w:t>
      </w:r>
      <w:r>
        <w:rPr>
          <w:rFonts w:eastAsia="Amiri" w:cs="Amiri" w:ascii="Amiri" w:hAnsi="Amiri"/>
          <w:color w:val="111111"/>
          <w:sz w:val="28"/>
          <w:szCs w:val="28"/>
          <w:rtl w:val="true"/>
          <w:lang w:bidi="ar-SA"/>
        </w:rPr>
        <w:t>»</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المتفاهم منها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ارتكازية كون الدم الكثير أسوأ حالاً من المتوسّط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الغسل في مقابل ثلاثة أغسال ، هو نفس الطبيعة التي يسقط الأمر بها بأوّل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 كون الظهور الأوّلي منه هو سببية الظهور بجميع وجوداته للغسل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عليها كلّما ظهر على الكرسف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رفع اليد عنه بما صرّح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الدم الغير المتجاوز لا يكون سبباً إلاّ لغسل واحد في كلّ يوم ، </w:t>
      </w:r>
    </w:p>
    <w:p>
      <w:pPr>
        <w:pStyle w:val="BookText"/>
        <w:rPr/>
      </w:pPr>
      <w:r>
        <w:rPr>
          <w:rFonts w:ascii="Amiri" w:hAnsi="Amiri" w:eastAsia="Amiri" w:cs="Amiri"/>
          <w:color w:val="111111"/>
          <w:sz w:val="28"/>
          <w:sz w:val="28"/>
          <w:szCs w:val="28"/>
          <w:rtl w:val="true"/>
          <w:lang w:bidi="ar-SA"/>
        </w:rPr>
        <w:t xml:space="preserve">ولا إشكال في أظهرية ذلك من الموثّقة ؛ على فرض تسليم الظهور المتقدّم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يظهر الكلام في رواية إسماعيل بن جابر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هي لم تَرَ طهراً اغتسلت واحتشت ، ولا تزال تصلّي بذلك الغسل حتّى يظهر الدم على الكرسف ، فإذا ظهر أعادت الغسل وأعادت الكرسف</w:t>
      </w:r>
      <w:r>
        <w:rPr>
          <w:rFonts w:eastAsia="Amiri" w:cs="Amiri" w:ascii="Amiri" w:hAnsi="Amiri"/>
          <w:color w:val="111111"/>
          <w:sz w:val="28"/>
          <w:szCs w:val="28"/>
          <w:rtl w:val="true"/>
          <w:lang w:bidi="ar-SA"/>
        </w:rPr>
        <w:t>»</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الظاهر منها أنّ الغسل الأوّل فيها غسل الحيض ، وظاهرها أنّ غسل الحيض يكفيها ، ولا يلزم عليها غسل إلاّ عند الظهور ، فإذا ظهر أعادت الغسل ، ولا تكتفي بغسل الحيض ، وهذا لا يدلّ على لزوم الغسل عند كلّ 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 ظهورها يرفع اليد عنه بنصّ موثّقتي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 نّها ضعيفة السند بالقاسم بن محمّد الجوهري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الناظر في مجموع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ردّ ظاهرِها على نصّها ، ومطلقِها على مقيّدها ، ومجملِها على مفصّلها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أن يرتاب في تثليث الأقسام على ما هو المشهور بين الأصحاب </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تقييد الموثّقتين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يجز الدمُ الكرسف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بالثقب الغير المتجاوز تقييدٌ بالفرد النادر ، بل ارتكاب التقييد في الموثّقة المضمرة</w:t>
      </w:r>
      <w:r>
        <w:rPr>
          <w:rStyle w:val="FootnoteAnchor"/>
          <w:rtl w:val="true"/>
        </w:rPr>
        <w:footnoteReference w:id="1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مع قطع النظر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متعذّر ؛ لما في صدرها من التنصيص على أنّ المستحاضة إذا ثقب الدم الكرسف ، اغتسلت لكلّ صلاتين وللفجر غسلاً ، وعدم التجاوز نقيض ما في الصدر ، فيكون المراد منه عدم الثقب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والتعبير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للجري مجرى الغالب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وادّعاء العكس لا يجدي ؛ وإن أمكن أن يكون المراد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ثقب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جاز ؛ اعتماداً على الغلبة ، لكنّ التعبير به عنواناً للموضوع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بملاحظة الغلبة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 عن أن يكون المقصود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الثاقب الغير المتجاوز ، خصوصاً مع ما في ذيلها من تأكيد مضمون الجملة ببيان مورد الحكم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إذا كان دماً عبيطاً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الأخذ بظاهر هذه الروايات غير ممكن ؛ لمخالفته للنصوص والفتاوى</w:t>
      </w:r>
      <w:r>
        <w:rPr>
          <w:rStyle w:val="FootnoteAnchor"/>
          <w:rtl w:val="true"/>
        </w:rPr>
        <w:footnoteReference w:id="1189"/>
      </w:r>
      <w:r>
        <w:rPr>
          <w:rFonts w:ascii="Amiri" w:hAnsi="Amiri" w:eastAsia="Amiri" w:cs="Amiri"/>
          <w:color w:val="111111"/>
          <w:sz w:val="28"/>
          <w:sz w:val="28"/>
          <w:szCs w:val="28"/>
          <w:rtl w:val="true"/>
          <w:lang w:bidi="ar-SA"/>
        </w:rPr>
        <w:t xml:space="preserve">، انتهى ملخّصاً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لزوم التقييد بالفرد النادر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المضمرة تعرّضت للأقسام الثلاثة ، فأراد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المتجاوز ؛ لملازمة الثقبِ التجاوزَ نوعاً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موثّقته الاُخرى ؛ حيث قابل فيها بين المتجاوز وغير المتجاوز ، وصحيحة معاوية حيث عبّر فيها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بعده اُموراً كانت قرينة على كثرة الدم وكونها من الكثيرة ، والظاهر إرادة القليلة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لكونها نوعاً قليلة غير نافذة ، فيبقى غير المتجاوز المقابل لهما ، وهو لا ينطبق إلاّ على المتوسّطة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مضافاً إلى أنّ الندرة لو سلّمت ، فإنّما هي مقابلة الثاقب المتجاوز ، لا مقابلة عدم الثاقب ، ومع التعرّض للثاقب المتجاوز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يبقى مجال لاحتمال كون التقييد بشيعاً </w:t>
      </w:r>
      <w:r>
        <w:rPr>
          <w:rFonts w:eastAsia="Amiri" w:cs="Amiri" w:ascii="Amiri" w:hAnsi="Amiri"/>
          <w:color w:val="111111"/>
          <w:sz w:val="28"/>
          <w:szCs w:val="28"/>
          <w:rtl w:val="true"/>
          <w:lang w:bidi="ar-SA"/>
        </w:rPr>
        <w:t xml:space="preserve">. </w:t>
      </w:r>
      <w:bookmarkStart w:id="688" w:name="pg15019_190983"/>
    </w:p>
    <w:p>
      <w:pPr>
        <w:pStyle w:val="BookText"/>
        <w:rPr/>
      </w:pPr>
      <w:bookmarkEnd w:id="688"/>
      <w:r>
        <w:rPr>
          <w:rFonts w:ascii="Amiri" w:hAnsi="Amiri" w:eastAsia="Amiri" w:cs="Amiri"/>
          <w:color w:val="111111"/>
          <w:sz w:val="28"/>
          <w:sz w:val="28"/>
          <w:szCs w:val="28"/>
          <w:rtl w:val="true"/>
          <w:lang w:bidi="ar-SA"/>
        </w:rPr>
        <w:t xml:space="preserve">وبما ذكرنا ينحلّ الإشكال الثاني ؛ لما عرفت من لزوم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المتجاوز ؛ للقرائن المتقدّمة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جميع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الجمع بين شتات الروايات ، لا يمكن إلاّ بما ذهب إليه المشهور ، ولا يلزم منه شيء مخالف لارتكاز العقلاء في الجمع بينها </w:t>
      </w:r>
      <w:r>
        <w:rPr>
          <w:rFonts w:eastAsia="Amiri" w:cs="Amiri" w:ascii="Amiri" w:hAnsi="Amiri"/>
          <w:color w:val="111111"/>
          <w:sz w:val="28"/>
          <w:szCs w:val="28"/>
          <w:rtl w:val="true"/>
          <w:lang w:bidi="ar-SA"/>
        </w:rPr>
        <w:t>.</w:t>
      </w:r>
    </w:p>
    <w:p>
      <w:pPr>
        <w:pStyle w:val="Heading6"/>
        <w:numPr>
          <w:ilvl w:val="5"/>
          <w:numId w:val="1"/>
        </w:numPr>
        <w:rPr/>
      </w:pPr>
      <w:bookmarkStart w:id="689" w:name="__RefHeading___Toc686664_3406789950"/>
      <w:bookmarkStart w:id="690" w:name="_Toc250"/>
      <w:bookmarkEnd w:id="689"/>
      <w:r>
        <w:rPr>
          <w:rtl w:val="true"/>
        </w:rPr>
        <w:t>وجوب الغسل بنحو الوجوب الشرطي المتقدّم لجميع الصلوات</w:t>
      </w:r>
      <w:bookmarkEnd w:id="690"/>
    </w:p>
    <w:p>
      <w:p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الاحتمال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الغسل واجباً نفسياً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واجباً شرطياً لصلاة الغداة ، فلو صارت متوسّطة بعد صلاة الفجر ، لم يجب عليها الغسل لسائر الصلوات وإن وجب لصلاة الغداة المستقبلة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شرطاً للصلوات إذا حصل الدم وقت صلاة الغداة ؛ بمعنى أنّ ظهور الدم في ذلك الوقت ، حدث أكبر ولو حدث بعد صلاة الغداة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واجباً شرطياً لجميع الصلوات ، لكن لا بمعنى وجوب إيجاده قبلها ، بل بمعنى وجوب إيجاده في اليوم والليلة مرّة ، فيكون شرطاً متقدّماً للصلاة المتأخّرة ، ومتأخّراً للصلاة المتقدّمة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شرطاً متقدّماً لجميع الصلوات ؛ بمعنى أ نّه إذا حدث الدم قبل صلاة الفجر يجب الغسل قبلها ، ويكون شرطاً لسائر الصلوات أيضاً ، فلو تركته بطل جميع صلواتها ، ولو حدث بعد صلاة الغداة يجب عليها الغسل لسائر الصلوات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من الاحتمالات </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إشكال في أنّ الظاهر من الأدلّة هو الاحتمال الأخير ؛ فإنّ قوله في صحيحة زرارة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جاز الدم الكرسف تعصّبت واغتسلت ، ثمّ صلّت الغداة </w:t>
      </w:r>
    </w:p>
    <w:p>
      <w:pPr>
        <w:pStyle w:val="BookText"/>
        <w:rPr/>
      </w:pPr>
      <w:r>
        <w:rPr>
          <w:rFonts w:ascii="Amiri" w:hAnsi="Amiri" w:eastAsia="Amiri" w:cs="Amiri"/>
          <w:color w:val="111111"/>
          <w:sz w:val="28"/>
          <w:sz w:val="28"/>
          <w:szCs w:val="28"/>
          <w:rtl w:val="true"/>
          <w:lang w:bidi="ar-SA"/>
        </w:rPr>
        <w:t>بغسل ، والظهر والعصر بغسل ، والمغرب والعشاء بغسل ، وإن لم يجز الدم</w:t>
      </w:r>
    </w:p>
    <w:p>
      <w:pPr>
        <w:pStyle w:val="BookText"/>
        <w:rPr/>
      </w:pPr>
      <w:r>
        <w:rPr>
          <w:rFonts w:ascii="Amiri" w:hAnsi="Amiri" w:eastAsia="Amiri" w:cs="Amiri"/>
          <w:color w:val="111111"/>
          <w:sz w:val="28"/>
          <w:sz w:val="28"/>
          <w:szCs w:val="28"/>
          <w:rtl w:val="true"/>
          <w:lang w:bidi="ar-SA"/>
        </w:rPr>
        <w:t>الكرسف صلّت بغسل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الوجوب الشرطي ؛ وأنّ تلك الصلوات التي تصلّيها المستحاضة الكبرى بالأغسال الثلاثة وتكون الأغسال شرطاً لها ، تصلّيها الوسطى بغسل واحد ، ويكون هو شرطاً لها ، 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صلّت الصبح والظهرين والعشاءين ، ولا معنى لاختصاصه بالغداة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وجه لاحتمال كون الحدث إذا وجد في وقت الصبح كان أكبر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في فهم العرف من مقابلة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صلّت بغسل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صلّت الغداة بغسل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آخره أ نّها تصلّي تلك الصلوات بغسل واحد ،</w:t>
      </w:r>
    </w:p>
    <w:p>
      <w:pPr>
        <w:pStyle w:val="BookText"/>
        <w:rPr/>
      </w:pPr>
      <w:r>
        <w:rPr>
          <w:rFonts w:ascii="Amiri" w:hAnsi="Amiri" w:eastAsia="Amiri" w:cs="Amiri"/>
          <w:color w:val="111111"/>
          <w:sz w:val="28"/>
          <w:sz w:val="28"/>
          <w:szCs w:val="28"/>
          <w:rtl w:val="true"/>
          <w:lang w:bidi="ar-SA"/>
        </w:rPr>
        <w:t xml:space="preserve">ويكون الغسل الواحد من الصلوات بمنزلة الأغسال الثلاثة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واحتمال أن يكون شرطاً لمجموعها من حيث المجموع ؛ بحيث لو حدث الدم بعد الغداة لم يكن حدثاً ، ولا الغسل شرطاً ، بعيد جدّاً ، بل مقطوع الخلاف بعد كون كلّ صلاة مستقلّة في الوجوب والشرائط والموانع </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الكلام في موثّقتي سماعة ؛ فإنّ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المستحاضة إذا ثقب الدم الكرسف اغتسلت لكلّ صلاتين ، وللفجر غسلاً ، وإن لم يجز الدم الكرسف فعليها الغسل لكلّ يوم مرّة ، والوضوء لكلّ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أنّ الغسل الواحد للوسطى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كالأغسال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يكون بملاحظة الصلوات وشرطاً فيها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يوم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مقابل الأغسال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أنّ الغسل الواحد في كلّ يوم مرّة إنّما هو للصلوات اليومية ، لا لنفس اليوم ، ولا إشكال في فهم العرف منهما ومن صحيحة زرارة ، الشرطَ المتقدّم لكلّ صلاة ؛ لأنّ الشرط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خلاف ارتكاز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 للمتفاهم من </w:t>
      </w:r>
      <w:bookmarkStart w:id="691" w:name="pg15019_190985"/>
    </w:p>
    <w:p>
      <w:pPr>
        <w:pStyle w:val="BookText"/>
        <w:rPr/>
      </w:pPr>
      <w:bookmarkEnd w:id="691"/>
      <w:r>
        <w:rPr>
          <w:rFonts w:ascii="IRNazanin" w:hAnsi="IRNazanin" w:eastAsia="IRNazanin"/>
          <w:color w:val="111111"/>
          <w:sz w:val="28"/>
          <w:sz w:val="28"/>
          <w:szCs w:val="28"/>
          <w:rtl w:val="true"/>
          <w:lang w:bidi="fa-IR"/>
        </w:rPr>
        <w:t xml:space="preserve">مثل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صلّت بغسل واحد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فهم العرف من تلك الروايات ، اشتراطَ جميع الصلوات اليومية بالغسل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مخالفة ذلك لفتاوى الأصحاب كما قيل فلقد أجاب عنها الشيخ الأعظم</w:t>
      </w:r>
      <w:r>
        <w:rPr>
          <w:rStyle w:val="FootnoteAnchor"/>
          <w:rtl w:val="true"/>
        </w:rPr>
        <w:footnoteReference w:id="1190"/>
      </w:r>
      <w:r>
        <w:rPr>
          <w:rFonts w:ascii="IRNazanin" w:hAnsi="IRNazanin" w:eastAsia="IRNazanin"/>
          <w:color w:val="111111"/>
          <w:sz w:val="28"/>
          <w:sz w:val="28"/>
          <w:szCs w:val="28"/>
          <w:rtl w:val="true"/>
          <w:lang w:bidi="fa-IR"/>
        </w:rPr>
        <w:t xml:space="preserve">وأجاد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فرض عدم الوثوق بمراد القوم ممّا أفاده رحمه الله علیه فلا أقلّ من احتماله احتمالاً معتدّاً به ، ومعه لا يجوز رفع اليد عن ظواهر الأدلّة </w:t>
      </w:r>
      <w:r>
        <w:rPr>
          <w:rFonts w:eastAsia="IRNazanin" w:cs="IRNazanin"/>
          <w:color w:val="111111"/>
          <w:sz w:val="28"/>
          <w:szCs w:val="28"/>
          <w:rtl w:val="true"/>
          <w:lang w:bidi="fa-IR"/>
        </w:rPr>
        <w:t>.</w:t>
      </w:r>
    </w:p>
    <w:p>
      <w:pPr>
        <w:pStyle w:val="Heading6"/>
        <w:numPr>
          <w:ilvl w:val="5"/>
          <w:numId w:val="1"/>
        </w:numPr>
        <w:rPr/>
      </w:pPr>
      <w:bookmarkStart w:id="692" w:name="__RefHeading___Toc686666_3406789950"/>
      <w:bookmarkStart w:id="693" w:name="_Toc251"/>
      <w:bookmarkEnd w:id="692"/>
      <w:r>
        <w:rPr>
          <w:rtl w:val="true"/>
        </w:rPr>
        <w:t>حكم الاستحاضة الكثيرة</w:t>
      </w:r>
      <w:bookmarkEnd w:id="693"/>
    </w:p>
    <w:p>
      <w:pPr>
        <w:pStyle w:val="Heading6"/>
        <w:numPr>
          <w:ilvl w:val="5"/>
          <w:numId w:val="1"/>
        </w:numPr>
        <w:rPr/>
      </w:pPr>
      <w:bookmarkStart w:id="694" w:name="__RefHeading___Toc686668_3406789950"/>
      <w:bookmarkStart w:id="695" w:name="_Toc252"/>
      <w:bookmarkEnd w:id="694"/>
      <w:r>
        <w:rPr>
          <w:rtl w:val="true"/>
        </w:rPr>
        <w:t>اشارة</w:t>
      </w:r>
      <w:bookmarkEnd w:id="6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تبديل القطنة ونحوها</w:t>
      </w:r>
    </w:p>
    <w:p>
      <w:pPr>
        <w:pStyle w:val="BookText"/>
        <w:rPr/>
      </w:pPr>
      <w:r>
        <w:rPr>
          <w:rFonts w:ascii="Amiri" w:hAnsi="Amiri" w:eastAsia="Amiri" w:cs="Amiri"/>
          <w:color w:val="111111"/>
          <w:sz w:val="28"/>
          <w:sz w:val="28"/>
          <w:szCs w:val="28"/>
          <w:rtl w:val="true"/>
          <w:lang w:bidi="ar-SA"/>
        </w:rPr>
        <w:t xml:space="preserve">وأمّا القسم الثالث ؛ أي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فيه تبديل القطنة والخرقة وكلّ ما تلوّث بالدم بلا إشكال ؛ لما ذكرنا في المتوسّطة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فهم العرف من ثبوت الحكم للقليلة ثبوتَه لها ، وكذا الحال في الكثيرة ؛ ضرورة أنّ وجوب تبديل القطنة التي تلوّث شيء منها ، دليل على مانعية هذا الدم عن الصلاة ولو كان قليلاً وفي الباطن ، فضلاً عمّا كان كثيراً وفي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يعلم لزوم تبديل الخرقة وكلّ ما تلوّث بالدم ؛ كلّ ذلك لفهم العرف من حكم القليلة مانعيةَ هذا الدم مطلقاً </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الأدلّة الدالّة على لزوم تبديل الكرسف إذا ظهر الدم عليه</w:t>
      </w:r>
      <w:r>
        <w:rPr>
          <w:rStyle w:val="FootnoteAnchor"/>
          <w:rtl w:val="true"/>
        </w:rPr>
        <w:footnoteReference w:id="1191"/>
      </w:r>
      <w:r>
        <w:rPr>
          <w:rFonts w:ascii="Amiri" w:hAnsi="Amiri" w:eastAsia="Amiri" w:cs="Amiri"/>
          <w:color w:val="111111"/>
          <w:sz w:val="28"/>
          <w:sz w:val="28"/>
          <w:szCs w:val="28"/>
          <w:rtl w:val="true"/>
          <w:lang w:bidi="ar-SA"/>
        </w:rPr>
        <w:t xml:space="preserve">؛ فإنّ الظاهر منها أنّ ظهوره عليه مانع عن الصلاة ، ويصدق في الكثيرة أنّ الدم </w:t>
      </w:r>
    </w:p>
    <w:p>
      <w:pPr>
        <w:pStyle w:val="BookText"/>
        <w:rPr/>
      </w:pPr>
      <w:r>
        <w:rPr>
          <w:rFonts w:ascii="Amiri" w:hAnsi="Amiri" w:eastAsia="Amiri" w:cs="Amiri"/>
          <w:color w:val="111111"/>
          <w:sz w:val="28"/>
          <w:sz w:val="28"/>
          <w:szCs w:val="28"/>
          <w:rtl w:val="true"/>
          <w:lang w:bidi="ar-SA"/>
        </w:rPr>
        <w:t xml:space="preserve">ظهر على الكرسف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اختصاص الأدلّة بالمتوسّطة ، فلا إشكال في فهم العرف منها حكم الكثيرة أيضاً بإلغاء الخصوصية ، كما يفهم منها مانعيته مطلقاً ؛ سواء كان في الكرسف أو في غيره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الغسل والوضوء</w:t>
      </w:r>
    </w:p>
    <w:p>
      <w:pPr>
        <w:pStyle w:val="BookText"/>
        <w:rPr/>
      </w:pPr>
      <w:r>
        <w:rPr>
          <w:rFonts w:ascii="Amiri" w:hAnsi="Amiri" w:eastAsia="Amiri" w:cs="Amiri"/>
          <w:color w:val="111111"/>
          <w:sz w:val="28"/>
          <w:sz w:val="28"/>
          <w:szCs w:val="28"/>
          <w:rtl w:val="true"/>
          <w:lang w:bidi="ar-SA"/>
        </w:rPr>
        <w:t xml:space="preserve">وأمّا الوضوء فهل يجب لكلّ صلاة ،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Style w:val="FootnoteAnchor"/>
          <w:rtl w:val="true"/>
        </w:rPr>
        <w:footnoteReference w:id="1192"/>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الشهرة</w:t>
      </w:r>
      <w:r>
        <w:rPr>
          <w:rStyle w:val="FootnoteAnchor"/>
          <w:rtl w:val="true"/>
        </w:rPr>
        <w:footnoteReference w:id="1193"/>
      </w:r>
      <w:r>
        <w:rPr>
          <w:rFonts w:ascii="IRNazanin" w:hAnsi="IRNazanin" w:eastAsia="IRNazanin"/>
          <w:color w:val="111111"/>
          <w:sz w:val="28"/>
          <w:sz w:val="28"/>
          <w:szCs w:val="28"/>
          <w:rtl w:val="true"/>
          <w:lang w:bidi="fa-IR"/>
        </w:rPr>
        <w:t xml:space="preserve">، وهو المنقول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Style w:val="FootnoteAnchor"/>
          <w:rtl w:val="true"/>
        </w:rPr>
        <w:footnoteReference w:id="1194"/>
      </w:r>
      <w:r>
        <w:rPr>
          <w:rFonts w:ascii="Amiri" w:hAnsi="Amiri" w:eastAsia="Amiri" w:cs="Amiri"/>
          <w:color w:val="111111"/>
          <w:sz w:val="28"/>
          <w:sz w:val="28"/>
          <w:szCs w:val="28"/>
          <w:rtl w:val="true"/>
          <w:lang w:bidi="ar-SA"/>
        </w:rPr>
        <w:t>وكتب العلاّمة</w:t>
      </w:r>
      <w:r>
        <w:rPr>
          <w:rStyle w:val="FootnoteAnchor"/>
          <w:rtl w:val="true"/>
        </w:rPr>
        <w:footnoteReference w:id="1195"/>
      </w:r>
      <w:r>
        <w:rPr>
          <w:rFonts w:ascii="Amiri" w:hAnsi="Amiri" w:eastAsia="Amiri" w:cs="Amiri"/>
          <w:color w:val="111111"/>
          <w:sz w:val="28"/>
          <w:sz w:val="28"/>
          <w:szCs w:val="28"/>
          <w:rtl w:val="true"/>
          <w:lang w:bidi="ar-SA"/>
        </w:rPr>
        <w:t>والشهيدين</w:t>
      </w:r>
      <w:r>
        <w:rPr>
          <w:rStyle w:val="FootnoteAnchor"/>
          <w:rtl w:val="true"/>
        </w:rPr>
        <w:footnoteReference w:id="1196"/>
      </w:r>
      <w:r>
        <w:rPr>
          <w:rFonts w:ascii="Amiri" w:hAnsi="Amiri" w:eastAsia="Amiri" w:cs="Amiri"/>
          <w:color w:val="111111"/>
          <w:sz w:val="28"/>
          <w:sz w:val="28"/>
          <w:szCs w:val="28"/>
          <w:rtl w:val="true"/>
          <w:lang w:bidi="ar-SA"/>
        </w:rPr>
        <w:t>والمحقّق الثاني</w:t>
      </w:r>
      <w:r>
        <w:rPr>
          <w:rStyle w:val="FootnoteAnchor"/>
          <w:rtl w:val="true"/>
        </w:rPr>
        <w:footnoteReference w:id="1197"/>
      </w:r>
      <w:r>
        <w:rPr>
          <w:rFonts w:ascii="IRNazanin" w:hAnsi="IRNazanin" w:eastAsia="IRNazanin"/>
          <w:color w:val="111111"/>
          <w:sz w:val="28"/>
          <w:sz w:val="28"/>
          <w:szCs w:val="28"/>
          <w:rtl w:val="true"/>
          <w:lang w:bidi="fa-IR"/>
        </w:rPr>
        <w:t xml:space="preserve">وهو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Style w:val="FootnoteAnchor"/>
          <w:rtl w:val="true"/>
        </w:rPr>
        <w:footnoteReference w:id="1198"/>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 عليه عامّة المتأخّرين</w:t>
      </w:r>
      <w:r>
        <w:rPr>
          <w:rFonts w:eastAsia="Amiri" w:cs="Amiri" w:ascii="Amiri" w:hAnsi="Amiri"/>
          <w:color w:val="111111"/>
          <w:sz w:val="28"/>
          <w:szCs w:val="28"/>
          <w:rtl w:val="true"/>
          <w:lang w:bidi="ar-SA"/>
        </w:rPr>
        <w:t>»</w:t>
      </w:r>
      <w:r>
        <w:rPr>
          <w:rStyle w:val="FootnoteAnchor"/>
          <w:rtl w:val="true"/>
        </w:rPr>
        <w:footnoteReference w:id="1199"/>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عليه جمهور المتأخّرين</w:t>
      </w:r>
      <w:r>
        <w:rPr>
          <w:rFonts w:eastAsia="Amiri" w:cs="Amiri" w:ascii="Amiri" w:hAnsi="Amiri"/>
          <w:color w:val="111111"/>
          <w:sz w:val="28"/>
          <w:szCs w:val="28"/>
          <w:rtl w:val="true"/>
          <w:lang w:bidi="ar-SA"/>
        </w:rPr>
        <w:t>»</w:t>
      </w:r>
      <w:r>
        <w:rPr>
          <w:rStyle w:val="FootnoteAnchor"/>
          <w:rtl w:val="true"/>
        </w:rPr>
        <w:footnoteReference w:id="1200"/>
      </w:r>
      <w:r>
        <w:rPr>
          <w:rFonts w:ascii="IRNazanin" w:hAnsi="IRNazanin" w:eastAsia="IRNazanin"/>
          <w:color w:val="111111"/>
          <w:sz w:val="28"/>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لا يجب مطلقاً وتكفي الأغسال عنه ، كما عن ظاهر الصدوقين وعن السيّد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وابني زهرة وحمزة والحلبي والقاضي وسلاّر</w:t>
      </w:r>
      <w:r>
        <w:rPr>
          <w:rStyle w:val="FootnoteAnchor"/>
          <w:rtl w:val="true"/>
        </w:rPr>
        <w:footnoteReference w:id="120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يجب مع كلّ غسل ،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طاوس وشارح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20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عدم ذهاب أحد من طائفتنا إلى وجوب الوضوء لكلّ صلاة ، ونسبة من ذهب إلى ذلك إلى الغلط</w:t>
      </w:r>
      <w:r>
        <w:rPr>
          <w:rStyle w:val="FootnoteAnchor"/>
          <w:rtl w:val="true"/>
        </w:rPr>
        <w:footnoteReference w:id="1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منه غريب بعد ذهاب من عرفت إليه ، وقد اختاره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وإلى القول الأخير ذهب شيخنا الأعظم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دليل على وجوبه لكلّ</w:t>
      </w:r>
    </w:p>
    <w:p>
      <w:pPr>
        <w:pStyle w:val="BookText"/>
        <w:rPr/>
      </w:pP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w:t>
      </w:r>
      <w:r>
        <w:rPr>
          <w:rStyle w:val="FootnoteAnchor"/>
          <w:rtl w:val="true"/>
        </w:rPr>
        <w:footnoteReference w:id="1204"/>
      </w:r>
      <w:r>
        <w:rPr>
          <w:rFonts w:ascii="Amiri" w:hAnsi="Amiri" w:eastAsia="Amiri" w:cs="Amiri"/>
          <w:color w:val="111111"/>
          <w:sz w:val="28"/>
          <w:sz w:val="28"/>
          <w:szCs w:val="28"/>
          <w:rtl w:val="true"/>
          <w:lang w:bidi="ar-SA"/>
        </w:rPr>
        <w:t>، وقد حقّق في محلّه عدم إجزاء غسل عن الوضوء إلاّ غسل الجنابة</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عدم وجوبه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ورود الأدلّة الكثيرة المطلقة في مقام البيان مع السكوت عن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والأخذ بها أولى من الأخذ بظاهر مثل رواية يونس</w:t>
      </w:r>
      <w:r>
        <w:rPr>
          <w:rStyle w:val="FootnoteAnchor"/>
          <w:rtl w:val="true"/>
        </w:rPr>
        <w:footnoteReference w:id="1206"/>
      </w:r>
      <w:r>
        <w:rPr>
          <w:rFonts w:ascii="Amiri" w:hAnsi="Amiri" w:eastAsia="Amiri" w:cs="Amiri"/>
          <w:color w:val="111111"/>
          <w:sz w:val="28"/>
          <w:sz w:val="28"/>
          <w:szCs w:val="28"/>
          <w:rtl w:val="true"/>
          <w:lang w:bidi="ar-SA"/>
        </w:rPr>
        <w:t xml:space="preserve">على فرض تسليم ظهورها ، وقد أنكر الشيخ الأعظم ظهورها بدعوى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فلتدع الصلاة أيّام أقرائها ، ثمّ تغتسل وتتوضّأ لكلّ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سال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سال مثل المَثْعَب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ممّا يتوهّم كونه بملاحظة ذيله ، نصّاً في أنّ الوضوء لكلّ صلاة حتّى في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الوجوب ؛ لأنّ الغسل فيه هو غسل الاستحاضة ، وإلاّ لزم إهمال ما هو الأهمّ ، ويكون الظرف متعلّقاً بمجموع الجملتين ، فحينئذٍ لا محيص عن الحمل على الاستحباب ؛ لعدم وجوب الغسل لكلّ صلاة إجماعاً</w:t>
      </w:r>
      <w:r>
        <w:rPr>
          <w:rFonts w:eastAsia="Amiri" w:cs="Amiri" w:ascii="Amiri" w:hAnsi="Amiri"/>
          <w:color w:val="111111"/>
          <w:sz w:val="28"/>
          <w:szCs w:val="28"/>
          <w:rtl w:val="true"/>
          <w:lang w:bidi="ar-SA"/>
        </w:rPr>
        <w:t>»</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ما فيه ؛ فإنّ الظاهر أنّ الغسل الوارد في تلك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غسل الحيض ، وأنت إذا تفحّصت الروايات الواردة في باب المستحاضة ، لا يبقى لك ريب في أنّ الاغتسال الوارد في المرسلة ، هو الاغتسال من الحيض ، وترك بيان غسل الحيض ليس بأهون من ترك بيان غسل الاستحاضة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تعلّق الظرف بالجملتين محلّ إشكال ، ودعوى الظهور في محلّ المنع ، بل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تعلّقه بالجملة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 ظهور تعلّقه بهما ، فقيام الدليل الخارجي على عدم وجوب الغسل لكلّ صلاة ، لا يوجب عدم ظهور ذلك في لزوم الوضوء لكلّ 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أ نّه لو سلّم جميع ما أفاد ، فلا</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يصير مدّعاه ثابتاً إلاّ بتقديم ما دلّ على عدم إجزاء غير غسل الجنابة عن الوضوء ، على الإطلاقات الواردة في مقام البيان ، وهو محلّ تأمّل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اختار بعض أهل التحقيق عدم الوضوء عليها مطلقاً ، وأجاب عن المرسلة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المراد من الأمر بالغسل فيها هو غسل الحيض ، والمراد من تعميم الحكم إنّما هو في أ نّها تصلّي في مقابل أيّام قرئها ، لا أ نّها تصلّي بعد غسل الحيض بالوضوء مطلقاً ، وليس الكلام في هذا المقام لبيان تكليف المستحاضة إلاّ في الجملة ، فلا ينافيه الإهمال</w:t>
      </w:r>
      <w:r>
        <w:rPr>
          <w:rFonts w:eastAsia="Amiri" w:cs="Amiri" w:ascii="Amiri" w:hAnsi="Amiri"/>
          <w:color w:val="111111"/>
          <w:sz w:val="28"/>
          <w:szCs w:val="28"/>
          <w:rtl w:val="true"/>
          <w:lang w:bidi="ar-SA"/>
        </w:rPr>
        <w:t>»</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وأنت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ظاهر المرسلة هو رجوع التعميم إلى الوضوء لكلّ صلاة ؛ فإنّ وجوب أصل الصلاة ليس مورد العناية في الكلام ، بل ما هو مورد البيان والعناية هو الاغتسال والوضوء لكلّ صلاة ، وإنّما يفهم لزوم الصلاة عليها بالتبع ، ورجوع التعميم إلى ما هو مورد البيان أولى ، أو متعيّن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كان الاستبعاد بالنسبة إلى الوضوء لكلّ صلاة في غير محلّه ، وإلى أصل الصلاة في محلّه ، لم يكن بدّ من رفع اليد عن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استبعاد الوضوء في صورة سيلان الدم الذي هو حدث في محلّه ، بل أولى من استبعاد أصل الصلاة ؛ فإنّ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الأدلّة وارتكاز المتشرّعة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لرفع الحدث ،</w:t>
      </w:r>
    </w:p>
    <w:p>
      <w:pPr>
        <w:pStyle w:val="BookText"/>
        <w:rPr/>
      </w:pPr>
      <w:r>
        <w:rPr>
          <w:rFonts w:ascii="Amiri" w:hAnsi="Amiri" w:eastAsia="Amiri" w:cs="Amiri"/>
          <w:color w:val="111111"/>
          <w:sz w:val="28"/>
          <w:sz w:val="28"/>
          <w:szCs w:val="28"/>
          <w:rtl w:val="true"/>
          <w:lang w:bidi="ar-SA"/>
        </w:rPr>
        <w:t xml:space="preserve">وبعد كون الحدث سائلاً دائماً ، يكون إيجاد الرافع في نظر السائل أمراً غريباً مستبعداً ، فسأل عنه وأجاب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 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تتوضّأ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وإن سال مثل المثعب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ظهور المرسلة في وجوب الوضوء لكلّ صلاة ، ممّا لا ينبغي إنكاره </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يبقى الكلام في أنّ حمل هذا الظاهر على الاستحباب أولى ، أو تقييد الإطلاقات الواردة في مقام البيان ؟ </w:t>
      </w:r>
    </w:p>
    <w:p>
      <w:pPr>
        <w:pStyle w:val="BookText"/>
        <w:rPr/>
      </w:pPr>
      <w:r>
        <w:rPr>
          <w:rFonts w:ascii="Amiri" w:hAnsi="Amiri" w:eastAsia="Amiri" w:cs="Amiri"/>
          <w:color w:val="111111"/>
          <w:sz w:val="28"/>
          <w:sz w:val="28"/>
          <w:szCs w:val="28"/>
          <w:rtl w:val="true"/>
          <w:lang w:bidi="ar-SA"/>
        </w:rPr>
        <w:t>وقد يدّعى ورود الأخبار المستفيضة التي كادت أن تكون متواترة في مقام</w:t>
      </w:r>
    </w:p>
    <w:p>
      <w:pPr>
        <w:pStyle w:val="BookText"/>
        <w:rPr/>
      </w:pPr>
      <w:r>
        <w:rPr>
          <w:rFonts w:ascii="Amiri" w:hAnsi="Amiri" w:eastAsia="Amiri" w:cs="Amiri"/>
          <w:color w:val="111111"/>
          <w:sz w:val="28"/>
          <w:sz w:val="28"/>
          <w:szCs w:val="28"/>
          <w:rtl w:val="true"/>
          <w:lang w:bidi="ar-SA"/>
        </w:rPr>
        <w:t>بيان تكليف المستحاضة ساكتةً عن الوضوء ، والالتزام بإهمال هذه الروايات من هذه الجهة في غاية الإشكال ، ورفع اليد عن ظهور المرسلة متعيّن</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كون الالتزام بإهمال الروايات بأسرها في غاية الإشكال فحقّ ، لكن لا يلزم من ذلك كون جميع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يدّعى استفاضتها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البيان ؛ حتّى نستوحش من ورود الروايات المستفيضة في مقام البيان ، مع عدم ذكر الوضوء لكلّ 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الناظر في الروايات والمتأمِّل فيها ، لا يرى فيها ما هي في مقام البيان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موثّقة سماعة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السالمة عن المناقشة ؛ حيث ذكر فيها الغسل الواحد والوضوء لكلّ صلاة في المتوسّطة ، والوضوء فقط للصفرة المحمولة على القليلة ، وفي مقابلهما ذكر الكثيرة ؛ وأوجب فيها الغسل لكلّ صلاتين وللفجر ، ولو كانت من جهة الوضوء في مقام الإهمال لما ذكره في المتوسّطة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إنكار كونها مطلقة في مقام البيان في غير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منها موثّقته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سائر الروايات فلا تخلو من مناقشة في سندها أو إطلاقها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 اليد عن إطلاق رواية أو روايتين بظهور رواية اُخرى ليس بعزيز ، بل مبنى فقه الإسلام على تقييد الإطلاقات وتخصيص العمومات </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المطلقات على ضربين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المطلقات الملقاة على أصحاب الكتب والاُصول ، وهي كثيرة وعليها مدار الفقه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يلقى على غيرهم ممّن كان محتاجاً في مقام 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إشكال في أنّ رفع اليد عن الضرب الثاني بورود أمر أو نهي أو مثلهما غير ممكن ؛ للزوم تأخير البيان عن وقت الحاجة ، بخلاف الضرب الأوّل ؛ فإنّ إلقاء الإطلاقات والعمومات على أصحاب الكتب والاُصول إلى ما شاء اللّه ، مع بيان مقيّداتها ومخصّصاتها منفصلةً ببيان مستقلّ لأغراض ومصالح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باب الاجتهاد والدراسة ، وفيهما من البركات وتشييد أركان الدين إلى ما شاء اللّه ، ففيها يكون تقييد المطلق وتخصيص العامّ رائجاً هيّناً ، عليه بناء فقه الإسلام ، ورفع اليد عنه مستلزم لتأسيس فقه جديد ، كما لا يخفى على المتتبّع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لا نستبعد فيها تقييد مطلقات كثيرة بمقيّد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وهاهنا كلام آخر في باب المطلقات الكثيرة نطوي عنه كشحاً ؛ حذراً من التطويل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كان ذيل مرسلة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وتحيّضي في كلّ شهر في علم اللّه ستّة أيّام أو سبعة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واغتسلي للفجر غسلاً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في مقام البيان لكان رفع اليد عنه مشكلاً ، بل كان حمل الأمر على الاستحباب متعيّناً </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الشأن في إطلاقه ؛ فإنّ الظاهر من صدر المرسلة إلى ذيلها ، أنّ عناية أبي عبداللّه علیه السلام في نقل كلام رسول اللّه صلی الله علیه و آله وسلم وأبي جعفر علیه السلام إنّما هي للاستشهاد بهما للسنن الثلاث ؛ وأنّ ذات الأقراء سنّتها الرجوع إلى أقرائها ، </w:t>
      </w:r>
    </w:p>
    <w:p>
      <w:pPr>
        <w:pStyle w:val="BookText"/>
        <w:rPr/>
      </w:pPr>
      <w:r>
        <w:rPr>
          <w:rFonts w:ascii="IRNazanin" w:hAnsi="IRNazanin" w:eastAsia="IRNazanin"/>
          <w:color w:val="111111"/>
          <w:sz w:val="28"/>
          <w:sz w:val="28"/>
          <w:szCs w:val="28"/>
          <w:rtl w:val="true"/>
          <w:lang w:bidi="fa-IR"/>
        </w:rPr>
        <w:t xml:space="preserve">وذات التمييز إلى التمييز ، وغيرهما إلى السبعة والثلاثة والعشرين ؛ من غير أن يكون نظره إلى بيان تكليف المستحاضة ، وإنّما ذكر بعض تكاليفها ضمناً واستطراداً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نقل مقالة رسول اللّه صلی الله علیه و آله وسلم في القضايا الثلاث ، إنّما هو بداعي الاستشهاد للمقصود المتقدّم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يكن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سياق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مقام بيان جميع خصوصيات قصّتي فاطمة وحمنة إلاّ ما له دخل في مقصوده ، فذكر الأغسال الثلاثة لا يدلّ على كونه بصدد بيان جميع الخصوصيات ، فحينئذٍ يمكن أنّ حمنة كانت عالمة بتكليف الوضوء للاستحاضة الكثيرة ، وإنّما راجعت رسول اللّه صلی الله علیه و آله وسلم لبيان حالها من شدّة الاستحاضة ، كما يظهر من قصّتها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يظهر من المرسلة كون أبي عبداللّه علیه السلام في مقام بيان القصّة بخصوصياتها ، ولا كون رسول اللّه صلی الله علیه و آله وسلم في مقام بيان جميع تكاليفها ؛ فإنّها قضيّة شخصية يمكن أن يكون رسول اللّه صلی الله علیه و آله وسلم عالماً بحال حمنة وبعلمها بلزوم الوضوء ، خصوصاً بالنظر إلى كونها اُخت زينب بنت جحش زوجته صلی الله علیه و 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فتحصَّل من جميع ذلك لزوم الوضوء عليها مع كلّ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ينبغي مراعاة الاحتياط بإتيان الوضوء في خلال الإقامة </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التنبيه على اُمور </w:t>
      </w:r>
      <w:r>
        <w:rPr>
          <w:rFonts w:eastAsia="Amiri" w:cs="Amiri" w:ascii="Amiri" w:hAnsi="Amiri"/>
          <w:color w:val="111111"/>
          <w:sz w:val="28"/>
          <w:szCs w:val="28"/>
          <w:rtl w:val="true"/>
          <w:lang w:bidi="ar-SA"/>
        </w:rPr>
        <w:t xml:space="preserve">: </w:t>
      </w:r>
      <w:bookmarkStart w:id="696" w:name="pg15019_190993"/>
    </w:p>
    <w:p>
      <w:pPr>
        <w:pStyle w:val="Heading6"/>
        <w:numPr>
          <w:ilvl w:val="5"/>
          <w:numId w:val="1"/>
        </w:numPr>
        <w:rPr/>
      </w:pPr>
      <w:bookmarkStart w:id="697" w:name="__RefHeading___Toc686670_3406789950"/>
      <w:bookmarkStart w:id="698" w:name="_Toc253"/>
      <w:bookmarkEnd w:id="696"/>
      <w:bookmarkEnd w:id="697"/>
      <w:r>
        <w:rPr>
          <w:rtl w:val="true"/>
        </w:rPr>
        <w:t>الأمر الأوّل</w:t>
      </w:r>
      <w:r>
        <w:rPr>
          <w:rtl w:val="true"/>
        </w:rPr>
        <w:t xml:space="preserve">: </w:t>
      </w:r>
      <w:r>
        <w:rPr>
          <w:rtl w:val="true"/>
        </w:rPr>
        <w:t>في أنّ نفس الدم الكثير بذاته موجب للغسل</w:t>
      </w:r>
      <w:bookmarkEnd w:id="698"/>
    </w:p>
    <w:p>
      <w:pPr>
        <w:pStyle w:val="Heading6"/>
        <w:numPr>
          <w:ilvl w:val="5"/>
          <w:numId w:val="1"/>
        </w:numPr>
        <w:rPr/>
      </w:pPr>
      <w:bookmarkStart w:id="699" w:name="__RefHeading___Toc686672_3406789950"/>
      <w:bookmarkStart w:id="700" w:name="_Toc254"/>
      <w:bookmarkEnd w:id="699"/>
      <w:r>
        <w:rPr>
          <w:rtl w:val="true"/>
        </w:rPr>
        <w:t>محتملات ما يوجب الأغسال الثلاثة بحسب التصوّر</w:t>
      </w:r>
      <w:bookmarkEnd w:id="7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يحتمل بحسب التصوّر أن يكون صِرف وجود الدم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 أو في وقت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موجباً للأغسال الثلاثة ؛ ولو فرض حدوثه في أوّل الفجر وانقطاعه ، أو قبل الزوال كذلك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مقابل هذا الاحتمال احتمال كون الموجب لها ، هو الدم المستمرّ في الأوقات الثلاثة ؛ بحيث لو انقطع في وقت العشاء ، كشف عن عدم لزوم الغسل للصبح والظهرين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ويحتمل أن يكون كلّ قطعة من الدم المستمرّ إلى الأوقات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 كلّ 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سبباً ؛ بحيث تكون القطعة الموجودة في الصبح من الدم المستمرّ إلى العشاء ، سبباً لوجوب الغسل للصبح ، والقطعة الموجودة في الظهر منه سبباً للغسل للظهرين ، وهكذا في العشاءين </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ويحتمل أن يكون الدم المستمرّ إلى كلّ وقت سبباً للغسل لفريضته ، لا الحادث ولو في الوقت </w:t>
      </w:r>
      <w:r>
        <w:rPr>
          <w:rFonts w:eastAsia="Amiri" w:cs="Amiri" w:ascii="Amiri" w:hAnsi="Amiri"/>
          <w:color w:val="111111"/>
          <w:sz w:val="28"/>
          <w:szCs w:val="28"/>
          <w:rtl w:val="true"/>
          <w:lang w:bidi="ar-SA"/>
        </w:rPr>
        <w:t xml:space="preserve">. </w:t>
      </w:r>
      <w:bookmarkStart w:id="701" w:name="pg15019_190994"/>
    </w:p>
    <w:p>
      <w:pPr>
        <w:pStyle w:val="BookText"/>
        <w:rPr/>
      </w:pPr>
      <w:bookmarkEnd w:id="701"/>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ويحتمل أن يكون الدم الحادث في كلّ وقت أو المستمرّ إلى كلّ وقت ، سبباً للغسل لفريضة ذلك الوقت ، فإن حدث في الصبح كان سبباً للغسل لفريضته ، وكذا إن حدث في الزوال أو استمرّ إليه ، وكذا في المغرب ، فلو حدث قبل الزوال وانقطع ، ولم يحدث في الزوال ولم يستمرّ إليه ، لم يكن سبباً ، وكذا قبل الغروب للعشاءين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ويحتمل أن يكون صِرف وجوده سبباً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لصِرف وجود الغسل ، فإذا اغتسلت ارتفع حكمه ، فلو حدث قبل الزوال وانقطع وجب عليها الغسل للظهرين ، ولو اغتسلت ارتفع حكمه ، ولم يجب للعشاءين إلاّ إذا حدث بعد الظهرين أو استمرّ إلى ما بعدهما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الكلام في الحدوث بين الغسل أو بعده ، وقبل الفريضة أو بينها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لكلٍّ من الاحتمالات المتقدّمة وجهاً ، ولبعضٍ منها قائلاً يزعم استفادة ما ذهب إليه من أخبار الباب </w:t>
      </w:r>
      <w:r>
        <w:rPr>
          <w:rFonts w:eastAsia="Amiri" w:cs="Amiri" w:ascii="Amiri" w:hAnsi="Amiri"/>
          <w:color w:val="111111"/>
          <w:sz w:val="28"/>
          <w:szCs w:val="28"/>
          <w:rtl w:val="true"/>
          <w:lang w:bidi="ar-SA"/>
        </w:rPr>
        <w:t>.</w:t>
      </w:r>
    </w:p>
    <w:p>
      <w:pPr>
        <w:pStyle w:val="Heading6"/>
        <w:numPr>
          <w:ilvl w:val="5"/>
          <w:numId w:val="1"/>
        </w:numPr>
        <w:rPr/>
      </w:pPr>
      <w:bookmarkStart w:id="702" w:name="__RefHeading___Toc686674_3406789950"/>
      <w:bookmarkStart w:id="703" w:name="_Toc255"/>
      <w:bookmarkEnd w:id="702"/>
      <w:r>
        <w:rPr>
          <w:rtl w:val="true"/>
        </w:rPr>
        <w:t>مناقشة الاحتمال الأوّل</w:t>
      </w:r>
      <w:bookmarkEnd w:id="703"/>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إطلاق الأدلّة هو الوجه الأوّل ، بل مال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مخافة مخالفة الإجماع</w:t>
      </w:r>
      <w:r>
        <w:rPr>
          <w:rStyle w:val="FootnoteAnchor"/>
          <w:rtl w:val="true"/>
        </w:rPr>
        <w:footnoteReference w:id="1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الأعظم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القول لا يرجع إلى محصّل</w:t>
      </w:r>
      <w:r>
        <w:rPr>
          <w:rFonts w:eastAsia="Amiri" w:cs="Amiri" w:ascii="Amiri" w:hAnsi="Amiri"/>
          <w:color w:val="111111"/>
          <w:sz w:val="28"/>
          <w:szCs w:val="28"/>
          <w:rtl w:val="true"/>
          <w:lang w:bidi="ar-SA"/>
        </w:rPr>
        <w:t>»</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ويمكن أن يستدلّ عليه بصحيحة يونس بن يعقوب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p>
    <w:p>
      <w:pPr>
        <w:pStyle w:val="BookText"/>
        <w:rPr/>
      </w:pPr>
      <w:r>
        <w:rPr>
          <w:rFonts w:ascii="IRNazanin" w:hAnsi="IRNazanin" w:eastAsia="IRNazanin"/>
          <w:color w:val="111111"/>
          <w:sz w:val="28"/>
          <w:sz w:val="28"/>
          <w:szCs w:val="28"/>
          <w:rtl w:val="true"/>
          <w:lang w:bidi="fa-IR"/>
        </w:rPr>
        <w:t xml:space="preserve">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رأت الدم في حيضها حتّى تجاوز وقتها ، متى ينبغي لها أن تصلّي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تنتظر عدّتها التي كانت تجلس ، ثمّ تستظهر بعشرة أيّام ، فإن رأت دماً صبيباً فلتغتسل في وقت كلّ صلاة</w:t>
      </w:r>
      <w:r>
        <w:rPr>
          <w:rFonts w:eastAsia="IRNazanin" w:cs="IRNazanin"/>
          <w:color w:val="111111"/>
          <w:sz w:val="28"/>
          <w:szCs w:val="28"/>
          <w:rtl w:val="true"/>
          <w:lang w:bidi="fa-IR"/>
        </w:rPr>
        <w:t>»</w:t>
      </w:r>
      <w:r>
        <w:rPr>
          <w:rStyle w:val="FootnoteAnchor"/>
          <w:rtl w:val="true"/>
        </w:rPr>
        <w:footnoteReference w:id="1213"/>
      </w:r>
      <w:r>
        <w:rPr>
          <w:rFonts w:ascii="Amiri" w:hAnsi="Amiri" w:eastAsia="Amiri" w:cs="Amiri"/>
          <w:color w:val="111111"/>
          <w:sz w:val="28"/>
          <w:sz w:val="28"/>
          <w:szCs w:val="28"/>
          <w:rtl w:val="true"/>
          <w:lang w:bidi="ar-SA"/>
        </w:rPr>
        <w:t xml:space="preserve">؛ حيث دلّت بإطلاقها على أنّ مجرّد رؤية الدم الصبيب ، موجب للأغسال ، فلو رأت دماً صبيباً قبل الفجر ، وجب عليها الاغتسال في وقت الصلوات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سائر الروايات لا ينافيها ؛ فإنّ كون موردها الدم الجاري في الأوقات ، لا يوجب تقييدها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الإطلاق ، كما لا يبعد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في غير صحيحة الصحّاف ، وأمّا هي فمقيّدة لها ، ففيها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الدم إذا أمسكت الكرسف يسيل من خلف الكرسف صبيباً لا يرقأ ، فإنّ عليها أن تغتسل في كلّ يوم وليلة ثلاث مرّات ، وتحتشي وتصلّي وتغتسل للفجر ، وتغتسل للظهر والعصر ، وتغتسل للمغرب والعشاء الآخرة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تفعل المستحاضة ؛ فإنّها إذا فعلت ذلك أذهب اللّه بالدم عنها</w:t>
      </w:r>
      <w:r>
        <w:rPr>
          <w:rFonts w:eastAsia="Amiri" w:cs="Amiri" w:ascii="Amiri" w:hAnsi="Amiri"/>
          <w:color w:val="111111"/>
          <w:sz w:val="28"/>
          <w:szCs w:val="28"/>
          <w:rtl w:val="true"/>
          <w:lang w:bidi="ar-SA"/>
        </w:rPr>
        <w:t>»</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فالتقييد بعدم السكون والانقطاع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يراد منه الاستمرار في الأوقات ، كما يظهر من الرواية إلى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أنّ موضوع الحكم ليس مجرّد كونه صبيباً ، بل الصبيب الذي لا يرقأ ولا يسكن </w:t>
      </w:r>
      <w:r>
        <w:rPr>
          <w:rFonts w:eastAsia="Amiri" w:cs="Amiri" w:ascii="Amiri" w:hAnsi="Amiri"/>
          <w:color w:val="111111"/>
          <w:sz w:val="28"/>
          <w:szCs w:val="28"/>
          <w:rtl w:val="true"/>
          <w:lang w:bidi="ar-SA"/>
        </w:rPr>
        <w:t xml:space="preserve">. </w:t>
      </w:r>
      <w:bookmarkStart w:id="704" w:name="pg15019_190996"/>
    </w:p>
    <w:p>
      <w:pPr>
        <w:pStyle w:val="BookText"/>
        <w:rPr/>
      </w:pPr>
      <w:bookmarkEnd w:id="704"/>
      <w:r>
        <w:rPr>
          <w:rFonts w:ascii="IRNazanin" w:hAnsi="IRNazanin" w:eastAsia="IRNazanin"/>
          <w:color w:val="111111"/>
          <w:sz w:val="28"/>
          <w:sz w:val="28"/>
          <w:szCs w:val="28"/>
          <w:rtl w:val="true"/>
          <w:lang w:bidi="fa-IR"/>
        </w:rPr>
        <w:t xml:space="preserve">كما تشعر أو تدلّ عليه صحيحة محمّد بن مسلم عن أبي جعفر علیه السلام وفيها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صبغ القطنة دم لا ينقطع فلتجمع بين كلّ صلاتين بغسل </w:t>
      </w:r>
      <w:r>
        <w:rPr>
          <w:rFonts w:eastAsia="IRNazanin" w:cs="IRNazanin"/>
          <w:color w:val="111111"/>
          <w:sz w:val="28"/>
          <w:szCs w:val="28"/>
          <w:rtl w:val="true"/>
          <w:lang w:bidi="fa-IR"/>
        </w:rPr>
        <w:t>. . .»</w:t>
      </w:r>
      <w:r>
        <w:rPr>
          <w:rStyle w:val="FootnoteAnchor"/>
          <w:rtl w:val="true"/>
        </w:rPr>
        <w:footnoteReference w:id="1215"/>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مع أنّ الالتزام بلوازم هذا الاحتمال مشكل ، بل ممتنع ؛ لأنّ صِرف وجود</w:t>
      </w:r>
    </w:p>
    <w:p>
      <w:pPr>
        <w:pStyle w:val="BookText"/>
        <w:rPr/>
      </w:pPr>
      <w:r>
        <w:rPr>
          <w:rFonts w:ascii="Amiri" w:hAnsi="Amiri" w:eastAsia="Amiri" w:cs="Amiri"/>
          <w:color w:val="111111"/>
          <w:sz w:val="28"/>
          <w:sz w:val="28"/>
          <w:szCs w:val="28"/>
          <w:rtl w:val="true"/>
          <w:lang w:bidi="ar-SA"/>
        </w:rPr>
        <w:t xml:space="preserve">الدم إذا كان حدثاً موجباً للأغسال الثلاثة ، فلا بدّ إمّا من الالتزام بكون الغسل للصبح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رافعاً للحدث ، وأنّ الغسلين الآخرين واجب تعبّدي نفسي لا يرفع حدثاً ، أو كون نفس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رافعيته للحدث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شرطاً للصلاة ، وهو بشقّيه فاسد لا أظنّ أن يلتزم به فقيه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من الالتزام بكون الحدث ذا مراتب ترفع كلّ مرتبة منه بغسل ، فتكون مانعية الحدث مختلفة بالنسبة إلى الصلوات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فمرتبة منه مانعة من صلاة الفجر مثلاً ، وترتفع بغسلها ، ومرتبة اُخرى لصلاة الظهرين ، وترتفع بغسلهما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وهكذا ،</w:t>
      </w:r>
    </w:p>
    <w:p>
      <w:pPr>
        <w:pStyle w:val="BookText"/>
        <w:rPr/>
      </w:pPr>
      <w:r>
        <w:rPr>
          <w:rFonts w:ascii="Amiri" w:hAnsi="Amiri" w:eastAsia="Amiri" w:cs="Amiri"/>
          <w:color w:val="111111"/>
          <w:sz w:val="28"/>
          <w:sz w:val="28"/>
          <w:szCs w:val="28"/>
          <w:rtl w:val="true"/>
          <w:lang w:bidi="ar-SA"/>
        </w:rPr>
        <w:t xml:space="preserve">وهو أيضاً فاسد مخالف للأدلّة ومذاق الشرع والمتشرّعة </w:t>
      </w:r>
      <w:r>
        <w:rPr>
          <w:rFonts w:eastAsia="Amiri" w:cs="Amiri" w:ascii="Amiri" w:hAnsi="Amiri"/>
          <w:color w:val="111111"/>
          <w:sz w:val="28"/>
          <w:szCs w:val="28"/>
          <w:rtl w:val="true"/>
          <w:lang w:bidi="ar-SA"/>
        </w:rPr>
        <w:t>.</w:t>
      </w:r>
    </w:p>
    <w:p>
      <w:pPr>
        <w:pStyle w:val="Heading6"/>
        <w:numPr>
          <w:ilvl w:val="5"/>
          <w:numId w:val="1"/>
        </w:numPr>
        <w:rPr/>
      </w:pPr>
      <w:bookmarkStart w:id="705" w:name="__RefHeading___Toc686676_3406789950"/>
      <w:bookmarkStart w:id="706" w:name="_Toc256"/>
      <w:bookmarkEnd w:id="705"/>
      <w:r>
        <w:rPr>
          <w:rtl w:val="true"/>
        </w:rPr>
        <w:t>مناقشة الاحتمالين الثاني والثالث</w:t>
      </w:r>
      <w:bookmarkEnd w:id="706"/>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الاحتمال الثاني والثالث اللذان يلزم منهما كون الحدث المتأخّر ، سبباً أو شرطاً للسبب بالنسبة إلى الغسل المتقدّم ، فهما أردأ من الاحتمال الأوّل ، ومخالفان للمتفاهم العرفي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 إمكان سببية الأمر المتأخّر للمتقدّم أو شرطيته له ، فهو تصوير عقلي لا يذهب إليه إلاّ بورود نصّ غير ممكن التأويل ، ولا تحمل الأدلّة عليه إلاّ بعد ضيق الخناق </w:t>
      </w:r>
      <w:r>
        <w:rPr>
          <w:rFonts w:eastAsia="Amiri" w:cs="Amiri" w:ascii="Amiri" w:hAnsi="Amiri"/>
          <w:color w:val="111111"/>
          <w:sz w:val="28"/>
          <w:szCs w:val="28"/>
          <w:rtl w:val="true"/>
          <w:lang w:bidi="ar-SA"/>
        </w:rPr>
        <w:t xml:space="preserve">. </w:t>
      </w:r>
      <w:bookmarkStart w:id="707" w:name="pg15019_190997"/>
    </w:p>
    <w:p>
      <w:pPr>
        <w:pStyle w:val="Heading6"/>
        <w:numPr>
          <w:ilvl w:val="5"/>
          <w:numId w:val="1"/>
        </w:numPr>
        <w:rPr/>
      </w:pPr>
      <w:bookmarkStart w:id="708" w:name="__RefHeading___Toc686678_3406789950"/>
      <w:bookmarkStart w:id="709" w:name="_Toc257"/>
      <w:bookmarkEnd w:id="707"/>
      <w:bookmarkEnd w:id="708"/>
      <w:r>
        <w:rPr>
          <w:rtl w:val="true"/>
        </w:rPr>
        <w:t>مناقشة الاحتمال الرابع</w:t>
      </w:r>
      <w:bookmarkEnd w:id="709"/>
    </w:p>
    <w:p>
      <w:pPr>
        <w:pStyle w:val="BookText"/>
        <w:rPr/>
      </w:pPr>
      <w:r>
        <w:rPr>
          <w:rFonts w:ascii="Amiri" w:hAnsi="Amiri" w:eastAsia="Amiri" w:cs="Amiri"/>
          <w:color w:val="111111"/>
          <w:sz w:val="28"/>
          <w:sz w:val="28"/>
          <w:szCs w:val="28"/>
          <w:rtl w:val="true"/>
          <w:lang w:bidi="ar-SA"/>
        </w:rPr>
        <w:t xml:space="preserve">وأمّا احتمال كون الدم المستمرّ إلى كلّ وقت سبباً للغسل لفريضته ، لا الحادث في الوقت ، ولا غير المستمرّ إليه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لازمه إمّا التفكيك بين الصلوات في مانعية الدم ، وفي الأغسال في سببيته لها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السبب أو المانع بالنسبة إلى الصلاة الاُولى ، هو الدم الحادث حدوثاً أوّلياً ، وأمّا بالنسبة إلى سائر الصلوات فهو استمرار الدم لا الحدوث ؛ فإنّ الحدوث الثانوي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الحدوث بعد الحدوث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سبباً ولا مانعاً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الالتزام بأنّ السبب هو الدم المستمرّ من وقت إلى وقت آخر ، أو من قبل الوقت إلى الوقت ، وأمّا الحادث في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بالنسبة إلى الصلاة الاُولى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مانعاً ولا سبباً للغسل ، فإذا رأت الكثرة في وقت فريضة الصبح ، لا يجب عليها الغسل ؛ لعدم كونه دماً مستمرّاً إلى وقتها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بكلا شقّيه مخالف للأدلّة ومذاق الفقه </w:t>
      </w:r>
      <w:r>
        <w:rPr>
          <w:rFonts w:eastAsia="Amiri" w:cs="Amiri" w:ascii="Amiri" w:hAnsi="Amiri"/>
          <w:color w:val="111111"/>
          <w:sz w:val="28"/>
          <w:szCs w:val="28"/>
          <w:rtl w:val="true"/>
          <w:lang w:bidi="ar-SA"/>
        </w:rPr>
        <w:t>.</w:t>
      </w:r>
    </w:p>
    <w:p>
      <w:pPr>
        <w:pStyle w:val="Heading6"/>
        <w:numPr>
          <w:ilvl w:val="5"/>
          <w:numId w:val="1"/>
        </w:numPr>
        <w:rPr/>
      </w:pPr>
      <w:bookmarkStart w:id="710" w:name="__RefHeading___Toc686680_3406789950"/>
      <w:bookmarkStart w:id="711" w:name="_Toc258"/>
      <w:bookmarkEnd w:id="710"/>
      <w:r>
        <w:rPr>
          <w:rtl w:val="true"/>
        </w:rPr>
        <w:t>مناقشة الاحتمال الخامس وترجيح السادس</w:t>
      </w:r>
      <w:bookmarkEnd w:id="711"/>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فبقي الاحتمالان الأخيران ، وقد ذهب إلى كلٍّ عدّة من المحقّقين ، واختار ثاني الاحتمالين الشيخ الأعظم ونسبه إلى العلاّمة</w:t>
      </w:r>
      <w:r>
        <w:rPr>
          <w:rStyle w:val="FootnoteAnchor"/>
          <w:rtl w:val="true"/>
        </w:rPr>
        <w:footnoteReference w:id="1216"/>
      </w:r>
      <w:r>
        <w:rPr>
          <w:rFonts w:ascii="Amiri" w:hAnsi="Amiri" w:eastAsia="Amiri" w:cs="Amiri"/>
          <w:color w:val="111111"/>
          <w:sz w:val="28"/>
          <w:sz w:val="28"/>
          <w:szCs w:val="28"/>
          <w:rtl w:val="true"/>
          <w:lang w:bidi="ar-SA"/>
        </w:rPr>
        <w:t>والشهيدين</w:t>
      </w:r>
      <w:r>
        <w:rPr>
          <w:rStyle w:val="FootnoteAnchor"/>
          <w:rtl w:val="true"/>
        </w:rPr>
        <w:footnoteReference w:id="1217"/>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1218"/>
      </w:r>
      <w:r>
        <w:rPr>
          <w:rFonts w:ascii="Amiri" w:hAnsi="Amiri" w:eastAsia="Amiri" w:cs="Amiri"/>
          <w:color w:val="111111"/>
          <w:sz w:val="28"/>
          <w:sz w:val="28"/>
          <w:szCs w:val="28"/>
          <w:rtl w:val="true"/>
          <w:lang w:bidi="ar-SA"/>
        </w:rPr>
        <w:t>وجماعة اُخرى من متأخّري المتأخّرين</w:t>
      </w:r>
      <w:r>
        <w:rPr>
          <w:rStyle w:val="FootnoteAnchor"/>
          <w:rtl w:val="true"/>
        </w:rPr>
        <w:footnoteReference w:id="1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أوّلهما إلى 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المنقول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الالتباس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لجمال الدين</w:t>
      </w:r>
      <w:r>
        <w:rPr>
          <w:rStyle w:val="FootnoteAnchor"/>
          <w:rtl w:val="true"/>
        </w:rPr>
        <w:footnoteReference w:id="1220"/>
      </w:r>
      <w:r>
        <w:rPr>
          <w:rFonts w:ascii="Amiri" w:hAnsi="Amiri" w:eastAsia="Amiri" w:cs="Amiri"/>
          <w:color w:val="111111"/>
          <w:sz w:val="28"/>
          <w:sz w:val="28"/>
          <w:szCs w:val="28"/>
          <w:rtl w:val="true"/>
          <w:lang w:bidi="ar-SA"/>
        </w:rPr>
        <w:t>وادّعى ظهور الروايات فيما اختاره</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تمسّك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بإطلاق النصّ والفتوى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ظاهر الأخبار الاستمرار ، قد يُمنع إن أراد به الاشتراط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يشعر به ما</w:t>
      </w:r>
    </w:p>
    <w:p>
      <w:pPr>
        <w:pStyle w:val="BookText"/>
        <w:rPr/>
      </w:pPr>
      <w:r>
        <w:rPr>
          <w:rFonts w:ascii="IRNazanin" w:hAnsi="IRNazanin" w:eastAsia="IRNazanin"/>
          <w:color w:val="111111"/>
          <w:sz w:val="28"/>
          <w:sz w:val="28"/>
          <w:szCs w:val="28"/>
          <w:rtl w:val="true"/>
          <w:lang w:bidi="fa-IR"/>
        </w:rPr>
        <w:t xml:space="preserve">في بعضها ، لكن لا ظهور فيها بالاشتراط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اشتراط وجوب الأغسال بالاستمرار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تصلح لتقييد غيرها ، سيّما مفهوم قوله علیه السلام في خبر الصحّاف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كان الدم فيما بينها وبين المغرب لا يسيل من خلف الكرسف ، فلتوضّأ ولتصلِّ عند وقت كلّ صلاة</w:t>
      </w:r>
      <w:r>
        <w:rPr>
          <w:rFonts w:eastAsia="IRNazanin" w:cs="IRNazanin"/>
          <w:color w:val="111111"/>
          <w:sz w:val="28"/>
          <w:szCs w:val="28"/>
          <w:rtl w:val="true"/>
          <w:lang w:bidi="fa-IR"/>
        </w:rPr>
        <w:t>»</w:t>
      </w:r>
      <w:r>
        <w:rPr>
          <w:rStyle w:val="FootnoteAnchor"/>
          <w:rtl w:val="true"/>
        </w:rPr>
        <w:footnoteReference w:id="1222"/>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إطلاق الأدلّة فعلى فرضه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يبعد 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مقيّد بذيل صحيحة الصحّاف الدالّ على أنّ الدم إذا كان صبيباً لا يرقأ يوجب الأغسال ، </w:t>
      </w:r>
    </w:p>
    <w:p>
      <w:pPr>
        <w:pStyle w:val="BookText"/>
        <w:rPr/>
      </w:pPr>
      <w:r>
        <w:rPr>
          <w:rFonts w:ascii="Amiri" w:hAnsi="Amiri" w:eastAsia="Amiri" w:cs="Amiri"/>
          <w:color w:val="111111"/>
          <w:sz w:val="28"/>
          <w:sz w:val="28"/>
          <w:szCs w:val="28"/>
          <w:rtl w:val="true"/>
          <w:lang w:bidi="ar-SA"/>
        </w:rPr>
        <w:t xml:space="preserve">ويفهم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يرقأ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ذيلها ، أنّ المراد هو عدم الانقطاع في الأوقات الثلاثة ، وإنّما ترفع اليد عنه بالنسبة إلى الحادث في الأوقات بما تقدّم ، فتصير نتيجة ردّ المطلق إلى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الوجه المتقدّم في إلحاق الحادث في كلّ زمان بالمستمرّ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الاحتمالين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مفهوم صدر الصحيحة ، فعلى فرضه مطلق قابل للتقييد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الظاهر عدم إرادة المفهوم منه بعد تعرّض المتكلّم فيها لأقسام الدم والمستحاضة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استبعاد عدم كون الدم قبل الوقت حدثاً ، ومخالفة هذا الدم لسائر الأحداث التي يكون وجودها مطلقاً سبباً ، فلعلّه في غير محلّه بعد اقتضاء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منع الاستبعاد بعد عدم ترتّب الأثر ؛ عفواً أو رفعاً للسببية عن هذا الدم إذا سال في أثناء الغسل ، أو بينه وبين الصلاة ، أو في أثناء الصلاة ، فأيّ مانع من العفو أو الرفع بالنسبة إلى غير أوقات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والقياس بسائر الأحداث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على حدثية مطلق هذا الدم ؛ لو لم نقل بقيام الدليل على الخلاف ، كما عرفت </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النظر فيما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العفو في الدم الحاصل بين الغسل والصلاة ، إنّما هو بالنسبة إلى تلك الصلاة والغسل ، لا الصلوات الاُخر</w:t>
      </w:r>
      <w:r>
        <w:rPr>
          <w:rFonts w:eastAsia="Amiri" w:cs="Amiri" w:ascii="Amiri" w:hAnsi="Amiri"/>
          <w:color w:val="111111"/>
          <w:sz w:val="28"/>
          <w:szCs w:val="28"/>
          <w:rtl w:val="true"/>
          <w:lang w:bidi="ar-SA"/>
        </w:rPr>
        <w:t>»</w:t>
      </w:r>
      <w:r>
        <w:rPr>
          <w:rStyle w:val="FootnoteAnchor"/>
          <w:rtl w:val="true"/>
        </w:rPr>
        <w:footnoteReference w:id="1223"/>
      </w:r>
      <w:r>
        <w:rPr>
          <w:rFonts w:ascii="Amiri" w:hAnsi="Amiri" w:eastAsia="Amiri" w:cs="Amiri"/>
          <w:color w:val="111111"/>
          <w:sz w:val="28"/>
          <w:sz w:val="28"/>
          <w:szCs w:val="28"/>
          <w:rtl w:val="true"/>
          <w:lang w:bidi="ar-SA"/>
        </w:rPr>
        <w:t xml:space="preserve">؛ لأنّ ذلك فرع الإطلاق المفقود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فرض الإطلاق في بعض الروايات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هو ليس ببعيد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مقيّداً بصحيحة الصحّاف وابن 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لكنّ الأقوى في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كون نفس الدم الكثير بذاته موجباً للغسل ، وأنّ المستفاد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دم الاستحاضة المتوسّطة والكثيرة لا يفترقان إلاّ</w:t>
      </w:r>
    </w:p>
    <w:p>
      <w:pPr>
        <w:pStyle w:val="BookText"/>
        <w:rPr/>
      </w:pPr>
      <w:r>
        <w:rPr>
          <w:rFonts w:ascii="Amiri" w:hAnsi="Amiri" w:eastAsia="Amiri" w:cs="Amiri"/>
          <w:color w:val="111111"/>
          <w:sz w:val="28"/>
          <w:sz w:val="28"/>
          <w:szCs w:val="28"/>
          <w:rtl w:val="true"/>
          <w:lang w:bidi="ar-SA"/>
        </w:rPr>
        <w:t xml:space="preserve">بسببية الأوّل لغسل واحد ، والثاني للأغسال ، وأنّ الحكم في المتوسّطة كما هو مرتّب على ظهور الدم على الكرسف ، كذلك الحكم في الكثيرة مرتّب على التجاوز والسيلان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والالتزام بالفرق بين أقسام الاستحاضة في أصل السببية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الكثيرة لا تكون بنفسها سبباً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 مخالف لارتكاز المتشرّعة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العكس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الالتزام بأنّ لدلوك الشمس ، أو ذهاب الحمرة ، أو تبيّن الخيط الأسود من الخيط الأبيض من الفجر ، دخلاً في حدثية الدم ؛ وأنّ الدم المتقيّد بتلك العناوين أو في تلك الظروف ، حدث في خصوص الكثيرة ، وتفرّد هذا الدم من بين جميع الأحداث بهذه الخصوصية ، مشكل ، بل مخالف لارتكاز عرف المتشرّعة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لازم الجمود على مفاد الروايات ، هو عدم حدثية الدم المستمرّ إلى الوقت ، أو الحادث فيه في الجملة ، بل الحدث هو الدم المستمرّ في جميع الوقت ، أو في زمان الاشتغال بالصلاة ؛ لأنّ سياقها هو فرض ابتلائها بالكثرة في حال اشتغالها بها ، ولهذا أمرها بتعجيل العصر وتأخير الظهر ، وكذا في العشاءين ، وبالاحتشاء وإمساك الكرسف </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كلّه لا يبقى وثوق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المراد من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صبيباً لا يرقأ</w:t>
      </w:r>
      <w:r>
        <w:rPr>
          <w:rFonts w:eastAsia="Amiri" w:cs="Amiri" w:ascii="Amiri" w:hAnsi="Amiri"/>
          <w:color w:val="111111"/>
          <w:sz w:val="28"/>
          <w:szCs w:val="28"/>
          <w:rtl w:val="true"/>
          <w:lang w:bidi="ar-SA"/>
        </w:rPr>
        <w:t xml:space="preserve">» </w:t>
      </w:r>
      <w:bookmarkStart w:id="712" w:name="pg15019_191001"/>
    </w:p>
    <w:p>
      <w:pPr>
        <w:pStyle w:val="BookText"/>
        <w:rPr/>
      </w:pPr>
      <w:bookmarkEnd w:id="712"/>
      <w:r>
        <w:rPr>
          <w:rFonts w:ascii="Amiri" w:hAnsi="Amiri" w:eastAsia="Amiri" w:cs="Amiri"/>
          <w:color w:val="111111"/>
          <w:sz w:val="28"/>
          <w:sz w:val="28"/>
          <w:szCs w:val="28"/>
          <w:rtl w:val="true"/>
          <w:lang w:bidi="ar-SA"/>
        </w:rPr>
        <w:t xml:space="preserve">في صحيحة الصحّاف ، هو الاستمرار في الأوقات الثلاثة ؛ بحيث يكون للوقت دخل وموضوعية ، فيؤخذ بإطلاق بعض الأدلّة، كصحيحة يونس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رفع اليد عن إطلاقها في سببية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للأغسال الثلاثة بالإجماع المدّعى أو بالوجوه المتقدّمة يكون موافقاً لمختار الأعاظم ، كالشيخ الأعظم وغيره</w:t>
      </w:r>
      <w:r>
        <w:rPr>
          <w:rFonts w:eastAsia="Amiri" w:cs="Amiri" w:ascii="Amiri" w:hAnsi="Amiri"/>
          <w:color w:val="111111"/>
          <w:sz w:val="28"/>
          <w:szCs w:val="28"/>
          <w:rtl w:val="true"/>
          <w:lang w:bidi="ar-SA"/>
        </w:rPr>
        <w:t>.</w:t>
      </w:r>
    </w:p>
    <w:p>
      <w:pPr>
        <w:pStyle w:val="Heading6"/>
        <w:numPr>
          <w:ilvl w:val="5"/>
          <w:numId w:val="1"/>
        </w:numPr>
        <w:rPr/>
      </w:pPr>
      <w:bookmarkStart w:id="713" w:name="__RefHeading___Toc686682_3406789950"/>
      <w:bookmarkStart w:id="714" w:name="_Toc259"/>
      <w:bookmarkEnd w:id="713"/>
      <w:r>
        <w:rPr>
          <w:rtl w:val="true"/>
        </w:rPr>
        <w:t>سببية الدم الفعلي للأغسال</w:t>
      </w:r>
      <w:bookmarkEnd w:id="714"/>
    </w:p>
    <w:p>
      <w:pPr>
        <w:pStyle w:val="BookText"/>
        <w:rPr/>
      </w:pPr>
      <w:r>
        <w:rPr>
          <w:rFonts w:ascii="Amiri" w:hAnsi="Amiri" w:eastAsia="Amiri" w:cs="Amiri"/>
          <w:color w:val="111111"/>
          <w:sz w:val="28"/>
          <w:sz w:val="28"/>
          <w:szCs w:val="28"/>
          <w:rtl w:val="true"/>
          <w:lang w:bidi="ar-SA"/>
        </w:rPr>
        <w:t xml:space="preserve">ثمّ إنّ ظاهر الأدلّة هو سببية الدم الفعلي للأغسال ، لا الأعمّ منه وما هو بالقوّة ، فلو رأت الدم السائل ، واغتسلت منه بعد انقطاعه ، وعلمت بعوده ، فلا يوجب ذلك غسلاً عند حضور وقت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على المختار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على القول بلزوم الاستمرار في الوقت ، لو رأت مستمرّاً إلى ما قبل الوقت وانقطع وعلمت بعوده ، لم يوجب ذلك غسلاً عند وقت الصلاة ما لم تَرَ الدم الفعلي الكثير ؛ وذلك لتعليق وجوب الغسل على تجاوز الدم وسيلانه وكونه صبيباً ؛ ممّا هو ظاهر فيما ذكرنا </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الحكم مترتّب على المرأة الدمية في صحيحة الحلبي</w:t>
      </w:r>
      <w:r>
        <w:rPr>
          <w:rStyle w:val="FootnoteAnchor"/>
          <w:rtl w:val="true"/>
        </w:rPr>
        <w:footnoteReference w:id="1224"/>
      </w:r>
      <w:r>
        <w:rPr>
          <w:rFonts w:ascii="Amiri" w:hAnsi="Amiri" w:eastAsia="Amiri" w:cs="Amiri"/>
          <w:color w:val="111111"/>
          <w:sz w:val="28"/>
          <w:sz w:val="28"/>
          <w:szCs w:val="28"/>
          <w:rtl w:val="true"/>
          <w:lang w:bidi="ar-SA"/>
        </w:rPr>
        <w:t xml:space="preserve">وعلى المستحاضة في صحيحة صفوان وعبداللّه بن سنان وغيرهما </w:t>
      </w:r>
      <w:r>
        <w:rPr>
          <w:rStyle w:val="FootnoteAnchor"/>
          <w:rtl w:val="true"/>
        </w:rPr>
        <w:footnoteReference w:id="1225"/>
      </w:r>
    </w:p>
    <w:p>
      <w:pPr>
        <w:pStyle w:val="BookText"/>
        <w:rPr/>
      </w:pPr>
      <w:r>
        <w:rPr>
          <w:rFonts w:ascii="Amiri" w:hAnsi="Amiri" w:eastAsia="Amiri" w:cs="Amiri"/>
          <w:color w:val="111111"/>
          <w:sz w:val="28"/>
          <w:sz w:val="28"/>
          <w:szCs w:val="28"/>
          <w:rtl w:val="true"/>
          <w:lang w:bidi="ar-SA"/>
        </w:rPr>
        <w:t>ولا إشكال في صدق المرأة الدمية والمستحاضة على التي انقطع دمها انقطاع فترة وعود</w:t>
      </w:r>
      <w:r>
        <w:rPr>
          <w:rFonts w:eastAsia="Amiri" w:cs="Amiri" w:ascii="Amiri" w:hAnsi="Amiri"/>
          <w:color w:val="111111"/>
          <w:sz w:val="28"/>
          <w:szCs w:val="28"/>
          <w:rtl w:val="true"/>
          <w:lang w:bidi="ar-SA"/>
        </w:rPr>
        <w:t>»</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منظور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ظاهر تلك الروايات ، هو ابتلاء المرأة بالدم وسيلانه في أوقات الصلاة ؛ فإنّ الأمر باستدخال قطنة بعد قطنة والجمع بين الصلاتين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فيها وفي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تعبّدياً ، بل لحفظ الدم وتقليل الابتلاء قدر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الغضّ عن الإشكال ، بل الإشكالات الواردة على صحيحة الحلبي ؛ ممّا تقدّمت الإشارة إلى بعضها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 نّها على فرض الإطلاق فيها ، تتقيّد بما دلّ على تعليق الحكم على سيلان الدم وتجاوزه </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مضافاً إلى أنّ تعليق الحكم على عنوانين بينهما تقدّم وتأخّر وسببية ومسبّبية ، يوجب الظهور في أن يكون الحكم للمتقدّم بحسب العقل ، بل العرف ، ولمّا كان حصول الدم مقدّماً على حصول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علّق الحكم عليهما ، يكون التعليق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وعقلاً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فرعاً على الأوّل ، لا مستقلاًّ في السببية ، فما يكون سبباً ، هو الدم ، لا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المسبّب منه </w:t>
      </w:r>
      <w:r>
        <w:rPr>
          <w:rFonts w:eastAsia="Amiri" w:cs="Amiri" w:ascii="Amiri" w:hAnsi="Amiri"/>
          <w:color w:val="111111"/>
          <w:sz w:val="28"/>
          <w:szCs w:val="28"/>
          <w:rtl w:val="true"/>
          <w:lang w:bidi="ar-SA"/>
        </w:rPr>
        <w:t xml:space="preserve">. </w:t>
      </w:r>
      <w:bookmarkStart w:id="715" w:name="pg15019_191003"/>
    </w:p>
    <w:p>
      <w:pPr>
        <w:pStyle w:val="Heading6"/>
        <w:numPr>
          <w:ilvl w:val="5"/>
          <w:numId w:val="1"/>
        </w:numPr>
        <w:rPr/>
      </w:pPr>
      <w:bookmarkStart w:id="716" w:name="__RefHeading___Toc686684_3406789950"/>
      <w:bookmarkStart w:id="717" w:name="_Toc260"/>
      <w:bookmarkEnd w:id="715"/>
      <w:bookmarkEnd w:id="716"/>
      <w:r>
        <w:rPr>
          <w:rtl w:val="true"/>
        </w:rPr>
        <w:t>الأمر الثاني في حكم انقطاع دم الاستحاضة لبرء أو فترة</w:t>
      </w:r>
      <w:bookmarkEnd w:id="717"/>
    </w:p>
    <w:p>
      <w:pPr>
        <w:pStyle w:val="Heading6"/>
        <w:numPr>
          <w:ilvl w:val="5"/>
          <w:numId w:val="1"/>
        </w:numPr>
        <w:rPr/>
      </w:pPr>
      <w:bookmarkStart w:id="718" w:name="__RefHeading___Toc686686_3406789950"/>
      <w:bookmarkStart w:id="719" w:name="_Toc261"/>
      <w:bookmarkEnd w:id="718"/>
      <w:r>
        <w:rPr>
          <w:rtl w:val="true"/>
        </w:rPr>
        <w:t>اشارة</w:t>
      </w:r>
      <w:bookmarkEnd w:id="719"/>
    </w:p>
    <w:p>
      <w:pPr>
        <w:pStyle w:val="BookText"/>
        <w:rPr/>
      </w:pPr>
      <w:r>
        <w:rPr>
          <w:rFonts w:ascii="Amiri" w:hAnsi="Amiri" w:eastAsia="Amiri" w:cs="Amiri"/>
          <w:color w:val="111111"/>
          <w:sz w:val="28"/>
          <w:sz w:val="28"/>
          <w:szCs w:val="28"/>
          <w:rtl w:val="true"/>
          <w:lang w:bidi="ar-SA"/>
        </w:rPr>
        <w:t xml:space="preserve">إذا انقطع دم الاستحاضة ، فإمّا أن يكون لبُرء ، أو لفترة ، أو لا تعلم بأحدهما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لفترة ، فإمّا أن تعلم بسعتها للطهارة والصلاة ، أو لإحداهما ، أو تعلم عدمها أو لا تعلم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يكون الانقطاع بعد الصلاة ، أو في أثنائها ، أو بينها وبين فعل الطهارة ، أو في أثناء فعل الطهارة ، أو 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يلاحظ حال الانقطاع بالنسبة إلى الأعمال المستقبلة ، وقد تلاحظ بالنسبة إلى الماضية أو الحاضرة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نتعرّض لمهمّاتها حتّى يتّضح حال البقيّة </w:t>
      </w:r>
      <w:r>
        <w:rPr>
          <w:rFonts w:eastAsia="Amiri" w:cs="Amiri" w:ascii="Amiri" w:hAnsi="Amiri"/>
          <w:color w:val="111111"/>
          <w:sz w:val="28"/>
          <w:szCs w:val="28"/>
          <w:rtl w:val="true"/>
          <w:lang w:bidi="ar-SA"/>
        </w:rPr>
        <w:t>.</w:t>
      </w:r>
    </w:p>
    <w:p>
      <w:pPr>
        <w:pStyle w:val="Heading6"/>
        <w:numPr>
          <w:ilvl w:val="5"/>
          <w:numId w:val="1"/>
        </w:numPr>
        <w:rPr/>
      </w:pPr>
      <w:bookmarkStart w:id="720" w:name="__RefHeading___Toc686688_3406789950"/>
      <w:bookmarkStart w:id="721" w:name="_Toc262"/>
      <w:bookmarkEnd w:id="720"/>
      <w:r>
        <w:rPr>
          <w:rtl w:val="true"/>
        </w:rPr>
        <w:t>بيان تكليف المستحاضة بالنسبة للأعمال المستقبلة</w:t>
      </w:r>
      <w:bookmarkEnd w:id="721"/>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انقطع للبرء أو الفترة ، فالتكليف بالنسبة إلى الأعمال المستقبلة يتفرّع على المسألة السابقة ؛ فإن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نفس طبيعة الدم الفعلي حدث وسبب للغسل أو الوضوء ، كما قوّيناه أخيراً ، وأنّ خروجه في أثناء الصلاة والطهارة معفوّ</w:t>
      </w:r>
    </w:p>
    <w:p>
      <w:pPr>
        <w:pStyle w:val="BookText"/>
        <w:rPr/>
      </w:pPr>
      <w:r>
        <w:rPr>
          <w:rFonts w:ascii="Amiri" w:hAnsi="Amiri" w:eastAsia="Amiri" w:cs="Amiri"/>
          <w:color w:val="111111"/>
          <w:sz w:val="28"/>
          <w:sz w:val="28"/>
          <w:szCs w:val="28"/>
          <w:rtl w:val="true"/>
          <w:lang w:bidi="ar-SA"/>
        </w:rPr>
        <w:t xml:space="preserve">عنه ، فلا إشكال في لزوم الغسل والوضوء بالنسبة إلى الأعمال اللاحقة ؛ ولو خرج الدم في أثناء الأعمال ؛ لتحقّق السبب وعدم الدليل على العفو </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استمرار الدم إلى أوقات الصلوات فعلاً أو حدوثه فيها ، سبب لهما ، فلا يجب الغسل والوضوء لو انقطع قبل تحقّق الوقت ؛ ولو كان مستمرّاً إلى ما قبل الأوقات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الاستمرار الأعمّ من الفعلي سبب ، فلا بدّ من التفصيل بين الانقطاع للبرء والانقطاع للعود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يفصّل بين الوضوء والغسل ، ويلتزم بعدم وجوب الغسل دون الوضوء ؛ تمسّكاً في وجوب الوضوء بإطلاق مرسلة يونس ، وفيها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وسئل عن المستحاضة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عزف عامر ، أو ركضة من الشيطان ، فلتدع الصلاة أيّام أقرائها ، ثمّ تغتسل وتتوضّأ لكلّ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سال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سال مثل المَثْعَب</w:t>
      </w:r>
      <w:r>
        <w:rPr>
          <w:rFonts w:eastAsia="Amiri" w:cs="Amiri" w:ascii="Amiri" w:hAnsi="Amiri"/>
          <w:color w:val="111111"/>
          <w:sz w:val="28"/>
          <w:szCs w:val="28"/>
          <w:rtl w:val="true"/>
          <w:lang w:bidi="ar-SA"/>
        </w:rPr>
        <w:t>»</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حيث أمر بالوضوء لكلّ صلاة ؛ سال الدم أو لم يسل ، ومقتضى إطلاقه وجوب الوضوء بمجرّد تحقّق الدم ، وبمقتضى المناسبات المرتكزة في أذهان المتشرّعة والعرف ، يعلم أنّ دم الاستحاضة حدث يوجب الوضوء ، ولو تحقّق السبب لزم المسبّب ، ولا يرتفع بانقطاع الدم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وجوب الغسل ، فبما تقدّم من إنكار الإطلاق ، أو لزوم التقييد على</w:t>
      </w:r>
    </w:p>
    <w:p>
      <w:pPr>
        <w:pStyle w:val="BookText"/>
        <w:rPr/>
      </w:pPr>
      <w:r>
        <w:rPr>
          <w:rFonts w:ascii="Amiri" w:hAnsi="Amiri" w:eastAsia="Amiri" w:cs="Amiri"/>
          <w:color w:val="111111"/>
          <w:sz w:val="28"/>
          <w:sz w:val="28"/>
          <w:szCs w:val="28"/>
          <w:rtl w:val="true"/>
          <w:lang w:bidi="ar-SA"/>
        </w:rPr>
        <w:t>فرضه ، فلا يكون دليل على سببية الدم للغسل إلاّ إذا كان مستمرّاً ، كما تقدّم الكلام فيه</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فحينئذٍ يكون للتفصيل وجه ، وإنكار الشيخ الأعظم الفرق بين الوضوء والغسل ، ومطالبته بالدليل على التفرقة</w:t>
      </w:r>
      <w:r>
        <w:rPr>
          <w:rStyle w:val="FootnoteAnchor"/>
          <w:rtl w:val="true"/>
        </w:rPr>
        <w:footnoteReference w:id="1230"/>
      </w:r>
      <w:r>
        <w:rPr>
          <w:rFonts w:ascii="Amiri" w:hAnsi="Amiri" w:eastAsia="Amiri" w:cs="Amiri"/>
          <w:color w:val="111111"/>
          <w:sz w:val="28"/>
          <w:sz w:val="28"/>
          <w:szCs w:val="28"/>
          <w:rtl w:val="true"/>
          <w:lang w:bidi="ar-SA"/>
        </w:rPr>
        <w:t>، مبنيّ على ما تقدّم منه من إنكار دلالة مرسلة يونس ، وقد مرّ الجواب عنه</w:t>
      </w:r>
      <w:r>
        <w:rPr>
          <w:rStyle w:val="FootnoteAnchor"/>
          <w:rtl w:val="true"/>
        </w:rPr>
        <w:footnoteReference w:id="1231"/>
      </w:r>
      <w:r>
        <w:rPr>
          <w:rFonts w:ascii="Amiri" w:hAnsi="Amiri" w:eastAsia="Amiri" w:cs="Amiri"/>
          <w:color w:val="111111"/>
          <w:sz w:val="28"/>
          <w:sz w:val="28"/>
          <w:szCs w:val="28"/>
          <w:rtl w:val="true"/>
          <w:lang w:bidi="ar-SA"/>
        </w:rPr>
        <w:t xml:space="preserve">، فالوجه للتفصيل هو ما ذكرنا ؛ وإن كان </w:t>
      </w:r>
      <w:bookmarkStart w:id="722" w:name="pg15019_191005"/>
    </w:p>
    <w:p>
      <w:pPr>
        <w:pStyle w:val="BookText"/>
        <w:rPr/>
      </w:pPr>
      <w:bookmarkEnd w:id="722"/>
      <w:r>
        <w:rPr>
          <w:rFonts w:ascii="IRNazanin" w:hAnsi="IRNazanin" w:eastAsia="IRNazanin"/>
          <w:color w:val="111111"/>
          <w:sz w:val="28"/>
          <w:sz w:val="28"/>
          <w:szCs w:val="28"/>
          <w:rtl w:val="true"/>
          <w:lang w:bidi="fa-IR"/>
        </w:rPr>
        <w:t>الأوجه وجوب الغسل والوضوء ؛ لما تقدّم</w:t>
      </w:r>
      <w:r>
        <w:rPr>
          <w:rStyle w:val="FootnoteAnchor"/>
          <w:rtl w:val="true"/>
        </w:rPr>
        <w:footnoteReference w:id="1232"/>
      </w:r>
      <w:r>
        <w:rPr>
          <w:rFonts w:ascii="Amiri" w:hAnsi="Amiri" w:eastAsia="Amiri" w:cs="Amiri"/>
          <w:color w:val="111111"/>
          <w:sz w:val="28"/>
          <w:sz w:val="28"/>
          <w:szCs w:val="28"/>
          <w:rtl w:val="true"/>
          <w:lang w:bidi="ar-SA"/>
        </w:rPr>
        <w:t xml:space="preserve">من تقوية سببية صِرف وجود الدم 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w:t>
      </w:r>
    </w:p>
    <w:p>
      <w:pPr>
        <w:pStyle w:val="BookText"/>
        <w:rPr/>
      </w:pPr>
      <w:r>
        <w:rPr>
          <w:rFonts w:ascii="Amiri" w:hAnsi="Amiri" w:eastAsia="Amiri" w:cs="Amiri"/>
          <w:color w:val="111111"/>
          <w:sz w:val="28"/>
          <w:sz w:val="28"/>
          <w:szCs w:val="28"/>
          <w:rtl w:val="true"/>
          <w:lang w:bidi="ar-SA"/>
        </w:rPr>
        <w:t xml:space="preserve">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تعبير بعضهم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انقطاع الدم موجب للوضوء أو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مسامحة ؛ لما مرّت الإشارة إلى أنّ مبنى الخلاف هو الخلاف في كون السبب ماذا ؟ فوجوب الغسل والوضوء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لسببية الدم ، لا لسببية الانقطاع ، وعدم وجوب الغسل ووجوب الوضوء ، أيضاً للالتزام بسببية نفس الطبيعة للوضوء ، وعدم سببيتها للغسل إلاّ إذا كان مستمرّاً ، والأمر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بالنسبة إلى الأعمال المستقبلة </w:t>
      </w:r>
      <w:r>
        <w:rPr>
          <w:rFonts w:eastAsia="Amiri" w:cs="Amiri" w:ascii="Amiri" w:hAnsi="Amiri"/>
          <w:color w:val="111111"/>
          <w:sz w:val="28"/>
          <w:szCs w:val="28"/>
          <w:rtl w:val="true"/>
          <w:lang w:bidi="ar-SA"/>
        </w:rPr>
        <w:t>.</w:t>
      </w:r>
    </w:p>
    <w:p>
      <w:pPr>
        <w:pStyle w:val="Heading6"/>
        <w:numPr>
          <w:ilvl w:val="5"/>
          <w:numId w:val="1"/>
        </w:numPr>
        <w:rPr/>
      </w:pPr>
      <w:bookmarkStart w:id="723" w:name="__RefHeading___Toc686690_3406789950"/>
      <w:bookmarkStart w:id="724" w:name="_Toc263"/>
      <w:bookmarkEnd w:id="723"/>
      <w:r>
        <w:rPr>
          <w:rtl w:val="true"/>
        </w:rPr>
        <w:t>بيان تكليف المستحاضة بالنسبة للأعمال الماضية</w:t>
      </w:r>
      <w:bookmarkEnd w:id="724"/>
    </w:p>
    <w:p>
      <w:pPr>
        <w:pStyle w:val="BookText"/>
        <w:rPr/>
      </w:pPr>
      <w:r>
        <w:rPr>
          <w:rFonts w:ascii="Amiri" w:hAnsi="Amiri" w:eastAsia="Amiri" w:cs="Amiri"/>
          <w:color w:val="111111"/>
          <w:sz w:val="28"/>
          <w:sz w:val="28"/>
          <w:szCs w:val="28"/>
          <w:rtl w:val="true"/>
          <w:lang w:bidi="ar-SA"/>
        </w:rPr>
        <w:t>وأمّا بالنسبة إلى الأعمال الماضية ، فإن انقطع بعد الصلاة فلا ينبغي الإشكال في عدم لزوم الإعادة وصحّة صلاتها ؛ لإطلاق الأدلّة ؛ سواء احتملت الانقطاع حين العمل أو قبله ، أو كانت قاطعة بعدم الانقطاع ، أو ظانّة به ، بل ولو كانت ظانّة</w:t>
      </w:r>
    </w:p>
    <w:p>
      <w:pPr>
        <w:pStyle w:val="BookText"/>
        <w:rPr/>
      </w:pPr>
      <w:r>
        <w:rPr>
          <w:rFonts w:ascii="Amiri" w:hAnsi="Amiri" w:eastAsia="Amiri" w:cs="Amiri"/>
          <w:color w:val="111111"/>
          <w:sz w:val="28"/>
          <w:sz w:val="28"/>
          <w:szCs w:val="28"/>
          <w:rtl w:val="true"/>
          <w:lang w:bidi="ar-SA"/>
        </w:rPr>
        <w:t xml:space="preserve">بالانقطاع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الانصراف عمّا إذا انقطع في الوقت مطلقاً أو إذا كانت ظانّة</w:t>
      </w:r>
      <w:r>
        <w:rPr>
          <w:rStyle w:val="FootnoteAnchor"/>
          <w:rtl w:val="true"/>
        </w:rPr>
        <w:footnoteReference w:id="1233"/>
      </w:r>
      <w:r>
        <w:rPr>
          <w:rFonts w:ascii="Amiri" w:hAnsi="Amiri" w:eastAsia="Amiri" w:cs="Amiri"/>
          <w:color w:val="111111"/>
          <w:sz w:val="28"/>
          <w:sz w:val="28"/>
          <w:szCs w:val="28"/>
          <w:rtl w:val="true"/>
          <w:lang w:bidi="ar-SA"/>
        </w:rPr>
        <w:t xml:space="preserve">في غير محلّها ، خصوصاً في غير الظانّة </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كانت قاطعة بالانقطاع للبرء أو الفترة الواسعة ، فالظاهر لزوم الانتظار وعدم جواز البدار ؛ لقصور الأدلّة عن إثبات جواز البدار ، وعدم إطلاقها من هذه الجهة ، بل تكون منصرفة عن الفرض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إذا انقطع في الأثناء ، فالظاهر لزوم الإعادة إذا كان الانقطاع لبرء أو فترة واسعة ، وفي غير الواسعة تأمّل ؛ أمّا الإعادة فيهما فلما مرّ من استفادة سببية مطلق الدم ، ولم يثبت العفو في غير ما هو مستمرّ إلى آخر العمل ، فيبقى مقتضى السببية على حاله ، ولا 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للأدلّة بالنسبة إلى هذه الصورة ؛ حتّى يقال لأجله بالعفو وصحّة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بحسب الثبوت والواقع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تكليفها في الظاهر ، فقد يتشبّث له باستصحاب بقاء الفترة إلى زمان يسع العمل بشرائطه ؛ إذا كانت شاكّة في كون الانقطاع للبرء ، أو الفترة مع الشكّ في سعتها ، أو كانت عالمة بالثانية ، وشاكّة في سعتها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مثبتاً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أصل له ؛ لعدم كون المستصحب موضوعاً لأثر شرعي ، بل بعد العلم بوجوب الصلاة واشتراطها بالطهور ، وكونِ الدم سبباً بذاته ، وعدمِ إطلاق في الأدلّة ، يحكم العقل بلزوم التأخير إلى زمان الفترة الواسعة ، ولاتكون الفترة الواسعة موضوعاً لحكم شرعي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التشبّث باستصحاب الصحّة أو الطهارة وأمثالهما </w:t>
      </w:r>
      <w:r>
        <w:rPr>
          <w:rStyle w:val="FootnoteAnchor"/>
          <w:rtl w:val="true"/>
        </w:rPr>
        <w:footnoteReference w:id="1235"/>
      </w:r>
      <w:r>
        <w:rPr>
          <w:rFonts w:ascii="Amiri" w:hAnsi="Amiri" w:eastAsia="Amiri" w:cs="Amiri"/>
          <w:color w:val="111111"/>
          <w:sz w:val="28"/>
          <w:sz w:val="28"/>
          <w:szCs w:val="28"/>
          <w:rtl w:val="true"/>
          <w:lang w:bidi="ar-SA"/>
        </w:rPr>
        <w:t xml:space="preserve">، في غير محلّه بعد ثبوت حدثية الدم ، وعدم الدليل على العفو ، واشتراط الصلاة بالطهور ، فيكون الاستصحاب محكوماً بتلك الأدلّة على فرض الجريان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أنكرنا سببية مطلق الدم للغسل كان له مجال ، ومع عدمه تكفي أصالة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ما مرّ هو الأقوى </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يظهر حال بقيّة الصور ، فتدبّر </w:t>
      </w:r>
      <w:r>
        <w:rPr>
          <w:rFonts w:eastAsia="Amiri" w:cs="Amiri" w:ascii="Amiri" w:hAnsi="Amiri"/>
          <w:color w:val="111111"/>
          <w:sz w:val="28"/>
          <w:szCs w:val="28"/>
          <w:rtl w:val="true"/>
          <w:lang w:bidi="ar-SA"/>
        </w:rPr>
        <w:t xml:space="preserve">. </w:t>
      </w:r>
      <w:bookmarkStart w:id="725" w:name="pg15019_191007"/>
    </w:p>
    <w:p>
      <w:pPr>
        <w:pStyle w:val="Heading6"/>
        <w:numPr>
          <w:ilvl w:val="5"/>
          <w:numId w:val="1"/>
        </w:numPr>
        <w:rPr/>
      </w:pPr>
      <w:bookmarkStart w:id="726" w:name="__RefHeading___Toc686692_3406789950"/>
      <w:bookmarkStart w:id="727" w:name="_Toc264"/>
      <w:bookmarkEnd w:id="725"/>
      <w:bookmarkEnd w:id="726"/>
      <w:r>
        <w:rPr>
          <w:rtl w:val="true"/>
        </w:rPr>
        <w:t>الأمر الثالث في جواز تفريق الصلوات والغسل لكلّ صلاة</w:t>
      </w:r>
      <w:bookmarkEnd w:id="727"/>
    </w:p>
    <w:p>
      <w:pPr>
        <w:pStyle w:val="Heading6"/>
        <w:numPr>
          <w:ilvl w:val="5"/>
          <w:numId w:val="1"/>
        </w:numPr>
        <w:rPr/>
      </w:pPr>
      <w:bookmarkStart w:id="728" w:name="__RefHeading___Toc686694_3406789950"/>
      <w:bookmarkStart w:id="729" w:name="_Toc265"/>
      <w:bookmarkEnd w:id="728"/>
      <w:r>
        <w:rPr>
          <w:rtl w:val="true"/>
        </w:rPr>
        <w:t>اشارة</w:t>
      </w:r>
      <w:bookmarkEnd w:id="729"/>
    </w:p>
    <w:p>
      <w:pPr>
        <w:pStyle w:val="BookText"/>
        <w:rPr/>
      </w:pPr>
      <w:r>
        <w:rPr>
          <w:rFonts w:ascii="Amiri" w:hAnsi="Amiri" w:eastAsia="Amiri" w:cs="Amiri"/>
          <w:color w:val="111111"/>
          <w:sz w:val="28"/>
          <w:sz w:val="28"/>
          <w:szCs w:val="28"/>
          <w:rtl w:val="true"/>
          <w:lang w:bidi="ar-SA"/>
        </w:rPr>
        <w:t xml:space="preserve">الظاهر جواز تفريق الصلوات والغسل لكلّ صلاة ؛ لعدم استفادة كون الجمع بين كلّ صلاتين عزيمة ، بعد ظهور كون ذلك لمراعاة حال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حكي عن المحقّق الثاني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القطع بالجواز</w:t>
      </w:r>
      <w:r>
        <w:rPr>
          <w:rStyle w:val="FootnoteAnchor"/>
          <w:rtl w:val="true"/>
        </w:rPr>
        <w:footnoteReference w:id="1236"/>
      </w:r>
      <w:r>
        <w:rPr>
          <w:rFonts w:ascii="Amiri" w:hAnsi="Amiri" w:eastAsia="Amiri" w:cs="Amiri"/>
          <w:color w:val="111111"/>
          <w:sz w:val="28"/>
          <w:sz w:val="28"/>
          <w:szCs w:val="28"/>
          <w:rtl w:val="true"/>
          <w:lang w:bidi="ar-SA"/>
        </w:rPr>
        <w:t>، وتبعهما كثير من متأخّري المتأخّرين</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أن يستدلّ عليه بجملة من الروايات ، كصحيحة يونس بن يعقوب وفيها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رأت دماً صبيباً فلتغتسل في وقت كلّ صلاة</w:t>
      </w:r>
      <w:r>
        <w:rPr>
          <w:rFonts w:eastAsia="Amiri" w:cs="Amiri" w:ascii="Amiri" w:hAnsi="Amiri"/>
          <w:color w:val="111111"/>
          <w:sz w:val="28"/>
          <w:szCs w:val="28"/>
          <w:rtl w:val="true"/>
          <w:lang w:bidi="ar-SA"/>
        </w:rPr>
        <w:t>»</w:t>
      </w:r>
      <w:r>
        <w:rPr>
          <w:rStyle w:val="FootnoteAnchor"/>
          <w:rtl w:val="true"/>
        </w:rPr>
        <w:footnoteReference w:id="1238"/>
      </w:r>
      <w:r>
        <w:rPr>
          <w:rFonts w:ascii="Amiri" w:hAnsi="Amiri" w:eastAsia="Amiri" w:cs="Amiri"/>
          <w:color w:val="111111"/>
          <w:sz w:val="28"/>
          <w:sz w:val="28"/>
          <w:szCs w:val="28"/>
          <w:rtl w:val="true"/>
          <w:lang w:bidi="ar-SA"/>
        </w:rPr>
        <w:t xml:space="preserve">؛ لأنّ وقت الصلاة في تلك الأزمنة كان هو الأوقات المعهودة التي كان المسلمون يجتمعون فيها لإقامة الصلوات ؛ حتّى اشتهرت الأوقات الخمسة وصارت معهودة ؛ بحيث ينصرف إليها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استفادة الاستحباب من مثلها ؛ بعد كون الظاهر أنّ الأمر بالجمع وتعجيل العصر والعشاء وتأخير الظهر والمغرب ؛ لمحض الترخيص وملاحظة حالهنّ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يستدلّ عليه بوجه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 نّها لو فرّقت بين الصلاتين عمداً أو نسياناً ؛ فصلّت الظهر بغسل ، وتركت العصر ، فلا يخلو </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 أن يجب عليها إعادة الظهر والجمع بينهما بغسل </w:t>
      </w:r>
      <w:r>
        <w:rPr>
          <w:rFonts w:eastAsia="Amiri" w:cs="Amiri" w:ascii="Amiri" w:hAnsi="Amiri"/>
          <w:color w:val="111111"/>
          <w:sz w:val="28"/>
          <w:szCs w:val="28"/>
          <w:rtl w:val="true"/>
          <w:lang w:bidi="ar-SA"/>
        </w:rPr>
        <w:t xml:space="preserve">. </w:t>
      </w:r>
      <w:bookmarkStart w:id="730" w:name="pg15019_191008"/>
    </w:p>
    <w:p>
      <w:pPr>
        <w:pStyle w:val="BookText"/>
        <w:rPr/>
      </w:pPr>
      <w:bookmarkEnd w:id="730"/>
      <w:r>
        <w:rPr>
          <w:rFonts w:ascii="Amiri" w:hAnsi="Amiri" w:eastAsia="Amiri" w:cs="Amiri"/>
          <w:color w:val="111111"/>
          <w:sz w:val="28"/>
          <w:sz w:val="28"/>
          <w:szCs w:val="28"/>
          <w:rtl w:val="true"/>
          <w:lang w:bidi="ar-SA"/>
        </w:rPr>
        <w:t xml:space="preserve">أو لا يجب عليها العصر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يجب عليها العصر بلا غسل ، ويجوز لها الاكتفاء بغسلها للظهر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يجب عليها الغسل للعصر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سبيل إلى شيء من الاحتمالات إلاّ الأخير منها ؛ ضرورة أ نّه لا وجه لإعادة الظهر ؛ لعدم مغايرة تكليفها في صلاة الظهر لسائر المكلّفين ،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وبداهة وجوب العصر عليها ، وعدم سقوطها عنها ، والاكتفاءُ بالغسل المتقدّم مخالف لظواهر الأدلّة ، ولما مرّ من كون الدم بذاته حدثاً ، مع عدم ثبوت العفو مع التفريق ، فيبقى الاحتمال الأخير ، ولا ريب في عدم كون الجمع واجباً تعبّدياً نفسياً غير ملحوظ فيه حال الصلاة واشتراطها بالطهور ، ولا التفريق حراماً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بطلان جميع المحتملات عقلاً وشرعاً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التفريق جائز ، ومعه يجب الغسل ؛ لأنّ الدم الحاصل بعد الصلاة إلى زمان إتيان الصلاة الاُخرى ، حدث موجب للغسل ، فلا بدّ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مع تفريق الصلوات </w:t>
      </w:r>
      <w:r>
        <w:rPr>
          <w:rFonts w:eastAsia="Amiri" w:cs="Amiri" w:ascii="Amiri" w:hAnsi="Amiri"/>
          <w:color w:val="111111"/>
          <w:sz w:val="28"/>
          <w:szCs w:val="28"/>
          <w:rtl w:val="true"/>
          <w:lang w:bidi="ar-SA"/>
        </w:rPr>
        <w:t>.</w:t>
      </w:r>
    </w:p>
    <w:p>
      <w:pPr>
        <w:pStyle w:val="Heading6"/>
        <w:numPr>
          <w:ilvl w:val="5"/>
          <w:numId w:val="1"/>
        </w:numPr>
        <w:rPr/>
      </w:pPr>
      <w:bookmarkStart w:id="731" w:name="__RefHeading___Toc686696_3406789950"/>
      <w:bookmarkStart w:id="732" w:name="_Toc266"/>
      <w:bookmarkEnd w:id="731"/>
      <w:r>
        <w:rPr>
          <w:rtl w:val="true"/>
        </w:rPr>
        <w:t>في جواز إيقاع غسلين مع الجمع بين الصلاتين</w:t>
      </w:r>
      <w:bookmarkEnd w:id="732"/>
    </w:p>
    <w:p>
      <w:pPr>
        <w:pStyle w:val="BookText"/>
        <w:rPr/>
      </w:pPr>
      <w:r>
        <w:rPr>
          <w:rFonts w:ascii="Amiri" w:hAnsi="Amiri" w:eastAsia="Amiri" w:cs="Amiri"/>
          <w:color w:val="111111"/>
          <w:sz w:val="28"/>
          <w:sz w:val="28"/>
          <w:szCs w:val="28"/>
          <w:rtl w:val="true"/>
          <w:lang w:bidi="ar-SA"/>
        </w:rPr>
        <w:t xml:space="preserve">وهل يجوز لها بعد صلاة الظهر والمغرب بلا فصل ، الاغتسال للعصر والعشاء ، بأن يقال بمثل ما قيل في الفرض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استفادة العزيمة من الأدلّة ؛ لورودها في مقام توهّم وجوب الأغسال الخمسة ؟</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تأمّل وإشكال ؛ لأنّ عدم دلالة الأدلّة على العزيمة ، لا يوجب دلالتها على جواز الغسل ، وبعد عدم دليل على مشروعيته فلأحدٍ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الأدلّة حدثية ذات الدم وناقضيته للغسل والوضوء ، خرج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عفواً أو إسقاطاً </w:t>
      </w:r>
      <w:bookmarkStart w:id="733" w:name="pg15019_191009"/>
    </w:p>
    <w:p>
      <w:pPr>
        <w:pStyle w:val="BookText"/>
        <w:rPr/>
      </w:pPr>
      <w:bookmarkEnd w:id="733"/>
      <w:r>
        <w:rPr>
          <w:rFonts w:ascii="Amiri" w:hAnsi="Amiri" w:eastAsia="Amiri" w:cs="Amiri"/>
          <w:color w:val="111111"/>
          <w:sz w:val="28"/>
          <w:sz w:val="28"/>
          <w:szCs w:val="28"/>
          <w:rtl w:val="true"/>
          <w:lang w:bidi="ar-SA"/>
        </w:rPr>
        <w:t xml:space="preserve">للسببية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السائل في حال الاشتغال بالغسل للصلاتين إلى آخر الصلاة الثانية ، مع عدم الفصل بينهما بمقدار غير متعارف ، وعدم الفصل بأجنبيّ ، وبقي الباقي ، فعليه لا دليل على العفو في الدم السائل بين الغسل الثاني أو بعده ، بل وبين صلاة العصر ، مع التفريق بالأجنبيّ ، ولا يمكن أن يكون الغسل الثاني رافعاً لما حصل بينه أو بعده ، فلا بدّ حينئذٍ من غسل آخر لصلاة العصر بعد حصول هذا التفريق بالأجنبيّ بالبيان المتقدّم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الجمع بين الصلاتين بغسل واحد ؛ وإن جاز لها التفريق والأغسال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الأولى والأحوط الجمع وعدم التفريق </w:t>
      </w:r>
      <w:r>
        <w:rPr>
          <w:rFonts w:eastAsia="Amiri" w:cs="Amiri" w:ascii="Amiri" w:hAnsi="Amiri"/>
          <w:color w:val="111111"/>
          <w:sz w:val="28"/>
          <w:szCs w:val="28"/>
          <w:rtl w:val="true"/>
          <w:lang w:bidi="ar-SA"/>
        </w:rPr>
        <w:t>.</w:t>
      </w:r>
    </w:p>
    <w:p>
      <w:pPr>
        <w:pStyle w:val="Heading6"/>
        <w:numPr>
          <w:ilvl w:val="5"/>
          <w:numId w:val="1"/>
        </w:numPr>
        <w:rPr/>
      </w:pPr>
      <w:bookmarkStart w:id="734" w:name="__RefHeading___Toc686698_3406789950"/>
      <w:bookmarkStart w:id="735" w:name="_Toc267"/>
      <w:bookmarkEnd w:id="734"/>
      <w:r>
        <w:rPr>
          <w:rtl w:val="true"/>
        </w:rPr>
        <w:t>الأمر الرابع في وجوب تعاقب الصلاة للغسل والوضوء</w:t>
      </w:r>
      <w:bookmarkEnd w:id="735"/>
    </w:p>
    <w:p>
      <w:pPr>
        <w:pStyle w:val="Heading6"/>
        <w:numPr>
          <w:ilvl w:val="5"/>
          <w:numId w:val="1"/>
        </w:numPr>
        <w:rPr/>
      </w:pPr>
      <w:bookmarkStart w:id="736" w:name="__RefHeading___Toc686700_3406789950"/>
      <w:bookmarkStart w:id="737" w:name="_Toc268"/>
      <w:bookmarkEnd w:id="736"/>
      <w:r>
        <w:rPr>
          <w:rtl w:val="true"/>
        </w:rPr>
        <w:t>اشارة</w:t>
      </w:r>
      <w:bookmarkEnd w:id="737"/>
    </w:p>
    <w:p>
      <w:pPr>
        <w:pStyle w:val="BookText"/>
        <w:rPr/>
      </w:pPr>
      <w:r>
        <w:rPr>
          <w:rFonts w:ascii="Amiri" w:hAnsi="Amiri" w:eastAsia="Amiri" w:cs="Amiri"/>
          <w:color w:val="111111"/>
          <w:sz w:val="28"/>
          <w:sz w:val="28"/>
          <w:szCs w:val="28"/>
          <w:rtl w:val="true"/>
          <w:lang w:bidi="ar-SA"/>
        </w:rPr>
        <w:t>بيان حال الغسل</w:t>
      </w:r>
    </w:p>
    <w:p>
      <w:pPr>
        <w:pStyle w:val="BookText"/>
        <w:rPr/>
      </w:pPr>
      <w:r>
        <w:rPr>
          <w:rFonts w:ascii="Amiri" w:hAnsi="Amiri" w:eastAsia="Amiri" w:cs="Amiri"/>
          <w:color w:val="111111"/>
          <w:sz w:val="28"/>
          <w:sz w:val="28"/>
          <w:szCs w:val="28"/>
          <w:rtl w:val="true"/>
          <w:lang w:bidi="ar-SA"/>
        </w:rPr>
        <w:t xml:space="preserve">الظاهر وجوب معاقبة الصلاة للغسل ،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لم أعرف مخالفاً فيه</w:t>
      </w:r>
      <w:r>
        <w:rPr>
          <w:rFonts w:eastAsia="Amiri" w:cs="Amiri" w:ascii="Amiri" w:hAnsi="Amiri"/>
          <w:color w:val="111111"/>
          <w:sz w:val="28"/>
          <w:szCs w:val="28"/>
          <w:rtl w:val="true"/>
          <w:lang w:bidi="ar-SA"/>
        </w:rPr>
        <w:t>»</w:t>
      </w:r>
      <w:r>
        <w:rPr>
          <w:rStyle w:val="FootnoteAnchor"/>
          <w:rtl w:val="true"/>
        </w:rPr>
        <w:footnoteReference w:id="1239"/>
      </w:r>
      <w:r>
        <w:rPr>
          <w:rFonts w:ascii="Amiri" w:hAnsi="Amiri" w:eastAsia="Amiri" w:cs="Amiri"/>
          <w:color w:val="111111"/>
          <w:sz w:val="28"/>
          <w:sz w:val="28"/>
          <w:szCs w:val="28"/>
          <w:rtl w:val="true"/>
          <w:lang w:bidi="ar-SA"/>
        </w:rPr>
        <w:t xml:space="preserve">، وفي طهارة شيخنا الأعظم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 بين الأصحاب وجوبها ، بل قد يظهر نفي الخلاف فيه</w:t>
      </w:r>
      <w:r>
        <w:rPr>
          <w:rFonts w:eastAsia="Amiri" w:cs="Amiri" w:ascii="Amiri" w:hAnsi="Amiri"/>
          <w:color w:val="111111"/>
          <w:sz w:val="28"/>
          <w:szCs w:val="28"/>
          <w:rtl w:val="true"/>
          <w:lang w:bidi="ar-SA"/>
        </w:rPr>
        <w:t>»</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كاشف اللثام والعلاّمة الطباطبائي رحمه الله علیه جواز الفصل</w:t>
      </w:r>
      <w:r>
        <w:rPr>
          <w:rStyle w:val="FootnoteAnchor"/>
          <w:rtl w:val="true"/>
        </w:rPr>
        <w:footnoteReference w:id="1241"/>
      </w:r>
      <w:r>
        <w:rPr>
          <w:rFonts w:ascii="Amiri" w:hAnsi="Amiri" w:eastAsia="Amiri" w:cs="Amiri"/>
          <w:color w:val="111111"/>
          <w:sz w:val="28"/>
          <w:sz w:val="28"/>
          <w:szCs w:val="28"/>
          <w:rtl w:val="true"/>
          <w:lang w:bidi="ar-SA"/>
        </w:rPr>
        <w:t xml:space="preserve">، واختاره الشيخ </w:t>
      </w:r>
    </w:p>
    <w:p>
      <w:pPr>
        <w:pStyle w:val="BookText"/>
        <w:rPr/>
      </w:pPr>
      <w:r>
        <w:rPr>
          <w:rFonts w:ascii="Amiri" w:hAnsi="Amiri" w:eastAsia="Amiri" w:cs="Amiri"/>
          <w:color w:val="111111"/>
          <w:sz w:val="28"/>
          <w:sz w:val="28"/>
          <w:szCs w:val="28"/>
          <w:rtl w:val="true"/>
          <w:lang w:bidi="ar-SA"/>
        </w:rPr>
        <w:t>الأعظم تمسّكاً بالإطلاقات الواردة في مقام البيان ، واستظهاراً ممّا دلّ على</w:t>
      </w:r>
    </w:p>
    <w:p>
      <w:pPr>
        <w:pStyle w:val="BookText"/>
        <w:rPr/>
      </w:pPr>
      <w:r>
        <w:rPr>
          <w:rFonts w:ascii="Amiri" w:hAnsi="Amiri" w:eastAsia="Amiri" w:cs="Amiri"/>
          <w:color w:val="111111"/>
          <w:sz w:val="28"/>
          <w:sz w:val="28"/>
          <w:szCs w:val="28"/>
          <w:rtl w:val="true"/>
          <w:lang w:bidi="ar-SA"/>
        </w:rPr>
        <w:t xml:space="preserve">وجوب الغسل عند كلّ صلاة ، إضافته إلى الوقت ؛ أي زمان حضور وقت كلّ صلاة ، لا حضور فعلها ، واستشهاداً بقوله في رواية ابن سنان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تغتسل عند المغرب ، فتصلّي المغرب والعشاء ، ثمّ تغتسل عند الصبح ، فتصلّي الفجر</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عدم إطلاق يمكن الاتّكال عليه والوثوق به في المقام ، فضلاً عن إطلاقات واردة في مقام البيان ، كما ادّعاها ؛ فإنّ الروايات في مقام بيان وجوب ثلاثة أغسال في مقابل غسل واحد ، كصحيحتي زرارة والصحّاف</w:t>
      </w:r>
      <w:r>
        <w:rPr>
          <w:rStyle w:val="FootnoteAnchor"/>
          <w:rtl w:val="true"/>
        </w:rPr>
        <w:footnoteReference w:id="1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الإطلاقات على فرضها مقيّدة بما دلّ على لزوم إيقاعها عند الصلاة ، والاحتمال الذي أبداه خلاف الظاهر حتّى في رواية ابن سنان ؛ فإنّ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المستحاضة تغتسل عند صلاة الظهر ، وتصلّي الظهر والعصر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كونه عند نفس صلاة الظهر لا وقتها ، فحينئذٍ يكون قوله بعده </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تغتسل عند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في صلاته ؛ بعد شيوع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صلاته في الروايات</w:t>
      </w:r>
      <w:r>
        <w:rPr>
          <w:rStyle w:val="FootnoteAnchor"/>
          <w:rtl w:val="true"/>
        </w:rPr>
        <w:footnoteReference w:id="1245"/>
      </w:r>
      <w:r>
        <w:rPr>
          <w:rFonts w:ascii="Amiri" w:hAnsi="Amiri" w:eastAsia="Amiri" w:cs="Amiri"/>
          <w:color w:val="111111"/>
          <w:sz w:val="28"/>
          <w:sz w:val="28"/>
          <w:szCs w:val="28"/>
          <w:rtl w:val="true"/>
          <w:lang w:bidi="ar-SA"/>
        </w:rPr>
        <w:t xml:space="preserve">، وبعد القطع بعدم كون المراد قبل وقت المغرب </w:t>
      </w:r>
      <w:r>
        <w:rPr>
          <w:rFonts w:eastAsia="Amiri" w:cs="Amiri" w:ascii="Amiri" w:hAnsi="Amiri"/>
          <w:color w:val="111111"/>
          <w:sz w:val="28"/>
          <w:szCs w:val="28"/>
          <w:rtl w:val="true"/>
          <w:lang w:bidi="ar-SA"/>
        </w:rPr>
        <w:t xml:space="preserve">. </w:t>
      </w:r>
      <w:bookmarkStart w:id="738" w:name="pg15019_191011"/>
    </w:p>
    <w:p>
      <w:pPr>
        <w:pStyle w:val="BookText"/>
        <w:rPr/>
      </w:pPr>
      <w:bookmarkEnd w:id="738"/>
      <w:r>
        <w:rPr>
          <w:rFonts w:ascii="Amiri" w:hAnsi="Amiri" w:eastAsia="Amiri" w:cs="Amiri"/>
          <w:color w:val="111111"/>
          <w:sz w:val="28"/>
          <w:sz w:val="28"/>
          <w:szCs w:val="28"/>
          <w:rtl w:val="true"/>
          <w:lang w:bidi="ar-SA"/>
        </w:rPr>
        <w:t xml:space="preserve">مع أنّ لازم إضافة الظرف إلى الوقت ، كون وقت إيقاع الغسل قبل وقت الصلاة ؛ لظهور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ما ذكرنا الأمر بالجمع بين الصلاتين ؛ لبُعد الالتزام بالتفرقة بين صلاة الظهر والعصر ؛ بجواز الفصل بين الغسل والصلاتين ، وعدم جواز التفرقة بين صلاة الظهر والعصر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الناظر في الروايات ، لا يكاد يشكّ في أنّ الأمر بالجمع والتقديم والتأخير ، إنّما هو بملاحظة حال الصلاة وعدم الابتلاء بالدم قدر الإمكان ، ومعه لا مجال لاحتمال جواز الفصل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مع أنّ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Style w:val="FootnoteAnchor"/>
          <w:rtl w:val="true"/>
        </w:rPr>
        <w:footnoteReference w:id="1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ناقضية الدم ؛ وكونه حدثاً بذاته موجباً للغسل إلاّ ما عفي عنه ، وبعد قصور الإطلاقات لا دليل على العفو مع الفصل </w:t>
      </w:r>
      <w:r>
        <w:rPr>
          <w:rFonts w:eastAsia="Amiri" w:cs="Amiri" w:ascii="Amiri" w:hAnsi="Amiri"/>
          <w:color w:val="111111"/>
          <w:sz w:val="28"/>
          <w:szCs w:val="28"/>
          <w:rtl w:val="true"/>
          <w:lang w:bidi="ar-SA"/>
        </w:rPr>
        <w:t>.</w:t>
      </w:r>
    </w:p>
    <w:p>
      <w:pPr>
        <w:pStyle w:val="Heading6"/>
        <w:numPr>
          <w:ilvl w:val="5"/>
          <w:numId w:val="1"/>
        </w:numPr>
        <w:rPr/>
      </w:pPr>
      <w:bookmarkStart w:id="739" w:name="__RefHeading___Toc686702_3406789950"/>
      <w:bookmarkStart w:id="740" w:name="_Toc269"/>
      <w:bookmarkEnd w:id="739"/>
      <w:r>
        <w:rPr>
          <w:rtl w:val="true"/>
        </w:rPr>
        <w:t>بيان حال الوضوء</w:t>
      </w:r>
      <w:bookmarkEnd w:id="740"/>
    </w:p>
    <w:p>
      <w:pPr>
        <w:pStyle w:val="BookText"/>
        <w:rPr/>
      </w:pPr>
      <w:r>
        <w:rPr>
          <w:rFonts w:ascii="Amiri" w:hAnsi="Amiri" w:eastAsia="Amiri" w:cs="Amiri"/>
          <w:color w:val="111111"/>
          <w:sz w:val="28"/>
          <w:sz w:val="28"/>
          <w:szCs w:val="28"/>
          <w:rtl w:val="true"/>
          <w:lang w:bidi="ar-SA"/>
        </w:rPr>
        <w:t xml:space="preserve">وبهذا يظهر الحال في الوضوء في الأقسام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إمكان الاستدلال له بقوله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فإن رأت صفرة بعد غسلها فلا غسل عليها ، يجزيها الوضوء عند كلّ صلاة وتصلّي</w:t>
      </w:r>
      <w:r>
        <w:rPr>
          <w:rFonts w:eastAsia="Amiri" w:cs="Amiri" w:ascii="Amiri" w:hAnsi="Amiri"/>
          <w:color w:val="111111"/>
          <w:sz w:val="28"/>
          <w:szCs w:val="28"/>
          <w:rtl w:val="true"/>
          <w:lang w:bidi="ar-SA"/>
        </w:rPr>
        <w:t>»</w:t>
      </w:r>
      <w:r>
        <w:rPr>
          <w:rStyle w:val="FootnoteAnchor"/>
          <w:rtl w:val="true"/>
        </w:rPr>
        <w:footnoteReference w:id="1247"/>
      </w:r>
      <w:r>
        <w:rPr>
          <w:rFonts w:ascii="Amiri" w:hAnsi="Amiri" w:eastAsia="Amiri" w:cs="Amiri"/>
          <w:color w:val="111111"/>
          <w:sz w:val="28"/>
          <w:sz w:val="28"/>
          <w:szCs w:val="28"/>
          <w:rtl w:val="true"/>
          <w:lang w:bidi="ar-SA"/>
        </w:rPr>
        <w:t>وبها يقيّد الإطلاق على فرض وجوده</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أنّ الأمر بالوضوء لكلّ صلاة ، دليل على أنّ الدم السائل بين </w:t>
      </w:r>
    </w:p>
    <w:p>
      <w:pPr>
        <w:pStyle w:val="BookText"/>
        <w:rPr/>
      </w:pPr>
      <w:r>
        <w:rPr>
          <w:rFonts w:ascii="Amiri" w:hAnsi="Amiri" w:eastAsia="Amiri" w:cs="Amiri"/>
          <w:color w:val="111111"/>
          <w:sz w:val="28"/>
          <w:sz w:val="28"/>
          <w:szCs w:val="28"/>
          <w:rtl w:val="true"/>
          <w:lang w:bidi="ar-SA"/>
        </w:rPr>
        <w:t xml:space="preserve">الوضوء والصلاة أو بعدهما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بلا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أصغر غير معفوّ عنه ، فلا مجال للارتياب في لزوم معاقبة الصلاة للوضوء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لا إشكال في أنّ المبادرة إلى الصلاة بعد الغسل والوضوء ، ليست على النحو الدقيق العقلي ، بل العرفي ، مع الإتيان بما تحتاج إليه للصلاة عادة ، كالتستّر</w:t>
      </w:r>
    </w:p>
    <w:p>
      <w:pPr>
        <w:pStyle w:val="BookText"/>
        <w:rPr/>
      </w:pPr>
      <w:r>
        <w:rPr>
          <w:rFonts w:ascii="Amiri" w:hAnsi="Amiri" w:eastAsia="Amiri" w:cs="Amiri"/>
          <w:color w:val="111111"/>
          <w:sz w:val="28"/>
          <w:sz w:val="28"/>
          <w:szCs w:val="28"/>
          <w:rtl w:val="true"/>
          <w:lang w:bidi="ar-SA"/>
        </w:rPr>
        <w:t xml:space="preserve">ولبس الثوب ، وما هو المتعارف بحسب حالها ، لا غير المتعارف ، كشراء الستر ، ويجوز لها الأذان والإقامة للصلاتين ، بل والتعقيب بالمقدار المتعارف ، وانتظار الجماعة كذلك ؛ وإن كان الأحوط في بعضها خلافه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الاستدلال</w:t>
      </w:r>
      <w:r>
        <w:rPr>
          <w:rStyle w:val="FootnoteAnchor"/>
          <w:rtl w:val="true"/>
        </w:rPr>
        <w:footnoteReference w:id="1248"/>
      </w:r>
      <w:r>
        <w:rPr>
          <w:rFonts w:ascii="Amiri" w:hAnsi="Amiri" w:eastAsia="Amiri" w:cs="Amiri"/>
          <w:color w:val="111111"/>
          <w:sz w:val="28"/>
          <w:sz w:val="28"/>
          <w:szCs w:val="28"/>
          <w:rtl w:val="true"/>
          <w:lang w:bidi="ar-SA"/>
        </w:rPr>
        <w:t xml:space="preserve">لجواز تأخير الصلاة عن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مطلقاً ، أو بمقدار غير معتدّ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في صحيحة معاوية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الدم لا يثقب الكرسف توضّأت ودخلت المسجد ، وصلّت كلّ صلاة بوضوء</w:t>
      </w:r>
      <w:r>
        <w:rPr>
          <w:rFonts w:eastAsia="Amiri" w:cs="Amiri" w:ascii="Amiri" w:hAnsi="Amiri"/>
          <w:color w:val="111111"/>
          <w:sz w:val="28"/>
          <w:szCs w:val="28"/>
          <w:rtl w:val="true"/>
          <w:lang w:bidi="ar-SA"/>
        </w:rPr>
        <w:t>»</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الوضوء لعلّه لدخول المسجد ، ويشهد له تصريحه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 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صلّت كلّ صلاة بوضوء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ودخلت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بياناً لجواز دخولها المسجد ؛ أي يجوز لها الدخول في المسجد ، ويجوز لبعلها إتيانها ، كما في ذيل الصحيحة ، فحينئذٍ لا يكون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إيقاع</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الصلاة فيه </w:t>
      </w:r>
      <w:r>
        <w:rPr>
          <w:rFonts w:eastAsia="Amiri" w:cs="Amiri" w:ascii="Amiri" w:hAnsi="Amiri"/>
          <w:color w:val="111111"/>
          <w:sz w:val="28"/>
          <w:szCs w:val="28"/>
          <w:rtl w:val="true"/>
          <w:lang w:bidi="ar-SA"/>
        </w:rPr>
        <w:t xml:space="preserve">. </w:t>
      </w:r>
      <w:bookmarkStart w:id="741" w:name="pg15019_191013"/>
    </w:p>
    <w:p>
      <w:pPr>
        <w:pStyle w:val="Heading6"/>
        <w:numPr>
          <w:ilvl w:val="5"/>
          <w:numId w:val="1"/>
        </w:numPr>
        <w:rPr/>
      </w:pPr>
      <w:bookmarkStart w:id="742" w:name="__RefHeading___Toc686704_3406789950"/>
      <w:bookmarkStart w:id="743" w:name="_Toc270"/>
      <w:bookmarkEnd w:id="741"/>
      <w:bookmarkEnd w:id="742"/>
      <w:r>
        <w:rPr>
          <w:rtl w:val="true"/>
        </w:rPr>
        <w:t>الأمر الخامس في وجوب الفحص والاختبار لتعيين نوع الاستحاضة</w:t>
      </w:r>
      <w:bookmarkEnd w:id="743"/>
    </w:p>
    <w:p>
      <w:pPr>
        <w:pStyle w:val="Heading6"/>
        <w:numPr>
          <w:ilvl w:val="5"/>
          <w:numId w:val="1"/>
        </w:numPr>
        <w:rPr/>
      </w:pPr>
      <w:bookmarkStart w:id="744" w:name="__RefHeading___Toc686706_3406789950"/>
      <w:bookmarkStart w:id="745" w:name="_Toc271"/>
      <w:bookmarkEnd w:id="744"/>
      <w:r>
        <w:rPr>
          <w:rtl w:val="true"/>
        </w:rPr>
        <w:t>اشارة</w:t>
      </w:r>
      <w:bookmarkEnd w:id="745"/>
    </w:p>
    <w:p>
      <w:pPr>
        <w:pStyle w:val="BookText"/>
        <w:rPr/>
      </w:pPr>
      <w:r>
        <w:rPr>
          <w:rFonts w:ascii="Amiri" w:hAnsi="Amiri" w:eastAsia="Amiri" w:cs="Amiri"/>
          <w:color w:val="111111"/>
          <w:sz w:val="28"/>
          <w:sz w:val="28"/>
          <w:szCs w:val="28"/>
          <w:rtl w:val="true"/>
          <w:lang w:bidi="ar-SA"/>
        </w:rPr>
        <w:t>هل يجب عليها الفحص والاختبار لتشخيص كونها من أيّ الثلاثة مطلقاً ، أو لا مطلقاً ، أو يفصّل بين ما إذا كان متعذّراً وغيره ، أو بين ما إذا كان كثير المؤونة</w:t>
      </w:r>
    </w:p>
    <w:p>
      <w:pPr>
        <w:pStyle w:val="BookText"/>
        <w:rPr/>
      </w:pPr>
      <w:r>
        <w:rPr>
          <w:rFonts w:ascii="Amiri" w:hAnsi="Amiri" w:eastAsia="Amiri" w:cs="Amiri"/>
          <w:color w:val="111111"/>
          <w:sz w:val="28"/>
          <w:sz w:val="28"/>
          <w:szCs w:val="28"/>
          <w:rtl w:val="true"/>
          <w:lang w:bidi="ar-SA"/>
        </w:rPr>
        <w:t>والمقدّمات وغيره ؟</w:t>
      </w:r>
    </w:p>
    <w:p>
      <w:pPr>
        <w:pStyle w:val="BookText"/>
        <w:rPr/>
      </w:pPr>
      <w:r>
        <w:rPr>
          <w:rFonts w:ascii="Amiri" w:hAnsi="Amiri" w:eastAsia="Amiri" w:cs="Amiri"/>
          <w:color w:val="111111"/>
          <w:sz w:val="28"/>
          <w:sz w:val="28"/>
          <w:szCs w:val="28"/>
          <w:rtl w:val="true"/>
          <w:lang w:bidi="ar-SA"/>
        </w:rPr>
        <w:t xml:space="preserve">قد يقال بوجوبه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لأ نّه من الموضوعات التي لا يمكن معرفتها غالباً إلاّ بالاختبار ، فلو رجعت إلى الأصل لزم منه الوقوع في محذور مخالفة التكليف غالباً ، كما لو رجع الشاكّ في الاستطاعة والنصاب والدين إلى الأصل قبل الفحص</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منع الصغرى ؛ أي لزوم الوقوع في المخالفة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محذور فيه بعد إطلاق أدلّة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انصرافها في محلّ المنع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للعلم الإجمالي بوجوب الوضوء أو الغسل عليها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الاستصحاب الموضوعي أو الحكمي الجاري في جميع الموارد أو غالبها ، يوجب عدم تأثير العلم وانحلاله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تقدّم من وجوب الوضوء لكلّ صلاة في الأقسام الثلاثة</w:t>
      </w:r>
      <w:r>
        <w:rPr>
          <w:rStyle w:val="FootnoteAnchor"/>
          <w:rtl w:val="true"/>
        </w:rPr>
        <w:footnoteReference w:id="1252"/>
      </w:r>
      <w:r>
        <w:rPr>
          <w:rFonts w:ascii="Amiri" w:hAnsi="Amiri" w:eastAsia="Amiri" w:cs="Amiri"/>
          <w:color w:val="111111"/>
          <w:sz w:val="28"/>
          <w:sz w:val="28"/>
          <w:szCs w:val="28"/>
          <w:rtl w:val="true"/>
          <w:lang w:bidi="ar-SA"/>
        </w:rPr>
        <w:t xml:space="preserve">، فيكون من قبيل الأقلّ والأكثر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وإمّا لإطلاق بعض الأخبار الدالّة على وجوب الاختبار ، كموثّقة</w:t>
      </w:r>
    </w:p>
    <w:p>
      <w:pPr>
        <w:pStyle w:val="BookText"/>
        <w:rPr/>
      </w:pPr>
      <w:r>
        <w:rPr>
          <w:rFonts w:ascii="IRNazanin" w:hAnsi="IRNazanin" w:eastAsia="IRNazanin"/>
          <w:color w:val="111111"/>
          <w:sz w:val="28"/>
          <w:sz w:val="28"/>
          <w:szCs w:val="28"/>
          <w:rtl w:val="true"/>
          <w:lang w:bidi="fa-IR"/>
        </w:rPr>
        <w:t xml:space="preserve">عبد الرحمان بن أبي عبداللّه عن أبي عبداللّه علیه السلام وفيها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كان فيه خلاف فلتحتط بيوم أو يومين ، ولتغتسل ولتستدخل كرسفاً ، فإن ظهر على الكرسف فلتغتسل ، ثمّ تضع كرسفاً آخر ، ثمّ تصلّي ، فإذا كان دماً سائلاً فلتؤخّر الصلاة إلى الصلاة</w:t>
      </w:r>
      <w:r>
        <w:rPr>
          <w:rFonts w:eastAsia="IRNazanin" w:cs="IRNazanin"/>
          <w:color w:val="111111"/>
          <w:sz w:val="28"/>
          <w:szCs w:val="28"/>
          <w:rtl w:val="true"/>
          <w:lang w:bidi="fa-IR"/>
        </w:rPr>
        <w:t>»</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 ظهورها في أنّ استدخال الكرسف ؛ لأجل اختبار أ نّه هل يظهر على الكرسف أو يسيل من ورائه أو لا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الظهور في ذلك ، بل الظاهر أنّ المراد منها أ نّها تغتسل بعد الاستظهار بيوم أو يومين ، وتستدخل كرسفاً ، وتصلّي بلا غسل وتغيير قطنة ؛ حتّى يظهر الدم على الكرسف ، فعند ذلك تعيد الغسل ، وتعيد الكرسف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نظيرة رواية الجُعفي عن أبي جعفر علیه السلام وفيها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لم تَرَ طهراً</w:t>
      </w:r>
    </w:p>
    <w:p>
      <w:pPr>
        <w:pStyle w:val="BookText"/>
        <w:rPr/>
      </w:pPr>
      <w:r>
        <w:rPr>
          <w:rFonts w:ascii="Amiri" w:hAnsi="Amiri" w:eastAsia="Amiri" w:cs="Amiri"/>
          <w:color w:val="111111"/>
          <w:sz w:val="28"/>
          <w:sz w:val="28"/>
          <w:szCs w:val="28"/>
          <w:rtl w:val="true"/>
          <w:lang w:bidi="ar-SA"/>
        </w:rPr>
        <w:t>اغتسلت واحتشت ، ولا تزال تصلّي بذلك الغسل حتّى يظهر الدم على الكرسف ، فإذا ظهر أعادت الغسل وأعادت الكرسف</w:t>
      </w:r>
      <w:r>
        <w:rPr>
          <w:rFonts w:eastAsia="Amiri" w:cs="Amiri" w:ascii="Amiri" w:hAnsi="Amiri"/>
          <w:color w:val="111111"/>
          <w:sz w:val="28"/>
          <w:szCs w:val="28"/>
          <w:rtl w:val="true"/>
          <w:lang w:bidi="ar-SA"/>
        </w:rPr>
        <w:t>»</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وقريب منها صحيحة الصحّاف وموثّقة زرارة عن أبي جعفر علیه السلام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الحال في صحيحة محمّد بن مسلم المرويّة عن مشيخة </w:t>
      </w:r>
    </w:p>
    <w:p>
      <w:pPr>
        <w:pStyle w:val="BookText"/>
        <w:rPr/>
      </w:pPr>
      <w:r>
        <w:rPr>
          <w:rFonts w:ascii="IRNazanin" w:hAnsi="IRNazanin" w:eastAsia="IRNazanin"/>
          <w:color w:val="111111"/>
          <w:sz w:val="28"/>
          <w:sz w:val="28"/>
          <w:szCs w:val="28"/>
          <w:rtl w:val="true"/>
          <w:lang w:bidi="fa-IR"/>
        </w:rPr>
        <w:t xml:space="preserve">ابن محبوب ، عن أبي جعفر علیه السلام وفيها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تمسك قطنة ، فإن صبغ القطنة دم لا ينقطع ، فلتجمع بين كلّ صلاتين بغسل</w:t>
      </w:r>
      <w:r>
        <w:rPr>
          <w:rFonts w:eastAsia="IRNazanin" w:cs="IRNazanin"/>
          <w:color w:val="111111"/>
          <w:sz w:val="28"/>
          <w:szCs w:val="28"/>
          <w:rtl w:val="true"/>
          <w:lang w:bidi="fa-IR"/>
        </w:rPr>
        <w:t>»</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الظاهر أنّ المراد منها هو ما في الروايات السابقة ؛ أي فلتمسك قطنة فتصلّي ، فإن صبغ القطنة دم لا ينقطع وصار كثيراً ، فلتجمع بين الصلاتين بغسل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أقلّ من الاحتمال المساوي لاحتمال كون الإمساك للاختبار ، ويرجّح ما ذكرنا بقرينة سائر 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الاستدلال للاختبار برواية ابن أبي يعفور عن أبي عبداللّه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المستحاضة إذا مضت أيّام قرئها اغتسلت واحتشت كرسفها وتنظر ، فإن ظهر على الكرسف زادت كرسفها ، وتوضّأت وصلّت</w:t>
      </w:r>
      <w:r>
        <w:rPr>
          <w:rFonts w:eastAsia="Amiri" w:cs="Amiri" w:ascii="Amiri" w:hAnsi="Amiri"/>
          <w:color w:val="111111"/>
          <w:sz w:val="28"/>
          <w:szCs w:val="28"/>
          <w:rtl w:val="true"/>
          <w:lang w:bidi="ar-SA"/>
        </w:rPr>
        <w:t>»</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وجوب النظر لتشخيص الحال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الظهور في ذلك ، بل الظاهر أ نّها تمكث وتمهل حتّى يظهر الدم على الكرسف ، خصوصاً بملاحظة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زادت كرسفها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الإفعال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تقدير تكون هذه الرواية أيضاً ؛ موافقة لسائر الروايات </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التمسّك بمثل تلك الروايات لذلك ، في غير محلّه ، كما يظهر بالتأمّل فيها </w:t>
      </w:r>
      <w:r>
        <w:rPr>
          <w:rFonts w:eastAsia="Amiri" w:cs="Amiri" w:ascii="Amiri" w:hAnsi="Amiri"/>
          <w:color w:val="111111"/>
          <w:sz w:val="28"/>
          <w:szCs w:val="28"/>
          <w:rtl w:val="true"/>
          <w:lang w:bidi="ar-SA"/>
        </w:rPr>
        <w:t xml:space="preserve">. </w:t>
      </w:r>
      <w:bookmarkStart w:id="746" w:name="pg15019_191016"/>
    </w:p>
    <w:p>
      <w:pPr>
        <w:pStyle w:val="Heading6"/>
        <w:numPr>
          <w:ilvl w:val="5"/>
          <w:numId w:val="1"/>
        </w:numPr>
        <w:rPr/>
      </w:pPr>
      <w:bookmarkStart w:id="747" w:name="__RefHeading___Toc686708_3406789950"/>
      <w:bookmarkStart w:id="748" w:name="_Toc272"/>
      <w:bookmarkEnd w:id="746"/>
      <w:bookmarkEnd w:id="747"/>
      <w:r>
        <w:rPr>
          <w:rtl w:val="true"/>
        </w:rPr>
        <w:t>التفصيل بين سهولة الاختبار وغيره</w:t>
      </w:r>
      <w:bookmarkEnd w:id="748"/>
    </w:p>
    <w:p>
      <w:pPr>
        <w:pStyle w:val="BookText"/>
        <w:rPr/>
      </w:pPr>
      <w:r>
        <w:rPr>
          <w:rFonts w:ascii="Amiri" w:hAnsi="Amiri" w:eastAsia="Amiri" w:cs="Amiri"/>
          <w:color w:val="111111"/>
          <w:sz w:val="28"/>
          <w:sz w:val="28"/>
          <w:szCs w:val="28"/>
          <w:rtl w:val="true"/>
          <w:lang w:bidi="ar-SA"/>
        </w:rPr>
        <w:t xml:space="preserve">نعم ،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الاختبار لو كان سهلاً لا يحتاج إلاّ إلى وضع القطنة وإخراجها ، كان واجباً ؛ لانصراف أدلّة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استصحاباً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إذا</w:t>
      </w:r>
    </w:p>
    <w:p>
      <w:pPr>
        <w:pStyle w:val="BookText"/>
        <w:rPr/>
      </w:pPr>
      <w:r>
        <w:rPr>
          <w:rFonts w:ascii="Amiri" w:hAnsi="Amiri" w:eastAsia="Amiri" w:cs="Amiri"/>
          <w:color w:val="111111"/>
          <w:sz w:val="28"/>
          <w:sz w:val="28"/>
          <w:szCs w:val="28"/>
          <w:rtl w:val="true"/>
          <w:lang w:bidi="ar-SA"/>
        </w:rPr>
        <w:t xml:space="preserve">كان العلم بالموضوع لا يحتاج إلى الفحص والتفتيش ، بل يحتاج إلى مجرّد النظر والاختبار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وجوب ذلك وجريان الأصل في مثله ، يستفاد من مضمرة زرارة الدالّة على حجّية الاستصحاب ، وفيها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عليّ إن شككت في أ نّه أصابه شيء أن أنظر فيه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 ولكنّك إنّما تريد أن تذهب الشكّ الذي وقع في نفسك </w:t>
      </w:r>
      <w:r>
        <w:rPr>
          <w:rFonts w:eastAsia="Amiri" w:cs="Amiri" w:ascii="Amiri" w:hAnsi="Amiri"/>
          <w:color w:val="111111"/>
          <w:sz w:val="28"/>
          <w:szCs w:val="28"/>
          <w:rtl w:val="true"/>
          <w:lang w:bidi="ar-SA"/>
        </w:rPr>
        <w:t>. . .»</w:t>
      </w:r>
      <w:r>
        <w:rPr>
          <w:rStyle w:val="FootnoteAnchor"/>
          <w:rtl w:val="true"/>
        </w:rPr>
        <w:footnoteReference w:id="1258"/>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لم يظهر منها أنّ ذلك للاتّكال على الاستصحاب ؛ حتّى نقول بجريانه في أمثاله من غير خصوصية في الموضوع ، فمن المحتمل أنّ في باب النجاسات مساهلات ليست في غيره ، كما يظهر من بعض روايات اُخر</w:t>
      </w:r>
      <w:r>
        <w:rPr>
          <w:rStyle w:val="FootnoteAnchor"/>
          <w:rtl w:val="true"/>
        </w:rPr>
        <w:footnoteReference w:id="1259"/>
      </w:r>
      <w:r>
        <w:rPr>
          <w:rFonts w:ascii="Amiri" w:hAnsi="Amiri" w:eastAsia="Amiri" w:cs="Amiri"/>
          <w:color w:val="111111"/>
          <w:sz w:val="28"/>
          <w:sz w:val="28"/>
          <w:szCs w:val="28"/>
          <w:rtl w:val="true"/>
          <w:lang w:bidi="ar-SA"/>
        </w:rPr>
        <w:t xml:space="preserve">، فالتفصيل بين ما كان التشخيص محتاجاً إلى فحص ومقدّمات وبين غيره ، لا يخلو من وجه </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التشخيص إن كان متعذّراً أو متعسّراً ، تعمل على الاُصول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الحكمية </w:t>
      </w:r>
      <w:r>
        <w:rPr>
          <w:rFonts w:eastAsia="Amiri" w:cs="Amiri" w:ascii="Amiri" w:hAnsi="Amiri"/>
          <w:color w:val="111111"/>
          <w:sz w:val="28"/>
          <w:szCs w:val="28"/>
          <w:rtl w:val="true"/>
          <w:lang w:bidi="ar-SA"/>
        </w:rPr>
        <w:t xml:space="preserve">. </w:t>
      </w:r>
      <w:bookmarkStart w:id="749" w:name="pg15019_191017"/>
    </w:p>
    <w:p>
      <w:pPr>
        <w:pStyle w:val="BookText"/>
        <w:rPr/>
      </w:pPr>
      <w:bookmarkEnd w:id="749"/>
      <w:r>
        <w:rPr>
          <w:rFonts w:ascii="Amiri" w:hAnsi="Amiri" w:eastAsia="Amiri" w:cs="Amiri"/>
          <w:color w:val="111111"/>
          <w:sz w:val="28"/>
          <w:sz w:val="28"/>
          <w:szCs w:val="28"/>
          <w:rtl w:val="true"/>
          <w:lang w:bidi="ar-SA"/>
        </w:rPr>
        <w:t xml:space="preserve">ثمّ لا إشكال في أنّ وجوب الاختبار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نفسياً ولا شرطياً ، فلو لم تختبر وصلّت مع حصول قصد القربة ومطابقة الواقع ، أو احتاطت بالأخذ بأسوأ الأحوال ، فلا ريب في صحّة عباداتها وعدم كونها عاصية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تكون في بعض الصور متجرّية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صلّت وخالفت الواقع وقلنا بوجوب الاختبار ، استحقّت العقوبة ؛ لمخالفة الواقع ، لا لترك الفحص </w:t>
      </w:r>
      <w:r>
        <w:rPr>
          <w:rFonts w:eastAsia="Amiri" w:cs="Amiri" w:ascii="Amiri" w:hAnsi="Amiri"/>
          <w:color w:val="111111"/>
          <w:sz w:val="28"/>
          <w:szCs w:val="28"/>
          <w:rtl w:val="true"/>
          <w:lang w:bidi="ar-SA"/>
        </w:rPr>
        <w:t>.</w:t>
      </w:r>
    </w:p>
    <w:p>
      <w:pPr>
        <w:pStyle w:val="Heading6"/>
        <w:numPr>
          <w:ilvl w:val="5"/>
          <w:numId w:val="1"/>
        </w:numPr>
        <w:rPr/>
      </w:pPr>
      <w:bookmarkStart w:id="750" w:name="__RefHeading___Toc686710_3406789950"/>
      <w:bookmarkStart w:id="751" w:name="_Toc273"/>
      <w:bookmarkEnd w:id="750"/>
      <w:r>
        <w:rPr>
          <w:rtl w:val="true"/>
        </w:rPr>
        <w:t>الأمر السادس لزوم منع خروج الدم قدر الإمكان</w:t>
      </w:r>
      <w:bookmarkEnd w:id="751"/>
    </w:p>
    <w:p>
      <w:pPr>
        <w:pStyle w:val="Heading6"/>
        <w:numPr>
          <w:ilvl w:val="5"/>
          <w:numId w:val="1"/>
        </w:numPr>
        <w:rPr/>
      </w:pPr>
      <w:bookmarkStart w:id="752" w:name="__RefHeading___Toc686712_3406789950"/>
      <w:bookmarkStart w:id="753" w:name="_Toc274"/>
      <w:bookmarkEnd w:id="752"/>
      <w:r>
        <w:rPr>
          <w:rtl w:val="true"/>
        </w:rPr>
        <w:t>اشارة</w:t>
      </w:r>
      <w:bookmarkEnd w:id="753"/>
    </w:p>
    <w:p>
      <w:pPr>
        <w:pStyle w:val="BookText"/>
        <w:rPr/>
      </w:pPr>
      <w:r>
        <w:rPr>
          <w:rFonts w:ascii="Amiri" w:hAnsi="Amiri" w:eastAsia="Amiri" w:cs="Amiri"/>
          <w:color w:val="111111"/>
          <w:sz w:val="28"/>
          <w:sz w:val="28"/>
          <w:szCs w:val="28"/>
          <w:rtl w:val="true"/>
          <w:lang w:bidi="ar-SA"/>
        </w:rPr>
        <w:t xml:space="preserve">يجب على المستحاضة الاستظهار في منع خروج الدم قدر الإمكان ؛ إذا لم تتضرّر بحبسه ،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لم أجد فيه خلافاً ، بل لعلّه ممّا يقضي به بعض الإجماعات</w:t>
      </w:r>
      <w:r>
        <w:rPr>
          <w:rFonts w:eastAsia="Amiri" w:cs="Amiri" w:ascii="Amiri" w:hAnsi="Amiri"/>
          <w:color w:val="111111"/>
          <w:sz w:val="28"/>
          <w:szCs w:val="28"/>
          <w:rtl w:val="true"/>
          <w:lang w:bidi="ar-SA"/>
        </w:rPr>
        <w:t>»</w:t>
      </w:r>
      <w:r>
        <w:rPr>
          <w:rStyle w:val="FootnoteAnchor"/>
          <w:rtl w:val="true"/>
        </w:rPr>
        <w:footnoteReference w:id="1260"/>
      </w:r>
      <w:r>
        <w:rPr>
          <w:rFonts w:ascii="Amiri" w:hAnsi="Amiri" w:eastAsia="Amiri" w:cs="Amiri"/>
          <w:color w:val="111111"/>
          <w:sz w:val="28"/>
          <w:sz w:val="28"/>
          <w:szCs w:val="28"/>
          <w:rtl w:val="true"/>
          <w:lang w:bidi="ar-SA"/>
        </w:rPr>
        <w:t xml:space="preserve">وهذا في الجملة ممّا لا ينبغي الإشكال فيه </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ذلك ، وإلى اشتراط طهارة البدن واللباس من الدم ووجوب تقليله على الظاهر ، وإلى حدثية دم الاستحاضة كما مرّ</w:t>
      </w:r>
      <w:r>
        <w:rPr>
          <w:rStyle w:val="FootnoteAnchor"/>
          <w:rtl w:val="true"/>
        </w:rPr>
        <w:footnoteReference w:id="1261"/>
      </w:r>
      <w:r>
        <w:rPr>
          <w:rFonts w:ascii="Amiri" w:hAnsi="Amiri" w:eastAsia="Amiri" w:cs="Amiri"/>
          <w:color w:val="111111"/>
          <w:sz w:val="28"/>
          <w:sz w:val="28"/>
          <w:szCs w:val="28"/>
          <w:rtl w:val="true"/>
          <w:lang w:bidi="ar-SA"/>
        </w:rPr>
        <w:t xml:space="preserve">ولزوم الاقتصار على القدر المتيقّن في العفو أو إلغاء السببية ، وأ نّه لو خرج مع التقصير يكون حدثاً غير معفوّ عنه ، ويجب عليها إعادة الوضوء أو الغسل على الأحوط لو لم يكن أقوى ؛ مع التسامح في الاحتشاء والاستثفار </w:t>
      </w:r>
      <w:bookmarkStart w:id="754" w:name="pg15019_191018"/>
    </w:p>
    <w:p>
      <w:pPr>
        <w:pStyle w:val="BookText"/>
        <w:rPr/>
      </w:pPr>
      <w:bookmarkEnd w:id="754"/>
      <w:r>
        <w:rPr>
          <w:rFonts w:ascii="Amiri" w:hAnsi="Amiri" w:eastAsia="Amiri" w:cs="Amiri"/>
          <w:color w:val="111111"/>
          <w:sz w:val="28"/>
          <w:sz w:val="28"/>
          <w:szCs w:val="28"/>
          <w:rtl w:val="true"/>
          <w:lang w:bidi="ar-SA"/>
        </w:rPr>
        <w:t xml:space="preserve">ونحوهما ، أو مع الصلاة لو صلّت بعد الخروج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المتظافرة</w:t>
      </w:r>
    </w:p>
    <w:p>
      <w:pPr>
        <w:pStyle w:val="BookText"/>
        <w:rPr/>
      </w:pPr>
      <w:r>
        <w:rPr>
          <w:rFonts w:ascii="Amiri" w:hAnsi="Amiri" w:eastAsia="Amiri" w:cs="Amiri"/>
          <w:color w:val="111111"/>
          <w:sz w:val="28"/>
          <w:sz w:val="28"/>
          <w:szCs w:val="28"/>
          <w:rtl w:val="true"/>
          <w:lang w:bidi="ar-SA"/>
        </w:rPr>
        <w:t>الآمرة بالاستظهار</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55" w:name="__RefHeading___Toc686714_3406789950"/>
      <w:bookmarkStart w:id="756" w:name="_Toc275"/>
      <w:bookmarkEnd w:id="755"/>
      <w:r>
        <w:rPr>
          <w:rtl w:val="true"/>
        </w:rPr>
        <w:t>عدم وجوب الاستظهار قبل الوضوء أو الغسل ولا بعدهما</w:t>
      </w:r>
      <w:bookmarkEnd w:id="756"/>
    </w:p>
    <w:p>
      <w:pPr>
        <w:pStyle w:val="BookText"/>
        <w:rPr/>
      </w:pPr>
      <w:r>
        <w:rPr>
          <w:rFonts w:ascii="Amiri" w:hAnsi="Amiri" w:eastAsia="Amiri" w:cs="Amiri"/>
          <w:color w:val="111111"/>
          <w:sz w:val="28"/>
          <w:sz w:val="28"/>
          <w:szCs w:val="28"/>
          <w:rtl w:val="true"/>
          <w:lang w:bidi="ar-SA"/>
        </w:rPr>
        <w:t xml:space="preserve">إنّما الكلام في أ نّه قبل الوضوء أو الغسل ، أو بعدهما ، أو قبل الوضوء وبعد الغسل ، الأقوى عدم وجوب كونه قبلهما ولا بعدهما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الوضوء ، فلإطلاق ما دلّ على التوضّؤ لكلّ صلاة</w:t>
      </w:r>
      <w:r>
        <w:rPr>
          <w:rStyle w:val="FootnoteAnchor"/>
          <w:rtl w:val="true"/>
        </w:rPr>
        <w:footnoteReference w:id="1263"/>
      </w:r>
      <w:r>
        <w:rPr>
          <w:rFonts w:ascii="Amiri" w:hAnsi="Amiri" w:eastAsia="Amiri" w:cs="Amiri"/>
          <w:color w:val="111111"/>
          <w:sz w:val="28"/>
          <w:sz w:val="28"/>
          <w:szCs w:val="28"/>
          <w:rtl w:val="true"/>
          <w:lang w:bidi="ar-SA"/>
        </w:rPr>
        <w:t xml:space="preserve">؛ من غير إشعار فيها بتقديم الاستظهار عليه أو تأخيره ، وبه يرفع اليد عمّا دلّ على حدثيته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إمكان إنكارها في مثل المقام </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الغسل ، فلأنّ الأخبار وإن كانت ظاهرة في تقديم الغسل على الاستظهار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لأجل العطف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بعضها </w:t>
      </w:r>
      <w:r>
        <w:rPr>
          <w:rStyle w:val="FootnoteAnchor"/>
          <w:rtl w:val="true"/>
        </w:rPr>
        <w:footnoteReference w:id="1264"/>
      </w:r>
      <w:r>
        <w:rPr>
          <w:rFonts w:ascii="Amiri" w:hAnsi="Amiri" w:eastAsia="Amiri" w:cs="Amiri"/>
          <w:color w:val="111111"/>
          <w:sz w:val="28"/>
          <w:sz w:val="28"/>
          <w:szCs w:val="28"/>
          <w:rtl w:val="true"/>
          <w:lang w:bidi="ar-SA"/>
        </w:rPr>
        <w:t>وإمّا بدعوى كون مساقها والمتفاهم ممّا عطف فيها بالواو</w:t>
      </w:r>
      <w:r>
        <w:rPr>
          <w:rStyle w:val="FootnoteAnchor"/>
          <w:rtl w:val="true"/>
        </w:rPr>
        <w:footnoteReference w:id="1265"/>
      </w:r>
      <w:r>
        <w:rPr>
          <w:rFonts w:ascii="Amiri" w:hAnsi="Amiri" w:eastAsia="Amiri" w:cs="Amiri"/>
          <w:color w:val="111111"/>
          <w:sz w:val="28"/>
          <w:sz w:val="28"/>
          <w:szCs w:val="28"/>
          <w:rtl w:val="true"/>
          <w:lang w:bidi="ar-SA"/>
        </w:rPr>
        <w:t xml:space="preserve">أيضاً هو ما يتعارف عادةً من تقديم الغسل على الاحتشاء ، وهو على الاستثفار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إشكال في عدم فهم شرطية ذلك في </w:t>
      </w:r>
    </w:p>
    <w:p>
      <w:pPr>
        <w:pStyle w:val="BookText"/>
        <w:rPr/>
      </w:pPr>
      <w:r>
        <w:rPr>
          <w:rFonts w:ascii="Amiri" w:hAnsi="Amiri" w:eastAsia="Amiri" w:cs="Amiri"/>
          <w:color w:val="111111"/>
          <w:sz w:val="28"/>
          <w:sz w:val="28"/>
          <w:szCs w:val="28"/>
          <w:rtl w:val="true"/>
          <w:lang w:bidi="ar-SA"/>
        </w:rPr>
        <w:t xml:space="preserve">صحّة الصلاة أو الغسل ؛ بحيث لو أمكن لها الغسل مع الاستثفار ، وقع غسلها وصلاتها باطلين ؛ ضرورة عدم فهم التعبّد من مثلها ، بل الظاهر منها أنّ ذلك لأجل العادة والتعارف وعدم تيسّر الاستثفار نوعاً ما بين الغسل ، فلا ينبغي الإشكال في جواز الاستثفار والاحتشاء قبل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أولوية التقديم مع الإمكان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الظاهر أ نّه مع إمكانه لا يجب ، ولا</w:t>
      </w:r>
    </w:p>
    <w:p>
      <w:pPr>
        <w:pStyle w:val="BookText"/>
        <w:rPr/>
      </w:pPr>
      <w:r>
        <w:rPr>
          <w:rFonts w:ascii="Amiri" w:hAnsi="Amiri" w:eastAsia="Amiri" w:cs="Amiri"/>
          <w:color w:val="111111"/>
          <w:sz w:val="28"/>
          <w:sz w:val="28"/>
          <w:szCs w:val="28"/>
          <w:rtl w:val="true"/>
          <w:lang w:bidi="ar-SA"/>
        </w:rPr>
        <w:t xml:space="preserve">يكون التحفّظ بذلك الحدّ من الضيق ، وإلاّ لتعرّض له في تلك الأخبار الكثيرة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دعوى القطع بعدم شرطية التأخير وعدم وجوبه التعبّدي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دعوى القطع بعدم لزومه مع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تعبّدية الاحتشاء والاستثفار ، وكونهما لأجل التحفّظ عن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أ نّه لا كيفية خاصّة لهما ، فلو أمكنها التحفّظ بكيفية اُخرى مثلها ، فلا إشكال في كفايتها ، فلا داعي إلى تحصيل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الاستثفار ، والاستذفار ، والتحشّي ، والاحتشاء</w:t>
      </w:r>
      <w:r>
        <w:rPr>
          <w:rFonts w:eastAsia="Amiri" w:cs="Amiri" w:ascii="Amiri" w:hAnsi="Amiri"/>
          <w:color w:val="111111"/>
          <w:sz w:val="28"/>
          <w:szCs w:val="28"/>
          <w:rtl w:val="true"/>
          <w:lang w:bidi="ar-SA"/>
        </w:rPr>
        <w:t>» .</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الاستذفار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بمعنى التطيّب والاستجمار بالدخنة وغير ذلك ، لا يكون واجباً بلا إشكال ، بل لا يبعد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الاستذفار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الاستثفار ، ويكون التفسير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التدخين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الشيخ الكليني</w:t>
      </w:r>
      <w:r>
        <w:rPr>
          <w:rStyle w:val="FootnoteAnchor"/>
          <w:rtl w:val="true"/>
        </w:rPr>
        <w:footnoteReference w:id="1266"/>
      </w:r>
      <w:r>
        <w:rPr>
          <w:rFonts w:ascii="Amiri" w:hAnsi="Amiri" w:eastAsia="Amiri" w:cs="Amiri"/>
          <w:color w:val="111111"/>
          <w:sz w:val="28"/>
          <w:sz w:val="28"/>
          <w:szCs w:val="28"/>
          <w:rtl w:val="true"/>
          <w:lang w:bidi="ar-SA"/>
        </w:rPr>
        <w:t xml:space="preserve">، كما احتمله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 xml:space="preserve">. </w:t>
      </w:r>
      <w:bookmarkStart w:id="757" w:name="pg15019_191020"/>
    </w:p>
    <w:p>
      <w:pPr>
        <w:pStyle w:val="Heading6"/>
        <w:numPr>
          <w:ilvl w:val="5"/>
          <w:numId w:val="1"/>
        </w:numPr>
        <w:rPr/>
      </w:pPr>
      <w:bookmarkStart w:id="758" w:name="__RefHeading___Toc686716_3406789950"/>
      <w:bookmarkStart w:id="759" w:name="_Toc276"/>
      <w:bookmarkEnd w:id="757"/>
      <w:bookmarkEnd w:id="758"/>
      <w:r>
        <w:rPr>
          <w:rtl w:val="true"/>
        </w:rPr>
        <w:t>الأمر السابع في أنّ المستحاضة بعد أفعالها بحكم الطاهر</w:t>
      </w:r>
      <w:bookmarkEnd w:id="759"/>
    </w:p>
    <w:p>
      <w:pPr>
        <w:pStyle w:val="Heading6"/>
        <w:numPr>
          <w:ilvl w:val="5"/>
          <w:numId w:val="1"/>
        </w:numPr>
        <w:rPr/>
      </w:pPr>
      <w:bookmarkStart w:id="760" w:name="__RefHeading___Toc686718_3406789950"/>
      <w:bookmarkStart w:id="761" w:name="_Toc277"/>
      <w:bookmarkEnd w:id="760"/>
      <w:r>
        <w:rPr>
          <w:rtl w:val="true"/>
        </w:rPr>
        <w:t>اشارة</w:t>
      </w:r>
      <w:bookmarkEnd w:id="761"/>
    </w:p>
    <w:p>
      <w:pPr>
        <w:pStyle w:val="BookText"/>
        <w:rPr/>
      </w:pPr>
      <w:r>
        <w:rPr>
          <w:rFonts w:ascii="Amiri" w:hAnsi="Amiri" w:eastAsia="Amiri" w:cs="Amiri"/>
          <w:color w:val="111111"/>
          <w:sz w:val="28"/>
          <w:sz w:val="28"/>
          <w:szCs w:val="28"/>
          <w:rtl w:val="true"/>
          <w:lang w:bidi="ar-SA"/>
        </w:rPr>
        <w:t xml:space="preserve">قال المحقّق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فعلت ذلك كانت بحكم الطاهر</w:t>
      </w:r>
      <w:r>
        <w:rPr>
          <w:rFonts w:eastAsia="Amiri" w:cs="Amiri" w:ascii="Amiri" w:hAnsi="Amiri"/>
          <w:color w:val="111111"/>
          <w:sz w:val="28"/>
          <w:szCs w:val="28"/>
          <w:rtl w:val="true"/>
          <w:lang w:bidi="ar-SA"/>
        </w:rPr>
        <w:t>»</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ومع الأفعال تصير بحكم الطاهر</w:t>
      </w:r>
      <w:r>
        <w:rPr>
          <w:rFonts w:eastAsia="Amiri" w:cs="Amiri" w:ascii="Amiri" w:hAnsi="Amiri"/>
          <w:color w:val="111111"/>
          <w:sz w:val="28"/>
          <w:szCs w:val="28"/>
          <w:rtl w:val="true"/>
          <w:lang w:bidi="ar-SA"/>
        </w:rPr>
        <w:t>»</w:t>
      </w:r>
      <w:r>
        <w:rPr>
          <w:rStyle w:val="FootnoteAnchor"/>
          <w:rtl w:val="true"/>
        </w:rPr>
        <w:footnoteReference w:id="1269"/>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إجماعاً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الالتباس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 نّه مذهب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خلاف فيه بين العلماء</w:t>
      </w:r>
      <w:r>
        <w:rPr>
          <w:rFonts w:eastAsia="Amiri" w:cs="Amiri" w:ascii="Amiri" w:hAnsi="Amiri"/>
          <w:color w:val="111111"/>
          <w:sz w:val="28"/>
          <w:szCs w:val="28"/>
          <w:rtl w:val="true"/>
          <w:lang w:bidi="ar-SA"/>
        </w:rPr>
        <w:t>»</w:t>
      </w:r>
      <w:r>
        <w:rPr>
          <w:rStyle w:val="FootnoteAnchor"/>
          <w:rtl w:val="true"/>
        </w:rPr>
        <w:footnoteReference w:id="1270"/>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Heading6"/>
        <w:numPr>
          <w:ilvl w:val="5"/>
          <w:numId w:val="1"/>
        </w:numPr>
        <w:rPr/>
      </w:pPr>
      <w:bookmarkStart w:id="762" w:name="__RefHeading___Toc686720_3406789950"/>
      <w:bookmarkStart w:id="763" w:name="_Toc278"/>
      <w:bookmarkEnd w:id="762"/>
      <w:r>
        <w:rPr>
          <w:rtl w:val="true"/>
        </w:rPr>
        <w:t xml:space="preserve">بيان منطوق ومفهوم قولهم </w:t>
      </w:r>
      <w:r>
        <w:rPr>
          <w:rtl w:val="true"/>
        </w:rPr>
        <w:t>: «</w:t>
      </w:r>
      <w:r>
        <w:rPr>
          <w:rtl w:val="true"/>
        </w:rPr>
        <w:t>إذا فعلت ذلك تصير بحكم الطاهر</w:t>
      </w:r>
      <w:r>
        <w:rPr>
          <w:rtl w:val="true"/>
        </w:rPr>
        <w:t>»</w:t>
      </w:r>
      <w:bookmarkEnd w:id="763"/>
    </w:p>
    <w:p>
      <w:pPr>
        <w:pStyle w:val="BookText"/>
        <w:rPr/>
      </w:pPr>
      <w:r>
        <w:rPr>
          <w:rFonts w:ascii="Amiri" w:hAnsi="Amiri" w:eastAsia="Amiri" w:cs="Amiri"/>
          <w:color w:val="111111"/>
          <w:sz w:val="28"/>
          <w:sz w:val="28"/>
          <w:szCs w:val="28"/>
          <w:rtl w:val="true"/>
          <w:lang w:bidi="ar-SA"/>
        </w:rPr>
        <w:t xml:space="preserve">ومنطوق هذه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إجماله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 نّه ممّا لا إشكال فيه ، لكن يحتمل أن يكون المراد منه أ نّها بحكم الطاهر ، لا أ نّها طاهرة ، فلا يجري عليها حكم الطاهر الحقيقي ، بل التنزيلي بمقدار دلالة دليل التنزيل ، فحينئذٍ يكون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يترتّب عليها جميع أحكام الطاهر ، مثل مسّ الكتاب وغيره </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كاحتمال كون المقصود تبيين ما تقدّم </w:t>
      </w:r>
    </w:p>
    <w:p>
      <w:pPr>
        <w:pStyle w:val="BookText"/>
        <w:rPr/>
      </w:pPr>
      <w:r>
        <w:rPr>
          <w:rFonts w:ascii="Amiri" w:hAnsi="Amiri" w:eastAsia="Amiri" w:cs="Amiri"/>
          <w:color w:val="111111"/>
          <w:sz w:val="28"/>
          <w:sz w:val="28"/>
          <w:szCs w:val="28"/>
          <w:rtl w:val="true"/>
          <w:lang w:bidi="ar-SA"/>
        </w:rPr>
        <w:t xml:space="preserve">من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وجيه ، ولهذا استثنى الشيخ وابن حمزة دخول الكعبة منه</w:t>
      </w:r>
      <w:r>
        <w:rPr>
          <w:rStyle w:val="FootnoteAnchor"/>
          <w:rtl w:val="true"/>
        </w:rPr>
        <w:footnoteReference w:id="1271"/>
      </w:r>
      <w:r>
        <w:rPr>
          <w:rFonts w:ascii="Amiri" w:hAnsi="Amiri" w:eastAsia="Amiri" w:cs="Amiri"/>
          <w:color w:val="111111"/>
          <w:sz w:val="28"/>
          <w:sz w:val="28"/>
          <w:szCs w:val="28"/>
          <w:rtl w:val="true"/>
          <w:lang w:bidi="ar-SA"/>
        </w:rPr>
        <w:t>؛ لمرسلة يونس</w:t>
      </w:r>
      <w:r>
        <w:rPr>
          <w:rStyle w:val="FootnoteAnchor"/>
          <w:rtl w:val="true"/>
        </w:rPr>
        <w:footnoteReference w:id="1272"/>
      </w:r>
      <w:r>
        <w:rPr>
          <w:rFonts w:ascii="Amiri" w:hAnsi="Amiri" w:eastAsia="Amiri" w:cs="Amiri"/>
          <w:color w:val="111111"/>
          <w:sz w:val="28"/>
          <w:sz w:val="28"/>
          <w:szCs w:val="28"/>
          <w:rtl w:val="true"/>
          <w:lang w:bidi="ar-SA"/>
        </w:rPr>
        <w:t>، وقد عدّوا الشيخ مخالفاً لهذا الحكم</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ويحتمل أن يكون المراد أ نّها بحكم الطاهر إلى الإتيان بما فعلت لأجله ، فيكون إيجاد الغاية التي اغتسلت لأجلها نهايةً للحكم ؛ بمعنى أنّ العفو لا يكون إلاّ إلى تمام العمل الذي اغتسلت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بحكمه إلى خروج الوقت ، أو إلى دخول وقت خطاب آخر ، أو إلى زمان الاشتغال بغسل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تكون بحكمه في جميع الآثار ، فلها مسّ الكتاب 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 نّها بحكم الطاهر فيما تضطرّ إلى إتيانه ، كالطواف الواجب وركعتيه ، لا كمسّ الكتاب والإتيان بالصلوات المستحبّة </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بعد قيام الدليل على كون الدم حدثاً ، وكون الخروج إنّما هو في بعض الأحيان عفواً أو إسقاطاً للسببية ، لا بدّ من قيام الدليل عليهما ، والقدر المتيقّن من الإجماع المدّعى أو عدم الخلاف هو أ نّها بحكم الطاهر إلى زمان إتيان ما فعلت لأجله ، فلو اغتسلت لصلاة الصبح فما لم تأتِ بها تكون بحكم الطاهر ، وأمّا بعد الإتيان بها فلا دليل على العفو وكونها بحكمه ؛ وإن قال شيخنا الأعظم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ويمكن دعوى الإجماع على كونها كذلك ما دام وقت الصلاة </w:t>
      </w:r>
    </w:p>
    <w:p>
      <w:pPr>
        <w:pStyle w:val="BookText"/>
        <w:rPr/>
      </w:pPr>
      <w:r>
        <w:rPr>
          <w:rFonts w:ascii="Amiri" w:hAnsi="Amiri" w:eastAsia="Amiri" w:cs="Amiri"/>
          <w:color w:val="111111"/>
          <w:sz w:val="28"/>
          <w:sz w:val="28"/>
          <w:szCs w:val="28"/>
          <w:rtl w:val="true"/>
          <w:lang w:bidi="ar-SA"/>
        </w:rPr>
        <w:t>باقياً</w:t>
      </w:r>
      <w:r>
        <w:rPr>
          <w:rFonts w:eastAsia="Amiri" w:cs="Amiri" w:ascii="Amiri" w:hAnsi="Amiri"/>
          <w:color w:val="111111"/>
          <w:sz w:val="28"/>
          <w:szCs w:val="28"/>
          <w:rtl w:val="true"/>
          <w:lang w:bidi="ar-SA"/>
        </w:rPr>
        <w:t>»</w:t>
      </w:r>
      <w:r>
        <w:rPr>
          <w:rStyle w:val="FootnoteAnchor"/>
          <w:rtl w:val="true"/>
        </w:rPr>
        <w:footnoteReference w:id="1274"/>
      </w:r>
      <w:r>
        <w:rPr>
          <w:rFonts w:ascii="Amiri" w:hAnsi="Amiri" w:eastAsia="Amiri" w:cs="Amiri"/>
          <w:color w:val="111111"/>
          <w:sz w:val="28"/>
          <w:sz w:val="28"/>
          <w:szCs w:val="28"/>
          <w:rtl w:val="true"/>
          <w:lang w:bidi="ar-SA"/>
        </w:rPr>
        <w:t xml:space="preserve">فلو ثبت الإجماع ، وإلاّ فالتحقيق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ومراعاة الاحتياط طريق النجاة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الظاهر جواز الإتيان بالوضوء والغسل للغايات الاضطرارية ، كالطواف وصلاته إذا ضاق وقتهما ، أو مطلقاً بدعوى فهمه من الأدلّة بإلغاء الخصوصية ، بعد كون الأمر بالوضوء والغسل ؛ لتحصيل مرتبة من الطهارة بحسب ارتكاز المتشرّعة وفهم العرف ، وأمّا ما لا يجب عليها ولا تضطرّ إليه فلا دليل على العفو ، ولا يمكن فهمه من الأدلّة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دلّت رواية إسماعيل بن عبد الخالق على تقديم ركعتين قبل الغداة ، ثمّ إتيان الغداة بغسل واحد</w:t>
      </w:r>
      <w:r>
        <w:rPr>
          <w:rStyle w:val="FootnoteAnchor"/>
          <w:rtl w:val="true"/>
        </w:rPr>
        <w:footnoteReference w:id="1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تثبت إلاّ نافلة الفجر ، ولها خصوصية ؛ لمكانِ أفضليتها من سائر الرواتب ، وكونِ تمام الوظيفة ركعتين ، فلا يمكن التعدّي إلى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يتشبّث بالإجماع 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الالتباس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الجعفرية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أ نّها إذا فعلت ما تفعله المستحاضة ، كانت بحكم الطاهر ، وهو لا يخلو من تأمّل وإن لم يخلُ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تسالمهم على جواز إتيان النوافل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في منطوق القضيّة المتقدّمة </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مفهومها ، فلا يبعد أن يكون غير مراد ، ولو كان مراداً فليس مفهومها إلاّ أ نّها مع عدم الإتيان بذلك ، ليست بحكم الطاهر ، ولا يفهم منه إلاّ عدم كونها </w:t>
      </w:r>
    </w:p>
    <w:p>
      <w:pPr>
        <w:pStyle w:val="BookText"/>
        <w:rPr/>
      </w:pPr>
      <w:r>
        <w:rPr>
          <w:rFonts w:ascii="Amiri" w:hAnsi="Amiri" w:eastAsia="Amiri" w:cs="Amiri"/>
          <w:color w:val="111111"/>
          <w:sz w:val="28"/>
          <w:sz w:val="28"/>
          <w:szCs w:val="28"/>
          <w:rtl w:val="true"/>
          <w:lang w:bidi="ar-SA"/>
        </w:rPr>
        <w:t xml:space="preserve">كذلك في الجملة ، وأمّا كونها بحكم الحائض فلا ؛ وإن كان يُشعر به بعض العبارات بل بعض معاقد الإجماعات ، لكنّهما ليسا بنحو يمكن الاعتماد عليهما في الخروج عن مقتضى القواعد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ظاهر العبارة المحكيّة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 الإجمال عن سائر العبارات ، ويبيّن المراد من المفهوم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مذهب علمائنا أجمع أنّ الاستحاضة حدث تبطل الطهارة بوجوده ، فمع الإتيان بما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الوضوء إن كان قليلاً ، والأغسال إن كان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عن حكم الحدث لا محالة ، وتستبيح كلّ ما تستبيحه الطاهر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الصلاة ، والطواف ، ودخول المساجد ، وحلّ وطؤها ، وإن لم تفعل كان حدثها باقياً ، ولم يجز أن تستبيح شيئاً ممّا يشترط فيه الطهارة</w:t>
      </w:r>
      <w:r>
        <w:rPr>
          <w:rFonts w:eastAsia="Amiri" w:cs="Amiri" w:ascii="Amiri" w:hAnsi="Amiri"/>
          <w:color w:val="111111"/>
          <w:sz w:val="28"/>
          <w:szCs w:val="28"/>
          <w:rtl w:val="true"/>
          <w:lang w:bidi="ar-SA"/>
        </w:rPr>
        <w:t>»</w:t>
      </w:r>
      <w:r>
        <w:rPr>
          <w:rStyle w:val="FootnoteAnchor"/>
          <w:rtl w:val="true"/>
        </w:rPr>
        <w:footnoteReference w:id="1276"/>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 منها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والمستفاد منهما أ نّها مع عدم الإتيان تكون محدثة ، وهذا هو الذي دلّت عليه الأدلّة ؛ ضرورة أنّ الأمر بالوضوء والغسل لصلاتها لكون الدم حدثاً ، وهما رافعان له حكماً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الأدلّة بل الإجماع هو عدم جواز ما يشترط فيه الطهارة إلاّ بالإتيان بالوظائف ، وأمّا ما لا يكون مشروطاً بها كدخول المسجدين ، والمكث في سائرالمساجد ، وقراءة العزائم ، فلايستفاد منها تحريمه عليها ، ولا قام الإجماع أو الشهرة على التحريم بعد كون المسألة محلّ خلاف قديماً وحديثاً </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قد وردت في خصوص الوط‌ء روايات لا بدّ من البحث عنها مستقلاًّ </w:t>
      </w:r>
      <w:r>
        <w:rPr>
          <w:rFonts w:eastAsia="Amiri" w:cs="Amiri" w:ascii="Amiri" w:hAnsi="Amiri"/>
          <w:color w:val="111111"/>
          <w:sz w:val="28"/>
          <w:szCs w:val="28"/>
          <w:rtl w:val="true"/>
          <w:lang w:bidi="ar-SA"/>
        </w:rPr>
        <w:t xml:space="preserve">. </w:t>
      </w:r>
      <w:bookmarkStart w:id="764" w:name="pg15019_191024"/>
    </w:p>
    <w:p>
      <w:pPr>
        <w:pStyle w:val="Heading6"/>
        <w:numPr>
          <w:ilvl w:val="5"/>
          <w:numId w:val="1"/>
        </w:numPr>
        <w:rPr/>
      </w:pPr>
      <w:bookmarkStart w:id="765" w:name="__RefHeading___Toc686722_3406789950"/>
      <w:bookmarkStart w:id="766" w:name="_Toc279"/>
      <w:bookmarkEnd w:id="764"/>
      <w:bookmarkEnd w:id="765"/>
      <w:r>
        <w:rPr>
          <w:rtl w:val="true"/>
        </w:rPr>
        <w:t>جواز وط‌ء المستحاضة</w:t>
      </w:r>
      <w:bookmarkEnd w:id="766"/>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اختلفت الآراء في جواز وط‌ء المستحاضة ، فقيل بالإباحة مطلقاً من دون توقّفه على شيء ،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البرهان</w:t>
      </w:r>
      <w:r>
        <w:rPr>
          <w:rFonts w:eastAsia="Amiri" w:cs="Amiri" w:ascii="Amiri" w:hAnsi="Amiri"/>
          <w:color w:val="111111"/>
          <w:sz w:val="28"/>
          <w:szCs w:val="28"/>
          <w:rtl w:val="true"/>
          <w:lang w:bidi="ar-SA"/>
        </w:rPr>
        <w:t>»</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بالكراهة ،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الالتباس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شرحي الجعفرية</w:t>
      </w:r>
      <w:r>
        <w:rPr>
          <w:rFonts w:eastAsia="Amiri" w:cs="Amiri" w:ascii="Amiri" w:hAnsi="Amiri"/>
          <w:color w:val="111111"/>
          <w:sz w:val="28"/>
          <w:szCs w:val="28"/>
          <w:rtl w:val="true"/>
          <w:lang w:bidi="ar-SA"/>
        </w:rPr>
        <w:t>»</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بتوقّفه على جميع ما عليها من الأفعال ، كما نسب إلى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 والعقود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1280"/>
      </w:r>
      <w:r>
        <w:rPr>
          <w:rFonts w:ascii="Amiri" w:hAnsi="Amiri" w:eastAsia="Amiri" w:cs="Amiri"/>
          <w:color w:val="111111"/>
          <w:sz w:val="28"/>
          <w:sz w:val="28"/>
          <w:szCs w:val="28"/>
          <w:rtl w:val="true"/>
          <w:lang w:bidi="ar-SA"/>
        </w:rPr>
        <w:t xml:space="preserve">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ظاهر الأصحاب</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بتوقّفه على الغسل والوضوء ، كما 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وقيل بتوقّفه على الغسل خاصّةً ، كما عن الصدوقين</w:t>
      </w:r>
      <w:r>
        <w:rPr>
          <w:rStyle w:val="FootnoteAnchor"/>
          <w:rtl w:val="true"/>
        </w:rPr>
        <w:footnoteReference w:id="1283"/>
      </w:r>
      <w:r>
        <w:rPr>
          <w:rFonts w:ascii="Amiri" w:hAnsi="Amiri" w:eastAsia="Amiri" w:cs="Amiri"/>
          <w:color w:val="111111"/>
          <w:sz w:val="28"/>
          <w:sz w:val="28"/>
          <w:szCs w:val="28"/>
          <w:rtl w:val="true"/>
          <w:lang w:bidi="ar-SA"/>
        </w:rPr>
        <w:t>بل ربّما احتمل تنزيل كلمات كثير منهم على هذا القول</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واستدلّ للجواز</w:t>
      </w:r>
      <w:r>
        <w:rPr>
          <w:rStyle w:val="FootnoteAnchor"/>
          <w:rtl w:val="true"/>
        </w:rPr>
        <w:footnoteReference w:id="1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الأصل ، وعمومات حلّ الأزواج ، وخصوص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يَطْهُرْنَ فَإِذَا تَطَهَّرْنَ فَأْتُوهُنَّ</w:t>
      </w:r>
      <w:r>
        <w:rPr>
          <w:rFonts w:eastAsia="Amiri" w:cs="Amiri" w:ascii="Amiri" w:hAnsi="Amiri"/>
          <w:color w:val="111111"/>
          <w:sz w:val="28"/>
          <w:szCs w:val="28"/>
          <w:rtl w:val="true"/>
          <w:lang w:bidi="ar-SA"/>
        </w:rPr>
        <w:t>(</w:t>
      </w:r>
      <w:r>
        <w:rPr>
          <w:rStyle w:val="FootnoteAnchor"/>
          <w:rtl w:val="true"/>
        </w:rPr>
        <w:footnoteReference w:id="1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بإطلاقات روايات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صفوان عن أبي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مكثت المرأة عشرة أيّام ترى الدم ، ثمّ طهرت فمكثت ثلاثة أيّام طاهراً ، ثمّ رأت الدم بعد ذلك ، أتمسك عن الصلاة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 هذه مستحاضة ، تغتسل وتستدخل قطنة بعد قطنة ، وتجمع بين صلاتين بغسل ، ويأتيها زوجها إن أراد</w:t>
      </w:r>
      <w:r>
        <w:rPr>
          <w:rFonts w:eastAsia="IRNazanin" w:cs="IRNazanin"/>
          <w:color w:val="111111"/>
          <w:sz w:val="28"/>
          <w:szCs w:val="28"/>
          <w:rtl w:val="true"/>
          <w:lang w:bidi="fa-IR"/>
        </w:rPr>
        <w:t>»</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منها أنّ جواز الإتيان حكم فعلي من أحكام المستحاضة ، كما أنّ الجمع بين الصلاتين بغسل واستدخال القطنة أيضاً من أحكامها ، وإطلاقها يقتضي الجواز بلا شرط </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عبداللّه بن سنان عن أبي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المستحاضة تغتسل عند صلاة الظهر ، وتصلّي الظهر والعصر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بأس </w:t>
      </w:r>
    </w:p>
    <w:p>
      <w:pPr>
        <w:pStyle w:val="BookText"/>
        <w:rPr/>
      </w:pPr>
      <w:r>
        <w:rPr>
          <w:rFonts w:ascii="Amiri" w:hAnsi="Amiri" w:eastAsia="Amiri" w:cs="Amiri"/>
          <w:color w:val="111111"/>
          <w:sz w:val="28"/>
          <w:sz w:val="28"/>
          <w:szCs w:val="28"/>
          <w:rtl w:val="true"/>
          <w:lang w:bidi="ar-SA"/>
        </w:rPr>
        <w:t>بأن يأتيها بعلها إذا شاء إلاّ أيّام حيضها</w:t>
      </w:r>
      <w:r>
        <w:rPr>
          <w:rFonts w:eastAsia="Amiri" w:cs="Amiri" w:ascii="Amiri" w:hAnsi="Amiri"/>
          <w:color w:val="111111"/>
          <w:sz w:val="28"/>
          <w:szCs w:val="28"/>
          <w:rtl w:val="true"/>
          <w:lang w:bidi="ar-SA"/>
        </w:rPr>
        <w:t>»</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جواز الإتيان من أحكام المستحاضة ، لا من أحكام التي فعلت الأفعال المذكورة ؛ لبطلان الاستثناء لو اُريد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w:t>
      </w:r>
    </w:p>
    <w:p>
      <w:pPr>
        <w:pStyle w:val="BookText"/>
        <w:rPr/>
      </w:pPr>
      <w:r>
        <w:rPr>
          <w:rFonts w:ascii="Amiri" w:hAnsi="Amiri" w:eastAsia="Amiri" w:cs="Amiri"/>
          <w:color w:val="111111"/>
          <w:sz w:val="28"/>
          <w:sz w:val="28"/>
          <w:szCs w:val="28"/>
          <w:rtl w:val="true"/>
          <w:lang w:bidi="ar-SA"/>
        </w:rPr>
        <w:t xml:space="preserve">جواز الوط‌ء لا يكون معلّقاً على جميع الأغسال الثلاثة بلا 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الحال في ذيل صحيحة معاوية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الدم لا يثقب الكرسف توضّأت ودخلت المسجد ، وصلّت كلّ صلاة بوضوء ، وهذه يأتيها بعلها إلاّ في أيّام حيضها</w:t>
      </w:r>
      <w:r>
        <w:rPr>
          <w:rFonts w:eastAsia="Amiri" w:cs="Amiri" w:ascii="Amiri" w:hAnsi="Amiri"/>
          <w:color w:val="111111"/>
          <w:sz w:val="28"/>
          <w:szCs w:val="28"/>
          <w:rtl w:val="true"/>
          <w:lang w:bidi="ar-SA"/>
        </w:rPr>
        <w:t>»</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الاستثناء قرينة على أنّ المشار إليها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نفس المستحاضة القليلة ، لا من توضّأت لكلّ صلاة ، وبهذا التقريب يقوى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كون الحكم حيثياً ، بعيد عن ظاهر الرواية ومساقها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وقريب منها صحيحة محمّد بن مسلم المرويّة عن مشيخة ابن محبوب</w:t>
      </w:r>
      <w:r>
        <w:rPr>
          <w:rStyle w:val="FootnoteAnchor"/>
          <w:rtl w:val="true"/>
        </w:rPr>
        <w:footnoteReference w:id="1290"/>
      </w:r>
      <w:r>
        <w:rPr>
          <w:rFonts w:ascii="Amiri" w:hAnsi="Amiri" w:eastAsia="Amiri" w:cs="Amiri"/>
          <w:color w:val="111111"/>
          <w:sz w:val="28"/>
          <w:sz w:val="28"/>
          <w:szCs w:val="28"/>
          <w:rtl w:val="true"/>
          <w:lang w:bidi="ar-SA"/>
        </w:rPr>
        <w:t>، وموثّقة حفص بن غياث</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ويمكن أن يستدلّ له بموثّقة فضيل وزرارة عن أحدهما علیهما السلام قال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المستحاضة تكفُّ عن الصلاة أيّام أقرائها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وتجمع بين المغرب والعشاء بغسل ، فإذا حلّت لها الصلاة حلّ لزوجها أن يغشاها</w:t>
      </w:r>
      <w:r>
        <w:rPr>
          <w:rFonts w:eastAsia="Amiri" w:cs="Amiri" w:ascii="Amiri" w:hAnsi="Amiri"/>
          <w:color w:val="111111"/>
          <w:sz w:val="28"/>
          <w:szCs w:val="28"/>
          <w:rtl w:val="true"/>
          <w:lang w:bidi="ar-SA"/>
        </w:rPr>
        <w:t>»</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حلّية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المقابلة للحرمة الثابتة في أيّام أقرائها ، فيكون المراد أنّ حلّية الوط‌ء ملازمة لحلّية الصلاة ، ولا إشكال في أ نّه بعد أيّام</w:t>
      </w:r>
    </w:p>
    <w:p>
      <w:pPr>
        <w:pStyle w:val="BookText"/>
        <w:rPr/>
      </w:pPr>
      <w:r>
        <w:rPr>
          <w:rFonts w:ascii="Amiri" w:hAnsi="Amiri" w:eastAsia="Amiri" w:cs="Amiri"/>
          <w:color w:val="111111"/>
          <w:sz w:val="28"/>
          <w:sz w:val="28"/>
          <w:szCs w:val="28"/>
          <w:rtl w:val="true"/>
          <w:lang w:bidi="ar-SA"/>
        </w:rPr>
        <w:t xml:space="preserve">الأقراء ، تحلّ لها الصلاة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 حلّيتها اشتراط تحقّقها باُمور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تلك الاُمور ليست من شرائط الحلّية ، بل هي من شرائط تحقّق الصلاة ، فالمرأة إذا خرجت من أيّامها ، صارت الصلاة واجبة عليها بالضرورة من غير توقّف على شيء ، والصلاة الواجبة لا يمكن أن تكون محرّمة عليها ، بل محلّلة وإن كانت مشروطة بالأغسال والوضوءات وغير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يظهر الحال في موثّقة عبد الرحمان بن أبي عبداللّه ، وفيها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 دماً سائلاً فلتؤخّر الصلاة إلى الصلاة ، ثمّ تصلّي صلاتين بغسل واحد ، وكلّ شيء استحلّت به الصلاة فليأتها زوجها ، ولتطف بالبيت</w:t>
      </w:r>
      <w:r>
        <w:rPr>
          <w:rFonts w:eastAsia="Amiri" w:cs="Amiri" w:ascii="Amiri" w:hAnsi="Amiri"/>
          <w:color w:val="111111"/>
          <w:sz w:val="28"/>
          <w:szCs w:val="28"/>
          <w:rtl w:val="true"/>
          <w:lang w:bidi="ar-SA"/>
        </w:rPr>
        <w:t>»</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الظاهر منها أنّ كلّ ما يستحلّ به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نفس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يستحلّ به الوط‌ء ، ولا إشكال في أنّ الأغسال غير دخيلة في استحلال الصلاة حتّى الاستحلال الفعلي للطبيعة ، كما أنّ الستر والقبلة وغيرهما لا دخل لها فيه ، بل هي شرائط لتحقّقها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اُنكر ظهورها فيما ذكر ، فلا أقلّ من الاحتمال المسقط لاستدلال الخصم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قبال تلك الروايات روايات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إسماعيل بن عبد الخالق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المستحاضة كيف تصنع ؟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كان صلاة الفجر فلتغتسل بعد طلوع الفجر ، ثمّ تصلّي ركعتين قبل الغداة ، ثمّ تصلّي الغداة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يواقعها زوجها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طال بها ذلك فلتغتسل ولتتوضّأ ، ثمّ يواقعها إن أراد</w:t>
      </w:r>
      <w:r>
        <w:rPr>
          <w:rFonts w:eastAsia="Amiri" w:cs="Amiri" w:ascii="Amiri" w:hAnsi="Amiri"/>
          <w:color w:val="111111"/>
          <w:sz w:val="28"/>
          <w:szCs w:val="28"/>
          <w:rtl w:val="true"/>
          <w:lang w:bidi="ar-SA"/>
        </w:rPr>
        <w:t>»</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ولعلّها مستند الشيخ في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295"/>
      </w:r>
      <w:r>
        <w:rPr>
          <w:rFonts w:ascii="Amiri" w:hAnsi="Amiri" w:eastAsia="Amiri" w:cs="Amiri"/>
          <w:color w:val="111111"/>
          <w:sz w:val="28"/>
          <w:sz w:val="28"/>
          <w:szCs w:val="28"/>
          <w:rtl w:val="true"/>
          <w:lang w:bidi="ar-SA"/>
        </w:rPr>
        <w:t xml:space="preserve">لكنّها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 سندها بالطيالسي ووهن متنها من حيث انفرادها في اُمور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بصلاة ركعتين قبل صلاة الغداة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 جواز الوط‌ء على طول المدّة ممّا لم يقل به أحد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بالتوضّؤ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الاتّكال عليها في تقييد المطلقات </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مالك بن أعين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المستحاضة ، كيف يغشاها زوجها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تنظر الأيّام التي كانت تحيض فيها وحيضتها مستقيمة ، فلا يقربها في عدّة تلك الأيّام من ذلك الشهر ، ويغشاها فيما سوى ذلك من الأيّام ، ولا يغشاها حتّى يأمرها فتغتسل ، ثمّ يغشاها إن أراد</w:t>
      </w:r>
      <w:r>
        <w:rPr>
          <w:rFonts w:eastAsia="IRNazanin" w:cs="IRNazanin"/>
          <w:color w:val="111111"/>
          <w:sz w:val="28"/>
          <w:szCs w:val="28"/>
          <w:rtl w:val="true"/>
          <w:lang w:bidi="fa-IR"/>
        </w:rPr>
        <w:t>»</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وهي أيضاً مخدوشة السند بمالك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وتصحيح العلاّمة والشهيد</w:t>
      </w:r>
      <w:r>
        <w:rPr>
          <w:rStyle w:val="FootnoteAnchor"/>
          <w:rtl w:val="true"/>
        </w:rPr>
        <w:footnoteReference w:id="1297"/>
      </w:r>
      <w:r>
        <w:rPr>
          <w:rFonts w:ascii="Amiri" w:hAnsi="Amiri" w:eastAsia="Amiri" w:cs="Amiri"/>
          <w:color w:val="111111"/>
          <w:sz w:val="28"/>
          <w:sz w:val="28"/>
          <w:szCs w:val="28"/>
          <w:rtl w:val="true"/>
          <w:lang w:bidi="ar-SA"/>
        </w:rPr>
        <w:t xml:space="preserve">حديثاً </w:t>
      </w:r>
      <w:r>
        <w:rPr>
          <w:rStyle w:val="FootnoteAnchor"/>
          <w:rtl w:val="true"/>
        </w:rPr>
        <w:footnoteReference w:id="1298"/>
      </w:r>
      <w:r>
        <w:rPr>
          <w:rFonts w:ascii="Amiri" w:hAnsi="Amiri" w:eastAsia="Amiri" w:cs="Amiri"/>
          <w:color w:val="111111"/>
          <w:sz w:val="28"/>
          <w:sz w:val="28"/>
          <w:szCs w:val="28"/>
          <w:rtl w:val="true"/>
          <w:lang w:bidi="ar-SA"/>
        </w:rPr>
        <w:t>هو في سنده أعمّ من توثيق الرجل ، والروايات التي تدلّ على حسنه كلّها تنتهي إليه</w:t>
      </w:r>
      <w:r>
        <w:rPr>
          <w:rStyle w:val="FootnoteAnchor"/>
          <w:rtl w:val="true"/>
        </w:rPr>
        <w:footnoteReference w:id="1299"/>
      </w:r>
      <w:r>
        <w:rPr>
          <w:rFonts w:ascii="Amiri" w:hAnsi="Amiri" w:eastAsia="Amiri" w:cs="Amiri"/>
          <w:color w:val="111111"/>
          <w:sz w:val="28"/>
          <w:sz w:val="28"/>
          <w:szCs w:val="28"/>
          <w:rtl w:val="true"/>
          <w:lang w:bidi="ar-SA"/>
        </w:rPr>
        <w:t>، وكيف يمكن الوثوق بحال الرجل من قول نفسه ونقله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وتوصيف</w:t>
      </w:r>
    </w:p>
    <w:p>
      <w:pPr>
        <w:pStyle w:val="BookText"/>
        <w:rPr/>
      </w:pPr>
      <w:r>
        <w:rPr>
          <w:rFonts w:ascii="Amiri" w:hAnsi="Amiri" w:eastAsia="Amiri" w:cs="Amiri"/>
          <w:color w:val="111111"/>
          <w:sz w:val="28"/>
          <w:sz w:val="28"/>
          <w:szCs w:val="28"/>
          <w:rtl w:val="true"/>
          <w:lang w:bidi="ar-SA"/>
        </w:rPr>
        <w:t xml:space="preserve">الرواية بالصحّة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وقع من بعض متأخّري المتأخّرين</w:t>
      </w:r>
      <w:r>
        <w:rPr>
          <w:rStyle w:val="FootnoteAnchor"/>
          <w:rtl w:val="true"/>
        </w:rPr>
        <w:footnoteReference w:id="1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وجيه ولو قلنا بوثاقة الجهني ؛ لأنّ في سندها الزبيري ، وهو لا يخلو من كلام ؛ وإن كان الأصحّ وثاقته</w:t>
      </w:r>
      <w:r>
        <w:rPr>
          <w:rStyle w:val="FootnoteAnchor"/>
          <w:rtl w:val="true"/>
        </w:rPr>
        <w:footnoteReference w:id="1301"/>
      </w:r>
      <w:r>
        <w:rPr>
          <w:rFonts w:ascii="Amiri" w:hAnsi="Amiri" w:eastAsia="Amiri" w:cs="Amiri"/>
          <w:color w:val="111111"/>
          <w:sz w:val="28"/>
          <w:sz w:val="28"/>
          <w:szCs w:val="28"/>
          <w:rtl w:val="true"/>
          <w:lang w:bidi="ar-SA"/>
        </w:rPr>
        <w:t xml:space="preserve">ووثاقة علي بن الحسن بن فضّال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فالرواية موثّقة مع الغضّ عن الجهني ، وضعيفة مع النظر إليه ، ومخدوشة الدلالة باحتمال كون الغسل المأمور به هو غسل الحيض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أنّ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غسل الحيض بعيد ؛ لأنّ ظاهرها توقّف الوط‌ء مطلقاً في غير تلك الأيّام على الغسل</w:t>
      </w:r>
      <w:r>
        <w:rPr>
          <w:rFonts w:eastAsia="Amiri" w:cs="Amiri" w:ascii="Amiri" w:hAnsi="Amiri"/>
          <w:color w:val="111111"/>
          <w:sz w:val="28"/>
          <w:szCs w:val="28"/>
          <w:rtl w:val="true"/>
          <w:lang w:bidi="ar-SA"/>
        </w:rPr>
        <w:t>»</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تامّ ؛ لمنع ظهورها في توقّف كلّ وط‌ء على غسل ، بل من المحتمل قريباً </w:t>
      </w:r>
    </w:p>
    <w:p>
      <w:pPr>
        <w:pStyle w:val="BookText"/>
        <w:rPr/>
      </w:pPr>
      <w:r>
        <w:rPr>
          <w:rFonts w:ascii="Amiri" w:hAnsi="Amiri" w:eastAsia="Amiri" w:cs="Amiri"/>
          <w:color w:val="111111"/>
          <w:sz w:val="28"/>
          <w:sz w:val="28"/>
          <w:szCs w:val="28"/>
          <w:rtl w:val="true"/>
          <w:lang w:bidi="ar-SA"/>
        </w:rPr>
        <w:t xml:space="preserve">أن يكون مفادها أنّ الوط‌ء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سوى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متوقّف على صِرف وجود الغسل ، وهو غسل الحيض الذي يجب عليها بعد أيّامها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وتؤيّد هذا الاحتمال روايته الاُخرى بعين هذا السند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النفساء ، يغشاها زوجها وهي في نفاسها من الدم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 إذا مضى لها منذ يوم وضعت بقدر أيّام عدّة حيضها ، ثمّ تستظهر بيوم ، فلا بأس بعدُ أن يغشاها زوجها ؛ يأمرها فتغتسل ، ثمّ يغشاها إن أحبّ</w:t>
      </w:r>
      <w:r>
        <w:rPr>
          <w:rFonts w:eastAsia="IRNazanin" w:cs="IRNazanin"/>
          <w:color w:val="111111"/>
          <w:sz w:val="28"/>
          <w:szCs w:val="28"/>
          <w:rtl w:val="true"/>
          <w:lang w:bidi="fa-IR"/>
        </w:rPr>
        <w:t>»</w:t>
      </w:r>
      <w:r>
        <w:rPr>
          <w:rStyle w:val="FootnoteAnchor"/>
          <w:rtl w:val="true"/>
        </w:rPr>
        <w:footnoteReference w:id="1303"/>
      </w:r>
      <w:r>
        <w:rPr>
          <w:rFonts w:ascii="Amiri" w:hAnsi="Amiri" w:eastAsia="Amiri" w:cs="Amiri"/>
          <w:color w:val="111111"/>
          <w:sz w:val="28"/>
          <w:sz w:val="28"/>
          <w:szCs w:val="28"/>
          <w:rtl w:val="true"/>
          <w:lang w:bidi="ar-SA"/>
        </w:rPr>
        <w:t xml:space="preserve">وهي ظاهرة في غسل النفاس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التأييد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المحتمل قريباً كونهما رواية واحدة سأل عن المستحاضة والنفساء ، وحينئذٍ يكون الجواب في النفساء رافعاً لإبهام الجواب عن المستحاضة على فرض إبهامه ،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فلا يمكن تقييد المطلقات بمثل هذه الرواية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بقيت موثّقة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المستحاضة إذا ثقب الدم الكرسف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أراد زوجها أن يأتيها فحين تغتسل</w:t>
      </w:r>
      <w:r>
        <w:rPr>
          <w:rFonts w:eastAsia="Amiri" w:cs="Amiri" w:ascii="Amiri" w:hAnsi="Amiri"/>
          <w:color w:val="111111"/>
          <w:sz w:val="28"/>
          <w:szCs w:val="28"/>
          <w:rtl w:val="true"/>
          <w:lang w:bidi="ar-SA"/>
        </w:rPr>
        <w:t>»</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والتمسّك بها إمّا بمفهوم الشرط ، ولا مفهوم له في المقام على فرض تسليمه في غيره ؛ لأنّ مفهومه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يرد زوجها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إشكال في عدم إثباته المطلوب </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بمفهوم القيد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جواز الإتيان حين الغسل ، وفي غير حينه </w:t>
      </w:r>
    </w:p>
    <w:p>
      <w:pPr>
        <w:pStyle w:val="BookText"/>
        <w:rPr/>
      </w:pPr>
      <w:r>
        <w:rPr>
          <w:rFonts w:ascii="Amiri" w:hAnsi="Amiri" w:eastAsia="Amiri" w:cs="Amiri"/>
          <w:color w:val="111111"/>
          <w:sz w:val="28"/>
          <w:sz w:val="28"/>
          <w:szCs w:val="28"/>
          <w:rtl w:val="true"/>
          <w:lang w:bidi="ar-SA"/>
        </w:rPr>
        <w:t>لا يجوز ، وهو كما ترى ؛ حيث إنّ القيد لا مفهوم له أوّلاً ، ولا يعلم أنّ المقدّر ماذا ثانياً ؛ أي إن أراد أن يأتيها فحين تغتسل يأتيها ؟ أو حين تغتسل لا بأس بأن يأتيها ؟ والظاهر وإن كان الأوّل ، لكن لا يدلّ على حرمة الإتيان قبل الغسل ؛ لأنّ</w:t>
      </w:r>
    </w:p>
    <w:p>
      <w:pPr>
        <w:pStyle w:val="BookText"/>
        <w:rPr/>
      </w:pPr>
      <w:r>
        <w:rPr>
          <w:rFonts w:ascii="Amiri" w:hAnsi="Amiri" w:eastAsia="Amiri" w:cs="Amiri"/>
          <w:color w:val="111111"/>
          <w:sz w:val="28"/>
          <w:sz w:val="28"/>
          <w:szCs w:val="28"/>
          <w:rtl w:val="true"/>
          <w:lang w:bidi="ar-SA"/>
        </w:rPr>
        <w:t xml:space="preserve">الأمر بالإتيان حين تغتسل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الجملة الخبرية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للاستحباب ، فيدلّ على نفيه عند انتفاء القيد </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رفع اليد عن الإطلاقات المتقدّمة بمثلها غير 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قلنا بدلالة جميع الروايات على ما يدّعى من اعتبار القيود المأخوذة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استحلّت به الصلاة فليأتها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دالاًّ على التعليق على جميع الأعمال ، وكذا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حلّت لها الصلاة حلّ لزوجها أن يغشاها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إسماعيل دالّةً على اعتبار الغسل والوضوء ، ورواية مالك وسماعة دالّتين على الغسل فقط ، ورواية الرضوي على الغسل وتنظيف المحلّ</w:t>
      </w:r>
      <w:r>
        <w:rPr>
          <w:rStyle w:val="FootnoteAnchor"/>
          <w:rtl w:val="true"/>
        </w:rPr>
        <w:footnoteReference w:id="1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الأرجح هو حملها على مراتب الكراهة أو الاستحباب ، لا التقييد بالأخصّ مضموناً ؛ فإنّ الحمل الأوّل أوفق بنظر العرف والعقلاء ، فتدبّر </w:t>
      </w:r>
      <w:r>
        <w:rPr>
          <w:rFonts w:eastAsia="Amiri" w:cs="Amiri" w:ascii="Amiri" w:hAnsi="Amiri"/>
          <w:color w:val="111111"/>
          <w:sz w:val="28"/>
          <w:szCs w:val="28"/>
          <w:rtl w:val="true"/>
          <w:lang w:bidi="ar-SA"/>
        </w:rPr>
        <w:t xml:space="preserve">. </w:t>
      </w:r>
      <w:bookmarkStart w:id="767" w:name="pg15019_191032"/>
    </w:p>
    <w:p>
      <w:pPr>
        <w:pStyle w:val="Heading6"/>
        <w:numPr>
          <w:ilvl w:val="5"/>
          <w:numId w:val="1"/>
        </w:numPr>
        <w:rPr/>
      </w:pPr>
      <w:bookmarkStart w:id="768" w:name="__RefHeading___Toc686724_3406789950"/>
      <w:bookmarkStart w:id="769" w:name="_Toc280"/>
      <w:bookmarkEnd w:id="767"/>
      <w:bookmarkEnd w:id="768"/>
      <w:r>
        <w:rPr>
          <w:rtl w:val="true"/>
        </w:rPr>
        <w:t>الأمر الثامن في حكم صوم المستحاضة</w:t>
      </w:r>
      <w:bookmarkEnd w:id="769"/>
    </w:p>
    <w:p>
      <w:pPr>
        <w:pStyle w:val="Heading6"/>
        <w:numPr>
          <w:ilvl w:val="5"/>
          <w:numId w:val="1"/>
        </w:numPr>
        <w:rPr/>
      </w:pPr>
      <w:bookmarkStart w:id="770" w:name="__RefHeading___Toc686726_3406789950"/>
      <w:bookmarkStart w:id="771" w:name="_Toc281"/>
      <w:bookmarkEnd w:id="770"/>
      <w:r>
        <w:rPr>
          <w:rtl w:val="true"/>
        </w:rPr>
        <w:t>اشارة</w:t>
      </w:r>
      <w:bookmarkEnd w:id="771"/>
    </w:p>
    <w:p>
      <w:pPr>
        <w:pStyle w:val="BookText"/>
        <w:rPr/>
      </w:pPr>
      <w:r>
        <w:rPr>
          <w:rFonts w:ascii="Amiri" w:hAnsi="Amiri" w:eastAsia="Amiri" w:cs="Amiri"/>
          <w:color w:val="111111"/>
          <w:sz w:val="28"/>
          <w:sz w:val="28"/>
          <w:szCs w:val="28"/>
          <w:rtl w:val="true"/>
          <w:lang w:bidi="ar-SA"/>
        </w:rPr>
        <w:t>بطلان صوم المستحاضة إذا أخلّت بأغسالها</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أخلّت بالأغسال التي عليها لم يصحّ صومها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غير خلاف أجده فيه</w:t>
      </w:r>
      <w:r>
        <w:rPr>
          <w:rFonts w:eastAsia="Amiri" w:cs="Amiri" w:ascii="Amiri" w:hAnsi="Amiri"/>
          <w:color w:val="111111"/>
          <w:sz w:val="28"/>
          <w:szCs w:val="28"/>
          <w:rtl w:val="true"/>
          <w:lang w:bidi="ar-SA"/>
        </w:rPr>
        <w:t>»</w:t>
      </w:r>
      <w:r>
        <w:rPr>
          <w:rStyle w:val="FootnoteAnchor"/>
          <w:rtl w:val="true"/>
        </w:rPr>
        <w:footnoteReference w:id="1306"/>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Style w:val="FootnoteAnchor"/>
          <w:rtl w:val="true"/>
        </w:rPr>
        <w:footnoteReference w:id="1307"/>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 الذي رواه أصحابنا</w:t>
      </w:r>
      <w:r>
        <w:rPr>
          <w:rFonts w:eastAsia="Amiri" w:cs="Amiri" w:ascii="Amiri" w:hAnsi="Amiri"/>
          <w:color w:val="111111"/>
          <w:sz w:val="28"/>
          <w:szCs w:val="28"/>
          <w:rtl w:val="true"/>
          <w:lang w:bidi="ar-SA"/>
        </w:rPr>
        <w:t>»</w:t>
      </w:r>
      <w:r>
        <w:rPr>
          <w:rStyle w:val="FootnoteAnchor"/>
          <w:rtl w:val="true"/>
        </w:rPr>
        <w:footnoteReference w:id="1308"/>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المفاتيح</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 مذهب الأصحاب</w:t>
      </w:r>
      <w:r>
        <w:rPr>
          <w:rFonts w:eastAsia="Amiri" w:cs="Amiri" w:ascii="Amiri" w:hAnsi="Amiri"/>
          <w:color w:val="111111"/>
          <w:sz w:val="28"/>
          <w:szCs w:val="28"/>
          <w:rtl w:val="true"/>
          <w:lang w:bidi="ar-SA"/>
        </w:rPr>
        <w:t>»</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والأصل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علي بن مَهْزيار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طهرت من حيضها أو دم نفاسها في أوّل يوم من شهر رمضان ، ثمّ استحاضت ، فصلّت وصامت شهر رمضان كلّه من غير أن تعمل ما تعمله المستحاضة ؛ من الغسل لكلّ صلاتين ، هل يجوز صومها وصلاتها أم لا ؟ فكتب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تقضي صومها ، ولا تقضي صلاتها؛ لأنّ رسول اللّه صلی الله علیه و آله وسلم كان يأمر المؤمنات من نسائه بذلك</w:t>
      </w:r>
      <w:r>
        <w:rPr>
          <w:rFonts w:eastAsia="IRNazanin" w:cs="IRNazanin"/>
          <w:color w:val="111111"/>
          <w:sz w:val="28"/>
          <w:szCs w:val="28"/>
          <w:rtl w:val="true"/>
          <w:lang w:bidi="fa-IR"/>
        </w:rPr>
        <w:t>»</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رواية الكليني والشيخ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يأمر فاطمة والمؤمنات </w:t>
      </w:r>
      <w:r>
        <w:rPr>
          <w:rFonts w:eastAsia="Amiri" w:cs="Amiri" w:ascii="Amiri" w:hAnsi="Amiri"/>
          <w:color w:val="111111"/>
          <w:sz w:val="28"/>
          <w:szCs w:val="28"/>
          <w:rtl w:val="true"/>
          <w:lang w:bidi="ar-SA"/>
        </w:rPr>
        <w:t>. .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والإشكال فيها بالإضمار</w:t>
      </w:r>
      <w:r>
        <w:rPr>
          <w:rStyle w:val="FootnoteAnchor"/>
          <w:rtl w:val="true"/>
        </w:rPr>
        <w:footnoteReference w:id="1312"/>
      </w:r>
      <w:r>
        <w:rPr>
          <w:rFonts w:ascii="Amiri" w:hAnsi="Amiri" w:eastAsia="Amiri" w:cs="Amiri"/>
          <w:color w:val="111111"/>
          <w:sz w:val="28"/>
          <w:sz w:val="28"/>
          <w:szCs w:val="28"/>
          <w:rtl w:val="true"/>
          <w:lang w:bidi="ar-SA"/>
        </w:rPr>
        <w:t>في غير محلّه بعد كون المكاتب مثل ابن مهزيار ،</w:t>
      </w:r>
    </w:p>
    <w:p>
      <w:pPr>
        <w:pStyle w:val="BookText"/>
        <w:rPr/>
      </w:pPr>
      <w:r>
        <w:rPr>
          <w:rFonts w:ascii="Amiri" w:hAnsi="Amiri" w:eastAsia="Amiri" w:cs="Amiri"/>
          <w:color w:val="111111"/>
          <w:sz w:val="28"/>
          <w:sz w:val="28"/>
          <w:szCs w:val="28"/>
          <w:rtl w:val="true"/>
          <w:lang w:bidi="ar-SA"/>
        </w:rPr>
        <w:t>كالإشكال</w:t>
      </w:r>
      <w:r>
        <w:rPr>
          <w:rStyle w:val="FootnoteAnchor"/>
          <w:rtl w:val="true"/>
        </w:rPr>
        <w:footnoteReference w:id="1313"/>
      </w:r>
      <w:r>
        <w:rPr>
          <w:rFonts w:ascii="Amiri" w:hAnsi="Amiri" w:eastAsia="Amiri" w:cs="Amiri"/>
          <w:color w:val="111111"/>
          <w:sz w:val="28"/>
          <w:sz w:val="28"/>
          <w:szCs w:val="28"/>
          <w:rtl w:val="true"/>
          <w:lang w:bidi="ar-SA"/>
        </w:rPr>
        <w:t>باشتمالها على رؤية الصدّيقة الطاهرة ما تراه النساء ، مع أ نّه مخالف للأخبار</w:t>
      </w:r>
      <w:r>
        <w:rPr>
          <w:rStyle w:val="FootnoteAnchor"/>
          <w:rtl w:val="true"/>
        </w:rPr>
        <w:footnoteReference w:id="1314"/>
      </w:r>
      <w:r>
        <w:rPr>
          <w:rFonts w:ascii="Amiri" w:hAnsi="Amiri" w:eastAsia="Amiri" w:cs="Amiri"/>
          <w:color w:val="111111"/>
          <w:sz w:val="28"/>
          <w:sz w:val="28"/>
          <w:szCs w:val="28"/>
          <w:rtl w:val="true"/>
          <w:lang w:bidi="ar-SA"/>
        </w:rPr>
        <w:t>لعدم معلومية كونها الصدّيقة ، ولعلّها فاطمة بنت</w:t>
      </w:r>
    </w:p>
    <w:p>
      <w:pPr>
        <w:pStyle w:val="BookText"/>
        <w:rPr/>
      </w:pPr>
      <w:r>
        <w:rPr>
          <w:rFonts w:ascii="Amiri" w:hAnsi="Amiri" w:eastAsia="Amiri" w:cs="Amiri"/>
          <w:color w:val="111111"/>
          <w:sz w:val="28"/>
          <w:sz w:val="28"/>
          <w:szCs w:val="28"/>
          <w:rtl w:val="true"/>
          <w:lang w:bidi="ar-SA"/>
        </w:rPr>
        <w:t xml:space="preserve">أبي حبيش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كونها الصدّيقة الطاهرة ، فلعلّه كان يأمرها لتأمر النساء ، كما في بعض روايات الحيض</w:t>
      </w:r>
      <w:r>
        <w:rPr>
          <w:rStyle w:val="FootnoteAnchor"/>
          <w:rtl w:val="true"/>
        </w:rPr>
        <w:footnoteReference w:id="1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رواية الصدوق لا تشتمل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وكالإشكال باشتمالها على ما هو خلاف مذهب الأصحاب ؛ من عدم قضاء الصلاة</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ولهذا ربّما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ينبغي الارتياب في أنّ ما كتبه الإمام في الجواب ؛ إنّما هو لبيان حكم الحائض ، كما يدلّ عليه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تقضي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 آله وسلم كان يأمر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 فإنّه كان يأمر بذلك بالنسبة إلى </w:t>
      </w:r>
    </w:p>
    <w:p>
      <w:pPr>
        <w:pStyle w:val="BookText"/>
        <w:rPr/>
      </w:pPr>
      <w:r>
        <w:rPr>
          <w:rFonts w:ascii="Amiri" w:hAnsi="Amiri" w:eastAsia="Amiri" w:cs="Amiri"/>
          <w:color w:val="111111"/>
          <w:sz w:val="28"/>
          <w:sz w:val="28"/>
          <w:szCs w:val="28"/>
          <w:rtl w:val="true"/>
          <w:lang w:bidi="ar-SA"/>
        </w:rPr>
        <w:t xml:space="preserve">الحيض ، كما في أخباره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 نّه قضيّة فرضية لا يبعد عدم تحقّقها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والحمل على القضيّة التقديرية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كون بعض فقرات الرواية مطروحةً ، لا يخرجها عن الحجّية فيما عداها</w:t>
      </w:r>
      <w:r>
        <w:rPr>
          <w:rFonts w:eastAsia="Amiri" w:cs="Amiri" w:ascii="Amiri" w:hAnsi="Amiri"/>
          <w:color w:val="111111"/>
          <w:sz w:val="28"/>
          <w:szCs w:val="28"/>
          <w:rtl w:val="true"/>
          <w:lang w:bidi="ar-SA"/>
        </w:rPr>
        <w:t>»</w:t>
      </w:r>
      <w:r>
        <w:rPr>
          <w:rStyle w:val="FootnoteAnchor"/>
          <w:rtl w:val="true"/>
        </w:rPr>
        <w:footnoteReference w:id="1317"/>
      </w:r>
      <w:r>
        <w:rPr>
          <w:rFonts w:ascii="Amiri" w:hAnsi="Amiri" w:eastAsia="Amiri" w:cs="Amiri"/>
          <w:color w:val="111111"/>
          <w:sz w:val="28"/>
          <w:sz w:val="28"/>
          <w:szCs w:val="28"/>
          <w:rtl w:val="true"/>
          <w:lang w:bidi="ar-SA"/>
        </w:rPr>
        <w:t xml:space="preserve">جمود بحت في مثل المورد ؛ إذ لا نقول بحجّية الأخبار من باب السببية المحضة تعبّداً من حيث السند أو الدلالة ؛ حتّى نلتزم بمثل هذه التفكيكات ، وإنّما نلتزم بعدم خروج بعض الفقرات من الحجّية بخروج بعض آخر ؛ إذا تطرّق احتمال خلل في الفقرة المطروحة يخصّها ؛ من نحو السقط والتحريف والتقيّة ، وأمّا مثل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يشهد سوقها وتعليلها ومخالفة مدلولها للعامّة باشتراك الفقرتين في الاحتمالات المتطرّقة ، وعدم اختصاص ثانيتهما باحتمال يعتدّ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فالتفكيك في غاية الإشكال</w:t>
      </w:r>
      <w:r>
        <w:rPr>
          <w:rFonts w:eastAsia="Amiri" w:cs="Amiri" w:ascii="Amiri" w:hAnsi="Amiri"/>
          <w:color w:val="111111"/>
          <w:sz w:val="28"/>
          <w:szCs w:val="28"/>
          <w:rtl w:val="true"/>
          <w:lang w:bidi="ar-SA"/>
        </w:rPr>
        <w:t xml:space="preserve">» </w:t>
      </w:r>
      <w:r>
        <w:rPr>
          <w:rStyle w:val="FootnoteAnchor"/>
          <w:rtl w:val="true"/>
        </w:rPr>
        <w:footnoteReference w:id="1318"/>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نفي الارتياب عن كون الجواب عن الحيض في مكاتبةٍ لا يكون المسؤول عنه إلاّ تكليف قضاء المستحاضة والنفساء صومَهما وصلاتَهما مع عدم الإتيان بالأغسال التي عليهما ، في غاية الغرابة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وأغرب منه الاستدلال عليه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بأنّ هذا تكليف الحائض ؛ وأنّ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المؤمنات الحائضات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 ذكر</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يدلّ على أنّ الإمام علیه السلام أجاب عن الحيض في جواب السؤال عن الاستحاضة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كون الحكم بالنسبة إلى الصلاة خلافَ الواقع ، دليلٌ على وجود خلل في الرواية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ولا يبعد أن يكون الخلل زيادة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تقضي صلاتها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يكون 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تقضي صومها ، وتقضي صلاتها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المعروف الوارد في روايات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الحائض تقضي صومها ولا تقضي صلاتها ، صار هذا الارتكاز والمعروفية سبباً للاشتباه ، فزاد بعض الرواة أو بعض النسّاخ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الخلل الجزئي في فقرة من الرواية ، لا يوجب رفع اليد عن الفقرة الاُخرى المفتى بها ، ولا ريب أنّ منشأ فتواهم هو هذه الصحيحة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استشهد به لمدّعاه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 نّه قضيّة فرضية ؛ لا يبعد عدم تحقّقها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يظهر وجهه ؛ فإنّ النسيان والجهل بالحكم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أمراً حادثاً في الأزمنة المتأخّرة ، ولا أمراً عزيزاً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أخيراً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التفكيك بين الفقرتين في مثل تلك الرواية ، في غاية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يتّضح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زيادة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خطأً واشتباهاً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بعيد مع الارتكاز المشار إليه آنفاً ، وما ذكره دليلاً على عدم إمكان التفكيك أوهن من أصل الدعوى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رفع اليد عن رواية صحيحة واضحة الدلالة في فقرة منها ؛ لأجل خلل في فقرتها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اتّكال الأصحاب عليها قديماً وحديثاً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ممكن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الاحتمالات التي ذكرت في الرواية ممّا ينبو عنها الطبع السليم ، فلا ينبغي التعرّض لها </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إجماله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إشكال فيه نصّاً وفتوى </w:t>
      </w:r>
      <w:r>
        <w:rPr>
          <w:rFonts w:eastAsia="Amiri" w:cs="Amiri" w:ascii="Amiri" w:hAnsi="Amiri"/>
          <w:color w:val="111111"/>
          <w:sz w:val="28"/>
          <w:szCs w:val="28"/>
          <w:rtl w:val="true"/>
          <w:lang w:bidi="ar-SA"/>
        </w:rPr>
        <w:t xml:space="preserve">. </w:t>
      </w:r>
      <w:bookmarkStart w:id="772" w:name="pg15019_191036"/>
    </w:p>
    <w:p>
      <w:pPr>
        <w:pStyle w:val="Heading6"/>
        <w:numPr>
          <w:ilvl w:val="5"/>
          <w:numId w:val="1"/>
        </w:numPr>
        <w:rPr/>
      </w:pPr>
      <w:bookmarkStart w:id="773" w:name="__RefHeading___Toc686728_3406789950"/>
      <w:bookmarkStart w:id="774" w:name="_Toc282"/>
      <w:bookmarkEnd w:id="772"/>
      <w:bookmarkEnd w:id="773"/>
      <w:r>
        <w:rPr>
          <w:rtl w:val="true"/>
        </w:rPr>
        <w:t>توقّف صحّة صوم المستحاضة على الأغسال النهارية</w:t>
      </w:r>
      <w:bookmarkEnd w:id="774"/>
    </w:p>
    <w:p>
      <w:pPr>
        <w:pStyle w:val="BookText"/>
        <w:rPr/>
      </w:pPr>
      <w:r>
        <w:rPr>
          <w:rFonts w:ascii="Amiri" w:hAnsi="Amiri" w:eastAsia="Amiri" w:cs="Amiri"/>
          <w:color w:val="111111"/>
          <w:sz w:val="28"/>
          <w:sz w:val="28"/>
          <w:szCs w:val="28"/>
          <w:rtl w:val="true"/>
          <w:lang w:bidi="ar-SA"/>
        </w:rPr>
        <w:t>وإنّما الكلام في أنّ صحّة صومها ، هل تتوقّف على جميع الأغسال حتّى غسل الليلة المستقبلة ، أو تتوقّف على غير غسل الليلة المستقبلة ، أو على الأغسال النهارية فقط ، أو على غسل الليلة الماضية فقط ، أو على غسل من الأغسال في الجملة ؟</w:t>
      </w:r>
    </w:p>
    <w:p>
      <w:pPr>
        <w:pStyle w:val="BookText"/>
        <w:rPr/>
      </w:pPr>
      <w:r>
        <w:rPr>
          <w:rFonts w:ascii="Amiri" w:hAnsi="Amiri" w:eastAsia="Amiri" w:cs="Amiri"/>
          <w:color w:val="111111"/>
          <w:sz w:val="28"/>
          <w:sz w:val="28"/>
          <w:szCs w:val="28"/>
          <w:rtl w:val="true"/>
          <w:lang w:bidi="ar-SA"/>
        </w:rPr>
        <w:t>احتمالات ، ولبعضها وجه وقول ، ولا يظهر من النصّ</w:t>
      </w:r>
      <w:r>
        <w:rPr>
          <w:rStyle w:val="FootnoteAnchor"/>
          <w:rtl w:val="true"/>
        </w:rPr>
        <w:footnoteReference w:id="1319"/>
      </w:r>
      <w:r>
        <w:rPr>
          <w:rFonts w:ascii="Amiri" w:hAnsi="Amiri" w:eastAsia="Amiri" w:cs="Amiri"/>
          <w:color w:val="111111"/>
          <w:sz w:val="28"/>
          <w:sz w:val="28"/>
          <w:szCs w:val="28"/>
          <w:rtl w:val="true"/>
          <w:lang w:bidi="ar-SA"/>
        </w:rPr>
        <w:t xml:space="preserve">إلاّ أنّ تركها للجميع موجب للقضاء ، وأمّا أنّ السبب ترك المجموع أو الجميع أو غير ذلك ، فلايعلم منه </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ما في المتون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وإن أخلّت بالأغسال لم يصحّ صومها</w:t>
      </w:r>
      <w:r>
        <w:rPr>
          <w:rFonts w:eastAsia="Amiri" w:cs="Amiri" w:ascii="Amiri" w:hAnsi="Amiri"/>
          <w:color w:val="111111"/>
          <w:sz w:val="28"/>
          <w:szCs w:val="28"/>
          <w:rtl w:val="true"/>
          <w:lang w:bidi="ar-SA"/>
        </w:rPr>
        <w:t>»</w:t>
      </w:r>
      <w:r>
        <w:rPr>
          <w:rStyle w:val="FootnoteAnchor"/>
          <w:rtl w:val="true"/>
        </w:rPr>
        <w:footnoteReference w:id="1320"/>
      </w:r>
      <w:r>
        <w:rPr>
          <w:rFonts w:ascii="Amiri" w:hAnsi="Amiri" w:eastAsia="Amiri" w:cs="Amiri"/>
          <w:color w:val="111111"/>
          <w:sz w:val="28"/>
          <w:sz w:val="28"/>
          <w:szCs w:val="28"/>
          <w:rtl w:val="true"/>
          <w:lang w:bidi="ar-SA"/>
        </w:rPr>
        <w:t xml:space="preserve">ومثله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1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يظهر منه أنّ الإخلال بالمجموع أو الجميع يوجب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مرادهم أنّ الإخلال بشيء منها يوجبه ؛ وإن يبعّده اختيار العلاّمة على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322"/>
      </w:r>
      <w:r>
        <w:rPr>
          <w:rFonts w:ascii="Amiri" w:hAnsi="Amiri" w:eastAsia="Amiri" w:cs="Amiri"/>
          <w:color w:val="111111"/>
          <w:sz w:val="28"/>
          <w:sz w:val="28"/>
          <w:szCs w:val="28"/>
          <w:rtl w:val="true"/>
          <w:lang w:bidi="ar-SA"/>
        </w:rPr>
        <w:t xml:space="preserve">والشهيد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1323"/>
      </w:r>
      <w:r>
        <w:rPr>
          <w:rFonts w:ascii="Amiri" w:hAnsi="Amiri" w:eastAsia="Amiri" w:cs="Amiri"/>
          <w:color w:val="111111"/>
          <w:sz w:val="28"/>
          <w:sz w:val="28"/>
          <w:szCs w:val="28"/>
          <w:rtl w:val="true"/>
          <w:lang w:bidi="ar-SA"/>
        </w:rPr>
        <w:t>وبعضٍ آخر</w:t>
      </w:r>
      <w:r>
        <w:rPr>
          <w:rStyle w:val="FootnoteAnchor"/>
          <w:rtl w:val="true"/>
        </w:rPr>
        <w:footnoteReference w:id="1324"/>
      </w:r>
      <w:r>
        <w:rPr>
          <w:rFonts w:ascii="Amiri" w:hAnsi="Amiri" w:eastAsia="Amiri" w:cs="Amiri"/>
          <w:color w:val="111111"/>
          <w:sz w:val="28"/>
          <w:sz w:val="28"/>
          <w:szCs w:val="28"/>
          <w:rtl w:val="true"/>
          <w:lang w:bidi="ar-SA"/>
        </w:rPr>
        <w:t xml:space="preserve">التوقّفَ على الأغسال النهارية ، والتردّد في غسل الليلة الماضية ، بعد الحكم بعدم التوقّف على غسل الليلة المستقبلة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ما ذكر بالنسبة إلى الليلة المستقبلة وجيه ؛ لعدم انقداح مؤثّرية الأمر المتأخّر في المتقدّم في ذهن العرف من النصّ ومعقد الإجماع المدّعى ، فالنصّ والفتوى منصرفان عنه ، ولو لا تسالمهم على توقّفه على النهارية ، وترديدهم في غسل الليلة الماضية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يظهر منهم أنّ القدر المتيقّن هو النهارية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للإشكال في النهارية مجال ، وللذهاب إلى توقّفه على الغسل للعشاءين فقط 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الأوجه هو التوقّف على النهارية ؛ لكونها المتيقّنة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يوجّه ذلك بأنّ المستفاد من النصّ والفتوى ، حدثية الاستحاضة الكبرى ومنافاتها للصوم إجمالاً ، واحتمال التعبّد في غاية البُعد وخلافُ المتفاهم من النصّ ، فحينئذٍ مع عدم الغسل يكون الخروج اختيارياً بلا عفو ، ومع الغسل يكون معفوّاً عنه ، فلا محيص عن الأغسال النهارية لصحّته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يمكن الاستدلال لغسل الليلة الماضية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تركت غسل العشاءين فالأحوط غسل لصلاة الفجر قبله ، أو للصوم 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ظاهر النصّ اختصاص الحكم بالكثيرة ، ولهذا نقل عن ظاهر كثير من الفقهاء اختصاصه بها </w:t>
      </w:r>
      <w:r>
        <w:rPr>
          <w:rStyle w:val="FootnoteAnchor"/>
          <w:rtl w:val="true"/>
        </w:rPr>
        <w:footnoteReference w:id="1325"/>
      </w:r>
      <w:r>
        <w:rPr>
          <w:rFonts w:ascii="Amiri" w:hAnsi="Amiri" w:eastAsia="Amiri" w:cs="Amiri"/>
          <w:color w:val="111111"/>
          <w:sz w:val="28"/>
          <w:sz w:val="28"/>
          <w:szCs w:val="28"/>
          <w:rtl w:val="true"/>
          <w:lang w:bidi="ar-SA"/>
        </w:rPr>
        <w:t xml:space="preserve">، فالمتوسّطة تحتاج إلى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التقريب المتقدّم</w:t>
      </w:r>
    </w:p>
    <w:p>
      <w:pPr>
        <w:pStyle w:val="BookText"/>
        <w:rPr/>
      </w:pPr>
      <w:r>
        <w:rPr>
          <w:rFonts w:ascii="Amiri" w:hAnsi="Amiri" w:eastAsia="Amiri" w:cs="Amiri"/>
          <w:color w:val="111111"/>
          <w:sz w:val="28"/>
          <w:sz w:val="28"/>
          <w:szCs w:val="28"/>
          <w:rtl w:val="true"/>
          <w:lang w:bidi="ar-SA"/>
        </w:rPr>
        <w:t xml:space="preserve">فيها بعد البناء على كونها حدثاً أكبر ؛ بدعوى كون الحكم للحدث الأكبر ؛ وإن لم يخلُ عن تأمّل وإشكال </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والحمد للّه تعالى </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5" w:name="pg15019_191039"/>
      <w:bookmarkStart w:id="776" w:name="pg15019_191039"/>
      <w:bookmarkEnd w:id="776"/>
    </w:p>
    <w:p>
      <w:pPr>
        <w:pStyle w:val="Heading3"/>
        <w:numPr>
          <w:ilvl w:val="2"/>
          <w:numId w:val="1"/>
        </w:numPr>
        <w:rPr/>
      </w:pPr>
      <w:bookmarkStart w:id="777" w:name="pg15019_191039"/>
      <w:bookmarkStart w:id="778" w:name="__RefHeading___Toc686730_3406789950"/>
      <w:bookmarkStart w:id="779" w:name="_Toc283"/>
      <w:bookmarkEnd w:id="777"/>
      <w:bookmarkEnd w:id="778"/>
      <w:r>
        <w:rPr>
          <w:rtl w:val="true"/>
        </w:rPr>
        <w:t>المقصد الثالث</w:t>
      </w:r>
      <w:r>
        <w:rPr>
          <w:rtl w:val="true"/>
        </w:rPr>
        <w:t xml:space="preserve">: </w:t>
      </w:r>
      <w:r>
        <w:rPr>
          <w:rtl w:val="true"/>
        </w:rPr>
        <w:t>في النفاس</w:t>
      </w:r>
      <w:bookmarkEnd w:id="779"/>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80" w:name="__RefHeading___Toc686732_3406789950"/>
      <w:bookmarkStart w:id="781" w:name="_Toc284"/>
      <w:bookmarkEnd w:id="780"/>
      <w:r>
        <w:rPr>
          <w:rtl w:val="true"/>
        </w:rPr>
        <w:t>اشارة</w:t>
      </w:r>
      <w:bookmarkEnd w:id="781"/>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2" w:name="pg15019_191041"/>
      <w:bookmarkStart w:id="783" w:name="pg15019_191041"/>
      <w:bookmarkEnd w:id="783"/>
    </w:p>
    <w:p>
      <w:pPr>
        <w:pStyle w:val="Heading4"/>
        <w:numPr>
          <w:ilvl w:val="3"/>
          <w:numId w:val="1"/>
        </w:numPr>
        <w:rPr/>
      </w:pPr>
      <w:bookmarkStart w:id="784" w:name="pg15019_191041"/>
      <w:bookmarkStart w:id="785" w:name="__RefHeading___Toc686734_3406789950"/>
      <w:bookmarkStart w:id="786" w:name="_Toc285"/>
      <w:bookmarkEnd w:id="784"/>
      <w:bookmarkEnd w:id="785"/>
      <w:r>
        <w:rPr>
          <w:rtl w:val="true"/>
        </w:rPr>
        <w:t>تمهيد فيما</w:t>
      </w:r>
      <w:bookmarkEnd w:id="786"/>
    </w:p>
    <w:p>
      <w:pPr>
        <w:pStyle w:val="BookText"/>
        <w:rPr/>
      </w:pPr>
      <w:r>
        <w:rPr>
          <w:rFonts w:ascii="Amiri" w:hAnsi="Amiri" w:eastAsia="Amiri" w:cs="Amiri"/>
          <w:color w:val="111111"/>
          <w:sz w:val="28"/>
          <w:sz w:val="28"/>
          <w:szCs w:val="28"/>
          <w:rtl w:val="true"/>
          <w:lang w:bidi="ar-SA"/>
        </w:rPr>
        <w:t>هو موضوع الأحكام الشرعية في المقام</w:t>
      </w:r>
    </w:p>
    <w:p>
      <w:pPr>
        <w:pStyle w:val="BookText"/>
        <w:rPr/>
      </w:pPr>
      <w:r>
        <w:rPr>
          <w:rFonts w:ascii="Amiri" w:hAnsi="Amiri" w:eastAsia="Amiri" w:cs="Amiri"/>
          <w:color w:val="111111"/>
          <w:sz w:val="28"/>
          <w:sz w:val="28"/>
          <w:szCs w:val="28"/>
          <w:rtl w:val="true"/>
          <w:lang w:bidi="ar-SA"/>
        </w:rPr>
        <w:t xml:space="preserve">والظاهر أ نّه لا ثمرة معتدّاً بها في تحصيل معناه اللغوي أو العرفي ؛ لعدم تعليق حكم في النصوص على هذا العنوان بنحو الإطلاق ؛ حتّى يكون العرف أو اللغة مرجعاً لتحصيله ، بل الروايات الواردة في هذا الباب ، ظاهرة في ترتّب الأحكام على دم الولادة لا على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بُعد كون الولد بنفسه حدثاً ، بل الظاهر من روايات الباب وارتكاز المتشرّعة ، أنّ الدم هو الحدث ، كما في دم الحيض والاستحاضة </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صادقاً على نفس الولادة ، فلا دليل على كون مطلق النفاس موضوعاً لحكم شرعي ، فكما ذكرنا في باب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الشارع المقدّس جعل صنفاً خاصّاً من دم الحيض موضوعاً لحكمه ، وحدّده بحدود لا يتجاوز عنها ؛ ولو علمنا بأنّ الخارج عنها يكون حيضاً أيضاً </w:t>
      </w:r>
      <w:r>
        <w:rPr>
          <w:rStyle w:val="FootnoteAnchor"/>
          <w:rtl w:val="true"/>
        </w:rPr>
        <w:footnoteReference w:id="132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فكذلك نقول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المستفاد من النصوص والفتاوى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دم الولادة موضوع للأحكام الشرعية ، فلو كان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منه ، فلا محالة يكون حاله حال الحيض أو شبيهاً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الأمر كذلك في جانب الأكثر ؛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النفاس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صدق على الأكثر من العشرة أو الثمانية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أنّ الحكم مترتّب على حدّ خاصّ ؛ هو العشرة أو الثمانية عشر ؛ على اختلاف فيه ، فالزائد عن الحدّ وإن صدق عليه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الأحكام لا تترتّب إلاّ على المحدود بالحدّ الشرعي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دليل على ثبوت حكم لمطلق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يلزم الفحص والتحقيق لعنوانه لغةً وعرفاً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وغسل النفاس واجب</w:t>
      </w:r>
      <w:r>
        <w:rPr>
          <w:rFonts w:eastAsia="Amiri" w:cs="Amiri" w:ascii="Amiri" w:hAnsi="Amiri"/>
          <w:color w:val="111111"/>
          <w:sz w:val="28"/>
          <w:szCs w:val="28"/>
          <w:rtl w:val="true"/>
          <w:lang w:bidi="ar-SA"/>
        </w:rPr>
        <w:t>»</w:t>
      </w:r>
      <w:r>
        <w:rPr>
          <w:rStyle w:val="FootnoteAnchor"/>
          <w:rtl w:val="true"/>
        </w:rPr>
        <w:footnoteReference w:id="1327"/>
      </w:r>
      <w:r>
        <w:rPr>
          <w:rFonts w:ascii="Amiri" w:hAnsi="Amiri" w:eastAsia="Amiri" w:cs="Amiri"/>
          <w:color w:val="111111"/>
          <w:sz w:val="28"/>
          <w:sz w:val="28"/>
          <w:szCs w:val="28"/>
          <w:rtl w:val="true"/>
          <w:lang w:bidi="ar-SA"/>
        </w:rPr>
        <w:t xml:space="preserve">لا إطلاق فيه ،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إطلاقه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التعرّض في غسل الاستحاضة لخصوصيات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معتنى به بعد كونه في جميع الفقرات بصدد بيان أصل الوجوب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أنّ تعليق الحكم في جميع الروايات على دم الولادة ، يوجب رفع اليد عن الإطلاق في رواية واحدة ؛ على فرض تسليمه </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الأشبه بنظر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دم الولادة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اُطلق على نفس الولادة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الروايات </w:t>
      </w:r>
    </w:p>
    <w:p>
      <w:pPr>
        <w:pStyle w:val="BookText"/>
        <w:rPr/>
      </w:pPr>
      <w:r>
        <w:rPr>
          <w:rFonts w:ascii="IRNazanin" w:hAnsi="IRNazanin" w:eastAsia="IRNazanin"/>
          <w:color w:val="111111"/>
          <w:sz w:val="28"/>
          <w:sz w:val="28"/>
          <w:szCs w:val="28"/>
          <w:rtl w:val="true"/>
          <w:lang w:bidi="fa-IR"/>
        </w:rPr>
        <w:t>على المولود</w:t>
      </w:r>
      <w:r>
        <w:rPr>
          <w:rStyle w:val="FootnoteAnchor"/>
          <w:rtl w:val="true"/>
        </w:rPr>
        <w:footnoteReference w:id="1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يبعد أن يكون بضرب من التأوّل باعتبار خروج الدم معها ، وكذا على تنفّس الرحم ، ولهذا نقل عن المطرزي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اشتقاقه من تنفّس الرحم أو خروج النفس بمعنى الولد ، فليس بذاك</w:t>
      </w:r>
      <w:r>
        <w:rPr>
          <w:rFonts w:eastAsia="Amiri" w:cs="Amiri" w:ascii="Amiri" w:hAnsi="Amiri"/>
          <w:color w:val="111111"/>
          <w:sz w:val="28"/>
          <w:szCs w:val="28"/>
          <w:rtl w:val="true"/>
          <w:lang w:bidi="ar-SA"/>
        </w:rPr>
        <w:t>»</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ذكرنا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لو خرج الطفل تامّاً ولم يخرج الدم ، لم يكن لها نفاس ، فما عن الشافعي في أحد قوليه وأحمد في إحدى الروايتين من ثبوت الحكم لها </w:t>
      </w:r>
      <w:r>
        <w:rPr>
          <w:rStyle w:val="FootnoteAnchor"/>
          <w:rtl w:val="true"/>
        </w:rPr>
        <w:footnoteReference w:id="1330"/>
      </w:r>
      <w:r>
        <w:rPr>
          <w:rFonts w:ascii="Amiri" w:hAnsi="Amiri" w:eastAsia="Amiri" w:cs="Amiri"/>
          <w:color w:val="111111"/>
          <w:sz w:val="28"/>
          <w:sz w:val="28"/>
          <w:szCs w:val="28"/>
          <w:rtl w:val="true"/>
          <w:lang w:bidi="ar-SA"/>
        </w:rPr>
        <w:t xml:space="preserve">، ليس بشيء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 ربّما يتوهّم من بعض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الولادة موضوع الحكم ، كموثّقة عمّار بن موسى عن 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المرأة يصيبها الطلق أيّاماً أو يوماً أو</w:t>
      </w:r>
    </w:p>
    <w:p>
      <w:pPr>
        <w:pStyle w:val="BookText"/>
        <w:rPr/>
      </w:pPr>
      <w:r>
        <w:rPr>
          <w:rFonts w:ascii="Amiri" w:hAnsi="Amiri" w:eastAsia="Amiri" w:cs="Amiri"/>
          <w:color w:val="111111"/>
          <w:sz w:val="28"/>
          <w:sz w:val="28"/>
          <w:szCs w:val="28"/>
          <w:rtl w:val="true"/>
          <w:lang w:bidi="ar-SA"/>
        </w:rPr>
        <w:t xml:space="preserve">يومين ، فترى الصفرة أو دماً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تصلّي ما لم تلد </w:t>
      </w:r>
      <w:r>
        <w:rPr>
          <w:rFonts w:eastAsia="Amiri" w:cs="Amiri" w:ascii="Amiri" w:hAnsi="Amiri"/>
          <w:color w:val="111111"/>
          <w:sz w:val="28"/>
          <w:szCs w:val="28"/>
          <w:rtl w:val="true"/>
          <w:lang w:bidi="ar-SA"/>
        </w:rPr>
        <w:t>. . .»</w:t>
      </w:r>
      <w:r>
        <w:rPr>
          <w:rStyle w:val="FootnoteAnchor"/>
          <w:rtl w:val="true"/>
        </w:rPr>
        <w:footnoteReference w:id="1331"/>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ومثلها موثّقته الاُخرى</w:t>
      </w:r>
      <w:r>
        <w:rPr>
          <w:rStyle w:val="FootnoteAnchor"/>
          <w:rtl w:val="true"/>
        </w:rPr>
        <w:footnoteReference w:id="1332"/>
      </w:r>
      <w:r>
        <w:rPr>
          <w:rFonts w:ascii="Amiri" w:hAnsi="Amiri" w:eastAsia="Amiri" w:cs="Amiri"/>
          <w:color w:val="111111"/>
          <w:sz w:val="28"/>
          <w:sz w:val="28"/>
          <w:szCs w:val="28"/>
          <w:rtl w:val="true"/>
          <w:lang w:bidi="ar-SA"/>
        </w:rPr>
        <w:t xml:space="preserve">، والظاهر أ نّهما واحدة </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المفهوم منها أ نّها إذا ولدت لم تصلّ ، فتكون الولادة تمام الموضوع لحرمة الصلاة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ما لا يخفى ؛ فإنّ الظاهر منها أنّ رؤية الصفرة والدم قبل الولادة ، لا توجب حرمة الصلاة ، دون ما بعدها ، فحينئذٍ تدلّ الموثّقة على ما هو المشهور ؛ من أنّ الدم موضوع الحكم لا الولادة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ويشهد له خبر زُرَيْق بن الزبير الخلقاني عن 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سأله عن امرأة حامل رأت الدم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تدع الصلاة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رأت الدم وقد أصابها الطلق ، فرأته وهي تمخض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تصلّي حتّى يخرج رأس الصبيّ ، فإذا خرج رأسه لم يجب عليها الصلاة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الفرق بين دم الحامل ودم المخاض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الحامل قذفت بدم الحيض ، وهذه قذفت بدم المخاض إلى أن يخرج بعض الولد ، فعند ذلك يصير دم النفاس ، فيجب أن تدع في النفاس والحيض ، فأمّا ما لم يكن حيضاً أو نفاساً فإنّما ذلك من فتق الرحم</w:t>
      </w:r>
      <w:r>
        <w:rPr>
          <w:rFonts w:eastAsia="Amiri" w:cs="Amiri" w:ascii="Amiri" w:hAnsi="Amiri"/>
          <w:color w:val="111111"/>
          <w:sz w:val="28"/>
          <w:szCs w:val="28"/>
          <w:rtl w:val="true"/>
          <w:lang w:bidi="ar-SA"/>
        </w:rPr>
        <w:t>»</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حيث علّق الحكم على الدم الخارج مع خروج رأس الطفل ، فيظهر منها أنّ الموضوع للحكم هو الدم ، لا خروج رأس الولد ، كما يتّضح ذلك بالتأمّل فيها ، فلا إشكال في المسألة من هذه الجهة </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فيتمّ المقصد بذكر مسائل </w:t>
      </w:r>
      <w:r>
        <w:rPr>
          <w:rFonts w:eastAsia="Amiri" w:cs="Amiri" w:ascii="Amiri" w:hAnsi="Amiri"/>
          <w:color w:val="111111"/>
          <w:sz w:val="28"/>
          <w:szCs w:val="28"/>
          <w:rtl w:val="true"/>
          <w:lang w:bidi="ar-SA"/>
        </w:rPr>
        <w:t xml:space="preserve">: </w:t>
      </w:r>
      <w:bookmarkStart w:id="787" w:name="pg15019_191045"/>
    </w:p>
    <w:p>
      <w:pPr>
        <w:pStyle w:val="Heading4"/>
        <w:numPr>
          <w:ilvl w:val="3"/>
          <w:numId w:val="1"/>
        </w:numPr>
        <w:rPr/>
      </w:pPr>
      <w:bookmarkStart w:id="788" w:name="__RefHeading___Toc686736_3406789950"/>
      <w:bookmarkStart w:id="789" w:name="_Toc286"/>
      <w:bookmarkEnd w:id="787"/>
      <w:bookmarkEnd w:id="788"/>
      <w:r>
        <w:rPr>
          <w:rtl w:val="true"/>
        </w:rPr>
        <w:t>المسألة الاُولى في أحكام الدم الخارج قبل الولادة وبعدها والمقارن لها</w:t>
      </w:r>
      <w:bookmarkEnd w:id="789"/>
    </w:p>
    <w:p>
      <w:pPr>
        <w:pStyle w:val="Heading5"/>
        <w:numPr>
          <w:ilvl w:val="4"/>
          <w:numId w:val="1"/>
        </w:numPr>
        <w:rPr/>
      </w:pPr>
      <w:bookmarkStart w:id="790" w:name="__RefHeading___Toc686738_3406789950"/>
      <w:bookmarkStart w:id="791" w:name="_Toc287"/>
      <w:bookmarkEnd w:id="790"/>
      <w:r>
        <w:rPr>
          <w:rtl w:val="true"/>
        </w:rPr>
        <w:t>اشارة</w:t>
      </w:r>
      <w:bookmarkEnd w:id="7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الدم المتقدّم على الولادة</w:t>
      </w:r>
    </w:p>
    <w:p>
      <w:pPr>
        <w:pStyle w:val="BookText"/>
        <w:rPr/>
      </w:pPr>
      <w:r>
        <w:rPr>
          <w:rFonts w:ascii="Amiri" w:hAnsi="Amiri" w:eastAsia="Amiri" w:cs="Amiri"/>
          <w:color w:val="111111"/>
          <w:sz w:val="28"/>
          <w:sz w:val="28"/>
          <w:szCs w:val="28"/>
          <w:rtl w:val="true"/>
          <w:lang w:bidi="ar-SA"/>
        </w:rPr>
        <w:t xml:space="preserve">لو رأت دماً قبل الأخذ في الولادة وظهور شيء من الولد ، لم يكن نفاساً وإن كان بعد الطلق ؛ بلا خلاف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الرموز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شرحي 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Style w:val="FootnoteAnchor"/>
          <w:rtl w:val="true"/>
        </w:rPr>
        <w:footnoteReference w:id="1334"/>
      </w:r>
      <w:r>
        <w:rPr>
          <w:rFonts w:ascii="Amiri" w:hAnsi="Amiri" w:eastAsia="Amiri" w:cs="Amiri"/>
          <w:color w:val="111111"/>
          <w:sz w:val="28"/>
          <w:sz w:val="28"/>
          <w:szCs w:val="28"/>
          <w:rtl w:val="true"/>
          <w:lang w:bidi="ar-SA"/>
        </w:rPr>
        <w:t xml:space="preserve">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وتدلّ عليه أيضاً موثّقة عمّار بن موسى ورواية زُريق الخلقاني المتقدّمتان</w:t>
      </w:r>
      <w:r>
        <w:rPr>
          <w:rStyle w:val="FootnoteAnchor"/>
          <w:rtl w:val="true"/>
        </w:rPr>
        <w:footnoteReference w:id="1336"/>
      </w:r>
      <w:r>
        <w:rPr>
          <w:rFonts w:ascii="Amiri" w:hAnsi="Amiri" w:eastAsia="Amiri" w:cs="Amiri"/>
          <w:color w:val="111111"/>
          <w:sz w:val="28"/>
          <w:sz w:val="28"/>
          <w:szCs w:val="28"/>
          <w:rtl w:val="true"/>
          <w:lang w:bidi="ar-SA"/>
        </w:rPr>
        <w:t xml:space="preserve">، فلا إشكال في ذلك </w:t>
      </w:r>
      <w:r>
        <w:rPr>
          <w:rFonts w:eastAsia="Amiri" w:cs="Amiri" w:ascii="Amiri" w:hAnsi="Amiri"/>
          <w:color w:val="111111"/>
          <w:sz w:val="28"/>
          <w:szCs w:val="28"/>
          <w:rtl w:val="true"/>
          <w:lang w:bidi="ar-SA"/>
        </w:rPr>
        <w:t>.</w:t>
      </w:r>
    </w:p>
    <w:p>
      <w:pPr>
        <w:pStyle w:val="Heading5"/>
        <w:numPr>
          <w:ilvl w:val="4"/>
          <w:numId w:val="1"/>
        </w:numPr>
        <w:rPr/>
      </w:pPr>
      <w:bookmarkStart w:id="792" w:name="__RefHeading___Toc686740_3406789950"/>
      <w:bookmarkStart w:id="793" w:name="_Toc288"/>
      <w:bookmarkEnd w:id="792"/>
      <w:r>
        <w:rPr>
          <w:rtl w:val="true"/>
        </w:rPr>
        <w:t>حول الحكم بحيضية الدم المتقدّم المستجمع لشرائط الحيض</w:t>
      </w:r>
      <w:bookmarkEnd w:id="793"/>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الإشكال في أ نّه على تقدير جامعيته لشرائط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تحقّق فصل أقلّ الطهر بينه وبين دم النفاس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بحيضيته ؛ بدعوى عدم اعتبار أقلّ </w:t>
      </w:r>
      <w:bookmarkStart w:id="794" w:name="pg15019_191046"/>
    </w:p>
    <w:p>
      <w:pPr>
        <w:pStyle w:val="BookText"/>
        <w:rPr/>
      </w:pPr>
      <w:bookmarkEnd w:id="794"/>
      <w:r>
        <w:rPr>
          <w:rFonts w:ascii="Amiri" w:hAnsi="Amiri" w:eastAsia="Amiri" w:cs="Amiri"/>
          <w:color w:val="111111"/>
          <w:sz w:val="28"/>
          <w:sz w:val="28"/>
          <w:szCs w:val="28"/>
          <w:rtl w:val="true"/>
          <w:lang w:bidi="ar-SA"/>
        </w:rPr>
        <w:t>الطهر بينه وبين النفاس المتأخّر ، أو لا باعتبار اشتراط ذلك ؟</w:t>
      </w:r>
    </w:p>
    <w:p>
      <w:pPr>
        <w:pStyle w:val="BookText"/>
        <w:rPr/>
      </w:pPr>
      <w:r>
        <w:rPr>
          <w:rFonts w:ascii="Amiri" w:hAnsi="Amiri" w:eastAsia="Amiri" w:cs="Amiri"/>
          <w:color w:val="111111"/>
          <w:sz w:val="28"/>
          <w:sz w:val="28"/>
          <w:szCs w:val="28"/>
          <w:rtl w:val="true"/>
          <w:lang w:bidi="ar-SA"/>
        </w:rPr>
        <w:t>ومورد الكلام ما إذا لم يكن مانع من جعله حيضاً إلاّ عدم فصل أقلّ الطهر ؛ كأن رأت ثلاثة أيّام في أيّام العادة ، أو جامعاً للصفات ، أو في زمان إمكانه ، ورأت</w:t>
      </w:r>
    </w:p>
    <w:p>
      <w:pPr>
        <w:pStyle w:val="BookText"/>
        <w:rPr/>
      </w:pPr>
      <w:r>
        <w:rPr>
          <w:rFonts w:ascii="Amiri" w:hAnsi="Amiri" w:eastAsia="Amiri" w:cs="Amiri"/>
          <w:color w:val="111111"/>
          <w:sz w:val="28"/>
          <w:sz w:val="28"/>
          <w:szCs w:val="28"/>
          <w:rtl w:val="true"/>
          <w:lang w:bidi="ar-SA"/>
        </w:rPr>
        <w:t xml:space="preserve">الطهر تسعة أيّام ، فرأت دم الولادة ، فبعد قيام النصّ والإجماع على كون دم الولادة نفاساً ، دار الأمر بين حيضية الدم السابق وكونه استحاضة ، بعد البناء على اجتماع الحيض والحمل ، كما هو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فدعوى وفاق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337"/>
      </w:r>
      <w:r>
        <w:rPr>
          <w:rFonts w:ascii="Amiri" w:hAnsi="Amiri" w:eastAsia="Amiri" w:cs="Amiri"/>
          <w:color w:val="111111"/>
          <w:sz w:val="28"/>
          <w:sz w:val="28"/>
          <w:szCs w:val="28"/>
          <w:rtl w:val="true"/>
          <w:lang w:bidi="ar-SA"/>
        </w:rPr>
        <w:t xml:space="preserve">المبتنية على عدم اجتماعهما ، ليست وجيهة في ردّ ما نحن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في المقام من بسط الكلام في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يتشبّث به للزوم الفصل بأقلّ الطهر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الفراغ فرضاً عن عدم الدليل على الاشتراط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 نّه هل يكفي ذلك في الحكم بالحيضية بواسطة قاعدة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أمارات الحيض ، أو لا بدّ فيه من إحراز عدم الاشتراط ؟</w:t>
      </w:r>
    </w:p>
    <w:p>
      <w:pPr>
        <w:pStyle w:val="Heading5"/>
        <w:numPr>
          <w:ilvl w:val="4"/>
          <w:numId w:val="1"/>
        </w:numPr>
        <w:rPr/>
      </w:pPr>
      <w:bookmarkStart w:id="795" w:name="__RefHeading___Toc686742_3406789950"/>
      <w:bookmarkStart w:id="796" w:name="_Toc289"/>
      <w:bookmarkEnd w:id="795"/>
      <w:r>
        <w:rPr>
          <w:rtl w:val="true"/>
        </w:rPr>
        <w:t>ما يتشبّث به للزوم الفصل بأقلّ الطهر</w:t>
      </w:r>
      <w:bookmarkEnd w:id="796"/>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على الاشتراط</w:t>
      </w:r>
      <w:r>
        <w:rPr>
          <w:rStyle w:val="FootnoteAnchor"/>
          <w:rtl w:val="true"/>
        </w:rPr>
        <w:footnoteReference w:id="1338"/>
      </w:r>
      <w:r>
        <w:rPr>
          <w:rFonts w:ascii="Amiri" w:hAnsi="Amiri" w:eastAsia="Amiri" w:cs="Amiri"/>
          <w:color w:val="111111"/>
          <w:sz w:val="28"/>
          <w:sz w:val="28"/>
          <w:szCs w:val="28"/>
          <w:rtl w:val="true"/>
          <w:lang w:bidi="ar-SA"/>
        </w:rPr>
        <w:t>بإطلاق مرسلة يونس القصيرة</w:t>
      </w:r>
      <w:r>
        <w:rPr>
          <w:rStyle w:val="FootnoteAnchor"/>
          <w:rtl w:val="true"/>
        </w:rPr>
        <w:footnoteReference w:id="1339"/>
      </w:r>
      <w:r>
        <w:rPr>
          <w:rFonts w:ascii="IRNazanin" w:hAnsi="IRNazanin" w:eastAsia="IRNazanin"/>
          <w:color w:val="111111"/>
          <w:sz w:val="28"/>
          <w:sz w:val="28"/>
          <w:szCs w:val="28"/>
          <w:rtl w:val="true"/>
          <w:lang w:bidi="fa-IR"/>
        </w:rPr>
        <w:t xml:space="preserve">وصحيحة محمّد بن مسلم عن أبي جعفر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يكون القرء في أقلّ من عشرة أيّام </w:t>
      </w:r>
    </w:p>
    <w:p>
      <w:pPr>
        <w:pStyle w:val="BookText"/>
        <w:rPr/>
      </w:pPr>
      <w:r>
        <w:rPr>
          <w:rFonts w:ascii="Amiri" w:hAnsi="Amiri" w:eastAsia="Amiri" w:cs="Amiri"/>
          <w:color w:val="111111"/>
          <w:sz w:val="28"/>
          <w:sz w:val="28"/>
          <w:szCs w:val="28"/>
          <w:rtl w:val="true"/>
          <w:lang w:bidi="ar-SA"/>
        </w:rPr>
        <w:t>فما زاد ، وأقلّ ما يكون عشرة من حين تطهر إلى أن ترى الدم</w:t>
      </w:r>
      <w:r>
        <w:rPr>
          <w:rFonts w:eastAsia="Amiri" w:cs="Amiri" w:ascii="Amiri" w:hAnsi="Amiri"/>
          <w:color w:val="111111"/>
          <w:sz w:val="28"/>
          <w:szCs w:val="28"/>
          <w:rtl w:val="true"/>
          <w:lang w:bidi="ar-SA"/>
        </w:rPr>
        <w:t>»</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وفيهما 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المرسلة ، ففيها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الإشكالات المتقدّمة في محلّها </w:t>
      </w:r>
      <w:r>
        <w:rPr>
          <w:rStyle w:val="FootnoteAnchor"/>
          <w:rtl w:val="true"/>
        </w:rPr>
        <w:footnoteReference w:id="1341"/>
      </w: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سياقها يشهد بأنّ الطهر الذي فيه ، هو الذي يكون لاختزان الدم لأجل القذف في وقته ؛ فإنّ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أدنى الطهر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 xml:space="preserve">يناسب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وذلك أنّ المرأة أوّل ما تحيض ربما كانت كثيرة الدم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 إلاّ باعتبار أنّ أدنى ما يمكن اختزان الدم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النوع ، وبحسب الأمزجة المتعارفة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عشرة أيّام ، ففي تلك العشرة يجتمع الدم في الرحم ، فتقذفه عشرة أيّام في أوائل الأمر وكثرة الدم ، وأقلّ منها كلّما كبرت إلى ثلاثة أيّام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يكون أدنى الطهر عشرة أيّام ؛ لأ نّها أقلّ زمان يمكن فيه اختزان الدم للقذف عشرة أيّام أو أقلّ ؛ بحسب اختلاف سني العمر ، فلا يكون فيه إطلاق لمطلق الطهر ؛ سواء كان بين الحيضين أو لا ، بل ولا لمطلق الحيضتين أيضاً ، إلاّ ما يكون الطهر طهر الاختزان والادّخار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إطلاق في قوله في ذيلها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يكون الطهر أقلّ من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أ نّه لا يزيد على ما في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كون المرسلة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صدراً وذيلاً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بيان الحيض ، يمنع عن استفادة الإطلاق ، كما يظهر بالتأمّل فيها </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صحيحة ابن مسلم ، فلأنّ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مطلق الطهر غير ثابت ؛ </w:t>
      </w:r>
    </w:p>
    <w:p>
      <w:pPr>
        <w:pStyle w:val="BookText"/>
        <w:rPr/>
      </w:pPr>
      <w:r>
        <w:rPr>
          <w:rFonts w:ascii="Amiri" w:hAnsi="Amiri" w:eastAsia="Amiri" w:cs="Amiri"/>
          <w:color w:val="111111"/>
          <w:sz w:val="28"/>
          <w:sz w:val="28"/>
          <w:szCs w:val="28"/>
          <w:rtl w:val="true"/>
          <w:lang w:bidi="ar-SA"/>
        </w:rPr>
        <w:t xml:space="preserve">وإن ورد في كتب اللغة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نّه من الأضداد ؛ فيطلق على الطهر والحيض</w:t>
      </w:r>
      <w:r>
        <w:rPr>
          <w:rFonts w:eastAsia="Amiri" w:cs="Amiri" w:ascii="Amiri" w:hAnsi="Amiri"/>
          <w:color w:val="111111"/>
          <w:sz w:val="28"/>
          <w:szCs w:val="28"/>
          <w:rtl w:val="true"/>
          <w:lang w:bidi="ar-SA"/>
        </w:rPr>
        <w:t>»</w:t>
      </w:r>
      <w:r>
        <w:rPr>
          <w:rStyle w:val="FootnoteAnchor"/>
          <w:rtl w:val="true"/>
        </w:rPr>
        <w:footnoteReference w:id="1342"/>
      </w:r>
      <w:r>
        <w:rPr>
          <w:rFonts w:ascii="Amiri" w:hAnsi="Amiri" w:eastAsia="Amiri" w:cs="Amiri"/>
          <w:color w:val="111111"/>
          <w:sz w:val="28"/>
          <w:sz w:val="28"/>
          <w:szCs w:val="28"/>
          <w:rtl w:val="true"/>
          <w:lang w:bidi="ar-SA"/>
        </w:rPr>
        <w:t xml:space="preserve">فإنّ الظاهر أ نّه لا إطلاق لكلام أهل اللغة حتّى يستفاد منه إطلاقه على مطلق الطهر ، بل من المحتمل أن يكون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الطهر ؛ لأجل اجتماع الدم واختزانه في تلك الأيّام للقذف في وقته ، وأمّا إذا كان الاختزان بسبب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ككونه لأجل رزق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تدلّ عليه ، ولا يستفاد حكمه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المتيقّن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الطهر الخاصّ لا مطلقاً ، ولا دليل على إطلاقه على مطلق الطهر ، فلا يمكن التشبّث بها لذلك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ويشعر بذلك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القرء في أقلّ من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بتخلّل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الطهر كان حقّ العبارة أن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يكون القرء أقلّ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بخلاف ما إذا كان بمعنى جمع الدم ، فإنّ المناسب هو تخلّلها ، كما لا يخفى ،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الأدلّة قد دلّت على أنّ النفاس حيض محتبِس وأنّ النفساء كالحائض ، فيتحقّق موضوع ما دلّ على أنّ الطهر بين الحيضتين ، لا يكون أقلّ من عشرة ؛ لو سلّم اختصاصها بذلك</w:t>
      </w:r>
      <w:r>
        <w:rPr>
          <w:rFonts w:eastAsia="Amiri" w:cs="Amiri" w:ascii="Amiri" w:hAnsi="Amiri"/>
          <w:color w:val="111111"/>
          <w:sz w:val="28"/>
          <w:szCs w:val="28"/>
          <w:rtl w:val="true"/>
          <w:lang w:bidi="ar-SA"/>
        </w:rPr>
        <w:t>»</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الصغرى أوّلاً ؛ لعدم ما يدلّ على أ نّه حيض محتبس </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في رواية مُقرِّن عن 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 سلمان رحمه الله علیه علياً علیه السلام عن رزق الولد في بطن اُمّه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حبس عليه الحيضة ، </w:t>
      </w:r>
    </w:p>
    <w:p>
      <w:pPr>
        <w:pStyle w:val="BookText"/>
        <w:rPr/>
      </w:pPr>
      <w:r>
        <w:rPr>
          <w:rFonts w:ascii="Amiri" w:hAnsi="Amiri" w:eastAsia="Amiri" w:cs="Amiri"/>
          <w:color w:val="111111"/>
          <w:sz w:val="28"/>
          <w:sz w:val="28"/>
          <w:szCs w:val="28"/>
          <w:rtl w:val="true"/>
          <w:lang w:bidi="ar-SA"/>
        </w:rPr>
        <w:t>فجعلها رزقه في بطن اُمّه</w:t>
      </w:r>
      <w:r>
        <w:rPr>
          <w:rFonts w:eastAsia="Amiri" w:cs="Amiri" w:ascii="Amiri" w:hAnsi="Amiri"/>
          <w:color w:val="111111"/>
          <w:sz w:val="28"/>
          <w:szCs w:val="28"/>
          <w:rtl w:val="true"/>
          <w:lang w:bidi="ar-SA"/>
        </w:rPr>
        <w:t>»</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صحيحة سليمان بن خالد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 الحبلى ربّما طمثت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 وذلك أنّ الولد في بطن اُمّه غذاؤه الدم ، فربّما كثر ففضل عنه ، فإذا فضل دفقته ، فإذا دفقته حرمت عليها الصلاة</w:t>
      </w:r>
      <w:r>
        <w:rPr>
          <w:rFonts w:eastAsia="IRNazanin" w:cs="IRNazanin"/>
          <w:color w:val="111111"/>
          <w:sz w:val="28"/>
          <w:szCs w:val="28"/>
          <w:rtl w:val="true"/>
          <w:lang w:bidi="fa-IR"/>
        </w:rPr>
        <w:t>»</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تدلاّن على أنّ النفاس حيض محتبِس ، بل الاُولى تدلّ</w:t>
      </w:r>
    </w:p>
    <w:p>
      <w:pPr>
        <w:pStyle w:val="BookText"/>
        <w:rPr/>
      </w:pPr>
      <w:r>
        <w:rPr>
          <w:rFonts w:ascii="Amiri" w:hAnsi="Amiri" w:eastAsia="Amiri" w:cs="Amiri"/>
          <w:color w:val="111111"/>
          <w:sz w:val="28"/>
          <w:sz w:val="28"/>
          <w:szCs w:val="28"/>
          <w:rtl w:val="true"/>
          <w:lang w:bidi="ar-SA"/>
        </w:rPr>
        <w:t>على أنّ الحيض محتبس لأجل رزق الولد من غير تعرّض للنفاس ؛ وأ نّه حيض محتبس ، ولِمَ لا يجوز أن يكون النفاس دماً غير الحيض موضوعاً أو حكماً ؛ وأنّ الرحم بابتلائها بالولد وخروجه عنها تقذف دماً غيره ، كما هو الظاهر من مقابلته بدم الحيض في النصّ</w:t>
      </w:r>
      <w:r>
        <w:rPr>
          <w:rStyle w:val="FootnoteAnchor"/>
          <w:rtl w:val="true"/>
        </w:rPr>
        <w:footnoteReference w:id="1346"/>
      </w:r>
      <w:r>
        <w:rPr>
          <w:rFonts w:ascii="Amiri" w:hAnsi="Amiri" w:eastAsia="Amiri" w:cs="Amiri"/>
          <w:color w:val="111111"/>
          <w:sz w:val="28"/>
          <w:sz w:val="28"/>
          <w:szCs w:val="28"/>
          <w:rtl w:val="true"/>
          <w:lang w:bidi="ar-SA"/>
        </w:rPr>
        <w:t>والفتوى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أقلّ من كون حكمه غير حكم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اشتراكهما في بعض الأحكام لا يوجب وحدتهما ذاتاً ؛ لو لم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اختلافهما في بعض الأحكام ، دليل على اختلافهما في الموضوع ، كما أنّ الجنابة أيضاً مشتركة معه في كثير من الأحكام </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وأوهن منها دلالة الرواية الثانية ؛ فإنّ مفادها فضول دم الحيض عن غذاء الولد وقذفه في زمان الحمل ، فلا ربط له بما نحن 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 ما دلّ على لزوم قعود النساء بمقدار أيّام العادة</w:t>
      </w:r>
      <w:r>
        <w:rPr>
          <w:rStyle w:val="FootnoteAnchor"/>
          <w:rtl w:val="true"/>
        </w:rPr>
        <w:footnoteReference w:id="1347"/>
      </w:r>
      <w:r>
        <w:rPr>
          <w:rFonts w:ascii="Amiri" w:hAnsi="Amiri" w:eastAsia="Amiri" w:cs="Amiri"/>
          <w:color w:val="111111"/>
          <w:sz w:val="28"/>
          <w:sz w:val="28"/>
          <w:szCs w:val="28"/>
          <w:rtl w:val="true"/>
          <w:lang w:bidi="ar-SA"/>
        </w:rPr>
        <w:t xml:space="preserve">، لا تدلّ على كون دم النفاس عين دم الحيض ؛ لو لم يدلّ على خلافه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كان دم الحيض كان عليها القعود أيّام العادة ، لا بعد رؤية الدم بمقدارها ، كما هو مفاد الروايات ،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وبمنع الكبرى ثانياً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بعد تسليم كون النفاس حيضاً محتبساً ، لكن لا دليل على أنّ الطهر بين الحيضتين مطلقاً لا يكون أقلّ من عشرة أيّام ، بل المتيقّن من الروايتين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بالبيان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الطهر الذي يكون منشأً لاختزان الدم</w:t>
      </w:r>
    </w:p>
    <w:p>
      <w:pPr>
        <w:pStyle w:val="BookText"/>
        <w:rPr/>
      </w:pPr>
      <w:r>
        <w:rPr>
          <w:rFonts w:ascii="Amiri" w:hAnsi="Amiri" w:eastAsia="Amiri" w:cs="Amiri"/>
          <w:color w:val="111111"/>
          <w:sz w:val="28"/>
          <w:sz w:val="28"/>
          <w:szCs w:val="28"/>
          <w:rtl w:val="true"/>
          <w:lang w:bidi="ar-SA"/>
        </w:rPr>
        <w:t xml:space="preserve">واجتماعه ، لا يكون أقلّ ، وعدم أقلّيته لأجل كون ذلك المقدار من الزمان صالحاً لجمعه واختزانه ، وأمّا إذا كان الاختزان بسبب آخر فلا ، فتدبّر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النفساء كالحائض في جميع الأحكام</w:t>
      </w:r>
      <w:r>
        <w:rPr>
          <w:rFonts w:eastAsia="Amiri" w:cs="Amiri" w:ascii="Amiri" w:hAnsi="Amiri"/>
          <w:color w:val="111111"/>
          <w:sz w:val="28"/>
          <w:szCs w:val="28"/>
          <w:rtl w:val="true"/>
          <w:lang w:bidi="ar-SA"/>
        </w:rPr>
        <w:t>»</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استدلّ عليه بصحيحة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النفساء متى تصلّي ؟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والحائض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ذلك سواء ، فإن انقطع عنها الدم وإلاّ فهي مستحاضة ؛ تصنع مثل النفساء سواء</w:t>
      </w:r>
      <w:r>
        <w:rPr>
          <w:rFonts w:eastAsia="Amiri" w:cs="Amiri" w:ascii="Amiri" w:hAnsi="Amiri"/>
          <w:color w:val="111111"/>
          <w:sz w:val="28"/>
          <w:szCs w:val="28"/>
          <w:rtl w:val="true"/>
          <w:lang w:bidi="ar-SA"/>
        </w:rPr>
        <w:t>»</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نّها بصدد بيان كون الحائض كالنفساء في الحكم المذكور فيها ، لا في جميع الأحكام </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استدلّ عليه بالإجماع أو بعدم الخلاف ، فنفس هذه المسألة خلافية ، </w:t>
      </w:r>
    </w:p>
    <w:p>
      <w:pPr>
        <w:pStyle w:val="BookText"/>
        <w:rPr/>
      </w:pPr>
      <w:r>
        <w:rPr>
          <w:rFonts w:ascii="Amiri" w:hAnsi="Amiri" w:eastAsia="Amiri" w:cs="Amiri"/>
          <w:color w:val="111111"/>
          <w:sz w:val="28"/>
          <w:sz w:val="28"/>
          <w:szCs w:val="28"/>
          <w:rtl w:val="true"/>
          <w:lang w:bidi="ar-SA"/>
        </w:rPr>
        <w:t xml:space="preserve">وقد مرّ حال 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الخلاف فيها </w:t>
      </w:r>
      <w:r>
        <w:rPr>
          <w:rStyle w:val="FootnoteAnchor"/>
          <w:rtl w:val="true"/>
        </w:rPr>
        <w:footnoteReference w:id="1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احتمال استفادة المجمعين من الأدلّة ، التسوية ، وهي غير تامّة الدلالة عندنا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الاستدلال</w:t>
      </w:r>
      <w:r>
        <w:rPr>
          <w:rStyle w:val="FootnoteAnchor"/>
          <w:rtl w:val="true"/>
        </w:rPr>
        <w:footnoteReference w:id="1351"/>
      </w:r>
      <w:r>
        <w:rPr>
          <w:rFonts w:ascii="Amiri" w:hAnsi="Amiri" w:eastAsia="Amiri" w:cs="Amiri"/>
          <w:color w:val="111111"/>
          <w:sz w:val="28"/>
          <w:sz w:val="28"/>
          <w:szCs w:val="28"/>
          <w:rtl w:val="true"/>
          <w:lang w:bidi="ar-SA"/>
        </w:rPr>
        <w:t>على المسألة بإطلاق موثّقة عمّار ورواية رُزيق</w:t>
      </w:r>
      <w:r>
        <w:rPr>
          <w:rStyle w:val="FootnoteAnchor"/>
          <w:rtl w:val="true"/>
        </w:rPr>
        <w:footnoteReference w:id="1352"/>
      </w:r>
      <w:r>
        <w:rPr>
          <w:rFonts w:ascii="Amiri" w:hAnsi="Amiri" w:eastAsia="Amiri" w:cs="Amiri"/>
          <w:color w:val="111111"/>
          <w:sz w:val="28"/>
          <w:sz w:val="28"/>
          <w:szCs w:val="28"/>
          <w:rtl w:val="true"/>
          <w:lang w:bidi="ar-SA"/>
        </w:rPr>
        <w:t>ففيه ما لا يخفى ؛ فإنّ في موثّقة عمّار الاُولى قد فرّع رؤية الصفرة أو الدم على الطلق</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فرأت صفرة أو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منه أنّ رؤيتهما من حصول الطلق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رؤية الدم بعد الطلق أمارة عقلائية على كونها منه ، لا</w:t>
      </w:r>
    </w:p>
    <w:p>
      <w:pPr>
        <w:pStyle w:val="BookText"/>
        <w:rPr/>
      </w:pPr>
      <w:r>
        <w:rPr>
          <w:rFonts w:ascii="Amiri" w:hAnsi="Amiri" w:eastAsia="Amiri" w:cs="Amiri"/>
          <w:color w:val="111111"/>
          <w:sz w:val="28"/>
          <w:sz w:val="28"/>
          <w:szCs w:val="28"/>
          <w:rtl w:val="true"/>
          <w:lang w:bidi="ar-SA"/>
        </w:rPr>
        <w:t xml:space="preserve">من شيء آخر ، ولهذا قال في رواية الخلقاني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الفرق بين دم الحامل ودم المخاض ؟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الحامل قذفت بدم الحيض ، وهذه قذفت بدم المخاض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دليل على كونه منه إلاّ رؤيتها بعده ، فالجزم بكونه منه دليل على الأمارية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حال موثّقة عمّار الثانية</w:t>
      </w:r>
      <w:r>
        <w:rPr>
          <w:rStyle w:val="FootnoteAnchor"/>
          <w:rtl w:val="true"/>
        </w:rPr>
        <w:footnoteReference w:id="1353"/>
      </w:r>
      <w:r>
        <w:rPr>
          <w:rFonts w:ascii="Amiri" w:hAnsi="Amiri" w:eastAsia="Amiri" w:cs="Amiri"/>
          <w:color w:val="111111"/>
          <w:sz w:val="28"/>
          <w:sz w:val="28"/>
          <w:szCs w:val="28"/>
          <w:rtl w:val="true"/>
          <w:lang w:bidi="ar-SA"/>
        </w:rPr>
        <w:t xml:space="preserve">بل هما رواية واحدة نقلها الشيخان مع اختلاف يسير </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الاستدلال</w:t>
      </w:r>
      <w:r>
        <w:rPr>
          <w:rStyle w:val="FootnoteAnchor"/>
          <w:rtl w:val="true"/>
        </w:rPr>
        <w:footnoteReference w:id="1354"/>
      </w:r>
      <w:r>
        <w:rPr>
          <w:rFonts w:ascii="IRNazanin" w:hAnsi="IRNazanin" w:eastAsia="IRNazanin"/>
          <w:color w:val="111111"/>
          <w:sz w:val="28"/>
          <w:sz w:val="28"/>
          <w:szCs w:val="28"/>
          <w:rtl w:val="true"/>
          <w:lang w:bidi="fa-IR"/>
        </w:rPr>
        <w:t xml:space="preserve">بصحيحة عبداللّه بن المغيرة عن أبي الحسن الأوّل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امرأة نفست ، فتركت الصلاة ثلاثين يوماً ، ثمّ طهرت ، ثمّ رأت الدم بعد ذلك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تدع الصلاة ؛ لأنّ أيّامها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أيّام الطهر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جازت مع أيّام النفاس</w:t>
      </w:r>
      <w:r>
        <w:rPr>
          <w:rFonts w:eastAsia="IRNazanin" w:cs="IRNazanin"/>
          <w:color w:val="111111"/>
          <w:sz w:val="28"/>
          <w:szCs w:val="28"/>
          <w:rtl w:val="true"/>
          <w:lang w:bidi="fa-IR"/>
        </w:rPr>
        <w:t>»</w:t>
      </w:r>
      <w:r>
        <w:rPr>
          <w:rStyle w:val="FootnoteAnchor"/>
          <w:rtl w:val="true"/>
        </w:rPr>
        <w:footnoteReference w:id="1355"/>
      </w:r>
      <w:bookmarkStart w:id="797" w:name="pg15019_191052"/>
    </w:p>
    <w:p>
      <w:pPr>
        <w:pStyle w:val="BookText"/>
        <w:rPr/>
      </w:pPr>
      <w:bookmarkEnd w:id="797"/>
      <w:r>
        <w:rPr>
          <w:rFonts w:ascii="Amiri" w:hAnsi="Amiri" w:eastAsia="Amiri" w:cs="Amiri"/>
          <w:color w:val="111111"/>
          <w:sz w:val="28"/>
          <w:sz w:val="28"/>
          <w:szCs w:val="28"/>
          <w:rtl w:val="true"/>
          <w:lang w:bidi="ar-SA"/>
        </w:rPr>
        <w:t xml:space="preserve">بدعوى إلغاء الخصوصية بين النفاس المتقدّم والمتأخّر ، أو الإجماع على عدم الفصل ، أو كون ذلك قرينة على إطلاق مرسلة يونس وصحيحة محمّد بن مسلم المتقدّمتين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وجيه ؛ لأنّ الخصوصية بينهما غير ممكنة الإلغاء ؛ للفرق بين المتقدّم والمتأخّر ؛ فإنّ في النفاس المتقدّم ، يكون مرور الأيّام موجباً لاختزان الدم للقذف</w:t>
      </w:r>
    </w:p>
    <w:p>
      <w:pPr>
        <w:pStyle w:val="BookText"/>
        <w:rPr/>
      </w:pPr>
      <w:r>
        <w:rPr>
          <w:rFonts w:ascii="Amiri" w:hAnsi="Amiri" w:eastAsia="Amiri" w:cs="Amiri"/>
          <w:color w:val="111111"/>
          <w:sz w:val="28"/>
          <w:sz w:val="28"/>
          <w:szCs w:val="28"/>
          <w:rtl w:val="true"/>
          <w:lang w:bidi="ar-SA"/>
        </w:rPr>
        <w:t xml:space="preserve">المتأخّر ، بخلاف المتأخّر ؛ فإنّ الاختزان بسبب الولد ، وبعد انفتاحه يمكن خروج المختزن للولد ،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إجماع على عدم الفصل بعد كون الفرق بينهما مفتى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قرينية لذلك على إطلاق الروايتين بعد ما مرّ من عدم إطلاقهما </w:t>
      </w:r>
      <w:r>
        <w:rPr>
          <w:rFonts w:eastAsia="Amiri" w:cs="Amiri" w:ascii="Amiri" w:hAnsi="Amiri"/>
          <w:color w:val="111111"/>
          <w:sz w:val="28"/>
          <w:szCs w:val="28"/>
          <w:rtl w:val="true"/>
          <w:lang w:bidi="ar-SA"/>
        </w:rPr>
        <w:t>.</w:t>
      </w:r>
    </w:p>
    <w:p>
      <w:pPr>
        <w:pStyle w:val="Heading5"/>
        <w:numPr>
          <w:ilvl w:val="4"/>
          <w:numId w:val="1"/>
        </w:numPr>
        <w:rPr/>
      </w:pPr>
      <w:bookmarkStart w:id="798" w:name="__RefHeading___Toc686744_3406789950"/>
      <w:bookmarkStart w:id="799" w:name="_Toc290"/>
      <w:bookmarkEnd w:id="798"/>
      <w:r>
        <w:rPr>
          <w:rtl w:val="true"/>
        </w:rPr>
        <w:t>الرجوع إلى الأمارات لإثبات الحيضية</w:t>
      </w:r>
      <w:bookmarkEnd w:id="799"/>
    </w:p>
    <w:p>
      <w:pPr>
        <w:pStyle w:val="BookText"/>
        <w:rPr/>
      </w:pPr>
      <w:r>
        <w:rPr>
          <w:rFonts w:ascii="Amiri" w:hAnsi="Amiri" w:eastAsia="Amiri" w:cs="Amiri"/>
          <w:color w:val="111111"/>
          <w:sz w:val="28"/>
          <w:sz w:val="28"/>
          <w:szCs w:val="28"/>
          <w:rtl w:val="true"/>
          <w:lang w:bidi="ar-SA"/>
        </w:rPr>
        <w:t xml:space="preserve">ثمّ إنّ ما مرّ من الأدلّة قاصر عن إثبات اشتراط الفصل ، وأمّا عدم الاشتراط فليس في شيء منها ، فحينئذٍ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دليل على الاشتراط لا دليل على نفيه ، فتكون الشبهة حكمية ، ولا يمكن التمسّك في رفعها بأدلّة أمارات الحيض ، ولا بإطلاق أدلّة الأحكام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الاُولى ، فلأنّ سياق أدلّة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كانت أو 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في الشبهة الموضوعية ، ولا تدفع بها الشبهة الحكمية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التمسّك بإطلاق أدلّة الأحكام ، فهو تمسّك به في الشبهة المصداقية ؛ للشكّ في كون الدم حيضاً </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يمكن أن تدفع الشبهة الحكمية بأصالة عدم الاشتراط المعلوم قبل جعل الشرع ، ولا يلزم فيها الأثر بعد كونه حكماً شرعياً ، فحينئذٍ تندفع الشبهة </w:t>
      </w:r>
    </w:p>
    <w:p>
      <w:pPr>
        <w:pStyle w:val="BookText"/>
        <w:rPr/>
      </w:pPr>
      <w:r>
        <w:rPr>
          <w:rFonts w:ascii="Amiri" w:hAnsi="Amiri" w:eastAsia="Amiri" w:cs="Amiri"/>
          <w:color w:val="111111"/>
          <w:sz w:val="28"/>
          <w:sz w:val="28"/>
          <w:szCs w:val="28"/>
          <w:rtl w:val="true"/>
          <w:lang w:bidi="ar-SA"/>
        </w:rPr>
        <w:t xml:space="preserve">الحكمية ، وتبقى الشبهة الموضوعية ، فيرجع إلى الأمارات في إثبات الحيضية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قاعدة الإمكان فقد مرّ ما فيها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كلّه في الدم المتقدّم على الولادة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الدم المتأخّر عن الولادة</w:t>
      </w:r>
    </w:p>
    <w:p>
      <w:pPr>
        <w:pStyle w:val="BookText"/>
        <w:rPr/>
      </w:pPr>
      <w:r>
        <w:rPr>
          <w:rFonts w:ascii="Amiri" w:hAnsi="Amiri" w:eastAsia="Amiri" w:cs="Amiri"/>
          <w:color w:val="111111"/>
          <w:sz w:val="28"/>
          <w:sz w:val="28"/>
          <w:szCs w:val="28"/>
          <w:rtl w:val="true"/>
          <w:lang w:bidi="ar-SA"/>
        </w:rPr>
        <w:t>وأمّ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الدم عقيب تمام الولادة ، فلا إشكال في كونه نفاساً نصّاً </w:t>
      </w:r>
      <w:r>
        <w:rPr>
          <w:rStyle w:val="FootnoteAnchor"/>
          <w:rtl w:val="true"/>
        </w:rPr>
        <w:footnoteReference w:id="1357"/>
      </w:r>
      <w:r>
        <w:rPr>
          <w:rFonts w:ascii="IRNazanin" w:hAnsi="IRNazanin" w:eastAsia="IRNazanin"/>
          <w:color w:val="111111"/>
          <w:sz w:val="28"/>
          <w:sz w:val="28"/>
          <w:szCs w:val="28"/>
          <w:rtl w:val="true"/>
          <w:lang w:bidi="fa-IR"/>
        </w:rPr>
        <w:t>وفتوى</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الدم المقارن للولادة</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الكلام في الدم المقارن لها ، فعن المشهور كونه نفاساً ،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المشهور نقلاً وتحصيلاً أ نّه كذلك</w:t>
      </w:r>
      <w:r>
        <w:rPr>
          <w:rFonts w:eastAsia="Amiri" w:cs="Amiri" w:ascii="Amiri" w:hAnsi="Amiri"/>
          <w:color w:val="111111"/>
          <w:sz w:val="28"/>
          <w:szCs w:val="28"/>
          <w:rtl w:val="true"/>
          <w:lang w:bidi="ar-SA"/>
        </w:rPr>
        <w:t>»</w:t>
      </w:r>
      <w:r>
        <w:rPr>
          <w:rStyle w:val="FootnoteAnchor"/>
          <w:rtl w:val="true"/>
        </w:rPr>
        <w:footnoteReference w:id="1359"/>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أنّ ما يخرج مع الولد عندنا يكون نفاساً ، واختلف أصحاب الشافعي </w:t>
      </w:r>
      <w:r>
        <w:rPr>
          <w:rFonts w:eastAsia="Amiri" w:cs="Amiri" w:ascii="Amiri" w:hAnsi="Amiri"/>
          <w:color w:val="111111"/>
          <w:sz w:val="28"/>
          <w:szCs w:val="28"/>
          <w:rtl w:val="true"/>
          <w:lang w:bidi="ar-SA"/>
        </w:rPr>
        <w:t>»</w:t>
      </w:r>
      <w:r>
        <w:rPr>
          <w:rStyle w:val="FootnoteAnchor"/>
          <w:rtl w:val="true"/>
        </w:rPr>
        <w:footnoteReference w:id="1360"/>
      </w:r>
      <w:r>
        <w:rPr>
          <w:rFonts w:ascii="Amiri" w:hAnsi="Amiri" w:eastAsia="Amiri" w:cs="Amiri"/>
          <w:color w:val="111111"/>
          <w:sz w:val="28"/>
          <w:sz w:val="28"/>
          <w:szCs w:val="28"/>
          <w:rtl w:val="true"/>
          <w:lang w:bidi="ar-SA"/>
        </w:rPr>
        <w:t>وهو يشعر بعدم الخلاف في المسألة ، ولهذا حملت</w:t>
      </w:r>
      <w:r>
        <w:rPr>
          <w:rStyle w:val="FootnoteAnchor"/>
          <w:rtl w:val="true"/>
        </w:rPr>
        <w:footnoteReference w:id="1361"/>
      </w:r>
      <w:r>
        <w:rPr>
          <w:rFonts w:ascii="Amiri" w:hAnsi="Amiri" w:eastAsia="Amiri" w:cs="Amiri"/>
          <w:color w:val="111111"/>
          <w:sz w:val="28"/>
          <w:sz w:val="28"/>
          <w:szCs w:val="28"/>
          <w:rtl w:val="true"/>
          <w:lang w:bidi="ar-SA"/>
        </w:rPr>
        <w:t xml:space="preserve">العبارات الموهمة للخلاف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ظاهر السيّد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w:t>
      </w:r>
      <w:r>
        <w:rPr>
          <w:rStyle w:val="FootnoteAnchor"/>
          <w:rtl w:val="true"/>
        </w:rPr>
        <w:footnoteReference w:id="1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لا ينافي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وتدلّ عليه رواية الخلقاني قال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الحامل قذفت بدم الحيض ، وهذه قذفت بدم المخاض إلى أن يخرج بعض الولد ، فعند ذلك يصير دم النفاس</w:t>
      </w:r>
      <w:r>
        <w:rPr>
          <w:rFonts w:eastAsia="Amiri" w:cs="Amiri" w:ascii="Amiri" w:hAnsi="Amiri"/>
          <w:color w:val="111111"/>
          <w:sz w:val="28"/>
          <w:szCs w:val="28"/>
          <w:rtl w:val="true"/>
          <w:lang w:bidi="ar-SA"/>
        </w:rPr>
        <w:t>»</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ورواية السكوني عن جعفر ، عن أبيه علیهما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Amiri" w:hAnsi="Amiri" w:eastAsia="Amiri" w:cs="Amiri"/>
          <w:color w:val="111111"/>
          <w:sz w:val="28"/>
          <w:sz w:val="28"/>
          <w:szCs w:val="28"/>
          <w:rtl w:val="true"/>
          <w:lang w:bidi="ar-SA"/>
        </w:rPr>
        <w:t>كان اللّه ليجعل حيضاً مع حبل ؛ يعني إذا رأت المرأة الدم وهي حامل لا تدع الصلاة ، إلاّ أن ترى على رأس الولد ، إذا ضربها الطلق ورأت الدم تركت الصلاة</w:t>
      </w:r>
      <w:r>
        <w:rPr>
          <w:rFonts w:eastAsia="Amiri" w:cs="Amiri" w:ascii="Amiri" w:hAnsi="Amiri"/>
          <w:color w:val="111111"/>
          <w:sz w:val="28"/>
          <w:szCs w:val="28"/>
          <w:rtl w:val="true"/>
          <w:lang w:bidi="ar-SA"/>
        </w:rPr>
        <w:t>»</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إشكال فيها من حيث السند على الأصحّ</w:t>
      </w:r>
      <w:r>
        <w:rPr>
          <w:rStyle w:val="FootnoteAnchor"/>
          <w:rtl w:val="true"/>
        </w:rPr>
        <w:footnoteReference w:id="1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كون التفسير من السكوني</w:t>
      </w:r>
      <w:r>
        <w:rPr>
          <w:rStyle w:val="FootnoteAnchor"/>
          <w:rtl w:val="true"/>
        </w:rPr>
        <w:footnoteReference w:id="1366"/>
      </w:r>
      <w:r>
        <w:rPr>
          <w:rFonts w:ascii="IRNazanin" w:hAnsi="IRNazanin" w:eastAsia="IRNazanin"/>
          <w:color w:val="111111"/>
          <w:sz w:val="28"/>
          <w:sz w:val="28"/>
          <w:szCs w:val="28"/>
          <w:rtl w:val="true"/>
          <w:lang w:bidi="fa-IR"/>
        </w:rPr>
        <w:t>بعيد ، بل فاسد ؛ فإنّ ما ذكر ليس تفسير العبارة المنقولة عن النبي صلی الله علیه و آله وسلم ؛ لأنّ الاستثناء فيه أمر زائد عليها ، ولا</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يكون تفسيرها ، فهو إمّا من اجتهاده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غاية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لقوله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من أبي عبداللّه أو أبي جعفر علیهما السلام وهو غير بعيد منهما ؛ لاطّلاعهما على الأحكام وعلى تفسير ما </w:t>
      </w:r>
    </w:p>
    <w:p>
      <w:pPr>
        <w:pStyle w:val="BookText"/>
        <w:rPr/>
      </w:pPr>
      <w:r>
        <w:rPr>
          <w:rFonts w:ascii="IRNazanin" w:hAnsi="IRNazanin" w:eastAsia="IRNazanin"/>
          <w:color w:val="111111"/>
          <w:sz w:val="28"/>
          <w:sz w:val="28"/>
          <w:szCs w:val="28"/>
          <w:rtl w:val="true"/>
          <w:lang w:bidi="fa-IR"/>
        </w:rPr>
        <w:t xml:space="preserve">ورد عن رسول اللّه صلی الله علیه و آله وسلم زائداً على الأفهام العامّة ، كما ورد منهما نظائره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ويشهد لما ذكرنا ورود هذه الرواية بعينها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اختلاف يسير في الألفاظ بدون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اللّه عزّ وجلّ ليجعل حيضها مع حمل ، فإذا رأت المرأة الدم وهي حبلى فلا تدع الصلاة ، إلاّ أن ترى الدم على رأس ولادتها ، إذا ضربها الطلق ورأت الدم تركت الصلاة</w:t>
      </w:r>
      <w:r>
        <w:rPr>
          <w:rFonts w:eastAsia="IRNazanin" w:cs="IRNazanin"/>
          <w:color w:val="111111"/>
          <w:sz w:val="28"/>
          <w:szCs w:val="28"/>
          <w:rtl w:val="true"/>
          <w:lang w:bidi="fa-IR"/>
        </w:rPr>
        <w:t>»</w:t>
      </w:r>
      <w:r>
        <w:rPr>
          <w:rStyle w:val="FootnoteAnchor"/>
          <w:rtl w:val="true"/>
        </w:rPr>
        <w:footnoteReference w:id="1367"/>
      </w:r>
    </w:p>
    <w:p>
      <w:pPr>
        <w:pStyle w:val="BookText"/>
        <w:rPr/>
      </w:pPr>
      <w:r>
        <w:rPr>
          <w:rFonts w:ascii="Amiri" w:hAnsi="Amiri" w:eastAsia="Amiri" w:cs="Amiri"/>
          <w:color w:val="111111"/>
          <w:sz w:val="28"/>
          <w:sz w:val="28"/>
          <w:szCs w:val="28"/>
          <w:rtl w:val="true"/>
          <w:lang w:bidi="ar-SA"/>
        </w:rPr>
        <w:t xml:space="preserve">الحيض ، الباب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تلك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رأس ولادتها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أغلاط النسخ ، والصحيح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رأس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الرواية توجب الوثوق بأنّ التفسير في رواية السكوني ليس منه ، فتصير حجّة 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احتمال 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نفسها ، ويطول الكلام بذكر سندها والبحث عن رجاله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مطروحية صدرهما فلا تضرّ بالعمل بذيلهما ، خصوصاً مع كون الاستثناء الواقع في الذيل ، زائداً على أصل الحكم ، ويكون حكماً مستقلاًّ </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قوّة احتمال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الدم المقارن للولادة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أن يقال بصدقه على ما حصل قبل الولادة إذا كان من مقدّماتها ؛ لأنّ دم الولادة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كونه نفاساً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يصدق على كلّ دم يرتبط بالولادة ؛ سواء كان قبلها ومن مقدّماتها ، أو معها ، أو بعدها ، وإنّما خرجنا عمّا قبل الولادة لقيام </w:t>
      </w:r>
      <w:bookmarkStart w:id="800" w:name="pg15019_191056"/>
    </w:p>
    <w:p>
      <w:pPr>
        <w:pStyle w:val="BookText"/>
        <w:rPr/>
      </w:pPr>
      <w:bookmarkEnd w:id="800"/>
      <w:r>
        <w:rPr>
          <w:rFonts w:ascii="Amiri" w:hAnsi="Amiri" w:eastAsia="Amiri" w:cs="Amiri"/>
          <w:color w:val="111111"/>
          <w:sz w:val="28"/>
          <w:sz w:val="28"/>
          <w:szCs w:val="28"/>
          <w:rtl w:val="true"/>
          <w:lang w:bidi="ar-SA"/>
        </w:rPr>
        <w:t xml:space="preserve">الدليل ، فلو نوقش في الدم المتقدّم فلا ينبغي المناقشة في المصاحب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w:t>
      </w:r>
    </w:p>
    <w:p>
      <w:pPr>
        <w:pStyle w:val="BookText"/>
        <w:rPr/>
      </w:pPr>
      <w:r>
        <w:rPr>
          <w:rFonts w:ascii="Amiri" w:hAnsi="Amiri" w:eastAsia="Amiri" w:cs="Amiri"/>
          <w:color w:val="111111"/>
          <w:sz w:val="28"/>
          <w:sz w:val="28"/>
          <w:szCs w:val="28"/>
          <w:rtl w:val="true"/>
          <w:lang w:bidi="ar-SA"/>
        </w:rPr>
        <w:t xml:space="preserve">صدقه عليه أولى منه على المتأخّر ،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من مجموع ما ذكر أنّ الدم المصاحب نفاس ، فيجب التصرّف في موثّقة عمّار</w:t>
      </w:r>
      <w:r>
        <w:rPr>
          <w:rStyle w:val="FootnoteAnchor"/>
          <w:rtl w:val="true"/>
        </w:rPr>
        <w:footnoteReference w:id="1368"/>
      </w:r>
      <w:r>
        <w:rPr>
          <w:rFonts w:ascii="Amiri" w:hAnsi="Amiri" w:eastAsia="Amiri" w:cs="Amiri"/>
          <w:color w:val="111111"/>
          <w:sz w:val="28"/>
          <w:sz w:val="28"/>
          <w:szCs w:val="28"/>
          <w:rtl w:val="true"/>
          <w:lang w:bidi="ar-SA"/>
        </w:rPr>
        <w:t>وإن كان الظاهر منها أنّ الغاية لوجوب الصلاة عليها</w:t>
      </w:r>
    </w:p>
    <w:p>
      <w:pPr>
        <w:pStyle w:val="BookText"/>
        <w:rPr/>
      </w:pPr>
      <w:r>
        <w:rPr>
          <w:rFonts w:ascii="Amiri" w:hAnsi="Amiri" w:eastAsia="Amiri" w:cs="Amiri"/>
          <w:color w:val="111111"/>
          <w:sz w:val="28"/>
          <w:sz w:val="28"/>
          <w:szCs w:val="28"/>
          <w:rtl w:val="true"/>
          <w:lang w:bidi="ar-SA"/>
        </w:rPr>
        <w:t xml:space="preserve">حصول الولادة ؛ باعتبار تصدير المضارع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لنقل المعنى إلى المضيّ ، لكنّ التصرّف فيها أهون من رفع اليد عن جميع ما تقدّم ، كما لا يخفى على المنصف </w:t>
      </w:r>
      <w:r>
        <w:rPr>
          <w:rFonts w:eastAsia="Amiri" w:cs="Amiri" w:ascii="Amiri" w:hAnsi="Amiri"/>
          <w:color w:val="111111"/>
          <w:sz w:val="28"/>
          <w:szCs w:val="28"/>
          <w:rtl w:val="true"/>
          <w:lang w:bidi="ar-SA"/>
        </w:rPr>
        <w:t>.</w:t>
      </w:r>
    </w:p>
    <w:p>
      <w:pPr>
        <w:pStyle w:val="Heading5"/>
        <w:numPr>
          <w:ilvl w:val="4"/>
          <w:numId w:val="1"/>
        </w:numPr>
        <w:rPr/>
      </w:pPr>
      <w:bookmarkStart w:id="801" w:name="__RefHeading___Toc686746_3406789950"/>
      <w:bookmarkStart w:id="802" w:name="_Toc291"/>
      <w:bookmarkEnd w:id="801"/>
      <w:r>
        <w:rPr>
          <w:rtl w:val="true"/>
        </w:rPr>
        <w:t>نفاسية الدم الخارج مع المضغة</w:t>
      </w:r>
      <w:bookmarkEnd w:id="802"/>
    </w:p>
    <w:p>
      <w:pPr>
        <w:pStyle w:val="BookText"/>
        <w:rPr/>
      </w:pPr>
      <w:r>
        <w:rPr>
          <w:rFonts w:ascii="Amiri" w:hAnsi="Amiri" w:eastAsia="Amiri" w:cs="Amiri"/>
          <w:color w:val="111111"/>
          <w:sz w:val="28"/>
          <w:sz w:val="28"/>
          <w:szCs w:val="28"/>
          <w:rtl w:val="true"/>
          <w:lang w:bidi="ar-SA"/>
        </w:rPr>
        <w:t xml:space="preserve">ثمّ إنّ مقتضى الجمود على عبارة اللغويين وعلى الروايات في الباب ، هو عدم الحكم بنفاسية الدم الخارج مع المضغة ، فضلاً عن الخارج مع العَلَقة أو النُطفة المستقرّة ؛ لعدم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مع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الخارج ،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المتضايفات التي لا يصدق واحد منها على موضوعه إلاّ مع صدق غيره على موضوعه </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جمود غير وجيه لدى العرف ؛ فإنّ الظاهر أنّ نظر أهل اللغة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النفاس دم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إلى ما ذكر ؛ بحيث يكون دم النفاس دائراً مدار صدق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الدم الخارج مع المضغة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تصير متشكّلة بصورة آدمي بعد يومين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دم النفاس ، ثمّ يصير بعد اليومين دمه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والظاهر أنّ الروايات المشعرة بكون النفاس دم الولادة ، أيضاً لا يستفاد منها اعتبار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المتقدّم ، ولهذا ترى تسالم الفقهاء على نفاسية ما خرج عقيب ما كان منشأ آدمي ، 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نفاسية الدم إذا ولدت علقة أو مضغة بعد شهادة القوابل بذلك أو العلم به</w:t>
      </w:r>
      <w:r>
        <w:rPr>
          <w:rStyle w:val="FootnoteAnchor"/>
          <w:rtl w:val="true"/>
        </w:rPr>
        <w:footnoteReference w:id="1369"/>
      </w:r>
      <w:r>
        <w:rPr>
          <w:rFonts w:ascii="Amiri" w:hAnsi="Amiri" w:eastAsia="Amiri" w:cs="Amiri"/>
          <w:color w:val="111111"/>
          <w:sz w:val="28"/>
          <w:sz w:val="28"/>
          <w:szCs w:val="28"/>
          <w:rtl w:val="true"/>
          <w:lang w:bidi="ar-SA"/>
        </w:rPr>
        <w:t xml:space="preserve">، وعلّله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بأ نّه دم جاء عقيب حمل</w:t>
      </w:r>
      <w:r>
        <w:rPr>
          <w:rFonts w:eastAsia="Amiri" w:cs="Amiri" w:ascii="Amiri" w:hAnsi="Amiri"/>
          <w:color w:val="111111"/>
          <w:sz w:val="28"/>
          <w:szCs w:val="28"/>
          <w:rtl w:val="true"/>
          <w:lang w:bidi="ar-SA"/>
        </w:rPr>
        <w:t>»</w:t>
      </w:r>
      <w:r>
        <w:rPr>
          <w:rStyle w:val="FootnoteAnchor"/>
          <w:rtl w:val="true"/>
        </w:rPr>
        <w:footnoteReference w:id="1370"/>
      </w:r>
      <w:r>
        <w:rPr>
          <w:rFonts w:ascii="Amiri" w:hAnsi="Amiri" w:eastAsia="Amiri" w:cs="Amiri"/>
          <w:color w:val="111111"/>
          <w:sz w:val="28"/>
          <w:sz w:val="28"/>
          <w:szCs w:val="28"/>
          <w:rtl w:val="true"/>
          <w:lang w:bidi="ar-SA"/>
        </w:rPr>
        <w:t>، وإنكار بعضهم ذلك معلّلاً بعدم العلم بكونه مبدأ نشوء آدمي</w:t>
      </w:r>
      <w:r>
        <w:rPr>
          <w:rStyle w:val="FootnoteAnchor"/>
          <w:rtl w:val="true"/>
        </w:rPr>
        <w:footnoteReference w:id="1371"/>
      </w:r>
      <w:r>
        <w:rPr>
          <w:rFonts w:ascii="Amiri" w:hAnsi="Amiri" w:eastAsia="Amiri" w:cs="Amiri"/>
          <w:color w:val="111111"/>
          <w:sz w:val="28"/>
          <w:sz w:val="28"/>
          <w:szCs w:val="28"/>
          <w:rtl w:val="true"/>
          <w:lang w:bidi="ar-SA"/>
        </w:rPr>
        <w:t xml:space="preserve">، يدلّ على أنّ الإنكار لأجل الشكّ في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لو وضعت شيئاً تبيّن فيه خلق الإنسان فرأت الدم ، فهو نفاس إجماعاً</w:t>
      </w:r>
      <w:r>
        <w:rPr>
          <w:rFonts w:eastAsia="Amiri" w:cs="Amiri" w:ascii="Amiri" w:hAnsi="Amiri"/>
          <w:color w:val="111111"/>
          <w:sz w:val="28"/>
          <w:szCs w:val="28"/>
          <w:rtl w:val="true"/>
          <w:lang w:bidi="ar-SA"/>
        </w:rPr>
        <w:t>»</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مراده من تبيّن خلق الإنسان فيه ، أ نّه علم كونه مبدأ خلقه ، لا أ نّه ظهر فيه خلقه بحصول الصورة الإنسانية فيه ؛ بقرينة دعواه الإجماع على العلقة والمضغة ، ولأ نّه ليس الإنسان بعد تمامية خلقته موضوعاً للبحث والجدال ، فإنكار بعض المتأخّرين نفاسية ذلك</w:t>
      </w:r>
      <w:r>
        <w:rPr>
          <w:rStyle w:val="FootnoteAnchor"/>
          <w:rtl w:val="true"/>
        </w:rPr>
        <w:footnoteReference w:id="1373"/>
      </w:r>
      <w:r>
        <w:rPr>
          <w:rFonts w:ascii="Amiri" w:hAnsi="Amiri" w:eastAsia="Amiri" w:cs="Amiri"/>
          <w:color w:val="111111"/>
          <w:sz w:val="28"/>
          <w:sz w:val="28"/>
          <w:szCs w:val="28"/>
          <w:rtl w:val="true"/>
          <w:lang w:bidi="ar-SA"/>
        </w:rPr>
        <w:t xml:space="preserve">كأ نّه ليس في محلّه </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الظاهر نفاسية ما خرج مع النطفة إذا علم أ نّها كانت مستقرّة في الرحم لنشوء آدمي ؛ لعدم الفرق بينها وبين العلقة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المضغة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الإبرام والإنكار </w:t>
      </w:r>
      <w:r>
        <w:rPr>
          <w:rFonts w:eastAsia="Amiri" w:cs="Amiri" w:ascii="Amiri" w:hAnsi="Amiri"/>
          <w:color w:val="111111"/>
          <w:sz w:val="28"/>
          <w:szCs w:val="28"/>
          <w:rtl w:val="true"/>
          <w:lang w:bidi="ar-SA"/>
        </w:rPr>
        <w:t xml:space="preserve">. </w:t>
      </w:r>
      <w:bookmarkStart w:id="803" w:name="pg15019_191058"/>
    </w:p>
    <w:p>
      <w:pPr>
        <w:pStyle w:val="Heading4"/>
        <w:numPr>
          <w:ilvl w:val="3"/>
          <w:numId w:val="1"/>
        </w:numPr>
        <w:rPr/>
      </w:pPr>
      <w:bookmarkStart w:id="804" w:name="__RefHeading___Toc686748_3406789950"/>
      <w:bookmarkStart w:id="805" w:name="_Toc292"/>
      <w:bookmarkEnd w:id="803"/>
      <w:bookmarkEnd w:id="804"/>
      <w:r>
        <w:rPr>
          <w:rtl w:val="true"/>
        </w:rPr>
        <w:t>المسألة الثانية</w:t>
      </w:r>
      <w:r>
        <w:rPr>
          <w:rtl w:val="true"/>
        </w:rPr>
        <w:t xml:space="preserve">: </w:t>
      </w:r>
      <w:r>
        <w:rPr>
          <w:rtl w:val="true"/>
        </w:rPr>
        <w:t>في حدّ النفاس في طرف القلّة</w:t>
      </w:r>
      <w:bookmarkEnd w:id="805"/>
    </w:p>
    <w:p>
      <w:pPr>
        <w:pStyle w:val="BookText"/>
        <w:rPr/>
      </w:pPr>
      <w:r>
        <w:rPr>
          <w:rFonts w:ascii="Amiri" w:hAnsi="Amiri" w:eastAsia="Amiri" w:cs="Amiri"/>
          <w:color w:val="111111"/>
          <w:sz w:val="28"/>
          <w:sz w:val="28"/>
          <w:szCs w:val="28"/>
          <w:rtl w:val="true"/>
          <w:lang w:bidi="ar-SA"/>
        </w:rPr>
        <w:t xml:space="preserve">لا حدّ لأقلّ النفاس ؛ إجماعاً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الالتباس</w:t>
      </w:r>
      <w:r>
        <w:rPr>
          <w:rFonts w:eastAsia="Amiri" w:cs="Amiri" w:ascii="Amiri" w:hAnsi="Amiri"/>
          <w:color w:val="111111"/>
          <w:sz w:val="28"/>
          <w:szCs w:val="28"/>
          <w:rtl w:val="true"/>
          <w:lang w:bidi="ar-SA"/>
        </w:rPr>
        <w:t>»</w:t>
      </w:r>
      <w:r>
        <w:rPr>
          <w:rStyle w:val="FootnoteAnchor"/>
          <w:rtl w:val="true"/>
        </w:rPr>
        <w:footnoteReference w:id="1374"/>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شرحي الجعفرية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خلاف فيه بين أحد من الأصحاب</w:t>
      </w:r>
      <w:r>
        <w:rPr>
          <w:rFonts w:eastAsia="Amiri" w:cs="Amiri" w:ascii="Amiri" w:hAnsi="Amiri"/>
          <w:color w:val="111111"/>
          <w:sz w:val="28"/>
          <w:szCs w:val="28"/>
          <w:rtl w:val="true"/>
          <w:lang w:bidi="ar-SA"/>
        </w:rPr>
        <w:t>»</w:t>
      </w:r>
      <w:r>
        <w:rPr>
          <w:rStyle w:val="FootnoteAnchor"/>
          <w:rtl w:val="true"/>
        </w:rPr>
        <w:footnoteReference w:id="1375"/>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المفاتيح</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 مذهب علمائنا وأكثر العامّة</w:t>
      </w:r>
      <w:r>
        <w:rPr>
          <w:rFonts w:eastAsia="Amiri" w:cs="Amiri" w:ascii="Amiri" w:hAnsi="Amiri"/>
          <w:color w:val="111111"/>
          <w:sz w:val="28"/>
          <w:szCs w:val="28"/>
          <w:rtl w:val="true"/>
          <w:lang w:bidi="ar-SA"/>
        </w:rPr>
        <w:t>»</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رزيق بن الزبير المتقدّم</w:t>
      </w:r>
      <w:r>
        <w:rPr>
          <w:rStyle w:val="FootnoteAnchor"/>
          <w:rtl w:val="true"/>
        </w:rPr>
        <w:footnoteReference w:id="1377"/>
      </w:r>
      <w:r>
        <w:rPr>
          <w:rFonts w:ascii="Amiri" w:hAnsi="Amiri" w:eastAsia="Amiri" w:cs="Amiri"/>
          <w:color w:val="111111"/>
          <w:sz w:val="28"/>
          <w:sz w:val="28"/>
          <w:szCs w:val="28"/>
          <w:rtl w:val="true"/>
          <w:lang w:bidi="ar-SA"/>
        </w:rPr>
        <w:t xml:space="preserve">؛ لإطلاق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خرج رأسه لم تجب عليها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أ نّها إذا رأت الدم بعد خروج رأسه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بمناسبة صدره وذيله ، وإطلاقه يقتضي عدم وجوبها عليها ولو رأت لحظة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قذفت بدم المخاض إلى أن يخرج بعض الولد ، فعند ذلك يصير دم النفاس ، فيجب أن تدع في النفاس والحيض</w:t>
      </w:r>
      <w:r>
        <w:rPr>
          <w:rFonts w:eastAsia="Amiri" w:cs="Amiri" w:ascii="Amiri" w:hAnsi="Amiri"/>
          <w:color w:val="111111"/>
          <w:sz w:val="28"/>
          <w:szCs w:val="28"/>
          <w:rtl w:val="true"/>
          <w:lang w:bidi="ar-SA"/>
        </w:rPr>
        <w:t>» .</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يصير دم النفاس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أنّ الدم المرئيّ بعد ظهور الولد نفاس وهو بمنزلة الصغرى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فيجب أن تدع في النفاس والحيض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فعلّق الحكم </w:t>
      </w:r>
    </w:p>
    <w:p>
      <w:pPr>
        <w:pStyle w:val="BookText"/>
        <w:rPr/>
      </w:pPr>
      <w:r>
        <w:rPr>
          <w:rFonts w:ascii="Amiri" w:hAnsi="Amiri" w:eastAsia="Amiri" w:cs="Amiri"/>
          <w:color w:val="111111"/>
          <w:sz w:val="28"/>
          <w:sz w:val="28"/>
          <w:szCs w:val="28"/>
          <w:rtl w:val="true"/>
          <w:lang w:bidi="ar-SA"/>
        </w:rPr>
        <w:t xml:space="preserve">على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وعيّن الصغرى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يصير دم النفاس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فيظهر منه أنّ دم النفاس مطلقاً موجب لعدم وجوب الصلاة عليها وهو المطلوب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في الروايات ما علّق الحكم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النفاس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ذلك ، وهو وإن كان ضعيف السند</w:t>
      </w:r>
      <w:r>
        <w:rPr>
          <w:rStyle w:val="FootnoteAnchor"/>
          <w:rtl w:val="true"/>
        </w:rPr>
        <w:footnoteReference w:id="1378"/>
      </w:r>
      <w:r>
        <w:rPr>
          <w:rFonts w:ascii="Amiri" w:hAnsi="Amiri" w:eastAsia="Amiri" w:cs="Amiri"/>
          <w:color w:val="111111"/>
          <w:sz w:val="28"/>
          <w:sz w:val="28"/>
          <w:szCs w:val="28"/>
          <w:rtl w:val="true"/>
          <w:lang w:bidi="ar-SA"/>
        </w:rPr>
        <w:t xml:space="preserve">، لكن لا يبعد أن يكون مستند الأصحاب ، فيجبر سنده وإن لم يخل من التأمّل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إطلاق قويّة السكوني ، وقد تقدّم الكلام فيها </w:t>
      </w:r>
      <w:r>
        <w:rPr>
          <w:rStyle w:val="FootnoteAnchor"/>
          <w:rtl w:val="true"/>
        </w:rPr>
        <w:footnoteReference w:id="1379"/>
      </w:r>
      <w:r>
        <w:rPr>
          <w:rFonts w:ascii="Amiri" w:hAnsi="Amiri" w:eastAsia="Amiri" w:cs="Amiri"/>
          <w:color w:val="111111"/>
          <w:sz w:val="28"/>
          <w:sz w:val="28"/>
          <w:szCs w:val="28"/>
          <w:rtl w:val="true"/>
          <w:lang w:bidi="ar-SA"/>
        </w:rPr>
        <w:t xml:space="preserve">؛ وإن أمكن المناقشة في إطلاقها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الاستدلال بموثّقة عمّار بن موسى عن 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المرأة يصيبها الطلق أيّاماً أو يوماً أو يومين ، فترى الصفرة أو دماً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تصلّي ما لم تلد </w:t>
      </w:r>
      <w:r>
        <w:rPr>
          <w:rFonts w:eastAsia="IRNazanin" w:cs="IRNazanin"/>
          <w:color w:val="111111"/>
          <w:sz w:val="28"/>
          <w:szCs w:val="28"/>
          <w:rtl w:val="true"/>
          <w:lang w:bidi="fa-IR"/>
        </w:rPr>
        <w:t>. . .»</w:t>
      </w:r>
      <w:r>
        <w:rPr>
          <w:rStyle w:val="FootnoteAnchor"/>
          <w:rtl w:val="true"/>
        </w:rPr>
        <w:footnoteReference w:id="1380"/>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جعل الغاية للصلاة عدم الولادة ، يدلّ على أنّ الولادة مع رؤية الدم أو الصفرة مطلقاً ، موضوع لقطع وجوب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إطلاق المفهوم يقتضي ذلك </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ما لا يخفى ؛ ضرورة أنّ الظاهر منها أ نّه بصدد بيان المغيّى ؛ وأ نّه تجب </w:t>
      </w:r>
    </w:p>
    <w:p>
      <w:pPr>
        <w:pStyle w:val="BookText"/>
        <w:rPr/>
      </w:pPr>
      <w:r>
        <w:rPr>
          <w:rFonts w:ascii="Amiri" w:hAnsi="Amiri" w:eastAsia="Amiri" w:cs="Amiri"/>
          <w:color w:val="111111"/>
          <w:sz w:val="28"/>
          <w:sz w:val="28"/>
          <w:szCs w:val="28"/>
          <w:rtl w:val="true"/>
          <w:lang w:bidi="ar-SA"/>
        </w:rPr>
        <w:t>عليها الصلاة قبل الولادة ، ولا يكون في مقام بيان حكم المفهوم حتّى يؤخذ بإطلاقه ، فتدلّ الرواية على ثبوت الصلاة مطلقاً ما لم تلد ، لا على سقوطها مطلقاً</w:t>
      </w:r>
    </w:p>
    <w:p>
      <w:pPr>
        <w:pStyle w:val="BookText"/>
        <w:rPr/>
      </w:pPr>
      <w:r>
        <w:rPr>
          <w:rFonts w:ascii="Amiri" w:hAnsi="Amiri" w:eastAsia="Amiri" w:cs="Amiri"/>
          <w:color w:val="111111"/>
          <w:sz w:val="28"/>
          <w:sz w:val="28"/>
          <w:szCs w:val="28"/>
          <w:rtl w:val="true"/>
          <w:lang w:bidi="ar-SA"/>
        </w:rPr>
        <w:t xml:space="preserve">لدى الولادة ، ولعلّه مشروط بشرط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الاستدلال</w:t>
      </w:r>
      <w:r>
        <w:rPr>
          <w:rStyle w:val="FootnoteAnchor"/>
          <w:rtl w:val="true"/>
        </w:rPr>
        <w:footnoteReference w:id="1381"/>
      </w:r>
      <w:r>
        <w:rPr>
          <w:rFonts w:ascii="IRNazanin" w:hAnsi="IRNazanin" w:eastAsia="IRNazanin"/>
          <w:color w:val="111111"/>
          <w:sz w:val="28"/>
          <w:sz w:val="28"/>
          <w:szCs w:val="28"/>
          <w:rtl w:val="true"/>
          <w:lang w:bidi="fa-IR"/>
        </w:rPr>
        <w:t xml:space="preserve">بصحيحة علي بن يقطين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الماضي علیه السلام عن النفساء ؛ وكم يجب عليها ترك الصلاة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تدع الصلاة ما دامت ترى الدم العبيط إلى ثلاثين يوماً </w:t>
      </w:r>
      <w:r>
        <w:rPr>
          <w:rFonts w:eastAsia="IRNazanin" w:cs="IRNazanin"/>
          <w:color w:val="111111"/>
          <w:sz w:val="28"/>
          <w:szCs w:val="28"/>
          <w:rtl w:val="true"/>
          <w:lang w:bidi="fa-IR"/>
        </w:rPr>
        <w:t>. . .»</w:t>
      </w:r>
      <w:r>
        <w:rPr>
          <w:rStyle w:val="FootnoteAnchor"/>
          <w:rtl w:val="true"/>
        </w:rPr>
        <w:footnoteReference w:id="1382"/>
      </w:r>
      <w:r>
        <w:rPr>
          <w:rFonts w:ascii="Amiri" w:hAnsi="Amiri" w:eastAsia="Amiri" w:cs="Amiri"/>
          <w:color w:val="111111"/>
          <w:sz w:val="28"/>
          <w:sz w:val="28"/>
          <w:szCs w:val="28"/>
          <w:rtl w:val="true"/>
          <w:lang w:bidi="ar-SA"/>
        </w:rPr>
        <w:t xml:space="preserve">إلى آخره ؛ بدعوى تعليق الحكم على رؤية الدم العبيط ، فإطلاقه يقتضي نفاسية الدم ولو لحظة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غير محلّه ؛ ضرورة أنّ السؤال والجواب إنّما هو عن جانب الأكثر ، فهي بصدد بيان حدّه في ذاك الطرف ، لا في طرف القلّة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وهنها بموافقة العامّة</w:t>
      </w:r>
      <w:r>
        <w:rPr>
          <w:rStyle w:val="FootnoteAnchor"/>
          <w:rtl w:val="true"/>
        </w:rPr>
        <w:footnoteReference w:id="1383"/>
      </w:r>
      <w:r>
        <w:rPr>
          <w:rFonts w:ascii="Amiri" w:hAnsi="Amiri" w:eastAsia="Amiri" w:cs="Amiri"/>
          <w:color w:val="111111"/>
          <w:sz w:val="28"/>
          <w:sz w:val="28"/>
          <w:szCs w:val="28"/>
          <w:rtl w:val="true"/>
          <w:lang w:bidi="ar-SA"/>
        </w:rPr>
        <w:t>ومخالفة الشهرة</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يظهر الحال في رواية ليث المرادي</w:t>
      </w:r>
      <w:r>
        <w:rPr>
          <w:rStyle w:val="FootnoteAnchor"/>
          <w:rtl w:val="true"/>
        </w:rPr>
        <w:footnoteReference w:id="1385"/>
      </w:r>
      <w:r>
        <w:rPr>
          <w:rFonts w:ascii="IRNazanin" w:hAnsi="IRNazanin" w:eastAsia="IRNazanin"/>
          <w:color w:val="111111"/>
          <w:sz w:val="28"/>
          <w:sz w:val="28"/>
          <w:szCs w:val="28"/>
          <w:rtl w:val="true"/>
          <w:lang w:bidi="fa-IR"/>
        </w:rPr>
        <w:t xml:space="preserve">مع ضعف سندها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فعمدة المستند الإجماع ورواية الخلقاني</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يستدلّ عليه بإناطة الأحكام بالمسمّى الصادق على القليل والكثير</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ليس في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كثرتها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اُنيط فيه حكم بالمسمّى بنحو الإطلاق غير رواية الخلقاني المتقدّمة ، وقد ذكرنا إهمال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النفساء واجب</w:t>
      </w:r>
      <w:r>
        <w:rPr>
          <w:rFonts w:eastAsia="Amiri" w:cs="Amiri" w:ascii="Amiri" w:hAnsi="Amiri"/>
          <w:color w:val="111111"/>
          <w:sz w:val="28"/>
          <w:szCs w:val="28"/>
          <w:rtl w:val="true"/>
          <w:lang w:bidi="ar-SA"/>
        </w:rPr>
        <w:t>»</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 xml:space="preserve">. </w:t>
      </w:r>
      <w:bookmarkStart w:id="806" w:name="pg15019_191062"/>
    </w:p>
    <w:p>
      <w:pPr>
        <w:pStyle w:val="Heading4"/>
        <w:numPr>
          <w:ilvl w:val="3"/>
          <w:numId w:val="1"/>
        </w:numPr>
        <w:rPr/>
      </w:pPr>
      <w:bookmarkStart w:id="807" w:name="__RefHeading___Toc686750_3406789950"/>
      <w:bookmarkStart w:id="808" w:name="_Toc293"/>
      <w:bookmarkEnd w:id="806"/>
      <w:bookmarkEnd w:id="807"/>
      <w:r>
        <w:rPr>
          <w:rtl w:val="true"/>
        </w:rPr>
        <w:t>المسألة الثالثة في حدّ النفاس في طرف الكثرة</w:t>
      </w:r>
      <w:bookmarkEnd w:id="808"/>
    </w:p>
    <w:p>
      <w:pPr>
        <w:pStyle w:val="Heading5"/>
        <w:numPr>
          <w:ilvl w:val="4"/>
          <w:numId w:val="1"/>
        </w:numPr>
        <w:rPr/>
      </w:pPr>
      <w:bookmarkStart w:id="809" w:name="__RefHeading___Toc686752_3406789950"/>
      <w:bookmarkStart w:id="810" w:name="_Toc294"/>
      <w:bookmarkEnd w:id="809"/>
      <w:r>
        <w:rPr>
          <w:rtl w:val="true"/>
        </w:rPr>
        <w:t>اشارة</w:t>
      </w:r>
      <w:bookmarkEnd w:id="810"/>
    </w:p>
    <w:p>
      <w:pPr>
        <w:pStyle w:val="BookText"/>
        <w:rPr/>
      </w:pPr>
      <w:r>
        <w:rPr>
          <w:rFonts w:ascii="Amiri" w:hAnsi="Amiri" w:eastAsia="Amiri" w:cs="Amiri"/>
          <w:color w:val="111111"/>
          <w:sz w:val="28"/>
          <w:sz w:val="28"/>
          <w:szCs w:val="28"/>
          <w:rtl w:val="true"/>
          <w:lang w:bidi="ar-SA"/>
        </w:rPr>
        <w:t>لا إشكال في أنّ للنفاس في جانب الكثرة حدّاً ، فما في رواية المرادي</w:t>
      </w:r>
      <w:r>
        <w:rPr>
          <w:rStyle w:val="FootnoteAnchor"/>
          <w:rtl w:val="true"/>
        </w:rPr>
        <w:footnoteReference w:id="1390"/>
      </w:r>
      <w:r>
        <w:rPr>
          <w:rFonts w:ascii="Amiri" w:hAnsi="Amiri" w:eastAsia="Amiri" w:cs="Amiri"/>
          <w:color w:val="111111"/>
          <w:sz w:val="28"/>
          <w:sz w:val="28"/>
          <w:szCs w:val="28"/>
          <w:rtl w:val="true"/>
          <w:lang w:bidi="ar-SA"/>
        </w:rPr>
        <w:t xml:space="preserve">من نفي الحدّ له الظاهر في نفيه في الجانب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 سندها بأبي جميلة الضعيف الذي قالوا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كذّاب يضع الحديث</w:t>
      </w:r>
      <w:r>
        <w:rPr>
          <w:rFonts w:eastAsia="Amiri" w:cs="Amiri" w:ascii="Amiri" w:hAnsi="Amiri"/>
          <w:color w:val="111111"/>
          <w:sz w:val="28"/>
          <w:szCs w:val="28"/>
          <w:rtl w:val="true"/>
          <w:lang w:bidi="ar-SA"/>
        </w:rPr>
        <w:t>»</w:t>
      </w:r>
      <w:r>
        <w:rPr>
          <w:rStyle w:val="FootnoteAnchor"/>
          <w:rtl w:val="true"/>
        </w:rPr>
        <w:footnoteReference w:id="1391"/>
      </w:r>
      <w:r>
        <w:rPr>
          <w:rFonts w:ascii="Amiri" w:hAnsi="Amiri" w:eastAsia="Amiri" w:cs="Amiri"/>
          <w:color w:val="111111"/>
          <w:sz w:val="28"/>
          <w:sz w:val="28"/>
          <w:szCs w:val="28"/>
          <w:rtl w:val="true"/>
          <w:lang w:bidi="ar-SA"/>
        </w:rPr>
        <w:t xml:space="preserve">وبمجهولية أحمد بن عبدوس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مطروح أو مأوّل ، كمرسلة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وقع الخلاف في حدّ الأكثر ، فعن المشهور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أكثره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حكيت الشهرة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الالتباس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1393"/>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 نّه الأشهر</w:t>
      </w:r>
      <w:r>
        <w:rPr>
          <w:rFonts w:eastAsia="Amiri" w:cs="Amiri" w:ascii="Amiri" w:hAnsi="Amiri"/>
          <w:color w:val="111111"/>
          <w:sz w:val="28"/>
          <w:szCs w:val="28"/>
          <w:rtl w:val="true"/>
          <w:lang w:bidi="ar-SA"/>
        </w:rPr>
        <w:t>»</w:t>
      </w:r>
      <w:r>
        <w:rPr>
          <w:rStyle w:val="FootnoteAnchor"/>
          <w:rtl w:val="true"/>
        </w:rPr>
        <w:footnoteReference w:id="1394"/>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 نّه مذهب الأكثر</w:t>
      </w:r>
      <w:r>
        <w:rPr>
          <w:rFonts w:eastAsia="Amiri" w:cs="Amiri" w:ascii="Amiri" w:hAnsi="Amiri"/>
          <w:color w:val="111111"/>
          <w:sz w:val="28"/>
          <w:szCs w:val="28"/>
          <w:rtl w:val="true"/>
          <w:lang w:bidi="ar-SA"/>
        </w:rPr>
        <w:t>»</w:t>
      </w:r>
      <w:r>
        <w:rPr>
          <w:rStyle w:val="FootnoteAnchor"/>
          <w:rtl w:val="true"/>
        </w:rPr>
        <w:footnoteReference w:id="1395"/>
      </w:r>
      <w:r>
        <w:rPr>
          <w:rFonts w:ascii="Amiri" w:hAnsi="Amiri" w:eastAsia="Amiri" w:cs="Amiri"/>
          <w:color w:val="111111"/>
          <w:sz w:val="28"/>
          <w:sz w:val="28"/>
          <w:szCs w:val="28"/>
          <w:rtl w:val="true"/>
          <w:lang w:bidi="ar-SA"/>
        </w:rPr>
        <w:t xml:space="preserve">، وعن موضع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 نّه مذهب الأصحاب</w:t>
      </w:r>
      <w:r>
        <w:rPr>
          <w:rFonts w:eastAsia="Amiri" w:cs="Amiri" w:ascii="Amiri" w:hAnsi="Amiri"/>
          <w:color w:val="111111"/>
          <w:sz w:val="28"/>
          <w:szCs w:val="28"/>
          <w:rtl w:val="true"/>
          <w:lang w:bidi="ar-SA"/>
        </w:rPr>
        <w:t>»</w:t>
      </w:r>
      <w:r>
        <w:rPr>
          <w:rStyle w:val="FootnoteAnchor"/>
          <w:rtl w:val="true"/>
        </w:rPr>
        <w:footnoteReference w:id="1396"/>
      </w:r>
      <w:r>
        <w:rPr>
          <w:rFonts w:ascii="IRNazanin" w:hAnsi="IRNazanin" w:eastAsia="IRNazanin"/>
          <w:color w:val="111111"/>
          <w:sz w:val="28"/>
          <w:sz w:val="28"/>
          <w:szCs w:val="28"/>
          <w:rtl w:val="true"/>
          <w:lang w:bidi="fa-IR"/>
        </w:rPr>
        <w:t xml:space="preserve">، وعن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الرموز</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 نّه الأظهر بين الأصحاب</w:t>
      </w:r>
      <w:r>
        <w:rPr>
          <w:rFonts w:eastAsia="Amiri" w:cs="Amiri" w:ascii="Amiri" w:hAnsi="Amiri"/>
          <w:color w:val="111111"/>
          <w:sz w:val="28"/>
          <w:szCs w:val="28"/>
          <w:rtl w:val="true"/>
          <w:lang w:bidi="ar-SA"/>
        </w:rPr>
        <w:t>»</w:t>
      </w:r>
      <w:r>
        <w:rPr>
          <w:rStyle w:val="FootnoteAnchor"/>
          <w:rtl w:val="true"/>
        </w:rPr>
        <w:footnoteReference w:id="1397"/>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يبعد أن لا يكون مراد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عليه الأعلام</w:t>
      </w:r>
      <w:r>
        <w:rPr>
          <w:rStyle w:val="FootnoteAnchor"/>
          <w:rtl w:val="true"/>
        </w:rPr>
        <w:footnoteReference w:id="1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العشرة حدّ قعود النساء في النفاس مطلقاً ، بل مرادهم أ نّه لا يتجاوز نفاس عن عشرة أيّام ، كما أنّ قولهم في الحيض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أكثره عشرة أيّام</w:t>
      </w:r>
      <w:r>
        <w:rPr>
          <w:rFonts w:eastAsia="Amiri" w:cs="Amiri" w:ascii="Amiri" w:hAnsi="Amiri"/>
          <w:color w:val="111111"/>
          <w:sz w:val="28"/>
          <w:szCs w:val="28"/>
          <w:rtl w:val="true"/>
          <w:lang w:bidi="ar-SA"/>
        </w:rPr>
        <w:t>»</w:t>
      </w:r>
      <w:r>
        <w:rPr>
          <w:rStyle w:val="FootnoteAnchor"/>
          <w:rtl w:val="true"/>
        </w:rPr>
        <w:footnoteReference w:id="1400"/>
      </w:r>
      <w:r>
        <w:rPr>
          <w:rFonts w:ascii="Amiri" w:hAnsi="Amiri" w:eastAsia="Amiri" w:cs="Amiri"/>
          <w:color w:val="111111"/>
          <w:sz w:val="28"/>
          <w:sz w:val="28"/>
          <w:szCs w:val="28"/>
          <w:rtl w:val="true"/>
          <w:lang w:bidi="ar-SA"/>
        </w:rPr>
        <w:t xml:space="preserve">هو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 ذلك وجوب رجوع بعض النفساوات إلى غير العشرة ، كذات العادة مع تجاوز دمها عنها ، فإنّ الرجوع إلى العادة حكم ظاهري ، ولا تكون أيّام العادة حدّاً للنفاس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أن يكون مرادهم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الحدّ له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الحدّ للنفاس واقعاً ، واتّكلوا في حكم ذات العادة على ما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حكم النفساء حكم الحائض مطلقاً إلاّ ما استثني</w:t>
      </w:r>
      <w:r>
        <w:rPr>
          <w:rFonts w:eastAsia="Amiri" w:cs="Amiri" w:ascii="Amiri" w:hAnsi="Amiri"/>
          <w:color w:val="111111"/>
          <w:sz w:val="28"/>
          <w:szCs w:val="28"/>
          <w:rtl w:val="true"/>
          <w:lang w:bidi="ar-SA"/>
        </w:rPr>
        <w:t>»</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وإطلاق كلام بعضهم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النفساء تقعد عشرة أيّام إلاّ أن تطهر قبل ذلك</w:t>
      </w:r>
      <w:r>
        <w:rPr>
          <w:rFonts w:eastAsia="Amiri" w:cs="Amiri" w:ascii="Amiri" w:hAnsi="Amiri"/>
          <w:color w:val="111111"/>
          <w:sz w:val="28"/>
          <w:szCs w:val="28"/>
          <w:rtl w:val="true"/>
          <w:lang w:bidi="ar-SA"/>
        </w:rPr>
        <w:t>»</w:t>
      </w:r>
      <w:r>
        <w:rPr>
          <w:rStyle w:val="FootnoteAnchor"/>
          <w:rtl w:val="true"/>
        </w:rPr>
        <w:footnoteReference w:id="1402"/>
      </w:r>
      <w:r>
        <w:rPr>
          <w:rFonts w:ascii="Amiri" w:hAnsi="Amiri" w:eastAsia="Amiri" w:cs="Amiri"/>
          <w:color w:val="111111"/>
          <w:sz w:val="28"/>
          <w:sz w:val="28"/>
          <w:szCs w:val="28"/>
          <w:rtl w:val="true"/>
          <w:lang w:bidi="ar-SA"/>
        </w:rPr>
        <w:t xml:space="preserve">لا ينافي رجوع ذات العادة إلى عادتها مع التجاوز ؛ لإمكان كون المراد أ نّها تقعد إلى عشرة أيّام استظهاراً </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الحدّ الواقعي عشرة أيّام ، لا ينافي رجوع ذات العادة مع استمرار دمها وتجاوزه عن العشرة إلى عادتها ، فإنّه حكم ظاهري ، لا حدّ واقعي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فما عن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 الأخبار الصحيحة المشهورة تشهد برجوعها إلى عادتها في الحيض ، والأصحاب يفتون بالعشرة ، وبينهما تنافٍ ظاهر</w:t>
      </w:r>
      <w:r>
        <w:rPr>
          <w:rFonts w:eastAsia="Amiri" w:cs="Amiri" w:ascii="Amiri" w:hAnsi="Amiri"/>
          <w:color w:val="111111"/>
          <w:sz w:val="28"/>
          <w:szCs w:val="28"/>
          <w:rtl w:val="true"/>
          <w:lang w:bidi="ar-SA"/>
        </w:rPr>
        <w:t>»</w:t>
      </w:r>
      <w:r>
        <w:rPr>
          <w:rStyle w:val="FootnoteAnchor"/>
          <w:rtl w:val="true"/>
        </w:rPr>
        <w:footnoteReference w:id="1403"/>
      </w:r>
      <w:r>
        <w:rPr>
          <w:rFonts w:ascii="Amiri" w:hAnsi="Amiri" w:eastAsia="Amiri" w:cs="Amiri"/>
          <w:color w:val="111111"/>
          <w:sz w:val="28"/>
          <w:sz w:val="28"/>
          <w:szCs w:val="28"/>
          <w:rtl w:val="true"/>
          <w:lang w:bidi="ar-SA"/>
        </w:rPr>
        <w:t xml:space="preserve">ليس بوجيه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عشرة أيّام مطلقاً حتّى في ذات العادة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ترجع النفساء مع تجاوز الدم إلى عادتها في النفاس ، ولا إلى عادتها في الحيض ، ولا إلى عادة نسائها ، بل تجعل عشرة نفاساً ، وما زاد استحاضة حتّى تستوفي عشرة أيّام ، وهي أقلّ الطهر</w:t>
      </w:r>
      <w:r>
        <w:rPr>
          <w:rFonts w:eastAsia="Amiri" w:cs="Amiri" w:ascii="Amiri" w:hAnsi="Amiri"/>
          <w:color w:val="111111"/>
          <w:sz w:val="28"/>
          <w:szCs w:val="28"/>
          <w:rtl w:val="true"/>
          <w:lang w:bidi="ar-SA"/>
        </w:rPr>
        <w:t>»</w:t>
      </w:r>
      <w:r>
        <w:rPr>
          <w:rStyle w:val="FootnoteAnchor"/>
          <w:rtl w:val="true"/>
        </w:rPr>
        <w:footnoteReference w:id="1404"/>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ليس مخالفاً للقوم في حدّ النفاس ، بل مخالف لهم في رجوع ذات العادة إلى عادتها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جملة من كتب الأصحاب ثمانية عشر مطلقاً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w:t>
      </w:r>
      <w:r>
        <w:rPr>
          <w:rStyle w:val="FootnoteAnchor"/>
          <w:rtl w:val="true"/>
        </w:rPr>
        <w:footnoteReference w:id="1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وممّا انفردت به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بأنّ أكثر النفاس مع الاستظهار التامّ</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ثمانية عشر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 نّه ليس اختيار ثمانية عشر يوماً ؛ لأنّ أيّام الاستظهار ليست أيّام النفاس بيقين ، نعم يظهر منه إمكانه إلى ثمانية عشر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المراسم</w:t>
      </w:r>
      <w:r>
        <w:rPr>
          <w:rFonts w:eastAsia="Amiri" w:cs="Amiri" w:ascii="Amiri" w:hAnsi="Amiri"/>
          <w:color w:val="111111"/>
          <w:sz w:val="28"/>
          <w:szCs w:val="28"/>
          <w:rtl w:val="true"/>
          <w:lang w:bidi="ar-SA"/>
        </w:rPr>
        <w:t>»</w:t>
      </w:r>
      <w:r>
        <w:rPr>
          <w:rStyle w:val="FootnoteAnchor"/>
          <w:rtl w:val="true"/>
        </w:rPr>
        <w:footnoteReference w:id="1406"/>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1407"/>
      </w:r>
      <w:r>
        <w:rPr>
          <w:rFonts w:ascii="Amiri" w:hAnsi="Amiri" w:eastAsia="Amiri" w:cs="Amiri"/>
          <w:color w:val="111111"/>
          <w:sz w:val="28"/>
          <w:sz w:val="28"/>
          <w:szCs w:val="28"/>
          <w:rtl w:val="true"/>
          <w:lang w:bidi="ar-SA"/>
        </w:rPr>
        <w:t xml:space="preserve">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w:t>
      </w:r>
      <w:r>
        <w:rPr>
          <w:rStyle w:val="FootnoteAnchor"/>
          <w:rtl w:val="true"/>
        </w:rPr>
        <w:footnoteReference w:id="1408"/>
      </w:r>
      <w:r>
        <w:rPr>
          <w:rFonts w:ascii="Amiri" w:hAnsi="Amiri" w:eastAsia="Amiri" w:cs="Amiri"/>
          <w:color w:val="111111"/>
          <w:sz w:val="28"/>
          <w:sz w:val="28"/>
          <w:szCs w:val="28"/>
          <w:rtl w:val="true"/>
          <w:lang w:bidi="ar-SA"/>
        </w:rPr>
        <w:t>وعن أبي علي</w:t>
      </w:r>
      <w:r>
        <w:rPr>
          <w:rStyle w:val="FootnoteAnchor"/>
          <w:rtl w:val="true"/>
        </w:rPr>
        <w:footnoteReference w:id="1409"/>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r>
        <w:rPr>
          <w:rStyle w:val="FootnoteAnchor"/>
          <w:rtl w:val="true"/>
        </w:rPr>
        <w:footnoteReference w:id="141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 السيّد</w:t>
      </w:r>
      <w:r>
        <w:rPr>
          <w:rFonts w:eastAsia="Amiri" w:cs="Amiri" w:ascii="Amiri" w:hAnsi="Amiri"/>
          <w:color w:val="111111"/>
          <w:sz w:val="28"/>
          <w:szCs w:val="28"/>
          <w:rtl w:val="true"/>
          <w:lang w:bidi="ar-SA"/>
        </w:rPr>
        <w:t>»</w:t>
      </w:r>
      <w:r>
        <w:rPr>
          <w:rStyle w:val="FootnoteAnchor"/>
          <w:rtl w:val="true"/>
        </w:rPr>
        <w:footnoteReference w:id="1411"/>
      </w:r>
      <w:r>
        <w:rPr>
          <w:rFonts w:ascii="Amiri" w:hAnsi="Amiri" w:eastAsia="Amiri" w:cs="Amiri"/>
          <w:color w:val="111111"/>
          <w:sz w:val="28"/>
          <w:sz w:val="28"/>
          <w:szCs w:val="28"/>
          <w:rtl w:val="true"/>
          <w:lang w:bidi="ar-SA"/>
        </w:rPr>
        <w:t xml:space="preserve">، وحكي تقريبُه إلى الصواب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412"/>
      </w:r>
      <w:r>
        <w:rPr>
          <w:rFonts w:ascii="Amiri" w:hAnsi="Amiri" w:eastAsia="Amiri" w:cs="Amiri"/>
          <w:color w:val="111111"/>
          <w:sz w:val="28"/>
          <w:sz w:val="28"/>
          <w:szCs w:val="28"/>
          <w:rtl w:val="true"/>
          <w:lang w:bidi="ar-SA"/>
        </w:rPr>
        <w:t xml:space="preserve">واستحسانه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w:t>
      </w:r>
      <w:r>
        <w:rPr>
          <w:rStyle w:val="FootnoteAnchor"/>
          <w:rtl w:val="true"/>
        </w:rPr>
        <w:footnoteReference w:id="1413"/>
      </w:r>
      <w:r>
        <w:rPr>
          <w:rFonts w:ascii="Amiri" w:hAnsi="Amiri" w:eastAsia="Amiri" w:cs="Amiri"/>
          <w:color w:val="111111"/>
          <w:sz w:val="28"/>
          <w:sz w:val="28"/>
          <w:szCs w:val="28"/>
          <w:rtl w:val="true"/>
          <w:lang w:bidi="ar-SA"/>
        </w:rPr>
        <w:t xml:space="preserve">، ونفيُ البعد عنه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الفائدة والبرهان</w:t>
      </w:r>
      <w:r>
        <w:rPr>
          <w:rFonts w:eastAsia="Amiri" w:cs="Amiri" w:ascii="Amiri" w:hAnsi="Amiri"/>
          <w:color w:val="111111"/>
          <w:sz w:val="28"/>
          <w:szCs w:val="28"/>
          <w:rtl w:val="true"/>
          <w:lang w:bidi="ar-SA"/>
        </w:rPr>
        <w:t>»</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ذات العادة وغيرها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 نّها ترجع إلى عادتها في الحيض إن كانت ذات عادة في الحيض ، وإن كانت مبتدئة صبرت ثمانية عشر يوماً</w:t>
      </w:r>
      <w:r>
        <w:rPr>
          <w:rFonts w:eastAsia="Amiri" w:cs="Amiri" w:ascii="Amiri" w:hAnsi="Amiri"/>
          <w:color w:val="111111"/>
          <w:sz w:val="28"/>
          <w:szCs w:val="28"/>
          <w:rtl w:val="true"/>
          <w:lang w:bidi="ar-SA"/>
        </w:rPr>
        <w:t>»</w:t>
      </w:r>
      <w:r>
        <w:rPr>
          <w:rStyle w:val="FootnoteAnchor"/>
          <w:rtl w:val="true"/>
        </w:rPr>
        <w:footnoteReference w:id="1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غير مستقرّة العادة حكمها عنده كالمبتدئة ، كما يظهر بالتأمّل في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وصرّح بالتسوية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1416"/>
      </w:r>
      <w:r>
        <w:rPr>
          <w:rFonts w:ascii="IRNazanin" w:hAnsi="IRNazanin" w:eastAsia="IRNazanin"/>
          <w:color w:val="111111"/>
          <w:sz w:val="28"/>
          <w:sz w:val="28"/>
          <w:szCs w:val="28"/>
          <w:rtl w:val="true"/>
          <w:lang w:bidi="fa-IR"/>
        </w:rPr>
        <w:t>وعن المقداد استحسانه</w:t>
      </w:r>
      <w:r>
        <w:rPr>
          <w:rStyle w:val="FootnoteAnchor"/>
          <w:rtl w:val="true"/>
        </w:rPr>
        <w:footnoteReference w:id="1417"/>
      </w:r>
      <w:r>
        <w:rPr>
          <w:rFonts w:ascii="Amiri" w:hAnsi="Amiri" w:eastAsia="Amiri" w:cs="Amiri"/>
          <w:color w:val="111111"/>
          <w:sz w:val="28"/>
          <w:sz w:val="28"/>
          <w:szCs w:val="28"/>
          <w:rtl w:val="true"/>
          <w:lang w:bidi="ar-SA"/>
        </w:rPr>
        <w:t>، ونقل ميل بعض متأخّري المتأخّرين إليه</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ممّا مرّ آنفاً أنّ هذا ليس تفصيلاً في المسألة ؛ فإنّ رجوع ذات العادة إلى عادتها حكم ظاهري ، ولا قولاً مخالفاً للمشهور ، كما نفينا عنه البُعد </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العماني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أكثره أحد وعشرون يوماً</w:t>
      </w:r>
      <w:r>
        <w:rPr>
          <w:rFonts w:eastAsia="Amiri" w:cs="Amiri" w:ascii="Amiri" w:hAnsi="Amiri"/>
          <w:color w:val="111111"/>
          <w:sz w:val="28"/>
          <w:szCs w:val="28"/>
          <w:rtl w:val="true"/>
          <w:lang w:bidi="ar-SA"/>
        </w:rPr>
        <w:t>»</w:t>
      </w:r>
      <w:r>
        <w:rPr>
          <w:rStyle w:val="FootnoteAnchor"/>
          <w:rtl w:val="true"/>
        </w:rPr>
        <w:footnoteReference w:id="1419"/>
      </w:r>
      <w:r>
        <w:rPr>
          <w:rFonts w:ascii="Amiri" w:hAnsi="Amiri" w:eastAsia="Amiri" w:cs="Amiri"/>
          <w:color w:val="111111"/>
          <w:sz w:val="28"/>
          <w:sz w:val="28"/>
          <w:szCs w:val="28"/>
          <w:rtl w:val="true"/>
          <w:lang w:bidi="ar-SA"/>
        </w:rPr>
        <w:t xml:space="preserve">والظاهر منه أ نّه حدّ إمكانه </w:t>
      </w:r>
      <w:r>
        <w:rPr>
          <w:rFonts w:eastAsia="Amiri" w:cs="Amiri" w:ascii="Amiri" w:hAnsi="Amiri"/>
          <w:color w:val="111111"/>
          <w:sz w:val="28"/>
          <w:szCs w:val="28"/>
          <w:rtl w:val="true"/>
          <w:lang w:bidi="ar-SA"/>
        </w:rPr>
        <w:t xml:space="preserve">. </w:t>
      </w:r>
      <w:bookmarkStart w:id="811" w:name="pg15019_191066"/>
    </w:p>
    <w:p>
      <w:pPr>
        <w:pStyle w:val="BookText"/>
        <w:rPr/>
      </w:pPr>
      <w:bookmarkEnd w:id="811"/>
      <w:r>
        <w:rPr>
          <w:rFonts w:ascii="Amiri" w:hAnsi="Amiri" w:eastAsia="Amiri" w:cs="Amiri"/>
          <w:color w:val="111111"/>
          <w:sz w:val="28"/>
          <w:sz w:val="28"/>
          <w:szCs w:val="28"/>
          <w:rtl w:val="true"/>
          <w:lang w:bidi="ar-SA"/>
        </w:rPr>
        <w:t xml:space="preserve">وعن المفيد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نّه أحد عشر يوماً</w:t>
      </w:r>
      <w:r>
        <w:rPr>
          <w:rFonts w:eastAsia="Amiri" w:cs="Amiri" w:ascii="Amiri" w:hAnsi="Amiri"/>
          <w:color w:val="111111"/>
          <w:sz w:val="28"/>
          <w:szCs w:val="28"/>
          <w:rtl w:val="true"/>
          <w:lang w:bidi="ar-SA"/>
        </w:rPr>
        <w:t>»</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الرضوي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النفساء تدع الصلاة ؛ أكثره مثل أيّام حيضة ، وهي عشرة أيّام ، وتستظهر بثلاثة أيّام ، ثمّ تغتسل ، فإذا رأت الدم عملت كما تعمل المستحاضة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ثمانية عشر يوماً ، وروي ثلاثة وعشرين يوماً ، وبأيّ هذه الأحاديث اُخذ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w:t>
      </w:r>
      <w:r>
        <w:rPr>
          <w:rFonts w:eastAsia="Amiri" w:cs="Amiri" w:ascii="Amiri" w:hAnsi="Amiri"/>
          <w:color w:val="111111"/>
          <w:sz w:val="28"/>
          <w:szCs w:val="28"/>
          <w:rtl w:val="true"/>
          <w:lang w:bidi="ar-SA"/>
        </w:rPr>
        <w:t>»</w:t>
      </w:r>
      <w:r>
        <w:rPr>
          <w:rStyle w:val="FootnoteAnchor"/>
          <w:rtl w:val="true"/>
        </w:rPr>
        <w:footnoteReference w:id="1421"/>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وأمثال هذه العبارة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شاهدة على أنّ هذا الكتاب من تصنيف بعض العلماء ، لا كتاب مولانا أبي الحسن الرضا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فمنشأ اختلاف الآراء هو اختلاف الأخبار واختلاف أنظارهم في فهمها والجمع بين شتاتها ؛ لأنّ الأخبار على طوائف </w:t>
      </w:r>
      <w:r>
        <w:rPr>
          <w:rFonts w:eastAsia="Amiri" w:cs="Amiri" w:ascii="Amiri" w:hAnsi="Amiri"/>
          <w:color w:val="111111"/>
          <w:sz w:val="28"/>
          <w:szCs w:val="28"/>
          <w:rtl w:val="true"/>
          <w:lang w:bidi="ar-SA"/>
        </w:rPr>
        <w:t>:</w:t>
      </w:r>
    </w:p>
    <w:p>
      <w:pPr>
        <w:pStyle w:val="Heading5"/>
        <w:numPr>
          <w:ilvl w:val="4"/>
          <w:numId w:val="1"/>
        </w:numPr>
        <w:rPr/>
      </w:pPr>
      <w:bookmarkStart w:id="812" w:name="__RefHeading___Toc686754_3406789950"/>
      <w:bookmarkStart w:id="813" w:name="_Toc295"/>
      <w:bookmarkEnd w:id="812"/>
      <w:r>
        <w:rPr>
          <w:rtl w:val="true"/>
        </w:rPr>
        <w:t>حول الأخبار الواردة في أكثر النفاس</w:t>
      </w:r>
      <w:bookmarkEnd w:id="813"/>
    </w:p>
    <w:p>
      <w:pPr>
        <w:pStyle w:val="BookText"/>
        <w:rPr/>
      </w:pPr>
      <w:r>
        <w:rPr>
          <w:rFonts w:ascii="Amiri" w:hAnsi="Amiri" w:eastAsia="Amiri" w:cs="Amiri"/>
          <w:color w:val="111111"/>
          <w:sz w:val="28"/>
          <w:sz w:val="28"/>
          <w:szCs w:val="28"/>
          <w:rtl w:val="true"/>
          <w:lang w:bidi="ar-SA"/>
        </w:rPr>
        <w:t xml:space="preserve">الطائفة الاُولى </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وردت في ذات العادة ، فأرجعتها إلى عادتها والاستظهار بعدها بيوم أو يومين أو زائداً ، وهي أسدّ الروايات سنداً ، وأوضحها دلالةً ، كصحيحة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النفساء متى تصلّي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تقعد بقدر حيضها ، وتستظهر بيومين ، فإذا انقطع الدم ، وإلاّ اغتسلت واحتشت </w:t>
      </w:r>
      <w:r>
        <w:rPr>
          <w:rFonts w:eastAsia="Amiri" w:cs="Amiri" w:ascii="Amiri" w:hAnsi="Amiri"/>
          <w:color w:val="111111"/>
          <w:sz w:val="28"/>
          <w:szCs w:val="28"/>
          <w:rtl w:val="true"/>
          <w:lang w:bidi="ar-SA"/>
        </w:rPr>
        <w:t xml:space="preserve">. . .» . </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والحائض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ذلك سواء ، فإن انقطع عنها الدم ، وإلاّ فهي مستحاضة تصنع مثل النفساء سواء </w:t>
      </w:r>
      <w:r>
        <w:rPr>
          <w:rFonts w:eastAsia="Amiri" w:cs="Amiri" w:ascii="Amiri" w:hAnsi="Amiri"/>
          <w:color w:val="111111"/>
          <w:sz w:val="28"/>
          <w:szCs w:val="28"/>
          <w:rtl w:val="true"/>
          <w:lang w:bidi="ar-SA"/>
        </w:rPr>
        <w:t>. . .»</w:t>
      </w:r>
      <w:r>
        <w:rPr>
          <w:rStyle w:val="FootnoteAnchor"/>
          <w:rtl w:val="true"/>
        </w:rPr>
        <w:footnoteReference w:id="1422"/>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الصحيحة وإن لم يستفد منها أنّ النفساء كالحائض في جميع الأحكام كما مرّ</w:t>
      </w:r>
      <w:r>
        <w:rPr>
          <w:rStyle w:val="FootnoteAnchor"/>
          <w:rtl w:val="true"/>
        </w:rPr>
        <w:footnoteReference w:id="1423"/>
      </w:r>
      <w:r>
        <w:rPr>
          <w:rFonts w:ascii="Amiri" w:hAnsi="Amiri" w:eastAsia="Amiri" w:cs="Amiri"/>
          <w:color w:val="111111"/>
          <w:sz w:val="28"/>
          <w:sz w:val="28"/>
          <w:szCs w:val="28"/>
          <w:rtl w:val="true"/>
          <w:lang w:bidi="ar-SA"/>
        </w:rPr>
        <w:t xml:space="preserve">، لكن يستفاد منها سوائيتهما في هذا الحكم المذكور فيها ؛ من القعود بقدر أيّام الحيض والاستظهار ، ثمّ عمل المستحاضة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الحيض عدم كونه أكثر من عشرة</w:t>
      </w:r>
      <w:r>
        <w:rPr>
          <w:rStyle w:val="FootnoteAnchor"/>
          <w:rtl w:val="true"/>
        </w:rPr>
        <w:footnoteReference w:id="1424"/>
      </w:r>
      <w:r>
        <w:rPr>
          <w:rFonts w:ascii="Amiri" w:hAnsi="Amiri" w:eastAsia="Amiri" w:cs="Amiri"/>
          <w:color w:val="111111"/>
          <w:sz w:val="28"/>
          <w:sz w:val="28"/>
          <w:szCs w:val="28"/>
          <w:rtl w:val="true"/>
          <w:lang w:bidi="ar-SA"/>
        </w:rPr>
        <w:t xml:space="preserve">، وإنّما الاستظهار إلى العشرة لأجل احتمال الانقطاع إليها وكون المجموع حيضاً ، والتجاوز عنها وكون الزائد على أيّام العادة استحاضةً ، ولمّا لم يكن الأمر معلوماً اُمرت بالاستظهار ؛ تغليباً لجانب الحيض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فيتّضح من الصحيحة سوائية الحائض والنفساء في الرجوع إلى العادة والاستظهار وعمل الاستحاضة ، وكما أنّ في الحيض يحكم بعدم تجاوزه عن العشرة ، فكذلك في النفاس ؛ لما ذكر ، ولما يفهم من شدّة المناسبة بينهما من الصحيحة وغيرها ممّا يأتي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وكصحيحة اُخرى له ، عن أحدهما علیهما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النفساء تكفّ عن الصلاة</w:t>
      </w:r>
    </w:p>
    <w:p>
      <w:pPr>
        <w:pStyle w:val="BookText"/>
        <w:rPr/>
      </w:pPr>
      <w:r>
        <w:rPr>
          <w:rFonts w:ascii="Amiri" w:hAnsi="Amiri" w:eastAsia="Amiri" w:cs="Amiri"/>
          <w:color w:val="111111"/>
          <w:sz w:val="28"/>
          <w:sz w:val="28"/>
          <w:szCs w:val="28"/>
          <w:rtl w:val="true"/>
          <w:lang w:bidi="ar-SA"/>
        </w:rPr>
        <w:t>أيّامها التي تمكث فيها ، ثمّ تغتسل وتعمل كما تعمل المستحاضة</w:t>
      </w:r>
      <w:r>
        <w:rPr>
          <w:rFonts w:eastAsia="Amiri" w:cs="Amiri" w:ascii="Amiri" w:hAnsi="Amiri"/>
          <w:color w:val="111111"/>
          <w:sz w:val="28"/>
          <w:szCs w:val="28"/>
          <w:rtl w:val="true"/>
          <w:lang w:bidi="ar-SA"/>
        </w:rPr>
        <w:t>»</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وصحيحة يونس بن يعقوب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امرأة ولدت ، </w:t>
      </w:r>
    </w:p>
    <w:p>
      <w:pPr>
        <w:pStyle w:val="BookText"/>
        <w:rPr/>
      </w:pPr>
      <w:r>
        <w:rPr>
          <w:rFonts w:ascii="Amiri" w:hAnsi="Amiri" w:eastAsia="Amiri" w:cs="Amiri"/>
          <w:color w:val="111111"/>
          <w:sz w:val="28"/>
          <w:sz w:val="28"/>
          <w:szCs w:val="28"/>
          <w:rtl w:val="true"/>
          <w:lang w:bidi="ar-SA"/>
        </w:rPr>
        <w:t xml:space="preserve">فرأت الدم أكثر ممّا كانت ترى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فلتقعد أيّام قرئها التي كانت تجلس ، ثمّ تستظهر بعشرة أيّام</w:t>
      </w:r>
      <w:r>
        <w:rPr>
          <w:rFonts w:eastAsia="Amiri" w:cs="Amiri" w:ascii="Amiri" w:hAnsi="Amiri"/>
          <w:color w:val="111111"/>
          <w:sz w:val="28"/>
          <w:szCs w:val="28"/>
          <w:rtl w:val="true"/>
          <w:lang w:bidi="ar-SA"/>
        </w:rPr>
        <w:t>»</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عشرة أيّام من يوم رأت الدم ؛ أي إلى عشرة من أوّل أيّام القعود ؛ بقرينة سائر الروايات ، وورود مثلها بعين السند في الحيض أيضاً </w:t>
      </w:r>
      <w:r>
        <w:rPr>
          <w:rStyle w:val="FootnoteAnchor"/>
          <w:rtl w:val="true"/>
        </w:rPr>
        <w:footnoteReference w:id="1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والحمل على عشرة من بعد أيّام العادة في التي عادتها ثمانية</w:t>
      </w:r>
      <w:r>
        <w:rPr>
          <w:rStyle w:val="FootnoteAnchor"/>
          <w:rtl w:val="true"/>
        </w:rPr>
        <w:footnoteReference w:id="1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فساده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ينطبق على رأي من قال بكون النفاس ثمانية عشر يوماً ؛ لأنّ الاستظهار ينافي الجزم بكون الدم نفاساً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والمراد من القعود أيّام العادة ، هو بقدر أيّام العادة من حين وضعت في الدورة الاُولى ؛ بشهادة حسنة مالك بن أعين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النفساء ،</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يغشاها زوجها وهي في نفاسها من الدم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 إذا مضى لها منذ يوم وضعت بقدر أيّام عدّة حيضها ، ثمّ تستظهر بيوم ، فلا بأس بعدُ أن يغشاها </w:t>
      </w:r>
      <w:r>
        <w:rPr>
          <w:rFonts w:eastAsia="Amiri" w:cs="Amiri" w:ascii="Amiri" w:hAnsi="Amiri"/>
          <w:color w:val="111111"/>
          <w:sz w:val="28"/>
          <w:szCs w:val="28"/>
          <w:rtl w:val="true"/>
          <w:lang w:bidi="ar-SA"/>
        </w:rPr>
        <w:t>. . .»</w:t>
      </w:r>
      <w:r>
        <w:rPr>
          <w:rStyle w:val="FootnoteAnchor"/>
          <w:rtl w:val="true"/>
        </w:rPr>
        <w:footnoteReference w:id="1429"/>
      </w:r>
      <w:r>
        <w:rPr>
          <w:rFonts w:ascii="Amiri" w:hAnsi="Amiri" w:eastAsia="Amiri" w:cs="Amiri"/>
          <w:color w:val="111111"/>
          <w:sz w:val="28"/>
          <w:sz w:val="28"/>
          <w:szCs w:val="28"/>
          <w:rtl w:val="true"/>
          <w:lang w:bidi="ar-SA"/>
        </w:rPr>
        <w:t>إلى غير ذلك</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وهذه الطائفة المشتملة على الصحاح ، ممّا استدلّ به لمذهب المشهور ؛ بدعوى استفادة شدّة المناسبة بين النفاس والحيض ؛ بحيث يفهم منها أ نّها بعد الاستظهار إلى عشرة أيّام مستحاضة ، كما قلنا في الحيض ، فيستفاد منه أنّ أكثره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كأكثر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أيّام</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تلك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كروايات الاستظهار في باب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يستفاد منها إلاّ الرجوع إلى العادة والاستظهار ، ثمّ العمل بما تعمل المستحاضة ؛ من غير تعرّض فيها لحدّ الحيض أو النفاس بحسب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المستفاد من تلك الروايات إمكان كون النفاس أكثر من عشرة أيّام ؛ لأنّ إطلاق ما دلّ على الاستظهار بيوم أو يومين أو ثلاثة أيّام</w:t>
      </w:r>
      <w:r>
        <w:rPr>
          <w:rStyle w:val="FootnoteAnchor"/>
          <w:rtl w:val="true"/>
        </w:rPr>
        <w:footnoteReference w:id="1432"/>
      </w:r>
      <w:r>
        <w:rPr>
          <w:rFonts w:ascii="Amiri" w:hAnsi="Amiri" w:eastAsia="Amiri" w:cs="Amiri"/>
          <w:color w:val="111111"/>
          <w:sz w:val="28"/>
          <w:sz w:val="28"/>
          <w:szCs w:val="28"/>
          <w:rtl w:val="true"/>
          <w:lang w:bidi="ar-SA"/>
        </w:rPr>
        <w:t xml:space="preserve">، شامل لمن كانت عادتها عشرة أيّام أو تسعة أو 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كانت عادتها عشرة أيّام يكون حكمها الاستظهار بيوم إلى ثلاثة أيّام ، فيثبت به أنّ النفاس ممكن إلى ثلاثة عشر يوماً </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وكذا إطلاق موثّقة أبي بصير عن أبيعبداللّه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الحاكمة بالاستظهار بمثل ثلثي أيّامها </w:t>
      </w:r>
      <w:r>
        <w:rPr>
          <w:rStyle w:val="FootnoteAnchor"/>
          <w:rtl w:val="true"/>
        </w:rPr>
        <w:footnoteReference w:id="1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 على إمكانه إلى سبعة عشر يوماً تقريباً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ظاهر صحيحة يونس بن يعقوب</w:t>
      </w:r>
      <w:r>
        <w:rPr>
          <w:rStyle w:val="FootnoteAnchor"/>
          <w:rtl w:val="true"/>
        </w:rPr>
        <w:footnoteReference w:id="1434"/>
      </w:r>
      <w:r>
        <w:rPr>
          <w:rFonts w:ascii="Amiri" w:hAnsi="Amiri" w:eastAsia="Amiri" w:cs="Amiri"/>
          <w:color w:val="111111"/>
          <w:sz w:val="28"/>
          <w:sz w:val="28"/>
          <w:szCs w:val="28"/>
          <w:rtl w:val="true"/>
          <w:lang w:bidi="ar-SA"/>
        </w:rPr>
        <w:t xml:space="preserve">الحاكمة بالاستظهار بعشرة أيّام ، هو إمكانه إلى عشرين يوماً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وإنّما خرجنا عن إطلاق أدلّة الاستظهار في الحيض</w:t>
      </w:r>
      <w:r>
        <w:rPr>
          <w:rStyle w:val="FootnoteAnchor"/>
          <w:rtl w:val="true"/>
        </w:rPr>
        <w:footnoteReference w:id="1435"/>
      </w:r>
      <w:r>
        <w:rPr>
          <w:rFonts w:ascii="Amiri" w:hAnsi="Amiri" w:eastAsia="Amiri" w:cs="Amiri"/>
          <w:color w:val="111111"/>
          <w:sz w:val="28"/>
          <w:sz w:val="28"/>
          <w:szCs w:val="28"/>
          <w:rtl w:val="true"/>
          <w:lang w:bidi="ar-SA"/>
        </w:rPr>
        <w:t>؛ لأجل ورود نصوص مستفيضة مفتى بها بين الأصحاب بأنّ أكثر الحيض عشرة أيّام</w:t>
      </w:r>
      <w:r>
        <w:rPr>
          <w:rStyle w:val="FootnoteAnchor"/>
          <w:rtl w:val="true"/>
        </w:rPr>
        <w:footnoteReference w:id="1436"/>
      </w:r>
      <w:r>
        <w:rPr>
          <w:rFonts w:ascii="Amiri" w:hAnsi="Amiri" w:eastAsia="Amiri" w:cs="Amiri"/>
          <w:color w:val="111111"/>
          <w:sz w:val="28"/>
          <w:sz w:val="28"/>
          <w:szCs w:val="28"/>
          <w:rtl w:val="true"/>
          <w:lang w:bidi="ar-SA"/>
        </w:rPr>
        <w:t xml:space="preserve">، ولو لم ترد تلك النصوص فيه ، لم تدلّ أدلّة الاستظهار على أنّ حدّه عشرة أيّام ، بل مقتضى إطلاقها وشمولها للمعتادة عشرة أيّام ، إمكان استمرار الحيض إلى ثلاثة عشر يوماً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مقتضى ظهور رواية يونس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الحيض بعين السند في النفاس الحاكمة بالاستظهار بعشرة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إمكانه إلى عشرين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قلنا</w:t>
      </w:r>
    </w:p>
    <w:p>
      <w:pPr>
        <w:pStyle w:val="BookText"/>
        <w:rPr/>
      </w:pPr>
      <w:r>
        <w:rPr>
          <w:rFonts w:ascii="Amiri" w:hAnsi="Amiri" w:eastAsia="Amiri" w:cs="Amiri"/>
          <w:color w:val="111111"/>
          <w:sz w:val="28"/>
          <w:sz w:val="28"/>
          <w:szCs w:val="28"/>
          <w:rtl w:val="true"/>
          <w:lang w:bidi="ar-SA"/>
        </w:rPr>
        <w:t xml:space="preserve">برفع الاستظهار بعد العشرة من أوّل العادة ، وعدم الاستظهار فيمن كانت عادتها عشرة أيّام ، وعدم الاستظهار بيومين فيمن كانت عادتها تسعة أيّام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وهكذا ؛ للأدلّة الدالّة على تحديد أكثر الحيض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لو لم يكن في المقام دليل على تحديد النفاس ، لكانت تلك الأدلّة الواردة في الاستظهار فيه ، من أقوى الشواهد على عدم تحديده بعشرة أيّام ، بل من الأدلّة الدالّة على ثمانية عشر ، بعد تقييد ما دلّ على الزائد عليها</w:t>
      </w:r>
    </w:p>
    <w:p>
      <w:pPr>
        <w:pStyle w:val="BookText"/>
        <w:rPr/>
      </w:pPr>
      <w:r>
        <w:rPr>
          <w:rFonts w:ascii="Amiri" w:hAnsi="Amiri" w:eastAsia="Amiri" w:cs="Amiri"/>
          <w:color w:val="111111"/>
          <w:sz w:val="28"/>
          <w:sz w:val="28"/>
          <w:szCs w:val="28"/>
          <w:rtl w:val="true"/>
          <w:lang w:bidi="ar-SA"/>
        </w:rPr>
        <w:t xml:space="preserve">بالإجماع على عدم الزيادة عليها ، فلا بدّ من التماس دليل على التحديد حتّى نرفع اليد عن إطلاق تلك الأدلّة </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استناد المشهور لإثبات التحديد بالعشرة لا يمكن أن يكون إلى تلك الروايات ، وأنّ قول المفيد أو الشيخ</w:t>
      </w:r>
      <w:r>
        <w:rPr>
          <w:rStyle w:val="FootnoteAnchor"/>
          <w:rtl w:val="true"/>
        </w:rPr>
        <w:footnoteReference w:id="1437"/>
      </w:r>
      <w:r>
        <w:rPr>
          <w:rFonts w:ascii="Amiri" w:hAnsi="Amiri" w:eastAsia="Amiri" w:cs="Amiri"/>
          <w:color w:val="111111"/>
          <w:sz w:val="28"/>
          <w:sz w:val="28"/>
          <w:szCs w:val="28"/>
          <w:rtl w:val="true"/>
          <w:lang w:bidi="ar-SA"/>
        </w:rPr>
        <w:t xml:space="preserve">بمجيء روايات </w:t>
      </w:r>
    </w:p>
    <w:p>
      <w:pPr>
        <w:pStyle w:val="BookText"/>
        <w:rPr/>
      </w:pPr>
      <w:r>
        <w:rPr>
          <w:rFonts w:ascii="Amiri" w:hAnsi="Amiri" w:eastAsia="Amiri" w:cs="Amiri"/>
          <w:color w:val="111111"/>
          <w:sz w:val="28"/>
          <w:sz w:val="28"/>
          <w:szCs w:val="28"/>
          <w:rtl w:val="true"/>
          <w:lang w:bidi="ar-SA"/>
        </w:rPr>
        <w:t>معتمدة دالّة عليه ، لا يكون ناظراً إليها ، إلاّ أن نقول بخطأ المفيد وغيره</w:t>
      </w:r>
    </w:p>
    <w:p>
      <w:pPr>
        <w:pStyle w:val="BookText"/>
        <w:rPr/>
      </w:pPr>
      <w:r>
        <w:rPr>
          <w:rFonts w:ascii="Amiri" w:hAnsi="Amiri" w:eastAsia="Amiri" w:cs="Amiri"/>
          <w:color w:val="111111"/>
          <w:sz w:val="28"/>
          <w:sz w:val="28"/>
          <w:szCs w:val="28"/>
          <w:rtl w:val="true"/>
          <w:lang w:bidi="ar-SA"/>
        </w:rPr>
        <w:t xml:space="preserve">من الفقهاء ، وهو كما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الطائفة الثانية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وردت في قضيّة أسماء بنت عُمَيْس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كصحيحة زرارة عن أبي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أسماء بنت عميس نفست بمحمّد بن أبي بكر فأمرها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أرادت الإحرام من ذي الحليفة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تحتشي بالكرسف</w:t>
      </w:r>
    </w:p>
    <w:p>
      <w:pPr>
        <w:pStyle w:val="BookText"/>
        <w:rPr/>
      </w:pPr>
      <w:r>
        <w:rPr>
          <w:rFonts w:ascii="IRNazanin" w:hAnsi="IRNazanin" w:eastAsia="IRNazanin"/>
          <w:color w:val="111111"/>
          <w:sz w:val="28"/>
          <w:sz w:val="28"/>
          <w:szCs w:val="28"/>
          <w:rtl w:val="true"/>
          <w:lang w:bidi="fa-IR"/>
        </w:rPr>
        <w:t>والخرق وتهلّ بالحجّ ، فلمّا قدموا مكّة وقد نسكوا المناسك وقد أتى لها ثمانية عشر يوماً ، فأمرها رسول اللّه صلی الله علیه و آله وسلم أن تطوف بالبيت وتصلّي ، ولم ينقطع عنها الدم ، ففعلت ذلك</w:t>
      </w:r>
      <w:r>
        <w:rPr>
          <w:rFonts w:eastAsia="IRNazanin" w:cs="IRNazanin"/>
          <w:color w:val="111111"/>
          <w:sz w:val="28"/>
          <w:szCs w:val="28"/>
          <w:rtl w:val="true"/>
          <w:lang w:bidi="fa-IR"/>
        </w:rPr>
        <w:t>»</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وصحيحة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النفساء ، كم تقعد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أسماء بنت عميس أمرها رسول اللّه صلی الله علیه و آله وسلم أن تغتسل لثمان عشرة ، ولا بأس بأن تستظهر بيوم أو يومين</w:t>
      </w:r>
      <w:r>
        <w:rPr>
          <w:rFonts w:eastAsia="IRNazanin" w:cs="IRNazanin"/>
          <w:color w:val="111111"/>
          <w:sz w:val="28"/>
          <w:szCs w:val="28"/>
          <w:rtl w:val="true"/>
          <w:lang w:bidi="fa-IR"/>
        </w:rPr>
        <w:t>»</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ومرسلة الصدوق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أسماء بنت عميس نفست بمحمّد بن أبي بكر في حجّة الوداع ، فأمرها رسول اللّه صلی الله علیه و آله وسلم أن تقعد ثمانية عشر يوماً</w:t>
      </w:r>
      <w:r>
        <w:rPr>
          <w:rFonts w:eastAsia="IRNazanin" w:cs="IRNazanin"/>
          <w:color w:val="111111"/>
          <w:sz w:val="28"/>
          <w:szCs w:val="28"/>
          <w:rtl w:val="true"/>
          <w:lang w:bidi="fa-IR"/>
        </w:rPr>
        <w:t>»</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وهذه الطائفة لا تنافي الطائفة الاُولى ، بل توافقها وتؤيّدها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صحيحة محمّد والمرسلة تدلاّن على أنّ أكثر النفاس ثمانية عشر يوماً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لا بدّ من رفع اليد عن الاستظهار بيومين في صحيحة ابن مسلم ؛ لعدم الاستظهار بعد قعودها ثمانية عشر يوماً ؛ لعدم احتمال النفاس بعدها إجماعاً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الاستظهار بيوم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ظهور الصحيحة بمقتضى تذكير العدد في ثمان عشرة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بأس به إلاّ في بعض الصور ، فيرفع اليد عنه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وكذا لا تنافيها مرفوعة إبراهيم بن هاشم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امرأةٌ أبا عبداللّه علیه السلام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كنت أقعد في نفاسي عشرين يوماً حتّى أفتوني بثمانية عشر يوماً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أفتوك بثمانية عشر يوماً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للحديث الذي روي عن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قال لأسماء بنت عميس حيث نفست بمحمّد بن أبي بكر ، فقال أبو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أسماء سألت رسول اللّه صلی الله علیه و آله وسلم</w:t>
      </w:r>
    </w:p>
    <w:p>
      <w:pPr>
        <w:pStyle w:val="BookText"/>
        <w:rPr/>
      </w:pPr>
      <w:r>
        <w:rPr>
          <w:rFonts w:ascii="Amiri" w:hAnsi="Amiri" w:eastAsia="Amiri" w:cs="Amiri"/>
          <w:color w:val="111111"/>
          <w:sz w:val="28"/>
          <w:sz w:val="28"/>
          <w:szCs w:val="28"/>
          <w:rtl w:val="true"/>
          <w:lang w:bidi="ar-SA"/>
        </w:rPr>
        <w:t>وقد أتى لها ثمانية عشر يوماً ، ولو سألته قبل ذلك لأمرها أن تغتسل وتفعل ما تفعل المستحاضة</w:t>
      </w:r>
      <w:r>
        <w:rPr>
          <w:rFonts w:eastAsia="Amiri" w:cs="Amiri" w:ascii="Amiri" w:hAnsi="Amiri"/>
          <w:color w:val="111111"/>
          <w:sz w:val="28"/>
          <w:szCs w:val="28"/>
          <w:rtl w:val="true"/>
          <w:lang w:bidi="ar-SA"/>
        </w:rPr>
        <w:t>»</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 نّه علیه السلام لم ينفِ كون حدّ النفاس ثمانية عشر يوماً ، بل نفى لزوم قعودها ثمانية عشر يوماً مستنداً إلى قول رسول اللّه صلی الله علیه و آله وسلم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لو سألت رسول اللّه صلی الله علیه و آله وسلم قبل ذلك لأمرها بما أمرها بعد ثمانية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فيمكن أن يكون الحدّ الواقعي للنفاس ثمانية عشر يوماً ، لكن يجب لذات العادة القعود أيّام العادة ، ثمّ الاستظهار بيوم أو يومين أو ثلاثة ، ثمّ عمل المستحاضة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وظاهر المرفوعة وإن كان عدم جواز القعود ثمانية عشر يوماً ، كما هو ظاهر بعض الروايات الواردة في الاستظهار</w:t>
      </w:r>
      <w:r>
        <w:rPr>
          <w:rStyle w:val="FootnoteAnchor"/>
          <w:rtl w:val="true"/>
        </w:rPr>
        <w:footnoteReference w:id="1442"/>
      </w:r>
      <w:r>
        <w:rPr>
          <w:rFonts w:ascii="Amiri" w:hAnsi="Amiri" w:eastAsia="Amiri" w:cs="Amiri"/>
          <w:color w:val="111111"/>
          <w:sz w:val="28"/>
          <w:sz w:val="28"/>
          <w:szCs w:val="28"/>
          <w:rtl w:val="true"/>
          <w:lang w:bidi="ar-SA"/>
        </w:rPr>
        <w:t xml:space="preserve">، لكن مقتضى الصناعة رفع اليد عن هذا الظاهر بما دلّ على جواز القعود إلى ثمانية عشر يوماً ، كالروايات الآتية وبعض ما تقدّمت ، وحمل المرفوعة على استحباب عمل المستحاضة قبل ثمانية عشر يوماً ، إلاّ إذا كانت أيّامها قريبة من أيّام العادة ، كاليوم واليومين وثلاثة أيّام ، بل إلى عشرة أيّام ، فيستحبّ الاستظهار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يظهر الحال في رواية حُمْران بن أعين المنقولة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الأغسال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محمّد بن عيّاش الجوهري ، وقوله فيها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حدّ النفساء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تقعد أيّامها</w:t>
      </w:r>
      <w:r>
        <w:rPr>
          <w:rFonts w:eastAsia="Amiri" w:cs="Amiri" w:ascii="Amiri" w:hAnsi="Amiri"/>
          <w:color w:val="111111"/>
          <w:sz w:val="28"/>
          <w:szCs w:val="28"/>
          <w:rtl w:val="true"/>
          <w:lang w:bidi="ar-SA"/>
        </w:rPr>
        <w:t>»</w:t>
      </w:r>
      <w:r>
        <w:rPr>
          <w:rStyle w:val="FootnoteAnchor"/>
          <w:rtl w:val="true"/>
        </w:rPr>
        <w:footnoteReference w:id="1443"/>
      </w:r>
      <w:r>
        <w:rPr>
          <w:rFonts w:ascii="Amiri" w:hAnsi="Amiri" w:eastAsia="Amiri" w:cs="Amiri"/>
          <w:color w:val="111111"/>
          <w:sz w:val="28"/>
          <w:sz w:val="28"/>
          <w:szCs w:val="28"/>
          <w:rtl w:val="true"/>
          <w:lang w:bidi="ar-SA"/>
        </w:rPr>
        <w:t xml:space="preserve">محمولٌ على الحكم ،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تكليفها ؟ بل</w:t>
      </w:r>
    </w:p>
    <w:p>
      <w:pPr>
        <w:pStyle w:val="BookText"/>
        <w:rPr/>
      </w:pPr>
      <w:r>
        <w:rPr>
          <w:rFonts w:ascii="Amiri" w:hAnsi="Amiri" w:eastAsia="Amiri" w:cs="Amiri"/>
          <w:color w:val="111111"/>
          <w:sz w:val="28"/>
          <w:sz w:val="28"/>
          <w:szCs w:val="28"/>
          <w:rtl w:val="true"/>
          <w:lang w:bidi="ar-SA"/>
        </w:rPr>
        <w:t xml:space="preserve">المتفاهم من العبارة هو السؤال عنه ، لا عن حدّ النفاس ، وإلاّ لقال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حدّ النفاس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أجاب عن تكليفها في الظاهر بالقعود أيّام الطمث والاستظهار ، وهو لا يناسب السؤال عن الحدّ الواقعي للنفاس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الطائفة الثالثة </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أ نّه بما ذكرنا يظهر حال طائفة اُخرى من الروايات ، كصحيحة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تقعد النفساء حتّى تصلّي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ثمان </w:t>
      </w:r>
      <w:bookmarkStart w:id="814" w:name="pg15019_191074"/>
    </w:p>
    <w:p>
      <w:pPr>
        <w:pStyle w:val="BookText"/>
        <w:rPr/>
      </w:pPr>
      <w:bookmarkEnd w:id="814"/>
      <w:r>
        <w:rPr>
          <w:rFonts w:ascii="Amiri" w:hAnsi="Amiri" w:eastAsia="Amiri" w:cs="Amiri"/>
          <w:color w:val="111111"/>
          <w:sz w:val="28"/>
          <w:sz w:val="28"/>
          <w:szCs w:val="28"/>
          <w:rtl w:val="true"/>
          <w:lang w:bidi="ar-SA"/>
        </w:rPr>
        <w:t>عشرة ؛ سبع عشرة ، ثمّ تغتسل وتحتشي وتصلّي</w:t>
      </w:r>
      <w:r>
        <w:rPr>
          <w:rFonts w:eastAsia="Amiri" w:cs="Amiri" w:ascii="Amiri" w:hAnsi="Amiri"/>
          <w:color w:val="111111"/>
          <w:sz w:val="28"/>
          <w:szCs w:val="28"/>
          <w:rtl w:val="true"/>
          <w:lang w:bidi="ar-SA"/>
        </w:rPr>
        <w:t>»</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وصحيحة ابن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على كونه عبداللّه ، كما هو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تقعد النفساء سبع عشرة ليلة ، فإن رأت دماً صنعت كما تصنع المستحاضة</w:t>
      </w:r>
      <w:r>
        <w:rPr>
          <w:rFonts w:eastAsia="IRNazanin" w:cs="IRNazanin"/>
          <w:color w:val="111111"/>
          <w:sz w:val="28"/>
          <w:szCs w:val="28"/>
          <w:rtl w:val="true"/>
          <w:lang w:bidi="fa-IR"/>
        </w:rPr>
        <w:t>»</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ورواية الفضل بن شاذان عن الرضا علیه السلام في كتابه إلى المأمون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والنفساء لا تقعد عن الصلاة أكثر من ثمانية عشر يوماً ، فإن طهرت قبل ذلك صلّت ، وإن لم تطهر حتّى تجاوز ثمانية عشر يوماً ، اغتسلت وصلّت وعملت بما تعمل المستحاضة</w:t>
      </w:r>
      <w:r>
        <w:rPr>
          <w:rFonts w:eastAsia="IRNazanin" w:cs="IRNazanin"/>
          <w:color w:val="111111"/>
          <w:sz w:val="28"/>
          <w:szCs w:val="28"/>
          <w:rtl w:val="true"/>
          <w:lang w:bidi="fa-IR"/>
        </w:rPr>
        <w:t>»</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5" w:name="__RefHeading___Toc686756_3406789950"/>
      <w:bookmarkStart w:id="816" w:name="_Toc296"/>
      <w:bookmarkEnd w:id="815"/>
      <w:r>
        <w:rPr>
          <w:rtl w:val="true"/>
        </w:rPr>
        <w:t>مقتضى الجمع بين الأخبار الواردة في أكثر النفاس</w:t>
      </w:r>
      <w:bookmarkEnd w:id="816"/>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فمقتضى الجمع بينها أنّ لذات العادة القعود إلى ثمانية عشر يوماً ؛ أيّام عادتها نفاساً ، والزائد استظهاراً ، فتكون جميع الطوائف شاهدة على إمكان كون النفاس أكثر من عشرة أيّام ، بل إلى ثمانية عشر يوماً ، فتكون مؤيّدة للطائفة الاُخرى المتعرّضة لحدّ النفاس بحسب الواقع ، كمرسلة الصدوق ورواية حنّان بن سدير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علّة اُعطيت النفساء ثمانية عشر يوماً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أقلّ أيّام الحيض ثلاثة أيّام ، وأكثرها عشرة أيّام ، وأوسطها خمسة أيّام ، فجعل اللّه عزّ وجلّ للنفساء أقلّ الحيض وأوسطه وأكثره</w:t>
      </w:r>
      <w:r>
        <w:rPr>
          <w:rFonts w:eastAsia="Amiri" w:cs="Amiri" w:ascii="Amiri" w:hAnsi="Amiri"/>
          <w:color w:val="111111"/>
          <w:sz w:val="28"/>
          <w:szCs w:val="28"/>
          <w:rtl w:val="true"/>
          <w:lang w:bidi="ar-SA"/>
        </w:rPr>
        <w:t>»</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فتحصّل من جميع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الجمع بين جميع الطوائف ، هو كون حدّ النفاس واقعاً ثمانية عشر يوماً مطلقاً ، وذات العادة إنّما ترجع إلى عادتها بحسب تكليفها الظاهري ، وتستظهر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ثمانية عشر يوماً ؛ وإن كان المستحبّ لها أن تعمل عمل المستحاضة بعد الاستظهار بيوم أو يومين أو ثلاثة أيّام ، ويحمل اختلاف الروايات في الاستظهار على اختلاف مراتب الفضل ، أو على ما ذكرنا في الحيض</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مستند فتوى المشهور وكذا الروايات التي ادّعى المفيد أو الشيخ ورودها </w:t>
      </w:r>
      <w:r>
        <w:rPr>
          <w:rStyle w:val="FootnoteAnchor"/>
          <w:rtl w:val="true"/>
        </w:rPr>
        <w:footnoteReference w:id="1449"/>
      </w:r>
      <w:r>
        <w:rPr>
          <w:rFonts w:ascii="IRNazanin" w:hAnsi="IRNazanin" w:eastAsia="IRNazanin"/>
          <w:color w:val="111111"/>
          <w:sz w:val="28"/>
          <w:sz w:val="28"/>
          <w:szCs w:val="28"/>
          <w:rtl w:val="true"/>
          <w:lang w:bidi="fa-IR"/>
        </w:rPr>
        <w:t xml:space="preserve">، بعيد غايته أن تكون تلك الروايات الدالّة على خلاف مذهب المشهور ؛ ممّا هي بين صريح فيه أو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وعثور المفيد رحمه الله علیه على بعض الروايات أو الاُصول التي لم تصل إلينا ، ليس كثير البُعد ، كما لم تصل إلينا مرسلته المنقولة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المفيد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قدر ما تقعد النفساء عن الصلاة ، وكم مبلغ أيّام ذلك ؟ فقد رأيت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عشر يوماً ، وفي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w:t>
      </w:r>
    </w:p>
    <w:p>
      <w:pPr>
        <w:pStyle w:val="BookText"/>
        <w:rPr/>
      </w:pPr>
      <w:r>
        <w:rPr>
          <w:rFonts w:ascii="IRNazanin" w:hAnsi="IRNazanin" w:eastAsia="IRNazanin"/>
          <w:color w:val="111111"/>
          <w:sz w:val="28"/>
          <w:sz w:val="28"/>
          <w:szCs w:val="28"/>
          <w:rtl w:val="true"/>
          <w:lang w:bidi="fa-IR"/>
        </w:rPr>
        <w:t xml:space="preserve">عشر يوماً ، وفي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أحداً وعشرين ، فعلى أيّها العمل دون صاحبه ؟ فأجابه بأن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على النفساء أن تقعد عشرة أيّام ، وإنّما ذكرت في كتبي ما روي من قعودها ثمانية عشر يوماً وما روي في النوادر استظهاراً بأحد وعشرين يوماً ، وعملي في ذلك على عشرة أيّام ؛ لقول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يكون دم نفاس زمانه أكثر من زمان الحيض</w:t>
      </w:r>
      <w:r>
        <w:rPr>
          <w:rFonts w:eastAsia="IRNazanin" w:cs="IRNazanin"/>
          <w:color w:val="111111"/>
          <w:sz w:val="28"/>
          <w:szCs w:val="28"/>
          <w:rtl w:val="true"/>
          <w:lang w:bidi="fa-IR"/>
        </w:rPr>
        <w:t>»</w:t>
      </w:r>
      <w:r>
        <w:rPr>
          <w:rStyle w:val="FootnoteAnchor"/>
          <w:rtl w:val="true"/>
        </w:rPr>
        <w:footnoteReference w:id="1450"/>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فكما لم تصل إلينا تلك المرسلة الصريحة التي عمل مثل المفيد على طبقها ، وترك الروايات الصحيحة الصريحة في القعود ثمانية عشر ، أو سبع عشرة ؛ ثمان عشرة ، كصحيحتي محمّد بن مسلم وابن سنان مع كون الروايات بمنظر منه ، كذلك يمكن وصول روايات اُخر مثل المرسلة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اتّكال المشهور في كون النفاس عشرة أيّام ، على تلك الروايات التي بين صريح في زيادة الحدّ على العشرة وكونه ثمانية عشر يوماً ، وظاهر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تكون تلك الشهرةُ المعرضةُ عن الروايات الصريحة الصحيحة المخالفة للاُصول والقواعد ؛ لما عرفت سابقاً من جريان الأصل الموضوعي في التدريجيات والحكمي في مثل المقام</w:t>
      </w:r>
      <w:r>
        <w:rPr>
          <w:rStyle w:val="FootnoteAnchor"/>
          <w:rtl w:val="true"/>
        </w:rPr>
        <w:footnoteReference w:id="1451"/>
      </w:r>
      <w:r>
        <w:rPr>
          <w:rFonts w:ascii="IRNazanin" w:hAnsi="IRNazanin" w:eastAsia="IRNazanin"/>
          <w:color w:val="111111"/>
          <w:sz w:val="28"/>
          <w:sz w:val="28"/>
          <w:szCs w:val="28"/>
          <w:rtl w:val="true"/>
          <w:lang w:bidi="fa-IR"/>
        </w:rPr>
        <w:t xml:space="preserve">، معتمدةً معتبرةً كاشفةً عن مسلّمية الحكم من زمان الأئمّة علیهم السلام إلى زمان أصحاب الفتوى </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قول المفيد بمجيء أخبار معتمدة في أنّ أقصى مدّة النفاس مدّة </w:t>
      </w:r>
      <w:bookmarkStart w:id="817" w:name="pg15019_191077"/>
    </w:p>
    <w:p>
      <w:pPr>
        <w:pStyle w:val="BookText"/>
        <w:rPr/>
      </w:pPr>
      <w:bookmarkEnd w:id="817"/>
      <w:r>
        <w:rPr>
          <w:rFonts w:ascii="Amiri" w:hAnsi="Amiri" w:eastAsia="Amiri" w:cs="Amiri"/>
          <w:color w:val="111111"/>
          <w:sz w:val="28"/>
          <w:sz w:val="28"/>
          <w:szCs w:val="28"/>
          <w:rtl w:val="true"/>
          <w:lang w:bidi="ar-SA"/>
        </w:rPr>
        <w:t xml:space="preserve">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عشرة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معتبرة اُخرى ؛ ضرورة أ نّه مع وجود روايات</w:t>
      </w:r>
    </w:p>
    <w:p>
      <w:pPr>
        <w:pStyle w:val="BookText"/>
        <w:rPr/>
      </w:pPr>
      <w:r>
        <w:rPr>
          <w:rFonts w:ascii="Amiri" w:hAnsi="Amiri" w:eastAsia="Amiri" w:cs="Amiri"/>
          <w:color w:val="111111"/>
          <w:sz w:val="28"/>
          <w:sz w:val="28"/>
          <w:szCs w:val="28"/>
          <w:rtl w:val="true"/>
          <w:lang w:bidi="ar-SA"/>
        </w:rPr>
        <w:t xml:space="preserve">صحيحة صريحة في زيادة الأيّام على العشرة ، لا يمكن أن يكون مقصوده هو ما احتملوا ؛ أي روايات الرجوع إلى العادة والاستظهار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الظاهر من تلك العبارة هو مجيء الروايات بهذا العنوان والمضمون ، وفي روايات الرجوع إلى العادة ليست رواية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فرض دلالتها بنحو من اللزوم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لمثل المفيد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جاءت أخبار في أنّ أقصى مدّة النفاس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ورود الرواية بهذا المضمون ؛ فإنّ ذلك نحو تدليس في النقل والرواية ، وأصحابنا رضوان اللّه عليهم بريئون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 مرسلته الاُخرى المتقدّمة حجّة معتبرة اُخرى ؛ فإنّ مثل المفيد لا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لقول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بنحو الجزم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مع كون الرواية معتمدة معتبرة ، ولا يمكن منه تقديم رواية مرسلة على روايات صحاح إلاّ مع كون الحكمِ قطعياً ، والروايةِ قطعيةَ الصدور والدلالة ، وراجحةً على سائر الروايات ، وكون البقيّة معلولةً ؛ بحيث لا يمكن الاتّكال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فالمسألة خالية عن الإشكال بحمد اللّه تعالى ؛ وإن كان الاحتياط حسناً على كلّ حال </w:t>
      </w:r>
      <w:r>
        <w:rPr>
          <w:rFonts w:eastAsia="IRNazanin" w:cs="IRNazanin"/>
          <w:color w:val="111111"/>
          <w:sz w:val="28"/>
          <w:szCs w:val="28"/>
          <w:rtl w:val="true"/>
          <w:lang w:bidi="fa-IR"/>
        </w:rPr>
        <w:t>.</w:t>
      </w:r>
    </w:p>
    <w:p>
      <w:pPr>
        <w:pStyle w:val="Heading5"/>
        <w:numPr>
          <w:ilvl w:val="4"/>
          <w:numId w:val="1"/>
        </w:numPr>
        <w:rPr/>
      </w:pPr>
      <w:bookmarkStart w:id="818" w:name="__RefHeading___Toc686758_3406789950"/>
      <w:bookmarkStart w:id="819" w:name="_Toc297"/>
      <w:bookmarkEnd w:id="818"/>
      <w:r>
        <w:rPr>
          <w:rtl w:val="true"/>
        </w:rPr>
        <w:t>حول تفصيل العلاّمة في أكثر النفاس</w:t>
      </w:r>
      <w:bookmarkEnd w:id="819"/>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ذكرنا يظهر النظر في التفصيل الذي تقدّم نقله عن العلاّمة</w:t>
      </w:r>
      <w:r>
        <w:rPr>
          <w:rStyle w:val="FootnoteAnchor"/>
          <w:rtl w:val="true"/>
        </w:rPr>
        <w:footnoteReference w:id="1452"/>
      </w:r>
      <w:r>
        <w:rPr>
          <w:rFonts w:ascii="Amiri" w:hAnsi="Amiri" w:eastAsia="Amiri" w:cs="Amiri"/>
          <w:color w:val="111111"/>
          <w:sz w:val="28"/>
          <w:sz w:val="28"/>
          <w:szCs w:val="28"/>
          <w:rtl w:val="true"/>
          <w:lang w:bidi="ar-SA"/>
        </w:rPr>
        <w:t xml:space="preserve">لو كان تفصيلاً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بالغ الشيخ الأعظم في تقريبه وتقويته ؛ حتّى 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فالإنصاف أنّ هذا القول لا يقصر في القوّة عن القول المشهور</w:t>
      </w:r>
      <w:r>
        <w:rPr>
          <w:rFonts w:eastAsia="Amiri" w:cs="Amiri" w:ascii="Amiri" w:hAnsi="Amiri"/>
          <w:color w:val="111111"/>
          <w:sz w:val="28"/>
          <w:szCs w:val="28"/>
          <w:rtl w:val="true"/>
          <w:lang w:bidi="ar-SA"/>
        </w:rPr>
        <w:t>»</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ومحصّل نظره هو الجمع بين الروايات ؛ لاختصاص روايات الاستظهار بذات العادة ، ومنها يستفاد كون الحدّ عشرة أيّام ، فتختصّ العشرة بذات العادة ، وصرف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ذات العادة ، وتضعيف مرسلة المفيد ، أو حملها على الأفراد الغالبة ؛ وهي ذات العادة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بما فيه بعد التأمّل فيما تقدّم ؛ لما عرفت من أنّ أخبار الاستظهار لا يستفاد منها كون الحدّ عشرة</w:t>
      </w:r>
      <w:r>
        <w:rPr>
          <w:rStyle w:val="FootnoteAnchor"/>
          <w:rtl w:val="true"/>
        </w:rPr>
        <w:footnoteReference w:id="1454"/>
      </w:r>
      <w:r>
        <w:rPr>
          <w:rFonts w:ascii="Amiri" w:hAnsi="Amiri" w:eastAsia="Amiri" w:cs="Amiri"/>
          <w:color w:val="111111"/>
          <w:sz w:val="28"/>
          <w:sz w:val="28"/>
          <w:szCs w:val="28"/>
          <w:rtl w:val="true"/>
          <w:lang w:bidi="ar-SA"/>
        </w:rPr>
        <w:t xml:space="preserve">، بل يستفاد منها كونه أكثر بل إلى ثمانية عشر يوماً ، فمقتضى الجمع بينها وبين سائر الروايات هو كون الحدّ ثمانية عشر ، فلا مجال للتفصيل بحسب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ورود بعض إشكالات اُخرى عليه تركناه مخافة التطويل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تضعيف مرسلة المفيد ففي غير محلّه ؛ لما عرفت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وحملها على ذات العادة بعيد جدّاً ، بل المرسلة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نحو مضمونها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آبية عنه </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من جميع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الحدّ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لذات العادة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أيّام ، إلاّ أنّ تكليف ذات العادة الرجوع إلى عادتها ، ثمّ الاستظهار إلى عشرة أيّام ، ثمّ عمل المستحاضة ، وغير ذات العادة تقعد عشرة أيّام ، وهي أقصى الأيّام </w:t>
      </w:r>
      <w:r>
        <w:rPr>
          <w:rFonts w:eastAsia="Amiri" w:cs="Amiri" w:ascii="Amiri" w:hAnsi="Amiri"/>
          <w:color w:val="111111"/>
          <w:sz w:val="28"/>
          <w:szCs w:val="28"/>
          <w:rtl w:val="true"/>
          <w:lang w:bidi="ar-SA"/>
        </w:rPr>
        <w:t xml:space="preserve">. </w:t>
      </w:r>
      <w:bookmarkStart w:id="820" w:name="pg15019_191079"/>
    </w:p>
    <w:p>
      <w:pPr>
        <w:pStyle w:val="Heading5"/>
        <w:numPr>
          <w:ilvl w:val="4"/>
          <w:numId w:val="1"/>
        </w:numPr>
        <w:rPr/>
      </w:pPr>
      <w:bookmarkStart w:id="821" w:name="__RefHeading___Toc686760_3406789950"/>
      <w:bookmarkStart w:id="822" w:name="_Toc298"/>
      <w:bookmarkEnd w:id="820"/>
      <w:bookmarkEnd w:id="821"/>
      <w:r>
        <w:rPr>
          <w:rtl w:val="true"/>
        </w:rPr>
        <w:t>حول الرجوع إلى الصفات أو عادات النساء في المقام</w:t>
      </w:r>
      <w:bookmarkEnd w:id="822"/>
    </w:p>
    <w:p>
      <w:pPr>
        <w:pStyle w:val="BookText"/>
        <w:rPr/>
      </w:pPr>
      <w:r>
        <w:rPr>
          <w:rFonts w:ascii="IRNazanin" w:hAnsi="IRNazanin" w:eastAsia="IRNazanin"/>
          <w:color w:val="111111"/>
          <w:sz w:val="28"/>
          <w:sz w:val="28"/>
          <w:szCs w:val="28"/>
          <w:rtl w:val="true"/>
          <w:lang w:bidi="fa-IR"/>
        </w:rPr>
        <w:t>وأمّا الرجوع إلى الصفات أو عادات النساء</w:t>
      </w:r>
      <w:r>
        <w:rPr>
          <w:rStyle w:val="FootnoteAnchor"/>
          <w:rtl w:val="true"/>
        </w:rPr>
        <w:footnoteReference w:id="1455"/>
      </w:r>
      <w:r>
        <w:rPr>
          <w:rFonts w:ascii="Amiri" w:hAnsi="Amiri" w:eastAsia="Amiri" w:cs="Amiri"/>
          <w:color w:val="111111"/>
          <w:sz w:val="28"/>
          <w:sz w:val="28"/>
          <w:szCs w:val="28"/>
          <w:rtl w:val="true"/>
          <w:lang w:bidi="ar-SA"/>
        </w:rPr>
        <w:t xml:space="preserve">، فلا دليل عليه ؛ لاختصاص أدلّة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بالدوران بين الحيض والاستحاضة</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موثّقة أبي بصير عن أبي عبداللّه علیه السلام الدالّة على رجوعها إلى أيّام اُمّها أو اُختها أو خالتها مع عدم معرفة أيّام نفاسها </w:t>
      </w:r>
      <w:r>
        <w:rPr>
          <w:rStyle w:val="FootnoteAnchor"/>
          <w:rtl w:val="true"/>
        </w:rPr>
        <w:footnoteReference w:id="1457"/>
      </w:r>
      <w:r>
        <w:rPr>
          <w:rFonts w:ascii="Amiri" w:hAnsi="Amiri" w:eastAsia="Amiri" w:cs="Amiri"/>
          <w:color w:val="111111"/>
          <w:sz w:val="28"/>
          <w:sz w:val="28"/>
          <w:szCs w:val="28"/>
          <w:rtl w:val="true"/>
          <w:lang w:bidi="ar-SA"/>
        </w:rPr>
        <w:t xml:space="preserve">، ففيها وجوه من الخلل لا يمكن لأجلها الاتّكال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كالحكم بقعودها بقدر أيّام نفاسها ، مع أنّ النصّ</w:t>
      </w:r>
      <w:r>
        <w:rPr>
          <w:rStyle w:val="FootnoteAnchor"/>
          <w:rtl w:val="true"/>
        </w:rPr>
        <w:footnoteReference w:id="1458"/>
      </w:r>
      <w:r>
        <w:rPr>
          <w:rFonts w:ascii="IRNazanin" w:hAnsi="IRNazanin" w:eastAsia="IRNazanin"/>
          <w:color w:val="111111"/>
          <w:sz w:val="28"/>
          <w:sz w:val="28"/>
          <w:szCs w:val="28"/>
          <w:rtl w:val="true"/>
          <w:lang w:bidi="fa-IR"/>
        </w:rPr>
        <w:t>والفتوى</w:t>
      </w:r>
      <w:r>
        <w:rPr>
          <w:rStyle w:val="FootnoteAnchor"/>
          <w:rtl w:val="true"/>
        </w:rPr>
        <w:footnoteReference w:id="1459"/>
      </w:r>
      <w:r>
        <w:rPr>
          <w:rFonts w:ascii="IRNazanin" w:hAnsi="IRNazanin" w:eastAsia="IRNazanin"/>
          <w:color w:val="111111"/>
          <w:sz w:val="28"/>
          <w:sz w:val="28"/>
          <w:szCs w:val="28"/>
          <w:rtl w:val="true"/>
          <w:lang w:bidi="fa-IR"/>
        </w:rPr>
        <w:t xml:space="preserve">على خلافه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وكالأمر بالاستظهار بمثل ثلثي أيّامها ؛ ممّا لا يجوز إلاّ في بعض الأفراد النادرة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وكالحكم بتخييرها بين الرجوع إلى اُمّها أو اُختها أو خالتها الظاهر في التخيير مع اختلافهنّ ، وهو أيضاً غير مفتى به </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ثبت الإجماع على كون النفساء كالحائض في جميع الاُمور والأحكام إلاّ ما استثني ، لكان الوجه ما ذكر </w:t>
      </w:r>
      <w:r>
        <w:rPr>
          <w:rFonts w:eastAsia="Amiri" w:cs="Amiri" w:ascii="Amiri" w:hAnsi="Amiri"/>
          <w:color w:val="111111"/>
          <w:sz w:val="28"/>
          <w:szCs w:val="28"/>
          <w:rtl w:val="true"/>
          <w:lang w:bidi="ar-SA"/>
        </w:rPr>
        <w:t xml:space="preserve">. </w:t>
      </w:r>
      <w:bookmarkStart w:id="823" w:name="pg15019_191080"/>
    </w:p>
    <w:p>
      <w:pPr>
        <w:pStyle w:val="Heading4"/>
        <w:numPr>
          <w:ilvl w:val="3"/>
          <w:numId w:val="1"/>
        </w:numPr>
        <w:rPr/>
      </w:pPr>
      <w:bookmarkStart w:id="824" w:name="__RefHeading___Toc686762_3406789950"/>
      <w:bookmarkStart w:id="825" w:name="_Toc299"/>
      <w:bookmarkEnd w:id="823"/>
      <w:bookmarkEnd w:id="824"/>
      <w:r>
        <w:rPr>
          <w:rtl w:val="true"/>
        </w:rPr>
        <w:t>المسألة الرابعة في حكم الحامل باثنين</w:t>
      </w:r>
      <w:bookmarkEnd w:id="825"/>
    </w:p>
    <w:p>
      <w:pPr>
        <w:pStyle w:val="Heading5"/>
        <w:numPr>
          <w:ilvl w:val="4"/>
          <w:numId w:val="1"/>
        </w:numPr>
        <w:rPr/>
      </w:pPr>
      <w:bookmarkStart w:id="826" w:name="__RefHeading___Toc686764_3406789950"/>
      <w:bookmarkStart w:id="827" w:name="_Toc300"/>
      <w:bookmarkEnd w:id="826"/>
      <w:r>
        <w:rPr>
          <w:rtl w:val="true"/>
        </w:rPr>
        <w:t>اشارة</w:t>
      </w:r>
      <w:bookmarkEnd w:id="827"/>
    </w:p>
    <w:p>
      <w:pPr>
        <w:pStyle w:val="BookText"/>
        <w:rPr/>
      </w:pPr>
      <w:r>
        <w:rPr>
          <w:rFonts w:ascii="Amiri" w:hAnsi="Amiri" w:eastAsia="Amiri" w:cs="Amiri"/>
          <w:color w:val="111111"/>
          <w:sz w:val="28"/>
          <w:sz w:val="28"/>
          <w:szCs w:val="28"/>
          <w:rtl w:val="true"/>
          <w:lang w:bidi="ar-SA"/>
        </w:rPr>
        <w:t xml:space="preserve">لو كانت حاملاً باثنين ، فإن ولدتهما معاً بحيث عدّت ولادة واحدة عرفاً ، يكون لها نفاس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حال مبدأ حساب العشرة</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تأخّرت ولادة أحدهما عن الآخر مع رؤية الدم فيهما ، فلا يخلو أن تكون الولادة الثانية قبل تمام عشرة أيّام من الاُولى أو بعد تمامها بلا فصل أو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الدم مستمرّاً إلى الولادة الثانية ، أو نقت قبلها ورأت بعدها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يكون كلّ من الدمين بعد الولادتين نفاساً مستقلاًّ أو هما نفاس واحد إذا استمرّ الدم ورأت الثاني قبل تجاوز العشرة ، أو لا يكون الدم بعد الولادة الاُولى نفاساً ، أو لا يكون بعد الثانية نفاساً ؟</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الأقوى هو الأوّل ، ومحصّل الكلام فيه أ نّه بحسب التصوّر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الدم المسبّب عن الولادة ، بحيث تكون سببية الولادة للدم دخيلة في الموضوع ، كما يظهر من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461"/>
      </w:r>
      <w:r>
        <w:rPr>
          <w:rFonts w:ascii="Amiri" w:hAnsi="Amiri" w:eastAsia="Amiri" w:cs="Amiri"/>
          <w:color w:val="111111"/>
          <w:sz w:val="28"/>
          <w:sz w:val="28"/>
          <w:szCs w:val="28"/>
          <w:rtl w:val="true"/>
          <w:lang w:bidi="ar-SA"/>
        </w:rPr>
        <w:t>ناسباً إلى نصّ غير واحد من الأصحاب</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ولازمه لزوم إحراز سببيتها له في ترتيب الأحكام على النفساء ؛ سواء في التوأمين وغيرهما ، فلو سال الدم منها قبل الولادة ، فخرجت علقة أو مضغة أو خرج طفل في غاية الصغر مع سيلانه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يعلم أو يحتمل عدم استناد الدم إلى خروج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يحكم بنفاسيته ، ولا بكون المرأة نفساء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خرج الطفل الأوّل في التوأمين وسال الدم وخرج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الجزمِ بعدم سببيته ، أو احتمالِ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يحكم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الدم الخارج عقيب الولادة نفاساً كانت الولادة سبباً له أو لا ، لكن لا مطلقاً ، بل الدم الذي له نحو انتساب وارتباط بالولادة ؛ وإن لم يكن الارتباط بالسببية والمسبّبية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مراد القوم بل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وإن لم يناسب ظاهر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استمرار الدم يكون منتسباً إلى الولادتين ؛ لأنّ اختزانه كان لارتزاقهما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 استمراره يكون دم كلّ ولادة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الآخر وإن لم يمكن امتيازهما خارجاً ؛ لعدم استهلاك أحد المتماثلين في الآخر </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ولازم هذا الاحتمال كون الدم عقيب كلّ ولادة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الدم الطبيعي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نفاساً وموضوعاً للحكم ، وتكون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ولدت وخرج الدم عقيب ولادتها أو معها ، فيكون الدم الخارج عقيب الولادة الثانية قبل تمام العشرة نفاسين مستقلّين ، فيصدق عليه عنوانان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الذي عقيب الولادة الاُولى ،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الذي عقيب الولادة الثانية ، ولكلّ عنوانٍ حكمه مع الانفراد ، ومع اجتماعهما تتداخل الأحكام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الحدث الحاصل من الدم المسبّب عن الولادة ، أو الدم الذي عقيبها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ولازمه عدم إمكان تكرّر الحدث الحادث برؤية الدم بعد الولادة الاُولى ؛ للزوم اجتماع المثلين ، وهذا ظاهر المحقّق الخراساني</w:t>
      </w:r>
      <w:r>
        <w:rPr>
          <w:rStyle w:val="FootnoteAnchor"/>
          <w:rtl w:val="true"/>
        </w:rPr>
        <w:footnoteReference w:id="1463"/>
      </w:r>
      <w:r>
        <w:rPr>
          <w:rFonts w:ascii="Amiri" w:hAnsi="Amiri" w:eastAsia="Amiri" w:cs="Amiri"/>
          <w:color w:val="111111"/>
          <w:sz w:val="28"/>
          <w:sz w:val="28"/>
          <w:szCs w:val="28"/>
          <w:rtl w:val="true"/>
          <w:lang w:bidi="ar-SA"/>
        </w:rPr>
        <w:t xml:space="preserve">، فيكون النفاس الواحد مستمرّاً بتعدّد سببه إلى عشرين يوماً أو أكثر ، ولا يكون للمرأة نفاسان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والأقوى هو ثاني الاحتمالات ؛ لمساعدة العرف واللغة على أنّ الدم عقيب الولادة نفاس ، ولا يتوقّف أحد في أنّ الدم إذا خرج عقيب الولادة يكون نفاساً ، ويقال للمرأة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 نّه 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الدم المسبّب عنها ، لم يكن بدّ في ترتيب الأحكام من إحراز الموضوع ، ومع الشكّ كان يرجع إلى الاُصول ، ولم ينقل عن فقيه احتمال ذلك ، أو العمل على الاُصول ، وليس ذلك إلاّ لما ذكر ،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الناصريات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لا يختلف أهل اللغة في أنّ المرأة إذا ولدت وخرج الدم عقيب الولادة ، فإنّه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تنفّست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يعتبرون بقاء ولد في بطنها ، ويسمّون الولد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منفوساً</w:t>
      </w:r>
      <w:r>
        <w:rPr>
          <w:rFonts w:eastAsia="Amiri" w:cs="Amiri" w:ascii="Amiri" w:hAnsi="Amiri"/>
          <w:color w:val="111111"/>
          <w:sz w:val="28"/>
          <w:szCs w:val="28"/>
          <w:rtl w:val="true"/>
          <w:lang w:bidi="ar-SA"/>
        </w:rPr>
        <w:t>»</w:t>
      </w:r>
      <w:r>
        <w:rPr>
          <w:rStyle w:val="FootnoteAnchor"/>
          <w:rtl w:val="true"/>
        </w:rPr>
        <w:footnoteReference w:id="1464"/>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وإن كان في مقام الردّ على من ذهب إلى أنّ النفاس من مولد الثاني ، لكن ظاهره اتّفاق أهل اللغة على هذا العنوان ؛ أي كون الدم عقيب الولادة نفاساً ، وهو حجّة معتبرة </w:t>
      </w:r>
      <w:r>
        <w:rPr>
          <w:rFonts w:eastAsia="Amiri" w:cs="Amiri" w:ascii="Amiri" w:hAnsi="Amiri"/>
          <w:color w:val="111111"/>
          <w:sz w:val="28"/>
          <w:szCs w:val="28"/>
          <w:rtl w:val="true"/>
          <w:lang w:bidi="ar-SA"/>
        </w:rPr>
        <w:t xml:space="preserve">. </w:t>
      </w:r>
      <w:bookmarkStart w:id="828" w:name="pg15019_191085"/>
    </w:p>
    <w:p>
      <w:pPr>
        <w:pStyle w:val="BookText"/>
        <w:rPr/>
      </w:pPr>
      <w:bookmarkEnd w:id="828"/>
      <w:r>
        <w:rPr>
          <w:rFonts w:ascii="Amiri" w:hAnsi="Amiri" w:eastAsia="Amiri" w:cs="Amiri"/>
          <w:color w:val="111111"/>
          <w:sz w:val="28"/>
          <w:sz w:val="28"/>
          <w:szCs w:val="28"/>
          <w:rtl w:val="true"/>
          <w:lang w:bidi="ar-SA"/>
        </w:rPr>
        <w:t xml:space="preserve">بل نفس قول مثل السيّد البارع في اللغة والأدب ، حجّة معتبرة مثبتة 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قول 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الاستدلال على أ نّه إذا ولدت ولدين ورأت عقيبهما ، اعتبرت النفاس من الأوّل ، وآخره يكون من الثاني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دليلنا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واحد من الدمين يستحقّ الاسم بأ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أن يتناوله اللفظ</w:t>
      </w:r>
      <w:r>
        <w:rPr>
          <w:rFonts w:eastAsia="Amiri" w:cs="Amiri" w:ascii="Amiri" w:hAnsi="Amiri"/>
          <w:color w:val="111111"/>
          <w:sz w:val="28"/>
          <w:szCs w:val="28"/>
          <w:rtl w:val="true"/>
          <w:lang w:bidi="ar-SA"/>
        </w:rPr>
        <w:t>»</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ادّعى عدم الخلاف في أنّ ما يخرج بعد الولد يكون نفاساً </w:t>
      </w:r>
      <w:r>
        <w:rPr>
          <w:rStyle w:val="FootnoteAnchor"/>
          <w:rtl w:val="true"/>
        </w:rPr>
        <w:footnoteReference w:id="1466"/>
      </w:r>
      <w:r>
        <w:rPr>
          <w:rFonts w:ascii="Amiri" w:hAnsi="Amiri" w:eastAsia="Amiri" w:cs="Amiri"/>
          <w:color w:val="111111"/>
          <w:sz w:val="28"/>
          <w:sz w:val="28"/>
          <w:szCs w:val="28"/>
          <w:rtl w:val="true"/>
          <w:lang w:bidi="ar-SA"/>
        </w:rPr>
        <w:t xml:space="preserve">، والظاهر أنّ المراد من الدم عقيب الولادة ما له نحو انتساب وارتباط لها ، لا مطلقاً </w:t>
      </w:r>
      <w:r>
        <w:rPr>
          <w:rFonts w:eastAsia="Amiri" w:cs="Amiri" w:ascii="Amiri" w:hAnsi="Amiri"/>
          <w:color w:val="111111"/>
          <w:sz w:val="28"/>
          <w:szCs w:val="28"/>
          <w:rtl w:val="true"/>
          <w:lang w:bidi="ar-SA"/>
        </w:rPr>
        <w:t>.</w:t>
      </w:r>
    </w:p>
    <w:p>
      <w:pPr>
        <w:pStyle w:val="Heading5"/>
        <w:numPr>
          <w:ilvl w:val="4"/>
          <w:numId w:val="1"/>
        </w:numPr>
        <w:rPr/>
      </w:pPr>
      <w:bookmarkStart w:id="829" w:name="__RefHeading___Toc686766_3406789950"/>
      <w:bookmarkStart w:id="830" w:name="_Toc301"/>
      <w:bookmarkEnd w:id="829"/>
      <w:r>
        <w:rPr>
          <w:rtl w:val="true"/>
        </w:rPr>
        <w:t>الروايات الدالّة على استقلال كلّ من النفاسين</w:t>
      </w:r>
      <w:bookmarkEnd w:id="830"/>
    </w:p>
    <w:p>
      <w:pPr>
        <w:pStyle w:val="BookText"/>
        <w:rPr/>
      </w:pPr>
      <w:r>
        <w:rPr>
          <w:rFonts w:ascii="IRNazanin" w:hAnsi="IRNazanin" w:eastAsia="IRNazanin"/>
          <w:color w:val="111111"/>
          <w:sz w:val="28"/>
          <w:sz w:val="28"/>
          <w:szCs w:val="28"/>
          <w:rtl w:val="true"/>
          <w:lang w:bidi="fa-IR"/>
        </w:rPr>
        <w:t xml:space="preserve">بل يمكن الاستئناس أو الاستدلال على استقلال كلٍّ من النفاسين ببعض الروايات ، كحسنة مالك بن أعين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النفساء ، يغشاها زوجها وهي في نفاسها من الدم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 إذا مضى لها منذ يوم وضعت بقدر أيّام عدّة حيضها ، ثمّ تستظهر بيوم ، فلا بأس بعدُ أن يغشاها زوجها </w:t>
      </w:r>
      <w:r>
        <w:rPr>
          <w:rFonts w:eastAsia="IRNazanin" w:cs="IRNazanin"/>
          <w:color w:val="111111"/>
          <w:sz w:val="28"/>
          <w:szCs w:val="28"/>
          <w:rtl w:val="true"/>
          <w:lang w:bidi="fa-IR"/>
        </w:rPr>
        <w:t>. .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تدلّ على حرمة الغشيان قبل مضيّ مقدار أيّامها من يوم وضعت ؛ من غير تفصيل بين الوضع الأوّل والثاني ؛ وإن أمكن الخدشة فيها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 نّها في مقام بيان حكم آخر ، 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مفروض السائل كونها في نفاسها من الدم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وكصحيحة يونس بن يعقوب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امرأة ولدت ، فرأت الدم أكثر ممّا كانت ترى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فلتقعد أيّام قرئها الذي كانت تجلس ، ثمّ تستظهر بعشرة أيّام</w:t>
      </w:r>
      <w:r>
        <w:rPr>
          <w:rFonts w:eastAsia="IRNazanin" w:cs="IRNazanin"/>
          <w:color w:val="111111"/>
          <w:sz w:val="28"/>
          <w:szCs w:val="28"/>
          <w:rtl w:val="true"/>
          <w:lang w:bidi="fa-IR"/>
        </w:rPr>
        <w:t>»</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حيث لم يفصّل بين الاُولى والثانية ، فمن ولدت ورأت الدم أكثر ممّا كانت ترى ، تكون موضوعة للحكم بوجوب القعود ، ففي الولادة الثانية إذا رأت الدم أكثر ممّا كانت ترى ، 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نّها ولدت ورأت الدم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 فتكون الولادة ورؤية الدم تمام الموضوع للحكم ،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وكرواية الخلقاني المتقدّمة ؛ حيث قال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تصلّي حتّى يخرج رأس الصبيّ ، فإذا خرج رأسه لم يجب عليها الصلاة</w:t>
      </w:r>
      <w:r>
        <w:rPr>
          <w:rFonts w:eastAsia="Amiri" w:cs="Amiri" w:ascii="Amiri" w:hAnsi="Amiri"/>
          <w:color w:val="111111"/>
          <w:sz w:val="28"/>
          <w:szCs w:val="28"/>
          <w:rtl w:val="true"/>
          <w:lang w:bidi="ar-SA"/>
        </w:rPr>
        <w:t>»</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الظاهر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السبب لوجوب تركها هو خروج رأس الصبيّ مطلقاً ، نعم يقيّد ذلك بذيلها الدالّ على لزوم رؤية الدم عند خروج بعض الولد ، فيكون الموضوع هو خروج بعض الولد مع رؤية الدم ، أو رؤيته عند ظهور رأس الولد ، فتدلّ على موضوعية كلّ دم عند كلّ ولادة لحرمة الصلاة ، أو موضوعية كلّ ولادة مع رؤية الدم لها ، وهذا معنى الاستقلال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نوقش في دلالة الروايات ، فلا مجال للمناقشة في الصدق العرفي </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احتمال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حدث معنوي ، فإن كان المراد منه أنّ حدث النفاس كحدث الحيض والجنابة ، فالضرورة قاضية بمخالفته للنفاس ؛ فإنّ </w:t>
      </w:r>
      <w:bookmarkStart w:id="831" w:name="pg15019_191089"/>
    </w:p>
    <w:p>
      <w:pPr>
        <w:pStyle w:val="BookText"/>
        <w:rPr/>
      </w:pPr>
      <w:bookmarkEnd w:id="831"/>
      <w:r>
        <w:rPr>
          <w:rFonts w:ascii="Amiri" w:hAnsi="Amiri" w:eastAsia="Amiri" w:cs="Amiri"/>
          <w:color w:val="111111"/>
          <w:sz w:val="28"/>
          <w:sz w:val="28"/>
          <w:szCs w:val="28"/>
          <w:rtl w:val="true"/>
          <w:lang w:bidi="ar-SA"/>
        </w:rPr>
        <w:t>المرأة بعد عشرة أيّام أو ثمانية عشر ، ليست بنفساء بلا إشكال وإن كانت محدثة</w:t>
      </w:r>
    </w:p>
    <w:p>
      <w:pPr>
        <w:pStyle w:val="BookText"/>
        <w:rPr/>
      </w:pPr>
      <w:r>
        <w:rPr>
          <w:rFonts w:ascii="Amiri" w:hAnsi="Amiri" w:eastAsia="Amiri" w:cs="Amiri"/>
          <w:color w:val="111111"/>
          <w:sz w:val="28"/>
          <w:sz w:val="28"/>
          <w:szCs w:val="28"/>
          <w:rtl w:val="true"/>
          <w:lang w:bidi="ar-SA"/>
        </w:rPr>
        <w:t xml:space="preserve">بحدث النفاس ، فحدثه غير نفسه ، كحدث الحيض فإنّه غير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المراد أنّ هنا أمراً معنوياً آخر هو حدث النفاس ، فلا دليل عليه ، بل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ممّا مرّ حال احتمال عدم نفاسية الأوّل ، كما احتمله المحقّق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عدم اجتماع النفاس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الحمل</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عدم اجتماع الحيض معه كما تقدّم</w:t>
      </w:r>
      <w:r>
        <w:rPr>
          <w:rStyle w:val="FootnoteAnchor"/>
          <w:rtl w:val="true"/>
        </w:rPr>
        <w:footnoteReference w:id="1471"/>
      </w:r>
      <w:r>
        <w:rPr>
          <w:rFonts w:ascii="Amiri" w:hAnsi="Amiri" w:eastAsia="Amiri" w:cs="Amiri"/>
          <w:color w:val="111111"/>
          <w:sz w:val="28"/>
          <w:sz w:val="28"/>
          <w:szCs w:val="28"/>
          <w:rtl w:val="true"/>
          <w:lang w:bidi="ar-SA"/>
        </w:rPr>
        <w:t xml:space="preserve">، وعلى فرض تسليمه منع كون النفاس كالحيض في ذلك </w:t>
      </w:r>
      <w:r>
        <w:rPr>
          <w:rFonts w:eastAsia="Amiri" w:cs="Amiri" w:ascii="Amiri" w:hAnsi="Amiri"/>
          <w:color w:val="111111"/>
          <w:sz w:val="28"/>
          <w:szCs w:val="28"/>
          <w:rtl w:val="true"/>
          <w:lang w:bidi="ar-SA"/>
        </w:rPr>
        <w:t>.</w:t>
      </w:r>
    </w:p>
    <w:p>
      <w:pPr>
        <w:pStyle w:val="Heading5"/>
        <w:numPr>
          <w:ilvl w:val="4"/>
          <w:numId w:val="1"/>
        </w:numPr>
        <w:rPr/>
      </w:pPr>
      <w:bookmarkStart w:id="832" w:name="__RefHeading___Toc686768_3406789950"/>
      <w:bookmarkStart w:id="833" w:name="_Toc302"/>
      <w:bookmarkEnd w:id="832"/>
      <w:r>
        <w:rPr>
          <w:rtl w:val="true"/>
        </w:rPr>
        <w:t>حكم ما إذا وضعت الولد الواحد قطعةً قطعةً</w:t>
      </w:r>
      <w:bookmarkEnd w:id="833"/>
    </w:p>
    <w:p>
      <w:pPr>
        <w:pStyle w:val="BookText"/>
        <w:rPr/>
      </w:pPr>
      <w:r>
        <w:rPr>
          <w:rFonts w:ascii="Amiri" w:hAnsi="Amiri" w:eastAsia="Amiri" w:cs="Amiri"/>
          <w:color w:val="111111"/>
          <w:sz w:val="28"/>
          <w:sz w:val="28"/>
          <w:szCs w:val="28"/>
          <w:rtl w:val="true"/>
          <w:lang w:bidi="ar-SA"/>
        </w:rPr>
        <w:t xml:space="preserve">بقي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 نّه لو وضعت الولد الواحد قطعةً قطعةً ، فهل يكون لكلّ قطعة نفاس مستقلّ مطلقاً ، أو لا يكون للجميع إلاّ نفاس ، أو يفصّل بين كون القطعة معتدّاً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خروجها بمنزلة ولادة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غيره ، أو يفصّل بين وقوع الفصل بأقلّ الطهر بين خروج القطعة الاُولى والثانية وعدمه ؟ وجوه </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الفصل بأقلّ الطهر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نفاساً واحداً ؛ لكون الولادة واحدةً عرفاً ولغةً وإن خرج المولود قطعةً قطعةً ، والنفاس واحدٌ مع استمرار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مع الفصل بالأقلّ من أقلّ الطهر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 نّه نفاس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مع الفصل بأقلّ الطهر يمكن أن يقال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نفاس واحد وإن فصل بين أجزائه طهر ؛ فإنّ العرف كما يرى الولادة واحدةً والمولود واحداً ، يرى الدم دم الولادة الواحدة ومن تتمّة النفاس ، لا نفاساً مستقلاًّ ، ولا مانع من الفصل بين أجزائه بأجنبيّ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ثمرة ظاهراً في خصوص الفرع 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النفاس من خروج الدم ، وحساب العدد من وضع القطعة الأخيرة ، كما يأتي الكلام فيه قريباً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خروج القطعات هل يكون مبدأ النفاس من بعد وضع المجموع ، كما احتمله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ويحتمل هنا توقّف النفاس على خروج المجموع ؛ وإن اكتفينا ببروز الجزء مع الاتّصال ؛ للفرق بينه وبين الانفصال</w:t>
      </w:r>
      <w:r>
        <w:rPr>
          <w:rFonts w:eastAsia="Amiri" w:cs="Amiri" w:ascii="Amiri" w:hAnsi="Amiri"/>
          <w:color w:val="111111"/>
          <w:sz w:val="28"/>
          <w:szCs w:val="28"/>
          <w:rtl w:val="true"/>
          <w:lang w:bidi="ar-SA"/>
        </w:rPr>
        <w:t>»</w:t>
      </w:r>
      <w:r>
        <w:rPr>
          <w:rStyle w:val="FootnoteAnchor"/>
          <w:rtl w:val="true"/>
        </w:rPr>
        <w:footnoteReference w:id="1472"/>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يذكر وجه الفرق ، فكأ نّه دعوى قصور الدليل عن شمول المنفصل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ما لا يخفى ؛ ضرورة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الخروج مقارناً للجزء كما مرّ</w:t>
      </w:r>
      <w:r>
        <w:rPr>
          <w:rStyle w:val="FootnoteAnchor"/>
          <w:rtl w:val="true"/>
        </w:rPr>
        <w:footnoteReference w:id="1473"/>
      </w:r>
      <w:r>
        <w:rPr>
          <w:rFonts w:ascii="Amiri" w:hAnsi="Amiri" w:eastAsia="Amiri" w:cs="Amiri"/>
          <w:color w:val="111111"/>
          <w:sz w:val="28"/>
          <w:sz w:val="28"/>
          <w:szCs w:val="28"/>
          <w:rtl w:val="true"/>
          <w:lang w:bidi="ar-SA"/>
        </w:rPr>
        <w:t xml:space="preserve">بل احتملنا أولوية الصدق من الدم بعد الولادة ، ولا فرق بنظر العرف في دمها بين كون الرأس منفصلاً عن الجسد أو متّصلاً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ريب في شمول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كخبر الخلقاني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للمنفصل أيضاً ، ودعوى الانصراف غير مسموعة ، فالفرق بينهما غير وجيه </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يكون مبدأ النفاس والحساب من أوّل خروج القطعة الاُولى ؛ لمرسلة </w:t>
      </w:r>
    </w:p>
    <w:p>
      <w:pPr>
        <w:pStyle w:val="BookText"/>
        <w:rPr/>
      </w:pPr>
      <w:r>
        <w:rPr>
          <w:rFonts w:ascii="Amiri" w:hAnsi="Amiri" w:eastAsia="Amiri" w:cs="Amiri"/>
          <w:color w:val="111111"/>
          <w:sz w:val="28"/>
          <w:sz w:val="28"/>
          <w:szCs w:val="28"/>
          <w:rtl w:val="true"/>
          <w:lang w:bidi="ar-SA"/>
        </w:rPr>
        <w:t>المفيد بل لمرسلاته</w:t>
      </w:r>
      <w:r>
        <w:rPr>
          <w:rStyle w:val="FootnoteAnchor"/>
          <w:rtl w:val="true"/>
        </w:rPr>
        <w:footnoteReference w:id="1474"/>
      </w:r>
      <w:r>
        <w:rPr>
          <w:rFonts w:ascii="Amiri" w:hAnsi="Amiri" w:eastAsia="Amiri" w:cs="Amiri"/>
          <w:color w:val="111111"/>
          <w:sz w:val="28"/>
          <w:sz w:val="28"/>
          <w:szCs w:val="28"/>
          <w:rtl w:val="true"/>
          <w:lang w:bidi="ar-SA"/>
        </w:rPr>
        <w:t xml:space="preserve">ولظهور أدلّة الأمر بالقعود مقدار أيّام عادتها ، في كون المبدأ أوّل ما صدق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أو يكون مبدأ النفاس خروج الدم مع بروز أوّل الجزء ، ومبدأ حساب أيّام القعود وحساب عشرة أيّام من زمان تمام الوضع ؟</w:t>
      </w:r>
    </w:p>
    <w:p>
      <w:pPr>
        <w:pStyle w:val="BookText"/>
        <w:rPr/>
      </w:pPr>
      <w:r>
        <w:rPr>
          <w:rFonts w:ascii="Amiri" w:hAnsi="Amiri" w:eastAsia="Amiri" w:cs="Amiri"/>
          <w:color w:val="111111"/>
          <w:sz w:val="28"/>
          <w:sz w:val="28"/>
          <w:szCs w:val="28"/>
          <w:rtl w:val="true"/>
          <w:lang w:bidi="ar-SA"/>
        </w:rPr>
        <w:t xml:space="preserve">الأقوى هو الأخير ؛ لأنّ روايات الباب على طوائف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لزوم ترك الصلاة إذا رأت على رأس الولد دماً ، كرواية الخلقاني والسكوني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المتقدّمات</w:t>
      </w:r>
      <w:r>
        <w:rPr>
          <w:rStyle w:val="FootnoteAnchor"/>
          <w:rtl w:val="true"/>
        </w:rPr>
        <w:footnoteReference w:id="1475"/>
      </w:r>
      <w:r>
        <w:rPr>
          <w:rFonts w:ascii="Amiri" w:hAnsi="Amiri" w:eastAsia="Amiri" w:cs="Amiri"/>
          <w:color w:val="111111"/>
          <w:sz w:val="28"/>
          <w:sz w:val="28"/>
          <w:szCs w:val="28"/>
          <w:rtl w:val="true"/>
          <w:lang w:bidi="ar-SA"/>
        </w:rPr>
        <w:t xml:space="preserve">، وهذه الطائفة لم تتعرّض لمقدار القعود ولا لمبدئه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أنّ النفاس لا يكون أكثر من عشرة أيّام ، كمرسلات المفيد</w:t>
      </w:r>
      <w:r>
        <w:rPr>
          <w:rStyle w:val="FootnoteAnchor"/>
          <w:rtl w:val="true"/>
        </w:rPr>
        <w:footnoteReference w:id="1476"/>
      </w:r>
      <w:r>
        <w:rPr>
          <w:rFonts w:ascii="Amiri" w:hAnsi="Amiri" w:eastAsia="Amiri" w:cs="Amiri"/>
          <w:color w:val="111111"/>
          <w:sz w:val="28"/>
          <w:sz w:val="28"/>
          <w:szCs w:val="28"/>
          <w:rtl w:val="true"/>
          <w:lang w:bidi="ar-SA"/>
        </w:rPr>
        <w:t>ومرسلة الشيخ عن ابن سنان</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أنّ النفساء تقعد بمقدار أيّام عادتها وتستظهر</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وهاتان الطائفتان ظاهرتان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المبدأ هو مبدأ تحقّق</w:t>
      </w:r>
    </w:p>
    <w:p>
      <w:pPr>
        <w:pStyle w:val="BookText"/>
        <w:rPr/>
      </w:pPr>
      <w:r>
        <w:rPr>
          <w:rFonts w:ascii="IRNazanin" w:hAnsi="IRNazanin" w:eastAsia="IRNazanin"/>
          <w:color w:val="111111"/>
          <w:sz w:val="28"/>
          <w:sz w:val="28"/>
          <w:szCs w:val="28"/>
          <w:rtl w:val="true"/>
          <w:lang w:bidi="fa-IR"/>
        </w:rPr>
        <w:t xml:space="preserve">النفاس وإن لم تتعرّض لخصوص المبدأ </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حسنة مالك بن أعين المتقدّمة حاكمة على الروايات ومبيّنة لحدودها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النفساء ، يغشاها زوجها وهي في نفاسها من الدم ؟ </w:t>
      </w:r>
      <w:bookmarkStart w:id="834" w:name="pg15019_191096"/>
    </w:p>
    <w:p>
      <w:pPr>
        <w:pStyle w:val="BookText"/>
        <w:rPr/>
      </w:pPr>
      <w:bookmarkEnd w:id="834"/>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 إذا مضى لها منذ يوم وضعت بقدر أيّام عدّة حيضها ، ثمّ تستظهر بيوم ، فلا بأس بعدُ أن يغشاها زوجها</w:t>
      </w:r>
      <w:r>
        <w:rPr>
          <w:rFonts w:eastAsia="Amiri" w:cs="Amiri" w:ascii="Amiri" w:hAnsi="Amiri"/>
          <w:color w:val="111111"/>
          <w:sz w:val="28"/>
          <w:szCs w:val="28"/>
          <w:rtl w:val="true"/>
          <w:lang w:bidi="ar-SA"/>
        </w:rPr>
        <w:t>»</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تنافي الروايات الدالّة على لزوم ترك الصلاة من أوّل</w:t>
      </w:r>
    </w:p>
    <w:p>
      <w:pPr>
        <w:pStyle w:val="BookText"/>
        <w:rPr/>
      </w:pPr>
      <w:r>
        <w:rPr>
          <w:rFonts w:ascii="Amiri" w:hAnsi="Amiri" w:eastAsia="Amiri" w:cs="Amiri"/>
          <w:color w:val="111111"/>
          <w:sz w:val="28"/>
          <w:sz w:val="28"/>
          <w:szCs w:val="28"/>
          <w:rtl w:val="true"/>
          <w:lang w:bidi="ar-SA"/>
        </w:rPr>
        <w:t>بروز الدم ، وهو ظاهر ، ولا ما دلّت على القعود بمقدار أيّام العادة ؛ لعدم تعرّضها</w:t>
      </w:r>
    </w:p>
    <w:p>
      <w:pPr>
        <w:pStyle w:val="BookText"/>
        <w:rPr/>
      </w:pPr>
      <w:r>
        <w:rPr>
          <w:rFonts w:ascii="Amiri" w:hAnsi="Amiri" w:eastAsia="Amiri" w:cs="Amiri"/>
          <w:color w:val="111111"/>
          <w:sz w:val="28"/>
          <w:sz w:val="28"/>
          <w:szCs w:val="28"/>
          <w:rtl w:val="true"/>
          <w:lang w:bidi="ar-SA"/>
        </w:rPr>
        <w:t xml:space="preserve">لمبدأ القعود ، وإنّما يفهم منها ذلك بالإطلاق والسكوت في مقام البيان ، وهو لا يقاوم ما تعرّض لمبدأ الحساب ؛ وأ نّه منذ يوم وضعت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هي حاكمة على مثل المرسلات ؛ فإنّها تدلّ على عدم زيادة عددها على الحيض ، وهي تدلّ على أنّ عدم الزيادة يحسب من أوّل يوم وضعت ، فلها حكومة عليها عرفاً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لأحد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الأدلّة هو التفصيل بين ذات العادة وغيرها ؛ والأخذ في غيرها بإطلاق ما دلّ على عدم الزيادة من حين الرؤية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تفصيل لم يلتزم به أحد ظاهراً ، ولم أرَ احتماله من أحد ، بل الظاهر أنّ حدّ النفاس في جميع النسوة بحسب الواقع واحد ؛ ولا يزيد على عشرة أيّام من يوم الوضع </w:t>
      </w:r>
      <w:r>
        <w:rPr>
          <w:rFonts w:eastAsia="Amiri" w:cs="Amiri" w:ascii="Amiri" w:hAnsi="Amiri"/>
          <w:color w:val="111111"/>
          <w:sz w:val="28"/>
          <w:szCs w:val="28"/>
          <w:rtl w:val="true"/>
          <w:lang w:bidi="ar-SA"/>
        </w:rPr>
        <w:t>.</w:t>
      </w:r>
    </w:p>
    <w:p>
      <w:pPr>
        <w:pStyle w:val="Heading5"/>
        <w:numPr>
          <w:ilvl w:val="4"/>
          <w:numId w:val="1"/>
        </w:numPr>
        <w:rPr/>
      </w:pPr>
      <w:bookmarkStart w:id="835" w:name="__RefHeading___Toc686770_3406789950"/>
      <w:bookmarkStart w:id="836" w:name="_Toc303"/>
      <w:bookmarkEnd w:id="835"/>
      <w:r>
        <w:rPr>
          <w:rtl w:val="true"/>
        </w:rPr>
        <w:t>حول ثمرة القول بتعدّد النفاسين</w:t>
      </w:r>
      <w:bookmarkEnd w:id="836"/>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 نّه تترتّب الثمرة على تعدّد النفاسين ؛ ما لو ولدت فرأت الدم ، وانقطع فولدت الثاني ، فرأت قبل مضيّ عشرة أيّام من </w:t>
      </w:r>
    </w:p>
    <w:p>
      <w:pPr>
        <w:pStyle w:val="BookText"/>
        <w:rPr/>
      </w:pPr>
      <w:r>
        <w:rPr>
          <w:rFonts w:ascii="Amiri" w:hAnsi="Amiri" w:eastAsia="Amiri" w:cs="Amiri"/>
          <w:color w:val="111111"/>
          <w:sz w:val="28"/>
          <w:sz w:val="28"/>
          <w:szCs w:val="28"/>
          <w:rtl w:val="true"/>
          <w:lang w:bidi="ar-SA"/>
        </w:rPr>
        <w:t>الولادة الاُولى ، فإنّه على التعدّد لا يحكم بنفاسية النقاء المتخلّل ، وعلى الوحدة يحكم بها</w:t>
      </w:r>
      <w:r>
        <w:rPr>
          <w:rFonts w:eastAsia="Amiri" w:cs="Amiri" w:ascii="Amiri" w:hAnsi="Amiri"/>
          <w:color w:val="111111"/>
          <w:sz w:val="28"/>
          <w:szCs w:val="28"/>
          <w:rtl w:val="true"/>
          <w:lang w:bidi="ar-SA"/>
        </w:rPr>
        <w:t>»</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الثمرة ليست من ثمرات القول بالتعدّد والوحدة ؛ لعدم إبطال الولادة الثانية نفاسية الاُولى ، فيكون النقاء خلال نفاس واحد ، فهو محكوم بالنفاسية ؛ بناءً على ما يأتي من نفاسية النقاء المتخلّل أثناء النفاس الواحد</w:t>
      </w:r>
      <w:r>
        <w:rPr>
          <w:rStyle w:val="FootnoteAnchor"/>
          <w:rtl w:val="true"/>
        </w:rPr>
        <w:footnoteReference w:id="1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الدم معنوناً بعنوان آخر وهو نفاس آخر ، لا يوجب إبطال حكم النفاس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من ثمرات القول بلزوم الارتباط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السببية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الولادة والدم الخارج عقيبها وعدمه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الدم الخارج عقيب الثانية نفاسين ، وباعتبار كونه من تتمّة النفاس الأوّل ، يكون النقاء المتخلّل في أثنائه نفاساً </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ما رأت عقيب الثانية مع النقاء بعد الولادة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إذا كان معتدّاً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نفاسين ، بل هو نفاس واحد مربوط بالولادة الثانية ، وقد تقدّم ترجيح ذلك</w:t>
      </w:r>
      <w:r>
        <w:rPr>
          <w:rStyle w:val="FootnoteAnchor"/>
          <w:rtl w:val="true"/>
        </w:rPr>
        <w:footnoteReference w:id="1482"/>
      </w:r>
      <w:r>
        <w:rPr>
          <w:rFonts w:ascii="Amiri" w:hAnsi="Amiri" w:eastAsia="Amiri" w:cs="Amiri"/>
          <w:color w:val="111111"/>
          <w:sz w:val="28"/>
          <w:sz w:val="28"/>
          <w:szCs w:val="28"/>
          <w:rtl w:val="true"/>
          <w:lang w:bidi="ar-SA"/>
        </w:rPr>
        <w:t xml:space="preserve">، فحينئذٍ لا يكون النقاء المتخلّل بحكم النفاس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الاحتياط لا ينبغي تركه </w:t>
      </w:r>
      <w:r>
        <w:rPr>
          <w:rFonts w:eastAsia="Amiri" w:cs="Amiri" w:ascii="Amiri" w:hAnsi="Amiri"/>
          <w:color w:val="111111"/>
          <w:sz w:val="28"/>
          <w:szCs w:val="28"/>
          <w:rtl w:val="true"/>
          <w:lang w:bidi="ar-SA"/>
        </w:rPr>
        <w:t xml:space="preserve">. </w:t>
      </w:r>
      <w:bookmarkStart w:id="837" w:name="pg15019_191100"/>
    </w:p>
    <w:p>
      <w:pPr>
        <w:pStyle w:val="Heading4"/>
        <w:numPr>
          <w:ilvl w:val="3"/>
          <w:numId w:val="1"/>
        </w:numPr>
        <w:rPr/>
      </w:pPr>
      <w:bookmarkStart w:id="838" w:name="__RefHeading___Toc686772_3406789950"/>
      <w:bookmarkStart w:id="839" w:name="_Toc304"/>
      <w:bookmarkEnd w:id="837"/>
      <w:bookmarkEnd w:id="838"/>
      <w:r>
        <w:rPr>
          <w:rtl w:val="true"/>
        </w:rPr>
        <w:t>المسألة الخامسة في حكم تأخّر الدم عن الولادة</w:t>
      </w:r>
      <w:bookmarkEnd w:id="839"/>
    </w:p>
    <w:p>
      <w:pPr>
        <w:pStyle w:val="Heading5"/>
        <w:numPr>
          <w:ilvl w:val="4"/>
          <w:numId w:val="1"/>
        </w:numPr>
        <w:rPr/>
      </w:pPr>
      <w:bookmarkStart w:id="840" w:name="__RefHeading___Toc686774_3406789950"/>
      <w:bookmarkStart w:id="841" w:name="_Toc305"/>
      <w:bookmarkEnd w:id="840"/>
      <w:r>
        <w:rPr>
          <w:rtl w:val="true"/>
        </w:rPr>
        <w:t>اشارة</w:t>
      </w:r>
      <w:bookmarkEnd w:id="841"/>
    </w:p>
    <w:p>
      <w:pPr>
        <w:pStyle w:val="BookText"/>
        <w:rPr/>
      </w:pPr>
      <w:r>
        <w:rPr>
          <w:rFonts w:ascii="Amiri" w:hAnsi="Amiri" w:eastAsia="Amiri" w:cs="Amiri"/>
          <w:color w:val="111111"/>
          <w:sz w:val="28"/>
          <w:sz w:val="28"/>
          <w:szCs w:val="28"/>
          <w:rtl w:val="true"/>
          <w:lang w:bidi="ar-SA"/>
        </w:rPr>
        <w:t xml:space="preserve">لو لم تَرَ دماً أوّلاً ثمّ 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يكون بعد عشرة أيّام من يوم الولادة ، أو أثناء العشرة قبل مضيّ مقدار عادتها ، كما لو كان مقدار عادتها ستّة ورأت في اليوم الرابع ، أو بعد مضيّ مقدارها ، كما لو رأت في الفرض في اليوم السابع أو العاشر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ينقطع إلى عشرة من يوم الولادة ، أو يتجاوز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فيقع الكلام في الفروض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نفاسية الدم ، 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مقدار قعودها ، 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ذات العادة وغيرها </w:t>
      </w:r>
      <w:r>
        <w:rPr>
          <w:rFonts w:eastAsia="Amiri" w:cs="Amiri" w:ascii="Amiri" w:hAnsi="Amiri"/>
          <w:color w:val="111111"/>
          <w:sz w:val="28"/>
          <w:szCs w:val="28"/>
          <w:rtl w:val="true"/>
          <w:lang w:bidi="ar-SA"/>
        </w:rPr>
        <w:t>.</w:t>
      </w:r>
    </w:p>
    <w:p>
      <w:pPr>
        <w:pStyle w:val="Heading5"/>
        <w:numPr>
          <w:ilvl w:val="4"/>
          <w:numId w:val="1"/>
        </w:numPr>
        <w:rPr/>
      </w:pPr>
      <w:bookmarkStart w:id="842" w:name="__RefHeading___Toc686776_3406789950"/>
      <w:bookmarkStart w:id="843" w:name="_Toc306"/>
      <w:bookmarkEnd w:id="842"/>
      <w:r>
        <w:rPr>
          <w:rtl w:val="true"/>
        </w:rPr>
        <w:t>الكلام في أصل نفاسية الدم</w:t>
      </w:r>
      <w:bookmarkEnd w:id="843"/>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بانصراف الأدلّة عن صورة تخلّف الدم عن حال الولادة ، خصوصاً إذا كان الفصل طويلاً ، كتسعة أيّام أو عشرة ، فيعمل في الدم على القواعد ، فيحكم بنفاسيته ؛ لصدق كونه نفاساً ، ولقاعدة الإمكان مع الشكّ في الصدق</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مع فرض الانصراف ، لا دليل على ترتّب الأحكام حتّى مع العلم بكونه نفاساً وكون المرأة نفساء ؛ لأنّ وجه الانصراف ندرة تخلّف الدم عن الولادة ، فيكون هذا الوجه موجوداً في جميع أدلّة الباب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ودعوى امتناع تخلّف الأحكام مع كون المرأة نفساء ، مدفوعة بأنّ الأحكام يمكن أن تكون مترتّبة على قسم من النفاس والنفساء ، كما ذكرنا في الحيض</w:t>
      </w:r>
      <w:r>
        <w:rPr>
          <w:rStyle w:val="FootnoteAnchor"/>
          <w:rtl w:val="true"/>
        </w:rPr>
        <w:footnoteReference w:id="1484"/>
      </w:r>
      <w:r>
        <w:rPr>
          <w:rFonts w:ascii="Amiri" w:hAnsi="Amiri" w:eastAsia="Amiri" w:cs="Amiri"/>
          <w:color w:val="111111"/>
          <w:sz w:val="28"/>
          <w:sz w:val="28"/>
          <w:szCs w:val="28"/>
          <w:rtl w:val="true"/>
          <w:lang w:bidi="ar-SA"/>
        </w:rPr>
        <w:t xml:space="preserve">؛ ألا ترى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صادقة على من ترى الدم إلى الحادي عشر بلا ريب ؛ ضرورة أنّ الدم الجاري إلى الساعة الأخيرة من اليوم العاشر ، نفاس في غير ذات العادة ، وبعدها ليس بنفاس 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الدم بحسب التكوين إلى هذه الساعة نفاس دون ما بعدها ، أو بحسب العرف والعادة كذلك ، فلا محالة يكون التصرّف في الموضوع من الشارع ، فجعل دمَ النفاس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مقدار معيّن أو وقت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حكمه دون غيره ، مع كونه نفاساً واقعاً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قصور الأدلّة عن إثبات الحكم لمن لم ترَ دماً مع الولادة أو قريباً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للانصراف حسب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مقتضى الاُصول والقواعد عدم محكومية المرأة بأحكام النفساء ، فلا يجب التنفّس عليها إذا لم تَرَ الدم ، ثمّ رأت</w:t>
      </w:r>
    </w:p>
    <w:p>
      <w:pPr>
        <w:pStyle w:val="BookText"/>
        <w:rPr/>
      </w:pPr>
      <w:r>
        <w:rPr>
          <w:rFonts w:ascii="IRNazanin" w:hAnsi="IRNazanin" w:eastAsia="IRNazanin"/>
          <w:color w:val="111111"/>
          <w:sz w:val="28"/>
          <w:sz w:val="28"/>
          <w:szCs w:val="28"/>
          <w:rtl w:val="true"/>
          <w:lang w:bidi="fa-IR"/>
        </w:rPr>
        <w:t xml:space="preserve">بعد فصل </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قاعدة الإمكان فلا أصل لها في الحيض كما عرفت</w:t>
      </w:r>
      <w:r>
        <w:rPr>
          <w:rStyle w:val="FootnoteAnchor"/>
          <w:rtl w:val="true"/>
        </w:rPr>
        <w:footnoteReference w:id="1485"/>
      </w:r>
      <w:r>
        <w:rPr>
          <w:rFonts w:ascii="Amiri" w:hAnsi="Amiri" w:eastAsia="Amiri" w:cs="Amiri"/>
          <w:color w:val="111111"/>
          <w:sz w:val="28"/>
          <w:sz w:val="28"/>
          <w:szCs w:val="28"/>
          <w:rtl w:val="true"/>
          <w:lang w:bidi="ar-SA"/>
        </w:rPr>
        <w:t xml:space="preserve">فضلاً عن النفاس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دليل القاعدة هو الأصل العقلائي كما قيل في باب الحيض</w:t>
      </w:r>
      <w:r>
        <w:rPr>
          <w:rStyle w:val="FootnoteAnchor"/>
          <w:rtl w:val="true"/>
        </w:rPr>
        <w:footnoteReference w:id="1486"/>
      </w:r>
      <w:r>
        <w:rPr>
          <w:rFonts w:ascii="Amiri" w:hAnsi="Amiri" w:eastAsia="Amiri" w:cs="Amiri"/>
          <w:color w:val="111111"/>
          <w:sz w:val="28"/>
          <w:sz w:val="28"/>
          <w:szCs w:val="28"/>
          <w:rtl w:val="true"/>
          <w:lang w:bidi="ar-SA"/>
        </w:rPr>
        <w:t xml:space="preserve">، وثبت بها كون الدم نفاساً والمرأة نفساء ، لا يفيد في المقام ، مع عدم دليل على ترتّب الأحكام على النفساء مطلقاً ، كما تقدّم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دعوى الانصراف في الأدلّة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فيما دلّت على أنّ النفساء تقعد أيّامها أو قدر عادتها </w:t>
      </w:r>
      <w:r>
        <w:rPr>
          <w:rStyle w:val="FootnoteAnchor"/>
          <w:rtl w:val="true"/>
        </w:rPr>
        <w:footnoteReference w:id="1487"/>
      </w:r>
      <w:r>
        <w:rPr>
          <w:rFonts w:ascii="Amiri" w:hAnsi="Amiri" w:eastAsia="Amiri" w:cs="Amiri"/>
          <w:color w:val="111111"/>
          <w:sz w:val="28"/>
          <w:sz w:val="28"/>
          <w:szCs w:val="28"/>
          <w:rtl w:val="true"/>
          <w:lang w:bidi="ar-SA"/>
        </w:rPr>
        <w:t xml:space="preserve">أو ما دلّت على جواز الغشيان إذا مضى لها منذ يوم وضعت بقدر أيّام عدّة حيضها </w:t>
      </w:r>
      <w:r>
        <w:rPr>
          <w:rStyle w:val="FootnoteAnchor"/>
          <w:rtl w:val="true"/>
        </w:rPr>
        <w:footnoteReference w:id="1488"/>
      </w:r>
      <w:r>
        <w:rPr>
          <w:rFonts w:ascii="Amiri" w:hAnsi="Amiri" w:eastAsia="Amiri" w:cs="Amiri"/>
          <w:color w:val="111111"/>
          <w:sz w:val="28"/>
          <w:sz w:val="28"/>
          <w:szCs w:val="28"/>
          <w:rtl w:val="true"/>
          <w:lang w:bidi="ar-SA"/>
        </w:rPr>
        <w:t>، أو ما دلّت على أنّ دم النفاس لا يكون أكثر من عشرة أيّام</w:t>
      </w:r>
      <w:r>
        <w:rPr>
          <w:rStyle w:val="FootnoteAnchor"/>
          <w:rtl w:val="true"/>
        </w:rPr>
        <w:footnoteReference w:id="1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وجيهة ؛ فإنّ ندرة الوجود وإن كانت موجبة لعدم انتقال الذهن إلى الفرد النادر ، لكن لا توجب الانصراف وخروج العنوان المأخوذ في الأدلّة عن كونه تمام الموضوع للحكم ، خصوصاً في مثل المقام الذي كان موضوع الحكم النفساء ، وتقتضي المناسبة بين الحكم والموضوع ، أن يكون الموضوع هو نفس العنوان ؛ من غير دخل للاُمور الخارجة فيها ، ولا يرى العرف للظرف والوقت موضوعية للأحكام </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نظير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يطهِّر</w:t>
      </w:r>
      <w:r>
        <w:rPr>
          <w:rFonts w:eastAsia="Amiri" w:cs="Amiri" w:ascii="Amiri" w:hAnsi="Amiri"/>
          <w:color w:val="111111"/>
          <w:sz w:val="28"/>
          <w:szCs w:val="28"/>
          <w:rtl w:val="true"/>
          <w:lang w:bidi="ar-SA"/>
        </w:rPr>
        <w:t>»</w:t>
      </w:r>
      <w:r>
        <w:rPr>
          <w:rStyle w:val="FootnoteAnchor"/>
          <w:rtl w:val="true"/>
        </w:rPr>
        <w:footnoteReference w:id="1490"/>
      </w:r>
      <w:r>
        <w:rPr>
          <w:rFonts w:ascii="Amiri" w:hAnsi="Amiri" w:eastAsia="Amiri" w:cs="Amiri"/>
          <w:color w:val="111111"/>
          <w:sz w:val="28"/>
          <w:sz w:val="28"/>
          <w:szCs w:val="28"/>
          <w:rtl w:val="true"/>
          <w:lang w:bidi="ar-SA"/>
        </w:rPr>
        <w:t xml:space="preserve">حيث يكون بعض مصاديقه نادر الوجود جدّاً ؛ بحيث ينصرف الذهن عنه ، لكنّ المناسبة بين الحكم والموضوع توجب دفع الانصراف ؛ لأنّ المطهّرية بنظر العرف لا تكون إلاّ لنفس طبيعة الماء ؛ من غير دخل لشيء آخر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العرف قد يلغي بعض القيود لأجل بعض المناسبات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فلا مجال لدعوى الانصراف </w:t>
      </w:r>
      <w:r>
        <w:rPr>
          <w:rFonts w:eastAsia="Amiri" w:cs="Amiri" w:ascii="Amiri" w:hAnsi="Amiri"/>
          <w:color w:val="111111"/>
          <w:sz w:val="28"/>
          <w:szCs w:val="28"/>
          <w:rtl w:val="true"/>
          <w:lang w:bidi="ar-SA"/>
        </w:rPr>
        <w:t xml:space="preserve">. </w:t>
      </w:r>
      <w:bookmarkStart w:id="844" w:name="pg15019_191105"/>
    </w:p>
    <w:p>
      <w:pPr>
        <w:pStyle w:val="BookText"/>
        <w:rPr/>
      </w:pPr>
      <w:bookmarkEnd w:id="844"/>
      <w:r>
        <w:rPr>
          <w:rFonts w:ascii="IRNazanin" w:hAnsi="IRNazanin" w:eastAsia="IRNazanin"/>
          <w:color w:val="111111"/>
          <w:sz w:val="28"/>
          <w:sz w:val="28"/>
          <w:szCs w:val="28"/>
          <w:rtl w:val="true"/>
          <w:lang w:bidi="fa-IR"/>
        </w:rPr>
        <w:t>وأوهن منها دعوى</w:t>
      </w:r>
      <w:r>
        <w:rPr>
          <w:rStyle w:val="FootnoteAnchor"/>
          <w:rtl w:val="true"/>
        </w:rPr>
        <w:footnoteReference w:id="1491"/>
      </w:r>
      <w:r>
        <w:rPr>
          <w:rFonts w:ascii="Amiri" w:hAnsi="Amiri" w:eastAsia="Amiri" w:cs="Amiri"/>
          <w:color w:val="111111"/>
          <w:sz w:val="28"/>
          <w:sz w:val="28"/>
          <w:szCs w:val="28"/>
          <w:rtl w:val="true"/>
          <w:lang w:bidi="ar-SA"/>
        </w:rPr>
        <w:t>الانصراف في بعض الأدلّة كحسنة مالك بن أعين</w:t>
      </w:r>
      <w:r>
        <w:rPr>
          <w:rStyle w:val="FootnoteAnchor"/>
          <w:rtl w:val="true"/>
        </w:rPr>
        <w:footnoteReference w:id="1492"/>
      </w:r>
      <w:r>
        <w:rPr>
          <w:rFonts w:ascii="Amiri" w:hAnsi="Amiri" w:eastAsia="Amiri" w:cs="Amiri"/>
          <w:color w:val="111111"/>
          <w:sz w:val="28"/>
          <w:sz w:val="28"/>
          <w:szCs w:val="28"/>
          <w:rtl w:val="true"/>
          <w:lang w:bidi="ar-SA"/>
        </w:rPr>
        <w:t xml:space="preserve">دون بعض ؛ ضرورة أ نّه لا وجه للتفصيل بعد كون وجه الانصراف ما تقدّم ، ولا يكون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في نفاسها من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موجباً للانصراف إلاّ للوجه المتقدّم </w:t>
      </w:r>
      <w:r>
        <w:rPr>
          <w:rFonts w:eastAsia="Amiri" w:cs="Amiri" w:ascii="Amiri" w:hAnsi="Amiri"/>
          <w:color w:val="111111"/>
          <w:sz w:val="28"/>
          <w:szCs w:val="28"/>
          <w:rtl w:val="true"/>
          <w:lang w:bidi="ar-SA"/>
        </w:rPr>
        <w:t>.</w:t>
      </w:r>
    </w:p>
    <w:p>
      <w:pPr>
        <w:pStyle w:val="Heading5"/>
        <w:numPr>
          <w:ilvl w:val="4"/>
          <w:numId w:val="1"/>
        </w:numPr>
        <w:rPr/>
      </w:pPr>
      <w:bookmarkStart w:id="845" w:name="__RefHeading___Toc686778_3406789950"/>
      <w:bookmarkStart w:id="846" w:name="_Toc307"/>
      <w:bookmarkEnd w:id="845"/>
      <w:r>
        <w:rPr>
          <w:rtl w:val="true"/>
        </w:rPr>
        <w:t>مقدار قعود ذات العادة مع انقطاع دمها في العشرة</w:t>
      </w:r>
      <w:bookmarkEnd w:id="846"/>
    </w:p>
    <w:p>
      <w:pPr>
        <w:pStyle w:val="BookText"/>
        <w:rPr/>
      </w:pPr>
      <w:r>
        <w:rPr>
          <w:rFonts w:ascii="Amiri" w:hAnsi="Amiri" w:eastAsia="Amiri" w:cs="Amiri"/>
          <w:color w:val="111111"/>
          <w:sz w:val="28"/>
          <w:sz w:val="28"/>
          <w:szCs w:val="28"/>
          <w:rtl w:val="true"/>
          <w:lang w:bidi="ar-SA"/>
        </w:rPr>
        <w:t xml:space="preserve">ثمّ إنّه بعد البناء على إنكار الانصراف في الأدلّة ، لا بدّ من بيان مفادها ووجه الجمع بينها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إطلاق ما دلّت على أنّ النفساء تقعد قدر حيضها وتستظهر يوماً أو يومين إلى عشرة أيّام ، أنّ كلّ من صدق عليها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عليها القعود قدر حيضها والاستظهار بعده ؛ كان الدم متّصلاً بالوضع أو منفصلاً ، قبل مضيّ مقدار العادة من يوم الوضع أو بعده ، بل قبل عشرة أيّام أو بعدها ، مع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منافاة بين هذه الطائفة وبين ما دلّت على أنّ دم النفاس لا يكون أكثر من عشرة أيّام ، كما هو واضح </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بقيت رواية مالك بن أعين ، حيث دلّت على أنّ مقدار أيّام العادة إنّما هو من يوم وضعت ، وإطلاقها يقتضي أن يكون حساب الأيّام من يوم الوضع ؛ سواء رأت الدم من حال الوضع أو لا ، ومقتضى تحكيمها على سائر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ذات العادة تقعد مع رؤية الدم ، مقدار أيّام عادتها من زمان الوضع ، فيكون ظرف القعود مقدار أيّام العادة من أوّل الوضع ، لكن مع رؤية الدم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مع عدم الرؤية رأساً فلا قعود لها ؛ لما دلّ على أنّ النفاس هو دم الولادة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ولمثل قويّة السكوني ورواية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والخلقاني</w:t>
      </w:r>
      <w:r>
        <w:rPr>
          <w:rStyle w:val="FootnoteAnchor"/>
          <w:rtl w:val="true"/>
        </w:rPr>
        <w:footnoteReference w:id="1493"/>
      </w:r>
      <w:r>
        <w:rPr>
          <w:rFonts w:ascii="Amiri" w:hAnsi="Amiri" w:eastAsia="Amiri" w:cs="Amiri"/>
          <w:color w:val="111111"/>
          <w:sz w:val="28"/>
          <w:sz w:val="28"/>
          <w:szCs w:val="28"/>
          <w:rtl w:val="true"/>
          <w:lang w:bidi="ar-SA"/>
        </w:rPr>
        <w:t xml:space="preserve">حيث علّق الحكم فيها على الدم المرئيّ على رأس الطفل ، فالقعود يتوقّف على رؤية الدم ، وكونِ ظرف الرؤية أيّام العادة من يوم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فالمرأة التي لم تَرَ دماً أوّل الوضع ليست موضوعة للحكم ؛ لفقدان قيد هو رؤية الدم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مضيّ مقدار العادة من زمن الوضع ، أيضاً لا تكون موضوعة له ؛ لفقدان قيد آخر هو عدم المضيّ من يوم الوضع بمقدار العادة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رؤيتها في زمان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موضوعة له ؛ لتحقّق جميع قيود الموضوع ، فهي امرأة وضعت ، ورأت الدم قبل مضيّ مقدار عادتها في الحيض منذ يوم وضعت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فمحصّل مفاد الأدلّة بعد تحكيم بعضها على بعض وردّ بعضها إلى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المرأة ذات العادة إذا رأت الدم من أوّل الوضع ، يجب عليها القعود مقدار أيّام عادتها ، وتستظهر بيوم أو يومين أو ثلاثة إلى عشرة أيّام من يوم الوضع ، ولا يجب الاستظهار ، كما مرّ في الحيض</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رأت بعد عدم رؤيتها أوّل الوضع قبل مضيّ مقدار عادتها ، يجب عليها التنفّس تتمّة مقدار العادة ، وتستظهر بعدها إلى العشرة </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رأت بعد مضيّ مقدار العادة ، فلا يجب عليها القعود والتنفّس ، فهل لها الاستظهار إلى العشرة أو لا ؟ </w:t>
      </w:r>
      <w:bookmarkStart w:id="847" w:name="pg15019_191109"/>
    </w:p>
    <w:p>
      <w:pPr>
        <w:pStyle w:val="BookText"/>
        <w:rPr/>
      </w:pPr>
      <w:bookmarkEnd w:id="847"/>
      <w:r>
        <w:rPr>
          <w:rFonts w:ascii="Amiri" w:hAnsi="Amiri" w:eastAsia="Amiri" w:cs="Amiri"/>
          <w:color w:val="111111"/>
          <w:sz w:val="28"/>
          <w:sz w:val="28"/>
          <w:szCs w:val="28"/>
          <w:rtl w:val="true"/>
          <w:lang w:bidi="ar-SA"/>
        </w:rPr>
        <w:t xml:space="preserve">لا تبعد مشروعيته ؛ لأنّ الظاهر أنّ الاستظهار إنّما هو لطلب ظهور حالها في زمان يمكن تحقّق النفاس فيه ، وبعد العادة إلى العشرة يمكن تحقّقه ؛ لأنّ الدم المرئيّ بعد العادة إذا انقطع على العشرة فهو نفاس ؛ للصدق العرفي ، ومع التجاوز عنها لا يكون نفاساً ؛ لخروج ما بعد العشرة من يوم الوضع ، وعدم الدليل على نفاسيته بعد العادة مع التجاوز ،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الاستدلال على عدم كونه نفاساً بأدلّة الاستظهار بعد أيّام العادة ؛ فإنّ أيّام العادة أيّام النفاس ظاهراً بحسب تلك الأدلّة ، وأيّام الاستظهار أيّام يمكن</w:t>
      </w:r>
    </w:p>
    <w:p>
      <w:pPr>
        <w:pStyle w:val="BookText"/>
        <w:rPr/>
      </w:pPr>
      <w:r>
        <w:rPr>
          <w:rFonts w:ascii="Amiri" w:hAnsi="Amiri" w:eastAsia="Amiri" w:cs="Amiri"/>
          <w:color w:val="111111"/>
          <w:sz w:val="28"/>
          <w:sz w:val="28"/>
          <w:szCs w:val="28"/>
          <w:rtl w:val="true"/>
          <w:lang w:bidi="ar-SA"/>
        </w:rPr>
        <w:t xml:space="preserve">أن يكون الدم فيها نفاساً وغير نفاس ، فيحتمل بدواً أن تكون النفاسية مع التجاوز ، وعدمها مع عدمه ، وبالعكس بأن تكون النفاسية مع عدم التجاوز ، وعدمها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في تعيّن الثاني ؛ بعد كون الاستظهار هاهنا كالاستظهار في الحيض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الاستظهار ملازماً للقعود ومن توابعه ، بل هو حكم مستقلّ شرع لأجل الاستظهار والاحتياط ؛ قعدت وتنفّست أو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غير ذات العادة وذات العادة عشرة أيّام ، فتجعل ما رأت بين العشرة نفاساً ، وما بعدها استحاضة ؛ لأنّ النفاس لا يكون أكثر من عشرة أيّام من حين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حال من انقطع دمها في العشرة </w:t>
      </w:r>
      <w:r>
        <w:rPr>
          <w:rFonts w:eastAsia="Amiri" w:cs="Amiri" w:ascii="Amiri" w:hAnsi="Amiri"/>
          <w:color w:val="111111"/>
          <w:sz w:val="28"/>
          <w:szCs w:val="28"/>
          <w:rtl w:val="true"/>
          <w:lang w:bidi="ar-SA"/>
        </w:rPr>
        <w:t>.</w:t>
      </w:r>
    </w:p>
    <w:p>
      <w:pPr>
        <w:pStyle w:val="Heading5"/>
        <w:numPr>
          <w:ilvl w:val="4"/>
          <w:numId w:val="1"/>
        </w:numPr>
        <w:rPr/>
      </w:pPr>
      <w:bookmarkStart w:id="848" w:name="__RefHeading___Toc686780_3406789950"/>
      <w:bookmarkStart w:id="849" w:name="_Toc308"/>
      <w:bookmarkEnd w:id="848"/>
      <w:r>
        <w:rPr>
          <w:rtl w:val="true"/>
        </w:rPr>
        <w:t>مقدار قعود ذات العادة مع تجاوز دمها عن العشرة</w:t>
      </w:r>
      <w:bookmarkEnd w:id="849"/>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إن تجاوز عنها فإن رأت في بعض أيّام العادة واستمرّ وتجاوز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كانت عادتها سبعة ، فرأت في الخامس مثلاً ، وتجاوز عن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فيحتمل </w:t>
      </w:r>
    </w:p>
    <w:p>
      <w:pPr>
        <w:pStyle w:val="BookText"/>
        <w:rPr/>
      </w:pPr>
      <w:r>
        <w:rPr>
          <w:rFonts w:ascii="Amiri" w:hAnsi="Amiri" w:eastAsia="Amiri" w:cs="Amiri"/>
          <w:color w:val="111111"/>
          <w:sz w:val="28"/>
          <w:sz w:val="28"/>
          <w:szCs w:val="28"/>
          <w:rtl w:val="true"/>
          <w:lang w:bidi="ar-SA"/>
        </w:rPr>
        <w:t xml:space="preserve">شمول الأدلّة لها ، فيجب عليها القعود بقيّة عادتها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ولها الاستظهار بيوم إلى تمام العشرة من يوم الوضع ، وبعدها مستحاضة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تكون بقيّة أيّام العادة أيّام نفاسها ، ثمّ هي مستحاضة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أقربية ذلك ؛ لاستفادته من أدلّة الاستظهار ، فإنّه لطلب ظهور الحال كما مرّ ، ولا يكون ذلك إلاّ على احتمال التجاوز وعدم نفاسية غير أيّام العادة ، وعدم التجاوز ونفاسية الجميع ، فإذا رأت في العادة وتجاوز ، تكون بقيّة الأيّام أيّام نفاسها ، والزائد عليها استحاضة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رأت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كانت عادتها سبعة ، فرأت في الثامن وتجاوز عن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شمول الروايات لها إشكال ، بل منع ؛ لعدم أيّام للقعود لها حتّى تؤمر به فيها ، وليس لها أيّام للاستظهار ؛ لأنّ الاستظهار إنّما هو فيما إذا رأت الدم</w:t>
      </w:r>
    </w:p>
    <w:p>
      <w:pPr>
        <w:pStyle w:val="BookText"/>
        <w:rPr/>
      </w:pPr>
      <w:r>
        <w:rPr>
          <w:rFonts w:ascii="Amiri" w:hAnsi="Amiri" w:eastAsia="Amiri" w:cs="Amiri"/>
          <w:color w:val="111111"/>
          <w:sz w:val="28"/>
          <w:sz w:val="28"/>
          <w:szCs w:val="28"/>
          <w:rtl w:val="true"/>
          <w:lang w:bidi="ar-SA"/>
        </w:rPr>
        <w:t xml:space="preserve">في العادة وتجاوز عنها ، فاحتملت الانقطاعَ على العشرة فيكون تمام الدم نفاساً ، وتجاوزَه عنها ، فتكون أيّام عادتها فقط نفاساً ، ومع هذه الشبهة وهذا الاحتمال ، يتحقّق موضوع الاستظهار وطلب ظهور حالها ، وأمّا إذا لم يكن تكليفها الرجوع إلى أيّام عادتها مع التجاوز ، فلا تكون مشتبهة في حالها موضوعاً ، ولا مشمولة لأدلّة ذات العادة ، فالأيّام التي بعد العادة إلى العشرة إمّا نفاس مطلقاً ؛ تجاوز الدم عن العشرة أو لا ، أو ليس بنفاس كذلك ، فلا تكون موضوعة للاستظهار </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تسالمهم على أنّ النفساء قبل تمام عشرة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تكن مشمولة لأدلّة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موضوعة للأحكام ، ويجب عليها التنفّس ؛ وإن أمكن المناقشة في دلالة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ينبغي ترك الاحتياط إلى العاشر ؛ بالجمع بين الوظيفتين ، بل لا يترك </w:t>
      </w:r>
      <w:r>
        <w:rPr>
          <w:rFonts w:eastAsia="Amiri" w:cs="Amiri" w:ascii="Amiri" w:hAnsi="Amiri"/>
          <w:color w:val="111111"/>
          <w:sz w:val="28"/>
          <w:szCs w:val="28"/>
          <w:rtl w:val="true"/>
          <w:lang w:bidi="ar-SA"/>
        </w:rPr>
        <w:t xml:space="preserve">. </w:t>
      </w:r>
      <w:bookmarkStart w:id="850" w:name="pg15019_191113"/>
    </w:p>
    <w:p>
      <w:pPr>
        <w:pStyle w:val="Heading4"/>
        <w:numPr>
          <w:ilvl w:val="3"/>
          <w:numId w:val="1"/>
        </w:numPr>
        <w:rPr/>
      </w:pPr>
      <w:bookmarkStart w:id="851" w:name="__RefHeading___Toc686782_3406789950"/>
      <w:bookmarkStart w:id="852" w:name="_Toc309"/>
      <w:bookmarkEnd w:id="850"/>
      <w:bookmarkEnd w:id="851"/>
      <w:r>
        <w:rPr>
          <w:rtl w:val="true"/>
        </w:rPr>
        <w:t>المسألة السادسة في تخلّل النقاء أثناء النفاس الواحد</w:t>
      </w:r>
      <w:bookmarkEnd w:id="852"/>
    </w:p>
    <w:p>
      <w:pPr>
        <w:pStyle w:val="BookText"/>
        <w:rPr/>
      </w:pPr>
      <w:r>
        <w:rPr>
          <w:rFonts w:ascii="Amiri" w:hAnsi="Amiri" w:eastAsia="Amiri" w:cs="Amiri"/>
          <w:color w:val="111111"/>
          <w:sz w:val="28"/>
          <w:sz w:val="28"/>
          <w:szCs w:val="28"/>
          <w:rtl w:val="true"/>
          <w:lang w:bidi="ar-SA"/>
        </w:rPr>
        <w:t xml:space="preserve">لو رأت في الأوّل ونقت ، ثمّ رأت ، فإمّا أن ترى الدم الثاني في بعض أيّام العادة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يتجاوز الدم عن العشرة أو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رأت في أيّام العادة فلا إشكال في كون الحاشيتين نفاساً ، والظاهر شمول أدلّة القعود أيّام العادة والاستظهار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الظاهر أنّ الدمين نفاس مع الانقطاع على العشرة مطلقاً ؛ للصدق العرفي ، وموضوعية النفساء قبل تجاوز دمها عن عشرة أيّام للحكم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التجاوز لا إشكال ظاهراً في ذات عادة عشرة أيّام وفي غير ذات العادة في كون الحاشيتين نفاساً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ذات العادة إذا كانت عادتها أقلّ منها ، فإن قلنا بشمول أدلّة الرجوع إلى العادة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إمكان القعود في أيّام عادتها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الدم الثاني</w:t>
      </w:r>
    </w:p>
    <w:p>
      <w:pPr>
        <w:pStyle w:val="BookText"/>
        <w:rPr/>
      </w:pPr>
      <w:r>
        <w:rPr>
          <w:rFonts w:ascii="Amiri" w:hAnsi="Amiri" w:eastAsia="Amiri" w:cs="Amiri"/>
          <w:color w:val="111111"/>
          <w:sz w:val="28"/>
          <w:sz w:val="28"/>
          <w:szCs w:val="28"/>
          <w:rtl w:val="true"/>
          <w:lang w:bidi="ar-SA"/>
        </w:rPr>
        <w:t xml:space="preserve">نفاساً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 بعدم شمولها لها فلا يبعد الحكم بنفاسية الطرفين ؛ ولو قلنا بكون</w:t>
      </w:r>
    </w:p>
    <w:p>
      <w:pPr>
        <w:pStyle w:val="BookText"/>
        <w:rPr/>
      </w:pPr>
      <w:r>
        <w:rPr>
          <w:rFonts w:ascii="Amiri" w:hAnsi="Amiri" w:eastAsia="Amiri" w:cs="Amiri"/>
          <w:color w:val="111111"/>
          <w:sz w:val="28"/>
          <w:sz w:val="28"/>
          <w:szCs w:val="28"/>
          <w:rtl w:val="true"/>
          <w:lang w:bidi="ar-SA"/>
        </w:rPr>
        <w:t xml:space="preserve">النقاء في البين في حكم النفاس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كون الدم الثاني نفاساً ممتنع ؛ لأ نّه يلزم من وجوده عدمه ؛ حيث إنّ نفاسيته سبب لاندراج المرأة في موضوع الأخبار الدالّة على أ نّها لا تقعد أزيد من أيّامها ؛ وأنّ ما تراه استحاضة</w:t>
      </w:r>
      <w:r>
        <w:rPr>
          <w:rFonts w:eastAsia="Amiri" w:cs="Amiri" w:ascii="Amiri" w:hAnsi="Amiri"/>
          <w:color w:val="111111"/>
          <w:sz w:val="28"/>
          <w:szCs w:val="28"/>
          <w:rtl w:val="true"/>
          <w:lang w:bidi="ar-SA"/>
        </w:rPr>
        <w:t>»</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الظاهر من الأدلّة كون الدم من أيّام العادة مستمرّاً إلى ما بعد </w:t>
      </w:r>
    </w:p>
    <w:p>
      <w:pPr>
        <w:pStyle w:val="BookText"/>
        <w:rPr/>
      </w:pPr>
      <w:r>
        <w:rPr>
          <w:rFonts w:ascii="Amiri" w:hAnsi="Amiri" w:eastAsia="Amiri" w:cs="Amiri"/>
          <w:color w:val="111111"/>
          <w:sz w:val="28"/>
          <w:sz w:val="28"/>
          <w:szCs w:val="28"/>
          <w:rtl w:val="true"/>
          <w:lang w:bidi="ar-SA"/>
        </w:rPr>
        <w:t xml:space="preserve">العشرة ، وشمولها لما اُلحِق به حكماً محلّ إشكال ، بل منع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الكلام في أنّ الطهر المتخلّل بين النفاس الواحد نفاس أو لا ؟</w:t>
      </w:r>
    </w:p>
    <w:p>
      <w:pPr>
        <w:pStyle w:val="BookText"/>
        <w:rPr/>
      </w:pPr>
      <w:r>
        <w:rPr>
          <w:rFonts w:ascii="Amiri" w:hAnsi="Amiri" w:eastAsia="Amiri" w:cs="Amiri"/>
          <w:color w:val="111111"/>
          <w:sz w:val="28"/>
          <w:sz w:val="28"/>
          <w:szCs w:val="28"/>
          <w:rtl w:val="true"/>
          <w:lang w:bidi="ar-SA"/>
        </w:rPr>
        <w:t xml:space="preserve">الظاهر نفاسيته ؛ لإطلاق صحيحة محمّد بن مسلم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القرء في أقلّ من عشرة أيّام</w:t>
      </w:r>
      <w:r>
        <w:rPr>
          <w:rFonts w:eastAsia="Amiri" w:cs="Amiri" w:ascii="Amiri" w:hAnsi="Amiri"/>
          <w:color w:val="111111"/>
          <w:sz w:val="28"/>
          <w:szCs w:val="28"/>
          <w:rtl w:val="true"/>
          <w:lang w:bidi="ar-SA"/>
        </w:rPr>
        <w:t>»</w:t>
      </w:r>
      <w:r>
        <w:rPr>
          <w:rStyle w:val="FootnoteAnchor"/>
          <w:rtl w:val="true"/>
        </w:rPr>
        <w:footnoteReference w:id="1496"/>
      </w:r>
      <w:r>
        <w:rPr>
          <w:rFonts w:ascii="Amiri" w:hAnsi="Amiri" w:eastAsia="Amiri" w:cs="Amiri"/>
          <w:color w:val="111111"/>
          <w:sz w:val="28"/>
          <w:sz w:val="28"/>
          <w:szCs w:val="28"/>
          <w:rtl w:val="true"/>
          <w:lang w:bidi="ar-SA"/>
        </w:rPr>
        <w:t xml:space="preserve">وخروج الطهر بين النفاسين من مفادها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بالتقريب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منه خروج الطهر بين النفاس الواحد ؛ فإنّ القرء في النفاسين لا يكون للاختزان بل جمع الدم إنّما هو لأجل الولد ، بخلاف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من الأخذ بإطلاق الصحيحة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يشكل التمسّك بمرسلة يونس بما مرّ</w:t>
      </w:r>
      <w:r>
        <w:rPr>
          <w:rStyle w:val="FootnoteAnchor"/>
          <w:rtl w:val="true"/>
        </w:rPr>
        <w:footnoteReference w:id="1497"/>
      </w:r>
      <w:r>
        <w:rPr>
          <w:rFonts w:ascii="Amiri" w:hAnsi="Amiri" w:eastAsia="Amiri" w:cs="Amiri"/>
          <w:color w:val="111111"/>
          <w:sz w:val="28"/>
          <w:sz w:val="28"/>
          <w:szCs w:val="28"/>
          <w:rtl w:val="true"/>
          <w:lang w:bidi="ar-SA"/>
        </w:rPr>
        <w:t xml:space="preserve">، والظاهر أنّ الحكم متسالم عليه بينهم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الاستدلال على المطلوب بصدق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المرأة في أيّام النقاء ؛ إذ لا يعتبر في مثل هذا المشتقّ تلبّس الذات بالمبدأ على الدوام ، فيشمله حينئذٍ كلّ ما دلّ على أنّ النفساء تكفّ عن الصلاة أيّام قرئها ، كما أفاد الشيخ الأعظم</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فغير تامّ ؛ ضرورة أ نّه لو سلّم الصدق في الفترات القليلة ، لم يسلّم في مثل المفروض ممّا كان أيّام النقاء ثمانية مثلاً ، وأيّام التلبّس يوماً أو يومين من الحاشيتين بعد فرض كون المبدأ هو الدم </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فرض أنّ المبدأ هو حال معنوي محفوظ أو استعداد لقذف الدم ، كان حاصلاً والمشتقّ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ممنوع مخالف للأدلّة ، كما لا يخفى </w:t>
      </w:r>
      <w:r>
        <w:rPr>
          <w:rFonts w:eastAsia="Amiri" w:cs="Amiri" w:ascii="Amiri" w:hAnsi="Amiri"/>
          <w:color w:val="111111"/>
          <w:sz w:val="28"/>
          <w:szCs w:val="28"/>
          <w:rtl w:val="true"/>
          <w:lang w:bidi="ar-SA"/>
        </w:rPr>
        <w:t xml:space="preserve">. </w:t>
      </w:r>
      <w:bookmarkStart w:id="853" w:name="pg15019_191117"/>
    </w:p>
    <w:p>
      <w:pPr>
        <w:pStyle w:val="Heading4"/>
        <w:numPr>
          <w:ilvl w:val="3"/>
          <w:numId w:val="1"/>
        </w:numPr>
        <w:rPr/>
      </w:pPr>
      <w:bookmarkStart w:id="854" w:name="__RefHeading___Toc686784_3406789950"/>
      <w:bookmarkStart w:id="855" w:name="_Toc310"/>
      <w:bookmarkEnd w:id="853"/>
      <w:bookmarkEnd w:id="854"/>
      <w:r>
        <w:rPr>
          <w:rtl w:val="true"/>
        </w:rPr>
        <w:t>المسألة السابعة في اتّحاد أحكام النفساء والحائض</w:t>
      </w:r>
      <w:bookmarkEnd w:id="855"/>
    </w:p>
    <w:p>
      <w:pPr>
        <w:pStyle w:val="BookText"/>
        <w:rPr/>
      </w:pPr>
      <w:r>
        <w:rPr>
          <w:rFonts w:ascii="Amiri" w:hAnsi="Amiri" w:eastAsia="Amiri" w:cs="Amiri"/>
          <w:color w:val="111111"/>
          <w:sz w:val="28"/>
          <w:sz w:val="28"/>
          <w:szCs w:val="28"/>
          <w:rtl w:val="true"/>
          <w:lang w:bidi="ar-SA"/>
        </w:rPr>
        <w:t xml:space="preserve">النفساء كالحائض في جميع الأحكام إلاّ ما استثني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بعضها </w:t>
      </w:r>
      <w:r>
        <w:rPr>
          <w:rStyle w:val="FootnoteAnchor"/>
          <w:rtl w:val="true"/>
        </w:rPr>
        <w:footnoteReference w:id="1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المفاتيح</w:t>
      </w:r>
      <w:r>
        <w:rPr>
          <w:rFonts w:eastAsia="Amiri" w:cs="Amiri" w:ascii="Amiri" w:hAnsi="Amiri"/>
          <w:color w:val="111111"/>
          <w:sz w:val="28"/>
          <w:szCs w:val="28"/>
          <w:rtl w:val="true"/>
          <w:lang w:bidi="ar-SA"/>
        </w:rPr>
        <w:t>»</w:t>
      </w:r>
      <w:r>
        <w:rPr>
          <w:rStyle w:val="FootnoteAnchor"/>
          <w:rtl w:val="true"/>
        </w:rPr>
        <w:footnoteReference w:id="1500"/>
      </w:r>
      <w:r>
        <w:rPr>
          <w:rFonts w:ascii="Amiri" w:hAnsi="Amiri" w:eastAsia="Amiri" w:cs="Amiri"/>
          <w:color w:val="111111"/>
          <w:sz w:val="28"/>
          <w:sz w:val="28"/>
          <w:szCs w:val="28"/>
          <w:rtl w:val="true"/>
          <w:lang w:bidi="ar-SA"/>
        </w:rPr>
        <w:t xml:space="preserve">، وهو قول الأصحاب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1501"/>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نعرف فيه خلافاً بين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502"/>
      </w:r>
      <w:r>
        <w:rPr>
          <w:rFonts w:ascii="Amiri" w:hAnsi="Amiri" w:eastAsia="Amiri" w:cs="Amiri"/>
          <w:color w:val="111111"/>
          <w:sz w:val="28"/>
          <w:sz w:val="28"/>
          <w:szCs w:val="28"/>
          <w:rtl w:val="true"/>
          <w:lang w:bidi="ar-SA"/>
        </w:rPr>
        <w:t xml:space="preserve">، وهو الحجّة بعد ظهور التسالم بينهم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الاستدلال</w:t>
      </w:r>
      <w:r>
        <w:rPr>
          <w:rStyle w:val="FootnoteAnchor"/>
          <w:rtl w:val="true"/>
        </w:rPr>
        <w:footnoteReference w:id="1503"/>
      </w:r>
      <w:r>
        <w:rPr>
          <w:rFonts w:ascii="Amiri" w:hAnsi="Amiri" w:eastAsia="Amiri" w:cs="Amiri"/>
          <w:color w:val="111111"/>
          <w:sz w:val="28"/>
          <w:sz w:val="28"/>
          <w:szCs w:val="28"/>
          <w:rtl w:val="true"/>
          <w:lang w:bidi="ar-SA"/>
        </w:rPr>
        <w:t>عليه بأنّ النفاس هو الحيض المحتبس ، فقد مرّ عدم الدليل عليه</w:t>
      </w:r>
      <w:r>
        <w:rPr>
          <w:rStyle w:val="FootnoteAnchor"/>
          <w:rtl w:val="true"/>
        </w:rPr>
        <w:footnoteReference w:id="1504"/>
      </w:r>
      <w:r>
        <w:rPr>
          <w:rFonts w:ascii="Amiri" w:hAnsi="Amiri" w:eastAsia="Amiri" w:cs="Amiri"/>
          <w:color w:val="111111"/>
          <w:sz w:val="28"/>
          <w:sz w:val="28"/>
          <w:szCs w:val="28"/>
          <w:rtl w:val="true"/>
          <w:lang w:bidi="ar-SA"/>
        </w:rPr>
        <w:t>، وبعد الإجماع على مشاركتهما في الحكم ، لا وقع لدعوى الإجماع</w:t>
      </w:r>
    </w:p>
    <w:p>
      <w:pPr>
        <w:pStyle w:val="BookText"/>
        <w:rPr/>
      </w:pPr>
      <w:r>
        <w:rPr>
          <w:rFonts w:ascii="Amiri" w:hAnsi="Amiri" w:eastAsia="Amiri" w:cs="Amiri"/>
          <w:color w:val="111111"/>
          <w:sz w:val="28"/>
          <w:sz w:val="28"/>
          <w:szCs w:val="28"/>
          <w:rtl w:val="true"/>
          <w:lang w:bidi="ar-SA"/>
        </w:rPr>
        <w:t xml:space="preserve">على أ نّه حيض محتبس ؛ فإنّه يرجع إلى مشاركتهما حكماً ، وهو عين الإجماع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وحدة الموضوع تكويناً ، فالاتّكال على الإجماع لإثباتها مشكل </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أوّلاً وآخراً وظاهراً وباطناً قد وقع الفراغ من هذه الوجيزة يوم السبت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ربيع الأوّل من سنة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6" w:name="pg15019_191121"/>
      <w:bookmarkStart w:id="857" w:name="pg15019_191121"/>
      <w:bookmarkEnd w:id="857"/>
    </w:p>
    <w:p>
      <w:pPr>
        <w:pStyle w:val="Heading2"/>
        <w:numPr>
          <w:ilvl w:val="1"/>
          <w:numId w:val="1"/>
        </w:numPr>
        <w:rPr/>
      </w:pPr>
      <w:bookmarkStart w:id="858" w:name="pg15019_191121"/>
      <w:bookmarkStart w:id="859" w:name="__RefHeading___Toc686786_3406789950"/>
      <w:bookmarkStart w:id="860" w:name="_Toc311"/>
      <w:bookmarkEnd w:id="858"/>
      <w:bookmarkEnd w:id="859"/>
      <w:r>
        <w:rPr>
          <w:rtl w:val="true"/>
        </w:rPr>
        <w:t>الفهارس العامّة</w:t>
      </w:r>
      <w:bookmarkEnd w:id="860"/>
    </w:p>
    <w:p>
      <w:pPr>
        <w:pStyle w:val="Heading3"/>
        <w:numPr>
          <w:ilvl w:val="2"/>
          <w:numId w:val="1"/>
        </w:numPr>
        <w:rPr/>
      </w:pPr>
      <w:bookmarkStart w:id="861" w:name="__RefHeading___Toc686788_3406789950"/>
      <w:bookmarkStart w:id="862" w:name="_Toc312"/>
      <w:bookmarkEnd w:id="861"/>
      <w:r>
        <w:rPr>
          <w:rtl w:val="true"/>
        </w:rPr>
        <w:t>اشارة</w:t>
      </w:r>
      <w:bookmarkEnd w:id="8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الآيات الكريمة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الأحاديث الشريفة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أسماء المعصومين علیهم السلام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الأعلام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الكتب الواردة في المتن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مصادر التحقيق</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الموضوعات </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3" w:name="pg15019_191124"/>
      <w:bookmarkStart w:id="864" w:name="pg15019_191124"/>
      <w:bookmarkEnd w:id="864"/>
    </w:p>
    <w:p>
      <w:pPr>
        <w:pStyle w:val="Heading3"/>
        <w:numPr>
          <w:ilvl w:val="2"/>
          <w:numId w:val="1"/>
        </w:numPr>
        <w:rPr/>
      </w:pPr>
      <w:bookmarkStart w:id="865" w:name="pg15019_191124"/>
      <w:bookmarkStart w:id="866" w:name="__RefHeading___Toc686790_3406789950"/>
      <w:bookmarkStart w:id="867" w:name="_Toc313"/>
      <w:bookmarkEnd w:id="865"/>
      <w:bookmarkEnd w:id="866"/>
      <w:r>
        <w:rPr/>
        <w:t>1</w:t>
      </w:r>
      <w:r>
        <w:rPr>
          <w:rtl w:val="true"/>
        </w:rPr>
        <w:t xml:space="preserve"> - </w:t>
      </w:r>
      <w:r>
        <w:rPr>
          <w:rtl w:val="true"/>
        </w:rPr>
        <w:t>فهرس الآيات الكريمة</w:t>
      </w:r>
      <w:bookmarkEnd w:id="867"/>
    </w:p>
    <w:p>
      <w:pPr>
        <w:pStyle w:val="BookText"/>
        <w:rPr/>
      </w:pPr>
      <w:r>
        <w:rPr>
          <w:rFonts w:ascii="Amiri" w:hAnsi="Amiri" w:eastAsia="Amiri" w:cs="Amiri"/>
          <w:color w:val="111111"/>
          <w:sz w:val="28"/>
          <w:sz w:val="28"/>
          <w:szCs w:val="28"/>
          <w:rtl w:val="true"/>
          <w:lang w:bidi="ar-SA"/>
        </w:rPr>
        <w:t>الآية رقمها الصفحة</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كَانَ مَرِيضاً أَوْ عَلَى سَفَرٍ فَعِدَّةٌ</w:t>
      </w:r>
    </w:p>
    <w:p>
      <w:pPr>
        <w:pStyle w:val="BookText"/>
        <w:rPr/>
      </w:pPr>
      <w:r>
        <w:rPr>
          <w:rFonts w:ascii="Amiri" w:hAnsi="Amiri" w:eastAsia="Amiri" w:cs="Amiri"/>
          <w:color w:val="111111"/>
          <w:sz w:val="28"/>
          <w:sz w:val="28"/>
          <w:szCs w:val="28"/>
          <w:rtl w:val="true"/>
          <w:lang w:bidi="ar-SA"/>
        </w:rPr>
        <w:t>مِنْ أَيَّامٍ اُخَرَ يُرِيدُ اللّه‌ُ بِكُمُ الْيُسْرَ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اللّه‌ُ بِكُمُ الْيُسْرَ وَلاَ يُرِيدُ بِكُمُ</w:t>
      </w:r>
    </w:p>
    <w:p>
      <w:pPr>
        <w:pStyle w:val="BookText"/>
        <w:rPr/>
      </w:pPr>
      <w:r>
        <w:rPr>
          <w:rFonts w:ascii="Amiri" w:hAnsi="Amiri" w:eastAsia="Amiri" w:cs="Amiri"/>
          <w:color w:val="111111"/>
          <w:sz w:val="28"/>
          <w:sz w:val="28"/>
          <w:szCs w:val="28"/>
          <w:rtl w:val="true"/>
          <w:lang w:bidi="ar-SA"/>
        </w:rPr>
        <w:t>الْعُسْرَ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 لُونَكَ عَنِ الْمَحِيضِ قُلْ هُوَ</w:t>
      </w:r>
    </w:p>
    <w:p>
      <w:pPr>
        <w:pStyle w:val="BookText"/>
        <w:rPr/>
      </w:pPr>
      <w:r>
        <w:rPr>
          <w:rFonts w:ascii="Amiri" w:hAnsi="Amiri" w:eastAsia="Amiri" w:cs="Amiri"/>
          <w:color w:val="111111"/>
          <w:sz w:val="28"/>
          <w:sz w:val="28"/>
          <w:szCs w:val="28"/>
          <w:rtl w:val="true"/>
          <w:lang w:bidi="ar-SA"/>
        </w:rPr>
        <w:t>أَذىً فَاعْتَزِلُوا النِّسَاءَ فِى الْمَحِيضِ</w:t>
      </w:r>
    </w:p>
    <w:p>
      <w:pPr>
        <w:pStyle w:val="BookText"/>
        <w:rPr/>
      </w:pPr>
      <w:r>
        <w:rPr>
          <w:rFonts w:ascii="Amiri" w:hAnsi="Amiri" w:eastAsia="Amiri" w:cs="Amiri"/>
          <w:color w:val="111111"/>
          <w:sz w:val="28"/>
          <w:sz w:val="28"/>
          <w:szCs w:val="28"/>
          <w:rtl w:val="true"/>
          <w:lang w:bidi="ar-SA"/>
        </w:rPr>
        <w:t>وَلاَ تَقْرَبُوهُنَّ حَتَّى يَطْهُرْنَ فَإِذَا</w:t>
      </w:r>
    </w:p>
    <w:p>
      <w:pPr>
        <w:pStyle w:val="BookText"/>
        <w:rPr/>
      </w:pPr>
      <w:r>
        <w:rPr>
          <w:rFonts w:ascii="Amiri" w:hAnsi="Amiri" w:eastAsia="Amiri" w:cs="Amiri"/>
          <w:color w:val="111111"/>
          <w:sz w:val="28"/>
          <w:sz w:val="28"/>
          <w:szCs w:val="28"/>
          <w:rtl w:val="true"/>
          <w:lang w:bidi="ar-SA"/>
        </w:rPr>
        <w:t>تَطَهَّرْنَ فَأْتُوهُنَّ مِنْ حَيْثُ أَمَرَكُمُ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 لُونَكَ عَنِ الْمَحِيضِ قُلْ هُوَ أَذىً</w:t>
      </w:r>
    </w:p>
    <w:p>
      <w:pPr>
        <w:pStyle w:val="BookText"/>
        <w:rPr/>
      </w:pPr>
      <w:r>
        <w:rPr>
          <w:rFonts w:ascii="Amiri" w:hAnsi="Amiri" w:eastAsia="Amiri" w:cs="Amiri"/>
          <w:color w:val="111111"/>
          <w:sz w:val="28"/>
          <w:sz w:val="28"/>
          <w:szCs w:val="28"/>
          <w:rtl w:val="true"/>
          <w:lang w:bidi="ar-SA"/>
        </w:rPr>
        <w:t>فَاعْتَزِلُوا النِّسَاءَ فِى ا لْمَحِيضِ وَلاَ</w:t>
      </w:r>
    </w:p>
    <w:p>
      <w:pPr>
        <w:pStyle w:val="BookText"/>
        <w:rPr/>
      </w:pPr>
      <w:r>
        <w:rPr>
          <w:rFonts w:ascii="Amiri" w:hAnsi="Amiri" w:eastAsia="Amiri" w:cs="Amiri"/>
          <w:color w:val="111111"/>
          <w:sz w:val="28"/>
          <w:sz w:val="28"/>
          <w:szCs w:val="28"/>
          <w:rtl w:val="true"/>
          <w:lang w:bidi="ar-SA"/>
        </w:rPr>
        <w:t>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رَبُوهُنَّ حَتَّى يَطْهُرْنَ فَإِذَا تَطَهَّرْنَ</w:t>
      </w:r>
    </w:p>
    <w:p>
      <w:pPr>
        <w:pStyle w:val="BookText"/>
        <w:rPr/>
      </w:pPr>
      <w:r>
        <w:rPr>
          <w:rFonts w:ascii="Amiri" w:hAnsi="Amiri" w:eastAsia="Amiri" w:cs="Amiri"/>
          <w:color w:val="111111"/>
          <w:sz w:val="28"/>
          <w:sz w:val="28"/>
          <w:szCs w:val="28"/>
          <w:rtl w:val="true"/>
          <w:lang w:bidi="ar-SA"/>
        </w:rPr>
        <w:t>فَأ تُوهُنَّ مِنْ حَيْثُ أَمَرَكُمُ اللّه‌ُ إِنَّ اللّه‌َ</w:t>
      </w:r>
    </w:p>
    <w:p>
      <w:pPr>
        <w:pStyle w:val="BookText"/>
        <w:rPr/>
      </w:pPr>
      <w:r>
        <w:rPr>
          <w:rFonts w:ascii="Amiri" w:hAnsi="Amiri" w:eastAsia="Amiri" w:cs="Amiri"/>
          <w:color w:val="111111"/>
          <w:sz w:val="28"/>
          <w:sz w:val="28"/>
          <w:szCs w:val="28"/>
          <w:rtl w:val="true"/>
          <w:lang w:bidi="ar-SA"/>
        </w:rPr>
        <w:t>يُحِبُّ التَّوَّابِينَ وَيُحِبُّ الْمُتَطَهِّرِينَ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أَذىً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 رقمها 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فَاعْتَزِلُوا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تَقْرَبُوهُنَّ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يَطْهُرْنَ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يَطْهُرْنَ فَإِذَا تَطَهَّرْنَ فَأْتُوهُنَّ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تَطَهَّرْنَ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 حَرْثَكُمْ أَ نَّى شِئْتُمْ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اللّه‌ُ لِيَذَرَ الْمُؤْمِنِينَ عَلَى</w:t>
      </w:r>
    </w:p>
    <w:p>
      <w:pPr>
        <w:pStyle w:val="BookText"/>
        <w:rPr/>
      </w:pPr>
      <w:r>
        <w:rPr>
          <w:rFonts w:ascii="Amiri" w:hAnsi="Amiri" w:eastAsia="Amiri" w:cs="Amiri"/>
          <w:color w:val="111111"/>
          <w:sz w:val="28"/>
          <w:sz w:val="28"/>
          <w:szCs w:val="28"/>
          <w:rtl w:val="true"/>
          <w:lang w:bidi="ar-SA"/>
        </w:rPr>
        <w:t>مَا أَنْتُمْ عَلَيْهِ حَتَّى يَمِيزَ الْخَبِيثَ</w:t>
      </w:r>
    </w:p>
    <w:p>
      <w:pPr>
        <w:pStyle w:val="BookText"/>
        <w:rPr/>
      </w:pPr>
      <w:r>
        <w:rPr>
          <w:rFonts w:ascii="Amiri" w:hAnsi="Amiri" w:eastAsia="Amiri" w:cs="Amiri"/>
          <w:color w:val="111111"/>
          <w:sz w:val="28"/>
          <w:sz w:val="28"/>
          <w:szCs w:val="28"/>
          <w:rtl w:val="true"/>
          <w:lang w:bidi="ar-SA"/>
        </w:rPr>
        <w:t>مِنَ الطَّيِّبِ وَمَا كَانَ اللّه‌ُ لِيُطْلِعَكُمْ</w:t>
      </w:r>
    </w:p>
    <w:p>
      <w:pPr>
        <w:pStyle w:val="BookText"/>
        <w:rPr/>
      </w:pPr>
      <w:r>
        <w:rPr>
          <w:rFonts w:ascii="Amiri" w:hAnsi="Amiri" w:eastAsia="Amiri" w:cs="Amiri"/>
          <w:color w:val="111111"/>
          <w:sz w:val="28"/>
          <w:sz w:val="28"/>
          <w:szCs w:val="28"/>
          <w:rtl w:val="true"/>
          <w:lang w:bidi="ar-SA"/>
        </w:rPr>
        <w:t>عَلَى الْغَيْبِ وَلكِنَّ اللّه‌َ يَجْتَبِى مِنْ</w:t>
      </w:r>
    </w:p>
    <w:p>
      <w:pPr>
        <w:pStyle w:val="BookText"/>
        <w:rPr/>
      </w:pPr>
      <w:r>
        <w:rPr>
          <w:rFonts w:ascii="Amiri" w:hAnsi="Amiri" w:eastAsia="Amiri" w:cs="Amiri"/>
          <w:color w:val="111111"/>
          <w:sz w:val="28"/>
          <w:sz w:val="28"/>
          <w:szCs w:val="28"/>
          <w:rtl w:val="true"/>
          <w:lang w:bidi="ar-SA"/>
        </w:rPr>
        <w:t>رُسُلِهِ مَنْ يَشَاءُ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قُمْتُمْ إِلَى الصَّلَوةِ فَاغْسِلُوا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قُمْتُمْ إِلَى الصَّلَوةِ فَاغْسِلُوا</w:t>
      </w:r>
    </w:p>
    <w:p>
      <w:pPr>
        <w:pStyle w:val="BookText"/>
        <w:rPr/>
      </w:pPr>
      <w:r>
        <w:rPr>
          <w:rFonts w:ascii="Amiri" w:hAnsi="Amiri" w:eastAsia="Amiri" w:cs="Amiri"/>
          <w:color w:val="111111"/>
          <w:sz w:val="28"/>
          <w:sz w:val="28"/>
          <w:szCs w:val="28"/>
          <w:rtl w:val="true"/>
          <w:lang w:bidi="ar-SA"/>
        </w:rPr>
        <w:t>وُجُوهَكُمْ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كُنْتُمْ جُنُباً فَاطَّهَّرُوا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يُرِيدُ اللّه‌ُ لِيَجْعَلَ عَلَيْكُمْ مِنْ</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حَرَجٍ وَلكِنْ يُرِيدُ لِيُطَهِّرَكُمْ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 رقمها الصفحة</w:t>
      </w:r>
    </w:p>
    <w:p>
      <w:pPr>
        <w:pStyle w:val="BookText"/>
        <w:rPr/>
      </w:pP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دَخَلَتْ اُمَّةٌ لَعَنَتْ اُخْتَهَا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اللّه‌ُ لِيُعَذِّبَهُمْ وَأَنْتَ فِيهِمْ وَمَا</w:t>
      </w:r>
    </w:p>
    <w:p>
      <w:pPr>
        <w:pStyle w:val="BookText"/>
        <w:rPr/>
      </w:pPr>
      <w:r>
        <w:rPr>
          <w:rFonts w:ascii="Amiri" w:hAnsi="Amiri" w:eastAsia="Amiri" w:cs="Amiri"/>
          <w:color w:val="111111"/>
          <w:sz w:val="28"/>
          <w:sz w:val="28"/>
          <w:szCs w:val="28"/>
          <w:rtl w:val="true"/>
          <w:lang w:bidi="ar-SA"/>
        </w:rPr>
        <w:t>كَانَ اللّه‌ُ مُعَذِّبَهُمْ وَهُمْ يَسْتَغْفِرُونَ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الْمُؤْمِنُونَ لِيَنْفِرُوا كَافَّةً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ظُلُمَاتٌ بَعْضُهَا فَوْقَ بَعْضٍ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8" w:name="pg15019_191132"/>
      <w:bookmarkStart w:id="869" w:name="pg15019_191132"/>
      <w:bookmarkEnd w:id="869"/>
    </w:p>
    <w:p>
      <w:pPr>
        <w:pStyle w:val="Heading3"/>
        <w:numPr>
          <w:ilvl w:val="2"/>
          <w:numId w:val="1"/>
        </w:numPr>
        <w:rPr/>
      </w:pPr>
      <w:bookmarkStart w:id="870" w:name="pg15019_191132"/>
      <w:bookmarkStart w:id="871" w:name="__RefHeading___Toc686792_3406789950"/>
      <w:bookmarkStart w:id="872" w:name="_Toc314"/>
      <w:bookmarkEnd w:id="870"/>
      <w:bookmarkEnd w:id="871"/>
      <w:r>
        <w:rPr/>
        <w:t>2</w:t>
      </w:r>
      <w:r>
        <w:rPr>
          <w:rtl w:val="true"/>
        </w:rPr>
        <w:t xml:space="preserve"> - </w:t>
      </w:r>
      <w:r>
        <w:rPr>
          <w:rtl w:val="true"/>
        </w:rPr>
        <w:t>فهرس الأحاديث الشريفة</w:t>
      </w:r>
      <w:bookmarkEnd w:id="872"/>
    </w:p>
    <w:p>
      <w:pPr>
        <w:pStyle w:val="BookText"/>
        <w:rPr/>
      </w:pPr>
      <w:r>
        <w:rPr>
          <w:rFonts w:ascii="Amiri" w:hAnsi="Amiri" w:eastAsia="Amiri" w:cs="Amiri"/>
          <w:color w:val="111111"/>
          <w:sz w:val="28"/>
          <w:sz w:val="28"/>
          <w:szCs w:val="28"/>
          <w:rtl w:val="true"/>
          <w:lang w:bidi="ar-SA"/>
        </w:rPr>
        <w:t xml:space="preserve">أثجّه ثجّاً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أدناه حيضتان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أدنى الحيض ثلاثة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أدنى الطهر عشرة أيّام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أدنى الطهر عشرة أيّام ؛ وذلك أنّ المرأة أوّل ما تحيض ربّما كانت كثيرة الدم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أدنى ما يكون من الحيض ثلاثة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إذا اتّفق الشهران عدّة أيّام سواء فتلك أيّامها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إذا أتى لها أقلّ من تسع سنين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إذا أرادت الحائض أن تغتسل </w:t>
      </w:r>
      <w:r>
        <w:rPr>
          <w:rFonts w:eastAsia="IRNazanin" w:cs="IRNazanin"/>
          <w:color w:val="111111"/>
          <w:sz w:val="28"/>
          <w:szCs w:val="28"/>
          <w:rtl w:val="true"/>
          <w:lang w:bidi="fa-IR"/>
        </w:rPr>
        <w:t xml:space="preserve">. . .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إذا أرادت الحائض أن تغتسل فلتستدخل قطنة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إذا أردت أن تغتسل للجمعة فتوضّأ واغتسل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إذا أصاب زوجها شَبق فليأمرها فلتغسل فرجها ، ثمّ يمسّها إن شاء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إذا أقبلت الحيضة فدعي الصلاة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إذا أمسكت الكرسف يسيل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إذا انقطع الدم ولم تغتسل فليأتها زوجها إن شاء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إذا بلغت ستّين سنة فقد يئست من المحيض ، ومثلها لا تحيض </w:t>
      </w:r>
      <w:r>
        <w:rPr>
          <w:rFonts w:eastAsia="Amiri" w:cs="Amiri" w:ascii="Amiri" w:hAnsi="Amiri"/>
          <w:color w:val="111111"/>
          <w:sz w:val="28"/>
          <w:szCs w:val="28"/>
          <w:lang w:bidi="ar-SA"/>
        </w:rPr>
        <w:t>78</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جهلت الأيّام وعددها احتاجت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حاضت المرأة فليأتها زوجها حيث شاء ما اتقى موضع الدم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إذا حلّت لها الصلاة حلّ لزوجها أن يغشاها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إذا رأت الحامل الدم بعد ما يمضي عشرون يوماً من الوقت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 xml:space="preserve">إذا رأت الدم </w:t>
      </w:r>
      <w:r>
        <w:rPr>
          <w:rFonts w:eastAsia="IRNazanin" w:cs="IRNazanin"/>
          <w:color w:val="111111"/>
          <w:sz w:val="28"/>
          <w:szCs w:val="28"/>
          <w:rtl w:val="true"/>
          <w:lang w:bidi="fa-IR"/>
        </w:rPr>
        <w:t xml:space="preserve">. .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p>
    <w:p>
      <w:pPr>
        <w:pStyle w:val="BookText"/>
        <w:rPr/>
      </w:pPr>
      <w:r>
        <w:rPr>
          <w:rFonts w:ascii="Amiri" w:hAnsi="Amiri" w:eastAsia="Amiri" w:cs="Amiri"/>
          <w:color w:val="111111"/>
          <w:sz w:val="28"/>
          <w:sz w:val="28"/>
          <w:szCs w:val="28"/>
          <w:rtl w:val="true"/>
          <w:lang w:bidi="ar-SA"/>
        </w:rPr>
        <w:t xml:space="preserve">إذا رأت الدم أمسكت عن الصلاة والصيام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إذا رأت الدم أمسكت ، وإذا رأت الطهر صلّت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إذا رأت الدم قبل عشرة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إذا رأت الدم قبل وقت حيضها فلتدع الصلاة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إذا رأت الدم من الحيضة الثالثة فهي أملك بنفسها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إذا رأت الصفرة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إذا رأت المرأة الدم في أيّام حيضها تركت الصلاة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إذا رأت المرأة الدم قبل عشرة أيّام فهو من الحيضة الاُولى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إذا رأت المرأة الصفرة قبل انقضاء أيّام عادتها لم تصلّ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إذا رأت خمسة أيّام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إذا رأت دماً بعد أيّامها التي كانت ترى الدم فيها ، فلتقعد عن الصلاة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إذا طال بها ذلك فلتغتسل ولتتوضّأ ، ثمّ يواقعها إن أراد </w:t>
      </w:r>
      <w:r>
        <w:rPr>
          <w:rFonts w:eastAsia="Amiri" w:cs="Amiri" w:ascii="Amiri" w:hAnsi="Amiri"/>
          <w:color w:val="111111"/>
          <w:sz w:val="28"/>
          <w:szCs w:val="28"/>
          <w:lang w:bidi="ar-SA"/>
        </w:rPr>
        <w:t>514</w:t>
      </w:r>
    </w:p>
    <w:p>
      <w:pPr>
        <w:pStyle w:val="BookText"/>
        <w:rPr/>
      </w:pPr>
      <w:r>
        <w:rPr>
          <w:rFonts w:ascii="IRNazanin" w:hAnsi="IRNazanin" w:eastAsia="IRNazanin"/>
          <w:color w:val="111111"/>
          <w:sz w:val="28"/>
          <w:sz w:val="28"/>
          <w:szCs w:val="28"/>
          <w:rtl w:val="true"/>
          <w:lang w:bidi="fa-IR"/>
        </w:rPr>
        <w:t xml:space="preserve">إذا طهرت الحائض قبل العصر صلّت الظهر والعصر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 xml:space="preserve">إذا طهرت المرأة قبل طلوع الفجر صلّت المغرب والعشاء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إذا طهرت من الحيض ولم تمسّ الماء ، فلا يقع عليها زوجها حتّى تغتسل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إذا كان الدم قبل عشرة أيّام فهو أملك بها ، وهو من الحيضة التي طهرت منها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إذا كان للدم حرارة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إذا كان لها خمسون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أربع صلوات يصلّيها الرجل في كلّ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فاتتك ، فمتى ذكرتها أدّيتها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288</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أسود يعرف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اغسل كفّك وفرجك ، وتوضّأ وضوء الصلاة ، ثمّ اغتسل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 xml:space="preserve">أغفلت عددها </w:t>
      </w:r>
      <w:r>
        <w:rPr>
          <w:rFonts w:eastAsia="IRNazanin" w:cs="IRNazanin"/>
          <w:color w:val="111111"/>
          <w:sz w:val="28"/>
          <w:szCs w:val="28"/>
          <w:lang w:bidi="fa-IR"/>
        </w:rPr>
        <w:t>371</w:t>
      </w:r>
    </w:p>
    <w:p>
      <w:pPr>
        <w:pStyle w:val="BookText"/>
        <w:rPr/>
      </w:pPr>
      <w:r>
        <w:rPr>
          <w:rFonts w:ascii="Amiri" w:hAnsi="Amiri" w:eastAsia="Amiri" w:cs="Amiri"/>
          <w:color w:val="111111"/>
          <w:sz w:val="28"/>
          <w:sz w:val="28"/>
          <w:szCs w:val="28"/>
          <w:rtl w:val="true"/>
          <w:lang w:bidi="ar-SA"/>
        </w:rPr>
        <w:t xml:space="preserve">أفِضْ على كفّك اليمنى من الماء فاغسلها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 xml:space="preserve">أقراؤها مثل أقراء نسائها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أقراؤها مثل أقراء نسائها ، فإن كانت نساؤها مختلفات فأكثر جلوسها عشرة </w:t>
      </w:r>
      <w:r>
        <w:rPr>
          <w:rFonts w:eastAsia="Amiri" w:cs="Amiri" w:ascii="Amiri" w:hAnsi="Amiri"/>
          <w:color w:val="111111"/>
          <w:sz w:val="28"/>
          <w:szCs w:val="28"/>
          <w:lang w:bidi="ar-SA"/>
        </w:rPr>
        <w:t>376</w:t>
      </w:r>
    </w:p>
    <w:p>
      <w:pPr>
        <w:pStyle w:val="BookText"/>
        <w:rPr/>
      </w:pPr>
      <w:r>
        <w:rPr>
          <w:rFonts w:ascii="IRNazanin" w:hAnsi="IRNazanin" w:eastAsia="IRNazanin"/>
          <w:color w:val="111111"/>
          <w:sz w:val="28"/>
          <w:sz w:val="28"/>
          <w:szCs w:val="28"/>
          <w:rtl w:val="true"/>
          <w:lang w:bidi="fa-IR"/>
        </w:rPr>
        <w:t xml:space="preserve">أقصى طهرها </w:t>
      </w:r>
      <w:r>
        <w:rPr>
          <w:rFonts w:eastAsia="IRNazanin" w:cs="IRNazanin"/>
          <w:color w:val="111111"/>
          <w:sz w:val="28"/>
          <w:szCs w:val="28"/>
          <w:rtl w:val="true"/>
          <w:lang w:bidi="fa-IR"/>
        </w:rPr>
        <w:t xml:space="preserve">. . .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أقصى طهرها ثلاث وعشرون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أقصى وقتها سبع ، وأقصى طهرها ثلاث وعشرون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p>
    <w:p>
      <w:pPr>
        <w:pStyle w:val="BookText"/>
        <w:rPr/>
      </w:pPr>
      <w:r>
        <w:rPr>
          <w:rFonts w:ascii="Amiri" w:hAnsi="Amiri" w:eastAsia="Amiri" w:cs="Amiri"/>
          <w:color w:val="111111"/>
          <w:sz w:val="28"/>
          <w:sz w:val="28"/>
          <w:szCs w:val="28"/>
          <w:rtl w:val="true"/>
          <w:lang w:bidi="ar-SA"/>
        </w:rPr>
        <w:t xml:space="preserve">أقلّ الحيض ثلاثة أيّام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أقلّ الحيض ثلاثة ، وأكثره عشرة ، وتجمع بين الصلاتين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أقلّ ما يكون الحيض ثلاثة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أقلّ ما يكون الحيض ثلاثة أيّام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أقلّ ما يكون الحيض ثلاثة أيّام ، وأكثر ما يكون عشرة أيّام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أقلّ ما يكون الحيض ثلاثة ، وإذا رأت الدم قبل عشرة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أقلّ ما يكون عشرة من حين تطهر إلى أن ترى الدم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أقلّ ما يكون من الحيض ثلاثة ، وإذا رأت الدم قبل عشرة أيّام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ألا ترى أنّ أيّامها لو كانت أقلّ من سبع ، وكانت خمساً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ألا ترى أ نّه لم يسألها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يوم هي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التي كانت لها أيّام متقدّمة ، ثمّ اختلط عليها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التي لم تر الدم قطّ ، ورأت أوّل ما أدركت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واستحاضت أوّل ما رأت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أمّا إحدى 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فالحائض التي لها أيّام معلومة قد أحصتها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أما تسمع رسول اللّه صلی الله علیه و آله وسلم أمر هذه بغير ما أمر به تلك</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إنّ أسماء بنت عميس أمرها رسول اللّه صلی الله علیه و آله وسلم أن تغتسل لثمان عشرة </w:t>
      </w:r>
      <w:r>
        <w:rPr>
          <w:rFonts w:eastAsia="IRNazanin" w:cs="IRNazanin"/>
          <w:color w:val="111111"/>
          <w:sz w:val="28"/>
          <w:szCs w:val="28"/>
          <w:lang w:bidi="fa-IR"/>
        </w:rPr>
        <w:t>557</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أسماء بنت عميس نفست بمحمّد بن أبي بكر فأمرها رسول اللّه صلی الله علیه و 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 أسماء سألت رسول اللّه صلی الله علیه و آله وسلم وقد أتى لها ثمانية عشر يوماً </w:t>
      </w:r>
      <w:r>
        <w:rPr>
          <w:rFonts w:eastAsia="IRNazanin" w:cs="IRNazanin"/>
          <w:color w:val="111111"/>
          <w:sz w:val="28"/>
          <w:szCs w:val="28"/>
          <w:lang w:bidi="fa-IR"/>
        </w:rPr>
        <w:t>558</w:t>
      </w:r>
    </w:p>
    <w:p>
      <w:pPr>
        <w:pStyle w:val="BookText"/>
        <w:rPr/>
      </w:pPr>
      <w:r>
        <w:rPr>
          <w:rFonts w:ascii="Amiri" w:hAnsi="Amiri" w:eastAsia="Amiri" w:cs="Amiri"/>
          <w:color w:val="111111"/>
          <w:sz w:val="28"/>
          <w:sz w:val="28"/>
          <w:szCs w:val="28"/>
          <w:rtl w:val="true"/>
          <w:lang w:bidi="ar-SA"/>
        </w:rPr>
        <w:t xml:space="preserve">إنّ أكثر ما يكون من الحيض ثمانٍ ، وأدنى ما يكون منه ثلاثة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إنّ الحامل قذفت بدم الحيض ، وهذه قذفت بدم المخاض </w:t>
      </w:r>
      <w:r>
        <w:rPr>
          <w:rFonts w:eastAsia="Amiri" w:cs="Amiri" w:ascii="Amiri" w:hAnsi="Amiri"/>
          <w:color w:val="111111"/>
          <w:sz w:val="28"/>
          <w:szCs w:val="28"/>
          <w:lang w:bidi="ar-SA"/>
        </w:rPr>
        <w:t>530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540</w:t>
      </w:r>
    </w:p>
    <w:p>
      <w:pPr>
        <w:pStyle w:val="BookText"/>
        <w:rPr/>
      </w:pPr>
      <w:r>
        <w:rPr>
          <w:rFonts w:ascii="IRNazanin" w:hAnsi="IRNazanin" w:eastAsia="IRNazanin"/>
          <w:color w:val="111111"/>
          <w:sz w:val="28"/>
          <w:sz w:val="28"/>
          <w:szCs w:val="28"/>
          <w:rtl w:val="true"/>
          <w:lang w:bidi="fa-IR"/>
        </w:rPr>
        <w:t xml:space="preserve">أنّ الحبلى ربّما قذفت بالدم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إنّ الرجل يأتي جاريته فتعلق منه ، ثمّ ترى الدم وهي حبلى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إنّ الطمث تحبسه الريح من غير حبل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 xml:space="preserve">إنّ القرآن واحد من عند واحد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 xml:space="preserve">أنّ القرشية من النساء والنبطية ، تريان الدم إلى ستّين سنة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إنّ اللّه جميل يحبّ الجمال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أنّ الوضوء قبل الغسل وبعده بدعة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إن جامعها في أوّل الحيض فعليه أن يتصدّق بدينار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 xml:space="preserve">أنّ حمنة بنت جحش قالت لرسول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استحضت </w:t>
      </w:r>
      <w:r>
        <w:rPr>
          <w:rFonts w:eastAsia="IRNazanin" w:cs="IRNazanin"/>
          <w:color w:val="111111"/>
          <w:sz w:val="28"/>
          <w:szCs w:val="28"/>
          <w:rtl w:val="true"/>
          <w:lang w:bidi="fa-IR"/>
        </w:rPr>
        <w:t xml:space="preserve">. . . </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 xml:space="preserve">إنّ دم الاستحاضة والحيض ليس يخرجان من مكان واحد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إنّ دم الحيض أسود يعرف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إنّ دم الحيض حارّ عبيط أسود له دفع وحرارة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إنّ دم الحيض حارّ عبيط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ودم الاستحاضة أصفر بارد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أنّ دم الحيض كدر غليظ منتن ، ودم الاستحاضة دم رقيق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إنّ دم الحيض ليس به خفاء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أنّ دمها يكون رقيقاً تعلوه صفرة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إن رأت الدم لم تصلِّ ، وإن رأت الطهر صلّت ما بينها وبين ثلاثين يوماً </w:t>
      </w:r>
      <w:r>
        <w:rPr>
          <w:rFonts w:eastAsia="Amiri" w:cs="Amiri" w:ascii="Amiri" w:hAnsi="Amiri"/>
          <w:color w:val="111111"/>
          <w:sz w:val="28"/>
          <w:szCs w:val="28"/>
          <w:lang w:bidi="ar-SA"/>
        </w:rPr>
        <w:t>379</w:t>
      </w:r>
    </w:p>
    <w:p>
      <w:pPr>
        <w:pStyle w:val="BookText"/>
        <w:rPr/>
      </w:pPr>
      <w:r>
        <w:rPr>
          <w:rFonts w:ascii="IRNazanin" w:hAnsi="IRNazanin" w:eastAsia="IRNazanin"/>
          <w:color w:val="111111"/>
          <w:sz w:val="28"/>
          <w:sz w:val="28"/>
          <w:szCs w:val="28"/>
          <w:rtl w:val="true"/>
          <w:lang w:bidi="fa-IR"/>
        </w:rPr>
        <w:t xml:space="preserve">إنّ رسول اللّه صلی الله علیه و آله وسلم سنّ في الحيض ثلاث سنن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إنّ رسول اللّه صلی الله علیه و آله وسلم كان يأمر بذلك فاطمة ، وكانت تأمر بذلك المؤمنات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 xml:space="preserve">إنّ سنّتها السبع والثلاث والعشرون ؛ لأنّ قصّتها قصّة حمنة </w:t>
      </w:r>
      <w:r>
        <w:rPr>
          <w:rFonts w:eastAsia="Amiri" w:cs="Amiri" w:ascii="Amiri" w:hAnsi="Amiri"/>
          <w:color w:val="111111"/>
          <w:sz w:val="28"/>
          <w:szCs w:val="28"/>
          <w:lang w:bidi="ar-SA"/>
        </w:rPr>
        <w:t>413</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فاطمة بنت أبي حبيش أتت النبي صلی الله علیه و آله وسلم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اُستحاض فلا أطهر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أنّ فاطمة بنت أبي حُبَيش أتت النبي صلی الله علیه و آله وسلم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اُستحاض ولا أطهر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إن كان الدم عبيطاً فلا تصلِّ ذينك اليومين ، وإن كان صفرة فلتغتسل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إن كان الدم قبل عشرة أيّام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إن كان الدم قبل عشرة أيّام فهو أملك بها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إن كان أيّام حيضها دون عشرة أيّام ، استظهرت بيوم أو يومين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إن كان أيّام حيضها دون عشرة أيّام استظهرت بيوم واحد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إن كانت تَوانَتْ قضتها ، وإن كانت دائبة في غسلها فلا تقضي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إن كانت صفرة فلتغتسل ولتصلّ ، ولا تمسك عن الصلاة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إن كانت لها أيّام معلومة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إن كانت لها أيّام معلومة من قليل أو كثير ، فهي على أيّامها وخلقها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إن كان دماً أحمر كثيراً فلا تصلّي ، وإن كان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إن كان دماً عبيطاً فلا تصلّي ذينك اليومين ، وإن كان صفرة فلتغتسل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إن كان دماً كثيراً فلا تصلّينّ ، وإن كان قليلاً فلتغتسل عند كلّ صلاتين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إن كان دماً كثيراً فلا تصلّي ، وإن كان قليلاً فلتغتسل عند كلّ صلاتين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إن كان صفرة فلتغتسل ولتصلّ ، ولا تمسك عن الصلاة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إن كان في وقت لا يخاف فوت إحداهما فليصلّ الظهر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إن كان قبل الحيض بيومين فهو من الحيض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إن كان قُرؤها دون العشرة انتظرت العشرة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إنّك كنت على يقين من طهارتك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إن لم يجز الدمُ الكرسف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إن لم يجز الدم الكرسف صلّت بغسل واحد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إنّما المرأة لعبة الرجل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إنّما سمّاه أبي بحرانياً لكثرته ولونه </w:t>
      </w:r>
      <w:r>
        <w:rPr>
          <w:rFonts w:eastAsia="Amiri" w:cs="Amiri" w:ascii="Amiri" w:hAnsi="Amiri"/>
          <w:color w:val="111111"/>
          <w:sz w:val="28"/>
          <w:szCs w:val="28"/>
          <w:lang w:bidi="ar-SA"/>
        </w:rPr>
        <w:t>324</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هو عِرق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إنّما هو عزف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أ نّها ترى دم الحيض إلى ستّين سنة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إنّها تنتظر بالصلاة ، فلا تصلّي حتّى يمضي أكثر ما يكون من الحيض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إنّه أشدّ من ذلك ؛ إنّي أثجّه ثجّاً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تلجّمي وتحيّضي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إنّه صلی الله علیه و آله وسلم بيّن في هذه السنن كلّ مشكل لمن سمعها وفهمها </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 xml:space="preserve">إنّ هذه امرأة قد اختلط عليها أيّامها ؛ لم تعرف عددها ولا وقتها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إنّه ربّما تعجّل بها الوقت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إنّه ربّما قذفت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إنّه عزف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إنّه يبدأ بالعصر ، ثمّ يصلّي الظهر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أ نّه يتصدّق إذا كان في أوّله بدينار ، وفي وسطه نصف دينار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إنّي اُستحاض فلا أطهر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إنّي استحضت حيضة شديدة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إنّي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اُخبرك إلاّ عن رسول اللّه صلی الله علیه و آله وسلم عن جبرئيل ، عن اللّه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أوّل من قاس إبليس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أيّما امرأة رأت الطهر وهي قادرة على أن تغتسل في وقت 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أيُّ وضوء أطهر من الغسل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أيُّ وضوءٍ أنقى من الغسل وأبلغ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بيَّن فيها كلّ مشكل لمن سمعها وفهمها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بيّن كلّ مشكل لمن سمعها وفهمها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تبدأ فتغسل كفّيك ، ثمّ تفرغ بيمينك على شمالك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تترك الصلاة إذا دام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تترك الصلاة إذا كانت تلك حالها ما دام الدم ، وتغتسل كلّما انقطع عنها </w:t>
      </w:r>
      <w:r>
        <w:rPr>
          <w:rFonts w:eastAsia="Amiri" w:cs="Amiri" w:ascii="Amiri" w:hAnsi="Amiri"/>
          <w:color w:val="111111"/>
          <w:sz w:val="28"/>
          <w:szCs w:val="28"/>
          <w:lang w:bidi="ar-SA"/>
        </w:rPr>
        <w:t>334</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تترك الصلاة حتّى تطهر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تترك لذلك الصلاة بعدد أيّامها التي كانت تقعد في طمثها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تتّزر بإزار إلى الركبتين ، وتُخرج سُرّتها ، ثمّ له ما فوق الإزار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تتوضّأ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وإن سال مثل المثعب </w:t>
      </w:r>
      <w:r>
        <w:rPr>
          <w:rFonts w:eastAsia="IRNazanin" w:cs="IRNazanin"/>
          <w:color w:val="111111"/>
          <w:sz w:val="28"/>
          <w:szCs w:val="28"/>
          <w:lang w:bidi="fa-IR"/>
        </w:rPr>
        <w:t>475</w:t>
      </w:r>
    </w:p>
    <w:p>
      <w:pPr>
        <w:pStyle w:val="BookText"/>
        <w:rPr/>
      </w:pPr>
      <w:r>
        <w:rPr>
          <w:rFonts w:ascii="Amiri" w:hAnsi="Amiri" w:eastAsia="Amiri" w:cs="Amiri"/>
          <w:color w:val="111111"/>
          <w:sz w:val="28"/>
          <w:sz w:val="28"/>
          <w:szCs w:val="28"/>
          <w:rtl w:val="true"/>
          <w:lang w:bidi="ar-SA"/>
        </w:rPr>
        <w:t xml:space="preserve">تجلس أيّام حيضها ، ثمّ تغتسل لكلّ صلاتين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تحتشي وتصلّي الظهر والعصر ، ثمّ لتنظر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تحيّضي في علم اللّه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تحيّضي في علم اللّه ستّة أيّام أو سبعة أيّام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تحيّضي في كلّ شهر في علم اللّه سبعة أيّام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تدع الصلاة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تدع الصلاة ؛ تصنع ما بينها وبين شهر ، فإن انقطع عنها الدم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تدع الصلاة قدر أقرائها أو قدر حيضها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تدع الصلاة ؛ لأنّ أيّامها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الطهر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جازت مع أيّام النفاس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 xml:space="preserve">تدع الصلاة ما دامت ترى الدم العبيط إلى ثلاثين يوماً </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 xml:space="preserve">تستدخل القطنة ، ثمّ تدعها مليّاً ، ثمّ تخرجها إخراجاً رفيقاً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تستظهر بعد أيّامها بيومين أو ثلاثة ، ثمّ تصلّي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تستظهر بيوم أو يومين ، ثمّ هي مستحاضة ؛ فلتغتسل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تُصلّي العصر وحدها ، فإن ضيّعت فعليها صلاتان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تصلّي حتّى يخرج رأس الصبيّ ، فإذا خرج رأسه لم يجب عليها الصلاة </w:t>
      </w:r>
      <w:r>
        <w:rPr>
          <w:rFonts w:eastAsia="Amiri" w:cs="Amiri" w:ascii="Amiri" w:hAnsi="Amiri"/>
          <w:color w:val="111111"/>
          <w:sz w:val="28"/>
          <w:szCs w:val="28"/>
          <w:lang w:bidi="ar-SA"/>
        </w:rPr>
        <w:t>530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570</w:t>
      </w:r>
    </w:p>
    <w:p>
      <w:pPr>
        <w:pStyle w:val="BookText"/>
        <w:rPr/>
      </w:pPr>
      <w:r>
        <w:rPr>
          <w:rFonts w:ascii="Amiri" w:hAnsi="Amiri" w:eastAsia="Amiri" w:cs="Amiri"/>
          <w:color w:val="111111"/>
          <w:sz w:val="28"/>
          <w:sz w:val="28"/>
          <w:szCs w:val="28"/>
          <w:rtl w:val="true"/>
          <w:lang w:bidi="ar-SA"/>
        </w:rPr>
        <w:t xml:space="preserve">تصلّي ما لم تلد </w:t>
      </w:r>
      <w:r>
        <w:rPr>
          <w:rFonts w:eastAsia="Amiri" w:cs="Amiri" w:ascii="Amiri" w:hAnsi="Amiri"/>
          <w:color w:val="111111"/>
          <w:sz w:val="28"/>
          <w:szCs w:val="28"/>
          <w:lang w:bidi="ar-SA"/>
        </w:rPr>
        <w:t>529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 xml:space="preserve">تضع كرسفاً آخر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تعرف أيّامها ومبلغ عددها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تغتسل وتصلّي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تقضي إذا طهرت </w:t>
      </w:r>
      <w:r>
        <w:rPr>
          <w:rFonts w:eastAsia="Amiri" w:cs="Amiri" w:ascii="Amiri" w:hAnsi="Amiri"/>
          <w:color w:val="111111"/>
          <w:sz w:val="28"/>
          <w:szCs w:val="28"/>
          <w:lang w:bidi="ar-SA"/>
        </w:rPr>
        <w:t>296</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تقضي صلاتها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تقضي صومها ، ولا تقضي صلاتها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 xml:space="preserve">تقعد النفساء سبع عشرة ليلة ، فإن رأت دماً صنعت كما تصنع المستحاضة </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 xml:space="preserve">تقعد أيّامها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 xml:space="preserve">تقعد أيّامها التي كانت تحيض ، فإذا زاد الدم على الأيّام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استظهرت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تقعد أيّامها التي كانت تطمث فيهنّ أيّام قرئها ، فإن هي طهرت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تقعد بقدر حيضها ، وتستظهر بيومين ، فإذا انقطع الدم ، وإلاّ اغتسلت </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 xml:space="preserve">تقعد بقدر حيضها ، وتستظهر بيومين ، فإن انقطع الدم ، وإلاّ اغتسلت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تقعد قرءها الذي كانت تحيض فيه ، فإن كان قرؤها مستقيماً فلتأخذ به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تقوم من مسجدها ، ولا تقضي الركعتين ، وإن كانت رأت الدم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تقوم من مكانها ، ولا تقضي الركعتين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تكون الصفرة والكدرة فما فوقها في أيّام الحيض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حيضاً كلّه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تلك الهراقة ليس تمسك هذه عن الصلاة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تمسّ الماء أحبّ إليّ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تمسك عن الصلاة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تمسك عن الصلاة كما كانت تصنع في حيضها ، فإذا طهرت صلّت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تنتظر عدّتها التي كانت تجلس ، ثمّ تستظهر بعشرة أيّام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تنتظر عدّة ما كانت تحيض ، ثمّ تستظهر بثلاثة أيّام ، ثمّ هي مستحاضة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تنظر الأيّام التي كانت تحيض فيها وحيضتها مستقيمة ، فلا يقربها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 xml:space="preserve">توضّأت وصلّت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ثلاث يتزوّجن على كلّ حال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ثمّ اختلط عليها من طول الدم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ثمان عشرة ؛ سبع عشرة ، ثمّ تغتسل وتحتشي وتصلّي </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 xml:space="preserve">ثمّ تغتسل عند المغرب ، فتصلّي المغرب والعشاء </w:t>
      </w:r>
      <w:r>
        <w:rPr>
          <w:rFonts w:eastAsia="Amiri" w:cs="Amiri" w:ascii="Amiri" w:hAnsi="Amiri"/>
          <w:color w:val="111111"/>
          <w:sz w:val="28"/>
          <w:szCs w:val="28"/>
          <w:lang w:bidi="ar-SA"/>
        </w:rPr>
        <w:t>496</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تمسك قطنة ، فإن صبغ القطنة دم لا ينقطع ، فلتجمع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قد قضى الغسل ، ولا وضوء عليه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ثمّ هي مستحاضة ؛ فلتغتسل وتستوثق من نفسها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جعلت وقت طهرها أكثر ما يكون من الطهر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الجنب يغتسل ؛ يبدأ فيغسل يديه إلى المرفقين قبل أن يغمسهما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الحائض لا تقضي الصلاة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 xml:space="preserve">حتّى أغفلت عددها وموضعها من الشهر </w:t>
      </w:r>
      <w:r>
        <w:rPr>
          <w:rFonts w:eastAsia="IRNazanin" w:cs="IRNazanin"/>
          <w:color w:val="111111"/>
          <w:sz w:val="28"/>
          <w:szCs w:val="28"/>
          <w:lang w:bidi="fa-IR"/>
        </w:rPr>
        <w:t>423</w:t>
      </w:r>
    </w:p>
    <w:p>
      <w:pPr>
        <w:pStyle w:val="BookText"/>
        <w:rPr/>
      </w:pPr>
      <w:r>
        <w:rPr>
          <w:rFonts w:ascii="Amiri" w:hAnsi="Amiri" w:eastAsia="Amiri" w:cs="Amiri"/>
          <w:color w:val="111111"/>
          <w:sz w:val="28"/>
          <w:sz w:val="28"/>
          <w:szCs w:val="28"/>
          <w:rtl w:val="true"/>
          <w:lang w:bidi="ar-SA"/>
        </w:rPr>
        <w:t xml:space="preserve">حدّ التي قد يئست من المحيض خمسون سنة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دخلت المسجد </w:t>
      </w:r>
      <w:r>
        <w:rPr>
          <w:rFonts w:eastAsia="IRNazanin" w:cs="IRNazanin"/>
          <w:color w:val="111111"/>
          <w:sz w:val="28"/>
          <w:szCs w:val="28"/>
          <w:lang w:bidi="fa-IR"/>
        </w:rPr>
        <w:t>498</w:t>
      </w:r>
    </w:p>
    <w:p>
      <w:pPr>
        <w:pStyle w:val="BookText"/>
        <w:rPr/>
      </w:pPr>
      <w:r>
        <w:rPr>
          <w:rFonts w:ascii="Amiri" w:hAnsi="Amiri" w:eastAsia="Amiri" w:cs="Amiri"/>
          <w:color w:val="111111"/>
          <w:sz w:val="28"/>
          <w:sz w:val="28"/>
          <w:szCs w:val="28"/>
          <w:rtl w:val="true"/>
          <w:lang w:bidi="ar-SA"/>
        </w:rPr>
        <w:t xml:space="preserve">دعي الصلاة أيّام أقرائك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دم الحيض أسود يعرف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دم الحيض ليس به خفاء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دم الحيض ليس به خفاء ؛ هو دم حارّ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ربّما تعجّل بها الوقت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ربّما قذفت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 xml:space="preserve">ربّما قذفت بالدم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 xml:space="preserve">ربّما كثر ففضل عنه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ركضة من الشيطان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زادت كرسفها </w:t>
      </w:r>
      <w:r>
        <w:rPr>
          <w:rFonts w:eastAsia="Amiri" w:cs="Amiri" w:ascii="Amiri" w:hAnsi="Amiri"/>
          <w:color w:val="111111"/>
          <w:sz w:val="28"/>
          <w:szCs w:val="28"/>
          <w:lang w:bidi="ar-SA"/>
        </w:rPr>
        <w:t>501</w:t>
      </w:r>
    </w:p>
    <w:p>
      <w:pPr>
        <w:pStyle w:val="BookText"/>
        <w:rPr/>
      </w:pPr>
      <w:r>
        <w:rPr>
          <w:rFonts w:ascii="IRNazanin" w:hAnsi="IRNazanin" w:eastAsia="IRNazanin"/>
          <w:color w:val="111111"/>
          <w:sz w:val="28"/>
          <w:sz w:val="28"/>
          <w:szCs w:val="28"/>
          <w:rtl w:val="true"/>
          <w:lang w:bidi="fa-IR"/>
        </w:rPr>
        <w:t xml:space="preserve">زادت ونقصت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زادت ونقصت وتقدّمت وتأخّرت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سئل رسول اللّه صلی الله علیه و آله وسلم عن المرأة تستحاض ، فأمرها أن تمكث </w:t>
      </w:r>
      <w:r>
        <w:rPr>
          <w:rFonts w:eastAsia="IRNazanin" w:cs="IRNazanin"/>
          <w:color w:val="111111"/>
          <w:sz w:val="28"/>
          <w:szCs w:val="28"/>
          <w:lang w:bidi="fa-IR"/>
        </w:rPr>
        <w:t>448</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سأل سلمان علياً علیه السلام عن رزق الولد في بطن اُمّه </w:t>
      </w:r>
      <w:r>
        <w:rPr>
          <w:rFonts w:eastAsia="IRNazanin" w:cs="IRNazanin"/>
          <w:color w:val="111111"/>
          <w:sz w:val="28"/>
          <w:szCs w:val="28"/>
          <w:rtl w:val="true"/>
          <w:lang w:bidi="fa-IR"/>
        </w:rPr>
        <w:t xml:space="preserve">. . .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سنّتها السبع </w:t>
      </w:r>
      <w:r>
        <w:rPr>
          <w:rFonts w:eastAsia="IRNazanin" w:cs="IRNazanin"/>
          <w:color w:val="111111"/>
          <w:sz w:val="28"/>
          <w:szCs w:val="28"/>
          <w:lang w:bidi="fa-IR"/>
        </w:rPr>
        <w:t>412</w:t>
      </w:r>
    </w:p>
    <w:p>
      <w:pPr>
        <w:pStyle w:val="BookText"/>
        <w:rPr/>
      </w:pPr>
      <w:r>
        <w:rPr>
          <w:rFonts w:ascii="Amiri" w:hAnsi="Amiri" w:eastAsia="Amiri" w:cs="Amiri"/>
          <w:color w:val="111111"/>
          <w:sz w:val="28"/>
          <w:sz w:val="28"/>
          <w:szCs w:val="28"/>
          <w:rtl w:val="true"/>
          <w:lang w:bidi="ar-SA"/>
        </w:rPr>
        <w:t xml:space="preserve">صبيباً لا يرقأ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الصفرة في أيّام العادة حيض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الصفرة قبل الحيض بيومين فهو من الحيض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صلّت الغداة بغسل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470</w:t>
      </w:r>
    </w:p>
    <w:p>
      <w:pPr>
        <w:pStyle w:val="BookText"/>
        <w:rPr/>
      </w:pPr>
      <w:r>
        <w:rPr>
          <w:rFonts w:ascii="IRNazanin" w:hAnsi="IRNazanin" w:eastAsia="IRNazanin"/>
          <w:color w:val="111111"/>
          <w:sz w:val="28"/>
          <w:sz w:val="28"/>
          <w:szCs w:val="28"/>
          <w:rtl w:val="true"/>
          <w:lang w:bidi="fa-IR"/>
        </w:rPr>
        <w:t xml:space="preserve">صلّت بغسل واحد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p>
    <w:p>
      <w:pPr>
        <w:pStyle w:val="BookText"/>
        <w:rPr/>
      </w:pPr>
      <w:r>
        <w:rPr>
          <w:rFonts w:ascii="Amiri" w:hAnsi="Amiri" w:eastAsia="Amiri" w:cs="Amiri"/>
          <w:color w:val="111111"/>
          <w:sz w:val="28"/>
          <w:sz w:val="28"/>
          <w:szCs w:val="28"/>
          <w:rtl w:val="true"/>
          <w:lang w:bidi="ar-SA"/>
        </w:rPr>
        <w:t xml:space="preserve">صلّت كلّ صلاة بوضوء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صومي ثلاثة وعشرين يوماً أو أربعة وعشرين </w:t>
      </w:r>
      <w:r>
        <w:rPr>
          <w:rFonts w:eastAsia="Amiri" w:cs="Amiri" w:ascii="Amiri" w:hAnsi="Amiri"/>
          <w:color w:val="111111"/>
          <w:sz w:val="28"/>
          <w:szCs w:val="28"/>
          <w:lang w:bidi="ar-SA"/>
        </w:rPr>
        <w:t>412</w:t>
      </w:r>
    </w:p>
    <w:p>
      <w:pPr>
        <w:pStyle w:val="BookText"/>
        <w:rPr/>
      </w:pPr>
      <w:r>
        <w:rPr>
          <w:rFonts w:ascii="IRNazanin" w:hAnsi="IRNazanin" w:eastAsia="IRNazanin"/>
          <w:color w:val="111111"/>
          <w:sz w:val="28"/>
          <w:sz w:val="28"/>
          <w:szCs w:val="28"/>
          <w:rtl w:val="true"/>
          <w:lang w:bidi="fa-IR"/>
        </w:rPr>
        <w:t xml:space="preserve">طهرها ثلاث وعشرون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دّت من أوّل ما رأت الدم الأوّل والثاني ، عشرةَ أيّام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عرق غابر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عزف عامر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 xml:space="preserve">على مسكين بقدر شبعه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عليه أن يتصدّق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غسل الاستحاضة واجب ؛ إذا احتشت بالكرسف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452</w:t>
      </w:r>
    </w:p>
    <w:p>
      <w:pPr>
        <w:pStyle w:val="BookText"/>
        <w:rPr/>
      </w:pPr>
      <w:r>
        <w:rPr>
          <w:rFonts w:ascii="IRNazanin" w:hAnsi="IRNazanin" w:eastAsia="IRNazanin"/>
          <w:color w:val="111111"/>
          <w:sz w:val="28"/>
          <w:sz w:val="28"/>
          <w:szCs w:val="28"/>
          <w:rtl w:val="true"/>
          <w:lang w:bidi="fa-IR"/>
        </w:rPr>
        <w:t xml:space="preserve">غسل النفساء واجب </w:t>
      </w:r>
      <w:r>
        <w:rPr>
          <w:rFonts w:eastAsia="IRNazanin" w:cs="IRNazanin"/>
          <w:color w:val="111111"/>
          <w:sz w:val="28"/>
          <w:szCs w:val="28"/>
          <w:lang w:bidi="fa-IR"/>
        </w:rPr>
        <w:t>547</w:t>
      </w:r>
    </w:p>
    <w:p>
      <w:pPr>
        <w:pStyle w:val="BookText"/>
        <w:rPr/>
      </w:pPr>
      <w:r>
        <w:rPr>
          <w:rFonts w:ascii="Amiri" w:hAnsi="Amiri" w:eastAsia="Amiri" w:cs="Amiri"/>
          <w:color w:val="111111"/>
          <w:sz w:val="28"/>
          <w:sz w:val="28"/>
          <w:szCs w:val="28"/>
          <w:rtl w:val="true"/>
          <w:lang w:bidi="ar-SA"/>
        </w:rPr>
        <w:t xml:space="preserve">الغسل يجزي عن الوضوء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الغسل يجزي عن الوضوء ، وأيّ وضوء أطهر من الغسل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فإذا اتّفق شهران عدّة أيّام سواء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فإذا اتّفق شهران عدّة أيّام سواء فتلك أيّامها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فإذا جازت أيّامها ورأت الدم يثقب الكُرسُف ، اغتسلت للظهر والعصر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فإذا جهلت الأيّام وعددها ، احتاجت إلى النظر حينئذٍ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فإذا حاضت المرأة ، وكان حيضها خمسة أيّام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اغتسلت وصلّت </w:t>
      </w:r>
      <w:r>
        <w:rPr>
          <w:rFonts w:eastAsia="Amiri" w:cs="Amiri" w:ascii="Amiri" w:hAnsi="Amiri"/>
          <w:color w:val="111111"/>
          <w:sz w:val="28"/>
          <w:szCs w:val="28"/>
          <w:lang w:bidi="ar-SA"/>
        </w:rPr>
        <w:t>115</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خرج رأسه لم تجب عليها الصلاة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فإذا رأت المرأة الدم في أيّام حيضها تركت الصلاة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فإذا ظهر أعادت الغسل ، وأعادت الكرسف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فإذا كان ثمّة من الدم مثل رأس الذباب خرج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فإذا كان دماً سائلاً فلتؤخّر الصلاة إلى الصلاة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فإذا كان صلاة الفجر فلتغتسل بعد طلوع الفجر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 xml:space="preserve">فإذا كان كذلك فلتقم فلتلصق بطنها إلى حائط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فإذا كان للدم حرارة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فإذا كان للدم حرارة ودفع وسواد فلتدع الصلاة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فإذا مضى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عشرة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 ما تفعله المستحاضة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فأراه قد سنّ في هذه غير ما سنّ في الاُولى والثانية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فالحائض التي لها أيّام معلومة قد أحصتها بلا اختلاط عليها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فإن انقطع الدم في أقلّ من سبع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 xml:space="preserve">فإن انقطع الدم لوقته من الشهر الأوّل سواء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فإن انقطع الدم ، وإلاّ اغتسلت واحتشت واستثفرت وصلّت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p>
    <w:p>
      <w:pPr>
        <w:pStyle w:val="BookText"/>
        <w:rPr/>
      </w:pPr>
      <w:r>
        <w:rPr>
          <w:rFonts w:ascii="Amiri" w:hAnsi="Amiri" w:eastAsia="Amiri" w:cs="Amiri"/>
          <w:color w:val="111111"/>
          <w:sz w:val="28"/>
          <w:sz w:val="28"/>
          <w:szCs w:val="28"/>
          <w:rtl w:val="true"/>
          <w:lang w:bidi="ar-SA"/>
        </w:rPr>
        <w:t xml:space="preserve">فإن جاز الدم الكرسف تعصّبت واغتسلت ، ثمّ صلّت الغداة بغسل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فإن خرج الدم من الجانب الأيسر فهو من الحيض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فإن خرج فيها شيء من الدم فلا تغتسل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فإنّ ذلك ليس من الرحم ، ولا من الطمث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فإن رأت الدم يوماً أو يومين ، فليس ذلك من الحيض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فإن رأت بعد ذلك الدم ، ولم يتمّ لها من يوم طهرت عشرة أيّام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فإن رأت دماً صبيباً فلتغتسل في وقت كلّ صلاة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فإن رأت صفرة بعد غسلها فلا غسل عليها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فإن صبغ القطنة دم لا ينقطع فلتجمع بين كلّ صلاتين بغسل </w:t>
      </w:r>
      <w:r>
        <w:rPr>
          <w:rFonts w:eastAsia="Amiri" w:cs="Amiri" w:ascii="Amiri" w:hAnsi="Amiri"/>
          <w:color w:val="111111"/>
          <w:sz w:val="28"/>
          <w:szCs w:val="28"/>
          <w:lang w:bidi="ar-SA"/>
        </w:rPr>
        <w:t>482</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طرحت الكرسف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ظهر على الكرسف زادت كرسفها </w:t>
      </w:r>
      <w:r>
        <w:rPr>
          <w:rFonts w:eastAsia="Amiri" w:cs="Amiri" w:ascii="Amiri" w:hAnsi="Amiri"/>
          <w:color w:val="111111"/>
          <w:sz w:val="28"/>
          <w:szCs w:val="28"/>
          <w:lang w:bidi="ar-SA"/>
        </w:rPr>
        <w:t>458</w:t>
      </w:r>
    </w:p>
    <w:p>
      <w:pPr>
        <w:pStyle w:val="BookText"/>
        <w:rPr/>
      </w:pPr>
      <w:r>
        <w:rPr>
          <w:rFonts w:ascii="IRNazanin" w:hAnsi="IRNazanin" w:eastAsia="IRNazanin"/>
          <w:color w:val="111111"/>
          <w:sz w:val="28"/>
          <w:sz w:val="28"/>
          <w:szCs w:val="28"/>
          <w:rtl w:val="true"/>
          <w:lang w:bidi="fa-IR"/>
        </w:rPr>
        <w:t xml:space="preserve">فانقطع الدم عن المرأة ورأت الطهر ، وأمر علي علیه السلام بهذا قبلكم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 xml:space="preserve">فإن كان الدم فيما بينها وبين المغرب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فلتوضّأ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فإن كانت نساؤها مختلفات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فإن كانت نساؤها مختلفات فأكثر جلوسها عشرة أيّام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فإن كان دماً ليس بصفرة فلتمسك عن الصلاة أيّام قرئها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فإن لم يكن الأمر كذلك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فإن لم يكن الأمر كذلك ، ولكنّ الدم أطبق عليها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فإنّه على يقين من وضوئه ، ولا ينقض اليقين أبداً بالشكّ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فجميع حالات المستحاضة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فجميع حالات المستحاضة تدور على هذه السنن الثلاث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فذلك الذي رأته في أوّل الأمر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فذلك الذي رأته في أوّل الأمر ، مع هذا الذي رأته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 من الحيض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فرأت صفرة أو دماً </w:t>
      </w:r>
      <w:r>
        <w:rPr>
          <w:rFonts w:eastAsia="Amiri" w:cs="Amiri" w:ascii="Amiri" w:hAnsi="Amiri"/>
          <w:color w:val="111111"/>
          <w:sz w:val="28"/>
          <w:szCs w:val="28"/>
          <w:lang w:bidi="ar-SA"/>
        </w:rPr>
        <w:t>537</w:t>
      </w:r>
    </w:p>
    <w:p>
      <w:pPr>
        <w:pStyle w:val="BookText"/>
        <w:rPr/>
      </w:pPr>
      <w:r>
        <w:rPr>
          <w:rFonts w:ascii="IRNazanin" w:hAnsi="IRNazanin" w:eastAsia="IRNazanin"/>
          <w:color w:val="111111"/>
          <w:sz w:val="28"/>
          <w:sz w:val="28"/>
          <w:szCs w:val="28"/>
          <w:rtl w:val="true"/>
          <w:lang w:bidi="fa-IR"/>
        </w:rPr>
        <w:t xml:space="preserve">فربّما فضل عنه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 xml:space="preserve">فسال الدم وجب عليها الغسل </w:t>
      </w:r>
      <w:r>
        <w:rPr>
          <w:rFonts w:eastAsia="Amiri" w:cs="Amiri" w:ascii="Amiri" w:hAnsi="Amiri"/>
          <w:color w:val="111111"/>
          <w:sz w:val="28"/>
          <w:szCs w:val="28"/>
          <w:lang w:bidi="ar-SA"/>
        </w:rPr>
        <w:t>442</w:t>
      </w:r>
    </w:p>
    <w:p>
      <w:pPr>
        <w:pStyle w:val="BookText"/>
        <w:rPr/>
      </w:pPr>
      <w:r>
        <w:rPr>
          <w:rFonts w:ascii="IRNazanin" w:hAnsi="IRNazanin" w:eastAsia="IRNazanin"/>
          <w:color w:val="111111"/>
          <w:sz w:val="28"/>
          <w:sz w:val="28"/>
          <w:szCs w:val="28"/>
          <w:rtl w:val="true"/>
          <w:lang w:bidi="fa-IR"/>
        </w:rPr>
        <w:t xml:space="preserve">فسنّتها السبع والثلاث والعشرون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p>
    <w:p>
      <w:pPr>
        <w:pStyle w:val="BookText"/>
        <w:rPr/>
      </w:pPr>
      <w:r>
        <w:rPr>
          <w:rFonts w:ascii="Amiri" w:hAnsi="Amiri" w:eastAsia="Amiri" w:cs="Amiri"/>
          <w:color w:val="111111"/>
          <w:sz w:val="28"/>
          <w:sz w:val="28"/>
          <w:szCs w:val="28"/>
          <w:rtl w:val="true"/>
          <w:lang w:bidi="ar-SA"/>
        </w:rPr>
        <w:t xml:space="preserve">فقد علم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قد صار لها وقتاً وخلقاً معروفاً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فلتتّق اللّه ، فإن كان من دم الحيض فلتمسك عن الصلاة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فلتتوضّأ من الصفرة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فلتتوضّأ ولتصلِّ عند وقت كلّ صلاة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فلتدع الصلاة أيّام أقرائها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فلتدع الصلاة أيّام أقرائها ، ثمّ تغتسل وتتوضّأ لكلّ صلاة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474</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فلتغتسل ، ثمّ تحتشي وتستذفر وتصلّي الظهر والعصر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فلتغتسل ، وإن رأت بعد ذلك صفرة فلتوضّأ ولتصلّ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فلتقعد أيّام قُرئها التي كانت تجلس ، ثمّ تستظهر بعشرة أيّام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554</w:t>
      </w:r>
    </w:p>
    <w:p>
      <w:pPr>
        <w:pStyle w:val="BookText"/>
        <w:rPr/>
      </w:pPr>
      <w:r>
        <w:rPr>
          <w:rFonts w:ascii="Amiri" w:hAnsi="Amiri" w:eastAsia="Amiri" w:cs="Amiri"/>
          <w:color w:val="111111"/>
          <w:sz w:val="28"/>
          <w:sz w:val="28"/>
          <w:szCs w:val="28"/>
          <w:rtl w:val="true"/>
          <w:lang w:bidi="ar-SA"/>
        </w:rPr>
        <w:t xml:space="preserve">فلتقعد أيّام قرئها الذي كانت تجلس ، ثمّ تستظهر بعشرة أيّام </w:t>
      </w:r>
      <w:r>
        <w:rPr>
          <w:rFonts w:eastAsia="Amiri" w:cs="Amiri" w:ascii="Amiri" w:hAnsi="Amiri"/>
          <w:color w:val="111111"/>
          <w:sz w:val="28"/>
          <w:szCs w:val="28"/>
          <w:lang w:bidi="ar-SA"/>
        </w:rPr>
        <w:t>570</w:t>
      </w:r>
    </w:p>
    <w:p>
      <w:pPr>
        <w:pStyle w:val="BookText"/>
        <w:rPr/>
      </w:pPr>
      <w:r>
        <w:rPr>
          <w:rFonts w:ascii="Amiri" w:hAnsi="Amiri" w:eastAsia="Amiri" w:cs="Amiri"/>
          <w:color w:val="111111"/>
          <w:sz w:val="28"/>
          <w:sz w:val="28"/>
          <w:szCs w:val="28"/>
          <w:rtl w:val="true"/>
          <w:lang w:bidi="ar-SA"/>
        </w:rPr>
        <w:t xml:space="preserve">فلتمسك عن الصلاة أيّام قرئها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فلها أن تجلس وتدع الصلاة ما دامت ترى الدم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فلهذا احتاجت إلى أن تعرف </w:t>
      </w:r>
      <w:r>
        <w:rPr>
          <w:rFonts w:eastAsia="IRNazanin" w:cs="IRNazanin"/>
          <w:color w:val="111111"/>
          <w:sz w:val="28"/>
          <w:szCs w:val="28"/>
          <w:rtl w:val="true"/>
          <w:lang w:bidi="fa-IR"/>
        </w:rPr>
        <w:t xml:space="preserve">. . .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 xml:space="preserve">فليتصدّق على مسكين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فليتصدّق على مسكين واحد ، وإلاّ استغفر اللّه ولا يعود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 xml:space="preserve">فوقتها سبع ، وطهرها ثلاث وعشرون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p>
    <w:p>
      <w:pPr>
        <w:pStyle w:val="BookText"/>
        <w:rPr/>
      </w:pPr>
      <w:r>
        <w:rPr>
          <w:rFonts w:ascii="Amiri" w:hAnsi="Amiri" w:eastAsia="Amiri" w:cs="Amiri"/>
          <w:color w:val="111111"/>
          <w:sz w:val="28"/>
          <w:sz w:val="28"/>
          <w:szCs w:val="28"/>
          <w:rtl w:val="true"/>
          <w:lang w:bidi="ar-SA"/>
        </w:rPr>
        <w:t xml:space="preserve">فهذا بيِّن واضح ؛ إنّ هذه لم يكن لها أيّام قبل ذلك قطّ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فهذا يبيّن أنّ هذه امرأة قد اختلط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فهذا يبيّن أنّ هذه امرأة قد اختلط عليها أيّامها ؛ لم تعرف عددها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فهذا يبيّن لك أنّ قليلَ الدم وكثيره أيّام الحيض ، حيضٌ كلّه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فهذه سنّة التي تعرف أيّام أقرائها لا وقت لها إلاّ أيّامها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فهذه سنّة التي تعرف أيّامها ولا وقت لها إلاّ أيّامها ؛ قلّت أو كثرت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في الحائض إذا اغتسلت في وقت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تصلّي العصر ، ثمّ تصلّي الظهر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فيجب أن تدع في النفاس والحيض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 xml:space="preserve">في كلّ غسل وضوء إلاّ الجنابة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 xml:space="preserve">قال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اللّه ليجعل حيضاً مع حَبَلٍ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اللّه عزّ وجلّ ليجعل حيضها مع حمل</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قد أمر بذا رسول اللّه صلی الله علیه و آله وسلم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 xml:space="preserve">قدر حيضها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عَزْف وأمرها أن تغتسل وتَسْتثفِر بثوب وتصلّي </w:t>
      </w:r>
      <w:r>
        <w:rPr>
          <w:rFonts w:eastAsia="Amiri" w:cs="Amiri" w:ascii="Amiri" w:hAnsi="Amiri"/>
          <w:color w:val="111111"/>
          <w:sz w:val="28"/>
          <w:szCs w:val="28"/>
          <w:lang w:bidi="ar-SA"/>
        </w:rPr>
        <w:t>364</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القُرء ما بين الحيضتين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يأمر فاطمة والمؤمنات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519</w:t>
      </w:r>
    </w:p>
    <w:p>
      <w:pPr>
        <w:pStyle w:val="BookText"/>
        <w:rPr/>
      </w:pPr>
      <w:r>
        <w:rPr>
          <w:rFonts w:ascii="IRNazanin" w:hAnsi="IRNazanin" w:eastAsia="IRNazanin"/>
          <w:color w:val="111111"/>
          <w:sz w:val="28"/>
          <w:sz w:val="28"/>
          <w:szCs w:val="28"/>
          <w:rtl w:val="true"/>
          <w:lang w:bidi="fa-IR"/>
        </w:rPr>
        <w:t xml:space="preserve">كذبوا على علي علیه السلام ، ما وجدوا ذلك في كتاب علي علیه السلام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 xml:space="preserve">كلّ شيء استحلّت به الصلاة فليأتها زوجها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 xml:space="preserve">كلّ شيء غير الفرج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كلّ شيء ما عدا القبل منها بعينه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كلّ غسل قبله وضوء إلاّ غسل الجنابة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كلّ ما رأت المرأة في أيّام حيضها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صفرة أو حمرة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الحيض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كلّ ما رأت في أيّام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صفرة أو حمرة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حيض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لا أعلم فيه شيئاً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لا بأس إذا اجتنب ذلك الموضع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لا بأس ، وبعد الغسل أحبّ إليّ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لا تصلّ في وَبَر ما لا يؤكل لحمه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لا تصلّي حتّى تنقضي أيّامها ، وإن رأت الصفرة في غير أيّامها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لا ، حتّى تغتسل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 xml:space="preserve">لا ، ليس عليه قبلُ ولا بعدُ ، قد أجزأه الغسل ، والمرأة مثل ذلك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لأنّ أقلّ أيّام الحيض ثلاثة أيّام ، وأكثرها عشرة أيّام ، وأوسطها خمسة أيّام </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 xml:space="preserve">لأنّ أيّامها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الطهر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جازت مع أيّام النفاس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لأنّ رسول اللّه صلی الله علیه و آله وسلم كان يأمر </w:t>
      </w:r>
      <w:r>
        <w:rPr>
          <w:rFonts w:eastAsia="IRNazanin" w:cs="IRNazanin"/>
          <w:color w:val="111111"/>
          <w:sz w:val="28"/>
          <w:szCs w:val="28"/>
          <w:rtl w:val="true"/>
          <w:lang w:bidi="fa-IR"/>
        </w:rPr>
        <w:t xml:space="preserve">. . . </w:t>
      </w:r>
      <w:r>
        <w:rPr>
          <w:rFonts w:eastAsia="IRNazanin" w:cs="IRNazanin"/>
          <w:color w:val="111111"/>
          <w:sz w:val="28"/>
          <w:szCs w:val="28"/>
          <w:lang w:bidi="fa-IR"/>
        </w:rPr>
        <w:t>519</w:t>
      </w:r>
    </w:p>
    <w:p>
      <w:pPr>
        <w:pStyle w:val="BookText"/>
        <w:rPr/>
      </w:pPr>
      <w:r>
        <w:rPr>
          <w:rFonts w:ascii="Amiri" w:hAnsi="Amiri" w:eastAsia="Amiri" w:cs="Amiri"/>
          <w:color w:val="111111"/>
          <w:sz w:val="28"/>
          <w:sz w:val="28"/>
          <w:szCs w:val="28"/>
          <w:rtl w:val="true"/>
          <w:lang w:bidi="ar-SA"/>
        </w:rPr>
        <w:t xml:space="preserve">لأ نّك كنت على يقين من طهارتك ، ثمّ شككت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لا وضوء للصلاة في غسل يوم الجمعة وغيره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لا ، ولكنّك إنّما تريد أن تذهب الشكّ الذي وقع في نفسك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لا ؛ هذه مستحاضة </w:t>
      </w:r>
      <w:r>
        <w:rPr>
          <w:rFonts w:eastAsia="Amiri" w:cs="Amiri" w:ascii="Amiri" w:hAnsi="Amiri"/>
          <w:color w:val="111111"/>
          <w:sz w:val="28"/>
          <w:szCs w:val="28"/>
          <w:lang w:bidi="ar-SA"/>
        </w:rPr>
        <w:t>184</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 هذه مستحاضة ؛ تغتسل وتستدخل قطنة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يرقأ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لا يصلح حتّى تغتسل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لا يصلح لزوجها أن يقع عليها حتّى تغتسل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لا يكون الحيض أقلّ من ثلاثة أيّام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لا يكون الدم أقلّ من ثلاثة أيّام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لا يكون القرء في أقلّ من عشرة </w:t>
      </w:r>
      <w:r>
        <w:rPr>
          <w:rFonts w:eastAsia="Amiri" w:cs="Amiri" w:ascii="Amiri" w:hAnsi="Amiri"/>
          <w:color w:val="111111"/>
          <w:sz w:val="28"/>
          <w:szCs w:val="28"/>
          <w:lang w:bidi="ar-SA"/>
        </w:rPr>
        <w:t>534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584</w:t>
      </w:r>
    </w:p>
    <w:p>
      <w:pPr>
        <w:pStyle w:val="BookText"/>
        <w:rPr/>
      </w:pPr>
      <w:r>
        <w:rPr>
          <w:rFonts w:ascii="Amiri" w:hAnsi="Amiri" w:eastAsia="Amiri" w:cs="Amiri"/>
          <w:color w:val="111111"/>
          <w:sz w:val="28"/>
          <w:sz w:val="28"/>
          <w:szCs w:val="28"/>
          <w:rtl w:val="true"/>
          <w:lang w:bidi="ar-SA"/>
        </w:rPr>
        <w:t>لا يكون القُرْء في أقلّ من عشرة أيّام فما زاد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 xml:space="preserve">لا يكون دم الحيض أقلّ من ثلاثة أيّام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لا يكون دم نفاس زمانه أكثر من زمان الحيض </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 xml:space="preserve">لا يلتمس فعل ذلك وقد نهى اللّه أن يقربها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لم يجز الدم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453</w:t>
      </w:r>
    </w:p>
    <w:p>
      <w:pPr>
        <w:pStyle w:val="BookText"/>
        <w:rPr/>
      </w:pPr>
      <w:r>
        <w:rPr>
          <w:rFonts w:ascii="IRNazanin" w:hAnsi="IRNazanin" w:eastAsia="IRNazanin"/>
          <w:color w:val="111111"/>
          <w:sz w:val="28"/>
          <w:sz w:val="28"/>
          <w:szCs w:val="28"/>
          <w:rtl w:val="true"/>
          <w:lang w:bidi="fa-IR"/>
        </w:rPr>
        <w:t xml:space="preserve">لوقته من الشهر الأوّل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 xml:space="preserve">لو كان حيضها أكثر من سبع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ليس عليها أن تقضي الصلاة ، وعليها أن تقضي صوم شهر رمضان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ليس عليه شيء ، وقد عصى ربّه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ليس عليه شيء ، يستغفر اللّه ، ولا يعود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ليس قبله ولا بعده وضوء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ليس لها سنّة إلاّ أيّامها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الماء يطهِّر </w:t>
      </w:r>
      <w:r>
        <w:rPr>
          <w:rFonts w:eastAsia="Amiri" w:cs="Amiri" w:ascii="Amiri" w:hAnsi="Amiri"/>
          <w:color w:val="111111"/>
          <w:sz w:val="28"/>
          <w:szCs w:val="28"/>
          <w:lang w:bidi="ar-SA"/>
        </w:rPr>
        <w:t>578</w:t>
      </w:r>
    </w:p>
    <w:p>
      <w:pPr>
        <w:pStyle w:val="BookText"/>
        <w:rPr/>
      </w:pPr>
      <w:r>
        <w:rPr>
          <w:rFonts w:ascii="Amiri" w:hAnsi="Amiri" w:eastAsia="Amiri" w:cs="Amiri"/>
          <w:color w:val="111111"/>
          <w:sz w:val="28"/>
          <w:sz w:val="28"/>
          <w:szCs w:val="28"/>
          <w:rtl w:val="true"/>
          <w:lang w:bidi="ar-SA"/>
        </w:rPr>
        <w:t>ما أبكاك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ما بين الفخذين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ما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ألْيتيها ، ولا يوقب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ما دامت ترى الصفرة فلتتوضّأ من الصفرة </w:t>
      </w:r>
      <w:r>
        <w:rPr>
          <w:rFonts w:eastAsia="Amiri" w:cs="Amiri" w:ascii="Amiri" w:hAnsi="Amiri"/>
          <w:color w:val="111111"/>
          <w:sz w:val="28"/>
          <w:szCs w:val="28"/>
          <w:lang w:bidi="ar-SA"/>
        </w:rPr>
        <w:t>341</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دامت ترى الصفرة فلتتوضّأ من الصفرة وتصلّي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ما دون الفرج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 xml:space="preserve">ما رأت المرأة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قبل عشرة أيّام فهو من الحيضة الاُولى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ما كان اللّه ليجعل حيضاً مع حَبَل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ما كان قبل الحيض فهو من الحيض ، وما كان بعد الحيض فليس منه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ما كان من قليل الأيّام وكثيره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مثل ذلك سواء ، فإن انقطع عنها الدم وإلاّ فهي مستحاضة </w:t>
      </w:r>
      <w:r>
        <w:rPr>
          <w:rFonts w:eastAsia="Amiri" w:cs="Amiri" w:ascii="Amiri" w:hAnsi="Amiri"/>
          <w:color w:val="111111"/>
          <w:sz w:val="28"/>
          <w:szCs w:val="28"/>
          <w:lang w:bidi="ar-SA"/>
        </w:rPr>
        <w:t>536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 xml:space="preserve">المرأة إذا بلغت خمسين لم ترَ حمرة ، إلاّ أن تكون امرأة من قريش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المرأة إذا رأت الدم في أوّل حيضها ، فاستمرّ بها الدم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المرأة التي قد يئست من المحيض حدّها خمسون سنة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مُرها فلتستلقِ على ظهرها ، ثمّ ترفع رجليها ، ثمّ تستدخل إصبعها الوسطى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المستحاضة إذا ثقب الدمُ الكُرْسُفَ اغتسلت لكلّ صلاتين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p>
    <w:p>
      <w:pPr>
        <w:pStyle w:val="BookText"/>
        <w:rPr/>
      </w:pPr>
      <w:r>
        <w:rPr>
          <w:rFonts w:ascii="Amiri" w:hAnsi="Amiri" w:eastAsia="Amiri" w:cs="Amiri"/>
          <w:color w:val="111111"/>
          <w:sz w:val="28"/>
          <w:sz w:val="28"/>
          <w:szCs w:val="28"/>
          <w:rtl w:val="true"/>
          <w:lang w:bidi="ar-SA"/>
        </w:rPr>
        <w:t xml:space="preserve">المستحاضة إذا مضت أيّام قرئها اغتسلت واحتشت كرسفها وتنظر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المستحاضة تستظهر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المستحاضة تغتسل عند صلاة الظهر ، وتصلّي الظهر والعصر </w:t>
      </w:r>
      <w:r>
        <w:rPr>
          <w:rFonts w:eastAsia="Amiri" w:cs="Amiri" w:ascii="Amiri" w:hAnsi="Amiri"/>
          <w:color w:val="111111"/>
          <w:sz w:val="28"/>
          <w:szCs w:val="28"/>
          <w:lang w:bidi="ar-SA"/>
        </w:rPr>
        <w:t>496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 xml:space="preserve">المستحاضة تقعد أيّام قرئها ، ثمّ تحتاط بيوم أو يومين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المستحاضة تكفّ عن الصلاة أيّام أقرائها ، وتحتاط بيوم أو اثنين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المستحاضة تنظر أيّامها ؛ فلا تصلّي فيها ، ولا يقربها بعلها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ممّا يزيد هذا بياناً قوله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تحيّضي ، وليس يكون التحيّض إلاّ للمرأة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من أتى حائضاً فعليه نصف دينار ، ويتصدّق به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من أتى حائضاً فعليه نصف دينار ، يتصدّق به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من أدرك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من أدرك ركعة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أدرك ركعة من الصبح قبل أن تطلع الشمس فقد أدرك الصبح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أدرك ركعة من الصلاة فقد أدرك الصلاة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من أدرك ركعة من العصر قبل أن تغرب الشمس ، فقد أدرك العصر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من أدرك من الغداة ركعة قبل طلوع الشمس فقد أدرك الغداة تامّة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من الحيضة الاُولى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نعم ؛ إذا غسلت فرجها وتيمّمت فلا بأس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نعم ، إذا مضى لها منذ يوم وضعت بقدر أيّام عدّة حيضها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554</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 xml:space="preserve">نعم ؛ إنّ الحبلى ربّما قذفت بالدم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 xml:space="preserve">نعم ؛ إنّه ربّما قذفت المرأة الدم وهي حبلى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نعم ؛ وذلك أنّ الولد في بطن اُمّه غذاؤه الدم ، فربّما كثر ففضل عنه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 xml:space="preserve">النفساء تكفّ عن الصلاة أيّامها التي تمكث فيها ، ثمّ تغتسل </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 xml:space="preserve">النفساء تكفّ عن الصلاة أيّامها التي كانت تمكث فيها ، ثمّ تغتسل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وأدناه حيضتان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وإذا رأت الحامل الدم قبل الوقت الذي كانت ترى فيه الدم بقليل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وإذا رأت الدم قبل عشرة أيّام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وإذا رأت الصفرة في غير أيّامها توضّأت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وإذا رأت المرأة الدم قبل عشرة فهو من الحيضة الاُولى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واغتسلي للفجر غسلاً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وأقلّ ما يكون عشرة من حين تطهر إلى أن ترى الدم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والتي قد يئست من المحيض ومثلها لا تحيض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والمستحاضة تغتسل وتحتشي وتصلّي ، والحائض تترك الصلاة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والنفساء لا تقعد عن الصلاة أكثر من ثمانية عشر يوماً </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 xml:space="preserve">وأمّا السنّة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التي ليس لها أيّام متقدّمة ، ولم تَرَ الدم قطّ </w:t>
      </w:r>
      <w:r>
        <w:rPr>
          <w:rFonts w:eastAsia="Amiri" w:cs="Amiri" w:ascii="Amiri" w:hAnsi="Amiri"/>
          <w:color w:val="111111"/>
          <w:sz w:val="28"/>
          <w:szCs w:val="28"/>
          <w:lang w:bidi="ar-SA"/>
        </w:rPr>
        <w:t>366</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السُنّة الثالثة فهي التي ليس لها أيّام متقدّمة ، ولم ترَ الدم قطّ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سنّة التي قد كانت لها أيّام متقدّمة ، ثمّ اختلط عليها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 xml:space="preserve">وإن اختلطت الأيّام عليها ، وتقدّمت وتأخّرت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وإن اختلط عليها أيّامها وزادت ونقصت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عملت بإقبال الدم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وإن أراد زوجها أن يأتيها فحين تغتسل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 xml:space="preserve">وإن انقطع الدم بعد ما رأته يوماً أو يومين ، اغتسلت وصلّت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وإن رأت الدم من أوّل ما رأت الثاني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وإن كان الدم إذا أمسكت الكرسف ، يسيل من خلف الكرسف صبيباً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وإن كان الدم لا يثقب الكرسف توضّأت ، ودخلت المسجد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p>
    <w:p>
      <w:pPr>
        <w:pStyle w:val="BookText"/>
        <w:rPr/>
      </w:pPr>
      <w:r>
        <w:rPr>
          <w:rFonts w:ascii="Amiri" w:hAnsi="Amiri" w:eastAsia="Amiri" w:cs="Amiri"/>
          <w:color w:val="111111"/>
          <w:sz w:val="28"/>
          <w:sz w:val="28"/>
          <w:szCs w:val="28"/>
          <w:rtl w:val="true"/>
          <w:lang w:bidi="ar-SA"/>
        </w:rPr>
        <w:t xml:space="preserve">وإن كان بعد الحيض بيومين فليس من الحيض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وإن كانت لا تعرف أيّام نفاسها فابتليت ، جلست بمثل أيّام اُمّها أو اُختها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وإن كان دماً ليس بصفرة فلتمسك عن الصلاة أيّام قرئها ، ثمّ لتغتسل ولتصلّ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وإن كان صفرة فعليها الوضوء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وإن كان فيه خلاف فلتحتط بيوم أو يومين ولتغتسل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p>
    <w:p>
      <w:pPr>
        <w:pStyle w:val="BookText"/>
        <w:rPr/>
      </w:pPr>
      <w:r>
        <w:rPr>
          <w:rFonts w:ascii="Amiri" w:hAnsi="Amiri" w:eastAsia="Amiri" w:cs="Amiri"/>
          <w:color w:val="111111"/>
          <w:sz w:val="28"/>
          <w:sz w:val="28"/>
          <w:szCs w:val="28"/>
          <w:rtl w:val="true"/>
          <w:lang w:bidi="ar-SA"/>
        </w:rPr>
        <w:t xml:space="preserve">وإن لم تَرَ شيئاً فلتغتسل ، وإن رأت بعد ذلك صفرة فلتتوضّأ ولتصلّ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وإن لم تر طهراً اغتسلت واحتشت ، ولا تزال تصلّي بذلك الغسل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وإن لم يجز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وإن لم يجز الدم الكرسف صلّت بغسل واحد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وإن لم يجز الدم الكرسف فعليها الغسل لكلّ يوم مرّة والوضوء لكلّ صلاة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وإن لم يكن الأمر كذلك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وإن لم يكن الأمر كذلك ، ولكنّ الدم أطبق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لم ينقطع الدم عنها إلاّ بعد ما تمضي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فلتغتسل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وإنّما جعل الوقت إن توالى عليها حيضتان أو ثلاث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وإنّما سنّ لها أيّاماً معلومة ما كانت من قليل أو كثير بعد أن تعرفها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وإن هي لم تَرَ طهراً اغتسلت واحتشت ، ولا تزال تصلّي بذلك الغسل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وأيُّ وضوء أطهر من الغسل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وأيُّ وضوء أنقى من الغسل وأبلغ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وتجمع بين الصلاتين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وتجمع بين المغرب والعشاء بغسل ، فإذا حلّت لها الصلاة حلّ لزوجها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وتحتشي وتستثفر وتحشّي وتضمّ فخذيها في المسجد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وتحيّضي في كلّ شهر في علم اللّه ستّة أيّام أو سبعة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وتنظر ؛ فإن ظهر على الكرسف زادت كرسفها ، وتوضّأت وصلّت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وجعلت وقت طهرِها أكثرَ ما يكون من الطهر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وذلك أنّ المرأة أوّل ما تحيض ربما كانت كثيرة الدم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 xml:space="preserve">وذلك أنّ دم الحيض أسود يعرف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وذلك أنّ فاطمة بنت أبي حبيش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وسئل عن المستحاضة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ذلك عزف عامر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وسئل عن المستحاضة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عِرق غابر أو رَكْضة من الشيطان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وسئل عن المستحاضة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عزف عامر ، أو ركضة من الشيطان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الوضوء بعد الغسل بدعة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وغسل الاستحاضة واجب ؛ إذا احتشت بالكرسف وجاز الدم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462</w:t>
      </w:r>
    </w:p>
    <w:p>
      <w:pPr>
        <w:pStyle w:val="BookText"/>
        <w:rPr/>
      </w:pPr>
      <w:r>
        <w:rPr>
          <w:rFonts w:ascii="IRNazanin" w:hAnsi="IRNazanin" w:eastAsia="IRNazanin"/>
          <w:color w:val="111111"/>
          <w:sz w:val="28"/>
          <w:sz w:val="28"/>
          <w:szCs w:val="28"/>
          <w:rtl w:val="true"/>
          <w:lang w:bidi="fa-IR"/>
        </w:rPr>
        <w:t xml:space="preserve">وغسل النفاس واجب </w:t>
      </w:r>
      <w:r>
        <w:rPr>
          <w:rFonts w:eastAsia="IRNazanin" w:cs="IRNazanin"/>
          <w:color w:val="111111"/>
          <w:sz w:val="28"/>
          <w:szCs w:val="28"/>
          <w:lang w:bidi="fa-IR"/>
        </w:rPr>
        <w:t>528</w:t>
      </w:r>
    </w:p>
    <w:p>
      <w:pPr>
        <w:pStyle w:val="BookText"/>
        <w:rPr/>
      </w:pPr>
      <w:r>
        <w:rPr>
          <w:rFonts w:ascii="Amiri" w:hAnsi="Amiri" w:eastAsia="Amiri" w:cs="Amiri"/>
          <w:color w:val="111111"/>
          <w:sz w:val="28"/>
          <w:sz w:val="28"/>
          <w:szCs w:val="28"/>
          <w:rtl w:val="true"/>
          <w:lang w:bidi="ar-SA"/>
        </w:rPr>
        <w:t xml:space="preserve">الوقت ، والطهور ، والقبلة ، والتوجّه ، والركوع ، والسجود ، والدعاء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وكان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استحيضت سبع سنين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وكذلك تفعل المستحاضة ؛ فإنّها إذا فعلت ذلك أذهب اللّه بالدم عنها </w:t>
      </w:r>
      <w:r>
        <w:rPr>
          <w:rFonts w:eastAsia="Amiri" w:cs="Amiri" w:ascii="Amiri" w:hAnsi="Amiri"/>
          <w:color w:val="111111"/>
          <w:sz w:val="28"/>
          <w:szCs w:val="28"/>
          <w:lang w:bidi="ar-SA"/>
        </w:rPr>
        <w:t>481</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شيء أمسسته الماء فقد أنقيته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وكلّ ما رأت المرأة في أيّام حيضها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فهو من الحيض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ولا بأس بأن يأتيها بعلها إذا شاء إلاّ أيّام حيضها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 xml:space="preserve">ولا تقضي الصلاة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 xml:space="preserve">ولا وضوء فيه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ولا يكون الطهر أقلّ من عشرة أيّام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ولِمَ أفتوك بثمانية عشر يوماً ؟</w:t>
      </w:r>
      <w:r>
        <w:rPr>
          <w:rFonts w:eastAsia="Amiri" w:cs="Amiri" w:ascii="Amiri" w:hAnsi="Amiri"/>
          <w:color w:val="111111"/>
          <w:sz w:val="28"/>
          <w:szCs w:val="28"/>
          <w:lang w:bidi="ar-SA"/>
        </w:rPr>
        <w:t>558</w:t>
      </w:r>
    </w:p>
    <w:p>
      <w:pPr>
        <w:pStyle w:val="BookText"/>
        <w:rPr/>
      </w:pPr>
      <w:r>
        <w:rPr>
          <w:rFonts w:ascii="Amiri" w:hAnsi="Amiri" w:eastAsia="Amiri" w:cs="Amiri"/>
          <w:color w:val="111111"/>
          <w:sz w:val="28"/>
          <w:sz w:val="28"/>
          <w:szCs w:val="28"/>
          <w:rtl w:val="true"/>
          <w:lang w:bidi="ar-SA"/>
        </w:rPr>
        <w:t xml:space="preserve">ولو كانت تعرف أيّامها ما احتاجت إلى معرفة لون الدم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ومتى ما جامعتها وهي حائض فعليك أن تتصدّق بدينار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وهذه قذفت بدم المخاض إلى أن يخرج بعض الولد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 xml:space="preserve">وهي في نفاسها من الدم </w:t>
      </w:r>
      <w:r>
        <w:rPr>
          <w:rFonts w:eastAsia="Amiri" w:cs="Amiri" w:ascii="Amiri" w:hAnsi="Amiri"/>
          <w:color w:val="111111"/>
          <w:sz w:val="28"/>
          <w:szCs w:val="28"/>
          <w:lang w:bidi="ar-SA"/>
        </w:rPr>
        <w:t>579</w:t>
      </w:r>
    </w:p>
    <w:p>
      <w:pPr>
        <w:pStyle w:val="BookText"/>
        <w:rPr/>
      </w:pPr>
      <w:r>
        <w:rPr>
          <w:rFonts w:ascii="Amiri" w:hAnsi="Amiri" w:eastAsia="Amiri" w:cs="Amiri"/>
          <w:color w:val="111111"/>
          <w:sz w:val="28"/>
          <w:sz w:val="28"/>
          <w:szCs w:val="28"/>
          <w:rtl w:val="true"/>
          <w:lang w:bidi="ar-SA"/>
        </w:rPr>
        <w:t xml:space="preserve">هذا إذا كان دماً عبيطاً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 xml:space="preserve">هذه امرأة قد اختلط عليها أيّامها </w:t>
      </w:r>
      <w:r>
        <w:rPr>
          <w:rFonts w:eastAsia="Amiri" w:cs="Amiri" w:ascii="Amiri" w:hAnsi="Amiri"/>
          <w:color w:val="111111"/>
          <w:sz w:val="28"/>
          <w:szCs w:val="28"/>
          <w:lang w:bidi="ar-SA"/>
        </w:rPr>
        <w:t>373</w:t>
      </w:r>
    </w:p>
    <w:p>
      <w:pPr>
        <w:pStyle w:val="BookText"/>
        <w:rPr/>
      </w:pPr>
      <w:r>
        <w:rPr>
          <w:rFonts w:ascii="IRNazanin" w:hAnsi="IRNazanin" w:eastAsia="IRNazanin"/>
          <w:color w:val="111111"/>
          <w:sz w:val="28"/>
          <w:sz w:val="28"/>
          <w:szCs w:val="28"/>
          <w:rtl w:val="true"/>
          <w:lang w:bidi="fa-IR"/>
        </w:rPr>
        <w:t xml:space="preserve">هذه سنّة النبي صلی الله علیه و آله وسلم في التي تعرف أيّام أقرائها ؛ لم تختلط عليها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p>
    <w:p>
      <w:pPr>
        <w:pStyle w:val="BookText"/>
        <w:rPr/>
      </w:pPr>
      <w:r>
        <w:rPr>
          <w:rFonts w:ascii="Amiri" w:hAnsi="Amiri" w:eastAsia="Amiri" w:cs="Amiri"/>
          <w:color w:val="111111"/>
          <w:sz w:val="28"/>
          <w:sz w:val="28"/>
          <w:szCs w:val="28"/>
          <w:rtl w:val="true"/>
          <w:lang w:bidi="ar-SA"/>
        </w:rPr>
        <w:t xml:space="preserve">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يرتفع الطمث من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حبل بيّن ، وإمّا فساد من الطمث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هيهات من ذلك يابن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الطمث ضربان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يا خلف ، سرّ اللّه ، سرّ اللّه فلا تذيعوه ، ولا تعلّموا هذا الخلق اُصول دين اللّه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يتصدّق بدينار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يتصدّق بدينار ويستغفر اللّه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يجب عليه في استقبال الحيض دينار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يجب للمستحاضة أن تنظر بعض نسائها ، فتقتدي بأقرائها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يصير دم النفاس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545</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يقضيها إذا ذكرها في أيّ ساعة ذكرها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bookmarkStart w:id="873" w:name="pg15019_191171"/>
    </w:p>
    <w:p>
      <w:pPr>
        <w:pStyle w:val="Heading3"/>
        <w:numPr>
          <w:ilvl w:val="2"/>
          <w:numId w:val="1"/>
        </w:numPr>
        <w:rPr/>
      </w:pPr>
      <w:bookmarkStart w:id="874" w:name="__RefHeading___Toc686794_3406789950"/>
      <w:bookmarkStart w:id="875" w:name="_Toc315"/>
      <w:bookmarkEnd w:id="873"/>
      <w:bookmarkEnd w:id="874"/>
      <w:r>
        <w:rPr/>
        <w:t>3</w:t>
      </w:r>
      <w:r>
        <w:rPr>
          <w:rtl w:val="true"/>
        </w:rPr>
        <w:t xml:space="preserve"> - </w:t>
      </w:r>
      <w:r>
        <w:rPr>
          <w:rtl w:val="true"/>
        </w:rPr>
        <w:t>فهرس أسماء المعصومين علیهم السلام</w:t>
      </w:r>
      <w:bookmarkEnd w:id="875"/>
    </w:p>
    <w:p>
      <w:pPr>
        <w:pStyle w:val="BookText"/>
        <w:rPr/>
      </w:pPr>
      <w:r>
        <w:rPr>
          <w:rFonts w:ascii="IRNazanin" w:hAnsi="IRNazanin" w:eastAsia="IRNazanin"/>
          <w:color w:val="111111"/>
          <w:sz w:val="28"/>
          <w:sz w:val="28"/>
          <w:szCs w:val="28"/>
          <w:rtl w:val="true"/>
          <w:lang w:bidi="fa-IR"/>
        </w:rPr>
        <w:t xml:space="preserve">النبي، محمّد،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صلی الله علیه و آله وسلم ، نبي الإسلام</w:t>
      </w:r>
    </w:p>
    <w:p>
      <w:pPr>
        <w:pStyle w:val="BookText"/>
        <w:rPr/>
      </w:pPr>
      <w:r>
        <w:rPr>
          <w:rFonts w:ascii="IRNazanin" w:hAnsi="IRNazanin" w:eastAsia="IRNazanin"/>
          <w:color w:val="111111"/>
          <w:sz w:val="28"/>
          <w:sz w:val="28"/>
          <w:szCs w:val="28"/>
          <w:rtl w:val="true"/>
          <w:lang w:bidi="fa-IR"/>
        </w:rPr>
        <w:t xml:space="preserve">محمّد بن عبداللّه صلی الله علیه و آله وسلم ، نبي الإسلام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 xml:space="preserve">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علیه السلام ، الإمام الأوّل</w:t>
      </w:r>
    </w:p>
    <w:p>
      <w:pPr>
        <w:pStyle w:val="BookText"/>
        <w:rPr/>
      </w:pPr>
      <w:r>
        <w:rPr>
          <w:rFonts w:ascii="IRNazanin" w:hAnsi="IRNazanin" w:eastAsia="IRNazanin"/>
          <w:color w:val="111111"/>
          <w:sz w:val="28"/>
          <w:sz w:val="28"/>
          <w:szCs w:val="28"/>
          <w:rtl w:val="true"/>
          <w:lang w:bidi="fa-IR"/>
        </w:rPr>
        <w:t xml:space="preserve">علي بن أبي طالب علیه السلام ، الإمام الأوّل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p>
    <w:p>
      <w:pPr>
        <w:pStyle w:val="BookText"/>
        <w:rPr/>
      </w:pP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519</w:t>
      </w:r>
    </w:p>
    <w:p>
      <w:pPr>
        <w:pStyle w:val="BookText"/>
        <w:rPr/>
      </w:pPr>
      <w:r>
        <w:rPr>
          <w:rFonts w:ascii="IRNazanin" w:hAnsi="IRNazanin" w:eastAsia="IRNazanin"/>
          <w:color w:val="111111"/>
          <w:sz w:val="28"/>
          <w:sz w:val="28"/>
          <w:szCs w:val="28"/>
          <w:rtl w:val="true"/>
          <w:lang w:bidi="fa-IR"/>
        </w:rPr>
        <w:t xml:space="preserve">الباقر،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علیه السلام ، الإمام الخامس</w:t>
      </w:r>
    </w:p>
    <w:p>
      <w:pPr>
        <w:pStyle w:val="BookText"/>
        <w:rPr/>
      </w:pPr>
      <w:r>
        <w:rPr>
          <w:rFonts w:ascii="IRNazanin" w:hAnsi="IRNazanin" w:eastAsia="IRNazanin"/>
          <w:color w:val="111111"/>
          <w:sz w:val="28"/>
          <w:sz w:val="28"/>
          <w:szCs w:val="28"/>
          <w:rtl w:val="true"/>
          <w:lang w:bidi="fa-IR"/>
        </w:rPr>
        <w:t xml:space="preserve">محمّد بن علي علیه السلام ، الإمام الخامس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الصادق،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علیه السلام ، الإمام السادس</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بن محمّد علیه السلام ، الإمام السادس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 xml:space="preserve">أحدهما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علي علیه السلام ، الإمام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علیه السلام ، الإمام السادس</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العبد الصالح، أبو إبراهيم، أبو الحسن الأوّل، أبو الحسن الماضي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جعفر علیه السلام ، الإمام السابع</w:t>
      </w:r>
    </w:p>
    <w:p>
      <w:pPr>
        <w:pStyle w:val="BookText"/>
        <w:rPr/>
      </w:pPr>
      <w:r>
        <w:rPr>
          <w:rFonts w:ascii="IRNazanin" w:hAnsi="IRNazanin" w:eastAsia="IRNazanin"/>
          <w:color w:val="111111"/>
          <w:sz w:val="28"/>
          <w:sz w:val="28"/>
          <w:szCs w:val="28"/>
          <w:rtl w:val="true"/>
          <w:lang w:bidi="fa-IR"/>
        </w:rPr>
        <w:t xml:space="preserve">موسى بن جعفر علیه السلام ، الإمام السابع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 xml:space="preserve">الرضا، أبو الحسن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موسى علیه السلام ، الإمام الثامن</w:t>
      </w:r>
    </w:p>
    <w:p>
      <w:pPr>
        <w:pStyle w:val="BookText"/>
        <w:rPr/>
      </w:pPr>
      <w:r>
        <w:rPr>
          <w:rFonts w:ascii="IRNazanin" w:hAnsi="IRNazanin" w:eastAsia="IRNazanin"/>
          <w:color w:val="111111"/>
          <w:sz w:val="28"/>
          <w:sz w:val="28"/>
          <w:szCs w:val="28"/>
          <w:rtl w:val="true"/>
          <w:lang w:bidi="fa-IR"/>
        </w:rPr>
        <w:t xml:space="preserve">علي بن موسى علیه السلام ، الإمام الثامن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 xml:space="preserve">أبو الحسن الثالث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محمّد علیه السلام ، الإمام العاشر</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بن محمّد علیه السلام ، الإمام العاشر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bookmarkStart w:id="876" w:name="pg15019_191175"/>
    </w:p>
    <w:p>
      <w:pPr>
        <w:pStyle w:val="Heading3"/>
        <w:numPr>
          <w:ilvl w:val="2"/>
          <w:numId w:val="1"/>
        </w:numPr>
        <w:rPr/>
      </w:pPr>
      <w:bookmarkStart w:id="877" w:name="__RefHeading___Toc686796_3406789950"/>
      <w:bookmarkStart w:id="878" w:name="_Toc316"/>
      <w:bookmarkEnd w:id="876"/>
      <w:bookmarkEnd w:id="877"/>
      <w:r>
        <w:rPr/>
        <w:t>4</w:t>
      </w:r>
      <w:r>
        <w:rPr>
          <w:rtl w:val="true"/>
        </w:rPr>
        <w:t xml:space="preserve"> - </w:t>
      </w:r>
      <w:r>
        <w:rPr>
          <w:rtl w:val="true"/>
        </w:rPr>
        <w:t>فهرس الأعلام</w:t>
      </w:r>
      <w:bookmarkEnd w:id="878"/>
    </w:p>
    <w:p>
      <w:pPr>
        <w:pStyle w:val="BookText"/>
        <w:rPr/>
      </w:pPr>
      <w:r>
        <w:rPr>
          <w:rFonts w:ascii="Amiri" w:hAnsi="Amiri" w:eastAsia="Amiri" w:cs="Amiri"/>
          <w:color w:val="111111"/>
          <w:sz w:val="28"/>
          <w:sz w:val="28"/>
          <w:szCs w:val="28"/>
          <w:rtl w:val="true"/>
          <w:lang w:bidi="ar-SA"/>
        </w:rPr>
        <w:t xml:space="preserve">الآخوند الخراساني، محمّد كاظم بن الحسين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568</w:t>
      </w:r>
    </w:p>
    <w:p>
      <w:pPr>
        <w:pStyle w:val="BookText"/>
        <w:rPr/>
      </w:pPr>
      <w:r>
        <w:rPr>
          <w:rFonts w:ascii="Amiri" w:hAnsi="Amiri" w:eastAsia="Amiri" w:cs="Amiri"/>
          <w:color w:val="111111"/>
          <w:sz w:val="28"/>
          <w:sz w:val="28"/>
          <w:szCs w:val="28"/>
          <w:rtl w:val="true"/>
          <w:lang w:bidi="ar-SA"/>
        </w:rPr>
        <w:t xml:space="preserve">الآقا جمال خوانساري، محمّد بن الحسين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IRNazanin" w:hAnsi="IRNazanin" w:eastAsia="IRNazanin"/>
          <w:color w:val="111111"/>
          <w:sz w:val="28"/>
          <w:sz w:val="28"/>
          <w:szCs w:val="28"/>
          <w:rtl w:val="true"/>
          <w:lang w:bidi="fa-IR"/>
        </w:rPr>
        <w:t>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 بن عثمان</w:t>
      </w:r>
    </w:p>
    <w:p>
      <w:pPr>
        <w:pStyle w:val="BookText"/>
        <w:rPr/>
      </w:pPr>
      <w:r>
        <w:rPr>
          <w:rFonts w:ascii="IRNazanin" w:hAnsi="IRNazanin" w:eastAsia="IRNazanin"/>
          <w:color w:val="111111"/>
          <w:sz w:val="28"/>
          <w:sz w:val="28"/>
          <w:szCs w:val="28"/>
          <w:rtl w:val="true"/>
          <w:lang w:bidi="fa-IR"/>
        </w:rPr>
        <w:t xml:space="preserve">أبان بن عثمان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إبراهيم بن محمّد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ابن أبي عقيل العمّاني، الحسن بن علي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 xml:space="preserve">ابن أبي عمير، محمّد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ابن أبي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البزنطي، أحمد بن محمّد</w:t>
      </w:r>
    </w:p>
    <w:p>
      <w:pPr>
        <w:pStyle w:val="BookText"/>
        <w:rPr/>
      </w:pPr>
      <w:r>
        <w:rPr>
          <w:rFonts w:ascii="Amiri" w:hAnsi="Amiri" w:eastAsia="Amiri" w:cs="Amiri"/>
          <w:color w:val="111111"/>
          <w:sz w:val="28"/>
          <w:sz w:val="28"/>
          <w:szCs w:val="28"/>
          <w:rtl w:val="true"/>
          <w:lang w:bidi="ar-SA"/>
        </w:rPr>
        <w:t>ابن أبي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أبي يعفور</w:t>
      </w:r>
    </w:p>
    <w:p>
      <w:pPr>
        <w:pStyle w:val="BookText"/>
        <w:rPr/>
      </w:pPr>
      <w:r>
        <w:rPr>
          <w:rFonts w:ascii="Amiri" w:hAnsi="Amiri" w:eastAsia="Amiri" w:cs="Amiri"/>
          <w:color w:val="111111"/>
          <w:sz w:val="28"/>
          <w:sz w:val="28"/>
          <w:szCs w:val="28"/>
          <w:rtl w:val="true"/>
          <w:lang w:bidi="ar-SA"/>
        </w:rPr>
        <w:t xml:space="preserve">ابن إدريس، محمّد بن أحمد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ابن البختري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حفص بن البختري</w:t>
      </w:r>
    </w:p>
    <w:p>
      <w:pPr>
        <w:pStyle w:val="BookText"/>
        <w:rPr/>
      </w:pPr>
      <w:r>
        <w:rPr>
          <w:rFonts w:ascii="Amiri" w:hAnsi="Amiri" w:eastAsia="Amiri" w:cs="Amiri"/>
          <w:color w:val="111111"/>
          <w:sz w:val="28"/>
          <w:sz w:val="28"/>
          <w:szCs w:val="28"/>
          <w:rtl w:val="true"/>
          <w:lang w:bidi="ar-SA"/>
        </w:rPr>
        <w:t xml:space="preserve">ابن البرّاج، عبدالعزيز بن نحرير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 xml:space="preserve">ابن الجنيد الإسكافي، محمّد بن أحمد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550</w:t>
      </w:r>
    </w:p>
    <w:p>
      <w:pPr>
        <w:pStyle w:val="BookText"/>
        <w:rPr/>
      </w:pPr>
      <w:r>
        <w:rPr>
          <w:rFonts w:ascii="IRNazanin" w:hAnsi="IRNazanin" w:eastAsia="IRNazanin"/>
          <w:color w:val="111111"/>
          <w:sz w:val="28"/>
          <w:sz w:val="28"/>
          <w:szCs w:val="28"/>
          <w:rtl w:val="true"/>
          <w:lang w:bidi="fa-IR"/>
        </w:rPr>
        <w:t>ابن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الحجّاج</w:t>
      </w:r>
    </w:p>
    <w:p>
      <w:pPr>
        <w:pStyle w:val="BookText"/>
        <w:rPr/>
      </w:pPr>
      <w:r>
        <w:rPr>
          <w:rFonts w:ascii="Amiri" w:hAnsi="Amiri" w:eastAsia="Amiri" w:cs="Amiri"/>
          <w:color w:val="111111"/>
          <w:sz w:val="28"/>
          <w:sz w:val="28"/>
          <w:szCs w:val="28"/>
          <w:rtl w:val="true"/>
          <w:lang w:bidi="ar-SA"/>
        </w:rPr>
        <w:t>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الزبير</w:t>
      </w:r>
    </w:p>
    <w:p>
      <w:pPr>
        <w:pStyle w:val="BookText"/>
        <w:rPr/>
      </w:pPr>
      <w:r>
        <w:rPr>
          <w:rFonts w:ascii="Amiri" w:hAnsi="Amiri" w:eastAsia="Amiri" w:cs="Amiri"/>
          <w:color w:val="111111"/>
          <w:sz w:val="28"/>
          <w:sz w:val="28"/>
          <w:szCs w:val="28"/>
          <w:rtl w:val="true"/>
          <w:lang w:bidi="ar-SA"/>
        </w:rPr>
        <w:t>ابن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المغيرة</w:t>
      </w:r>
    </w:p>
    <w:p>
      <w:pPr>
        <w:pStyle w:val="BookText"/>
        <w:rPr/>
      </w:pPr>
      <w:r>
        <w:rPr>
          <w:rFonts w:ascii="Amiri" w:hAnsi="Amiri" w:eastAsia="Amiri" w:cs="Amiri"/>
          <w:color w:val="111111"/>
          <w:sz w:val="28"/>
          <w:sz w:val="28"/>
          <w:szCs w:val="28"/>
          <w:rtl w:val="true"/>
          <w:lang w:bidi="ar-SA"/>
        </w:rPr>
        <w:t xml:space="preserve">ابن الوليد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ابن بابويه، محمّد بن علي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 xml:space="preserve">ابن بكير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ابن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حكيم</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حمزة، محمّد بن علي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زهرة، حمزة بن علي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IRNazanin" w:hAnsi="IRNazanin" w:eastAsia="IRNazanin"/>
          <w:color w:val="111111"/>
          <w:sz w:val="28"/>
          <w:sz w:val="28"/>
          <w:szCs w:val="28"/>
          <w:rtl w:val="true"/>
          <w:lang w:bidi="fa-IR"/>
        </w:rPr>
        <w:t>ابن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w:t>
      </w:r>
    </w:p>
    <w:p>
      <w:pPr>
        <w:pStyle w:val="BookText"/>
        <w:rPr/>
      </w:pPr>
      <w:r>
        <w:rPr>
          <w:rFonts w:ascii="Amiri" w:hAnsi="Amiri" w:eastAsia="Amiri" w:cs="Amiri"/>
          <w:color w:val="111111"/>
          <w:sz w:val="28"/>
          <w:sz w:val="28"/>
          <w:szCs w:val="28"/>
          <w:rtl w:val="true"/>
          <w:lang w:bidi="ar-SA"/>
        </w:rPr>
        <w:t>ابن سوقة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سوقة</w:t>
      </w:r>
    </w:p>
    <w:p>
      <w:pPr>
        <w:pStyle w:val="BookText"/>
        <w:rPr/>
      </w:pPr>
      <w:r>
        <w:rPr>
          <w:rFonts w:ascii="Amiri" w:hAnsi="Amiri" w:eastAsia="Amiri" w:cs="Amiri"/>
          <w:color w:val="111111"/>
          <w:sz w:val="28"/>
          <w:sz w:val="28"/>
          <w:szCs w:val="28"/>
          <w:rtl w:val="true"/>
          <w:lang w:bidi="ar-SA"/>
        </w:rPr>
        <w:t xml:space="preserve">ابن سينا، الحسين بن عبداللّه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 xml:space="preserve">ابن شاذان، الفضل بن شاذان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 xml:space="preserve">ابن طاوس، أحمد بن موسى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p>
    <w:p>
      <w:pPr>
        <w:pStyle w:val="BookText"/>
        <w:rPr/>
      </w:pPr>
      <w:r>
        <w:rPr>
          <w:rFonts w:ascii="Amiri" w:hAnsi="Amiri" w:eastAsia="Amiri" w:cs="Amiri"/>
          <w:color w:val="111111"/>
          <w:sz w:val="28"/>
          <w:sz w:val="28"/>
          <w:szCs w:val="28"/>
          <w:rtl w:val="true"/>
          <w:lang w:bidi="ar-SA"/>
        </w:rPr>
        <w:t xml:space="preserve">ابن عبّاس، عبداللّه بن عبّاس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ابن 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عبدون</w:t>
      </w:r>
    </w:p>
    <w:p>
      <w:pPr>
        <w:pStyle w:val="BookText"/>
        <w:rPr/>
      </w:pPr>
      <w:r>
        <w:rPr>
          <w:rFonts w:ascii="IRNazanin" w:hAnsi="IRNazanin" w:eastAsia="IRNazanin"/>
          <w:color w:val="111111"/>
          <w:sz w:val="28"/>
          <w:sz w:val="28"/>
          <w:szCs w:val="28"/>
          <w:rtl w:val="true"/>
          <w:lang w:bidi="fa-IR"/>
        </w:rPr>
        <w:t>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محبوب</w:t>
      </w:r>
    </w:p>
    <w:p>
      <w:pPr>
        <w:pStyle w:val="BookText"/>
        <w:rPr/>
      </w:pPr>
      <w:r>
        <w:rPr>
          <w:rFonts w:ascii="IRNazanin" w:hAnsi="IRNazanin" w:eastAsia="IRNazanin"/>
          <w:color w:val="111111"/>
          <w:sz w:val="28"/>
          <w:sz w:val="28"/>
          <w:szCs w:val="28"/>
          <w:rtl w:val="true"/>
          <w:lang w:bidi="fa-IR"/>
        </w:rPr>
        <w:t>ابن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w:t>
      </w:r>
    </w:p>
    <w:p>
      <w:pPr>
        <w:pStyle w:val="BookText"/>
        <w:rPr/>
      </w:pPr>
      <w:r>
        <w:rPr>
          <w:rFonts w:ascii="Amiri" w:hAnsi="Amiri" w:eastAsia="Amiri" w:cs="Amiri"/>
          <w:color w:val="111111"/>
          <w:sz w:val="28"/>
          <w:sz w:val="28"/>
          <w:szCs w:val="28"/>
          <w:rtl w:val="true"/>
          <w:lang w:bidi="ar-SA"/>
        </w:rPr>
        <w:t>ابن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مهزيار</w:t>
      </w:r>
    </w:p>
    <w:p>
      <w:pPr>
        <w:pStyle w:val="BookText"/>
        <w:rPr/>
      </w:pPr>
      <w:r>
        <w:rPr>
          <w:rFonts w:ascii="Amiri" w:hAnsi="Amiri" w:eastAsia="Amiri" w:cs="Amiri"/>
          <w:color w:val="111111"/>
          <w:sz w:val="28"/>
          <w:sz w:val="28"/>
          <w:szCs w:val="28"/>
          <w:rtl w:val="true"/>
          <w:lang w:bidi="ar-SA"/>
        </w:rPr>
        <w:t>ابن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يقطين</w:t>
      </w:r>
    </w:p>
    <w:p>
      <w:pPr>
        <w:pStyle w:val="BookText"/>
        <w:rPr/>
      </w:pPr>
      <w:r>
        <w:rPr>
          <w:rFonts w:ascii="Amiri" w:hAnsi="Amiri" w:eastAsia="Amiri" w:cs="Amiri"/>
          <w:color w:val="111111"/>
          <w:sz w:val="28"/>
          <w:sz w:val="28"/>
          <w:szCs w:val="28"/>
          <w:rtl w:val="true"/>
          <w:lang w:bidi="ar-SA"/>
        </w:rPr>
        <w:t xml:space="preserve">أبو الصباح الكناني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أبو الصلاح الحلبي، التقي بن نجم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أبو المغرا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المثنّى</w:t>
      </w:r>
    </w:p>
    <w:p>
      <w:pPr>
        <w:pStyle w:val="BookText"/>
        <w:rPr/>
      </w:pPr>
      <w:r>
        <w:rPr>
          <w:rFonts w:ascii="Amiri" w:hAnsi="Amiri" w:eastAsia="Amiri" w:cs="Amiri"/>
          <w:color w:val="111111"/>
          <w:sz w:val="28"/>
          <w:sz w:val="28"/>
          <w:szCs w:val="28"/>
          <w:rtl w:val="true"/>
          <w:lang w:bidi="ar-SA"/>
        </w:rPr>
        <w:t>أبو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زهرة، حمزة بن علي</w:t>
      </w:r>
    </w:p>
    <w:p>
      <w:pPr>
        <w:pStyle w:val="BookText"/>
        <w:rPr/>
      </w:pPr>
      <w:r>
        <w:rPr>
          <w:rFonts w:ascii="Amiri" w:hAnsi="Amiri" w:eastAsia="Amiri" w:cs="Amiri"/>
          <w:color w:val="111111"/>
          <w:sz w:val="28"/>
          <w:sz w:val="28"/>
          <w:szCs w:val="28"/>
          <w:rtl w:val="true"/>
          <w:lang w:bidi="ar-SA"/>
        </w:rPr>
        <w:t>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الحذّاء، زياد بن عيسى</w:t>
      </w:r>
    </w:p>
    <w:p>
      <w:pPr>
        <w:pStyle w:val="BookText"/>
        <w:rPr/>
      </w:pPr>
      <w:r>
        <w:rPr>
          <w:rFonts w:ascii="Amiri" w:hAnsi="Amiri" w:eastAsia="Amiri" w:cs="Amiri"/>
          <w:color w:val="111111"/>
          <w:sz w:val="28"/>
          <w:sz w:val="28"/>
          <w:szCs w:val="28"/>
          <w:rtl w:val="true"/>
          <w:lang w:bidi="ar-SA"/>
        </w:rPr>
        <w:t>أبو علي 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سينا، الحسين بن عبداللّه</w:t>
      </w:r>
    </w:p>
    <w:p>
      <w:pPr>
        <w:pStyle w:val="BookText"/>
        <w:rPr/>
      </w:pPr>
      <w:r>
        <w:rPr>
          <w:rFonts w:ascii="Amiri" w:hAnsi="Amiri" w:eastAsia="Amiri" w:cs="Amiri"/>
          <w:color w:val="111111"/>
          <w:sz w:val="28"/>
          <w:sz w:val="28"/>
          <w:szCs w:val="28"/>
          <w:rtl w:val="true"/>
          <w:lang w:bidi="ar-SA"/>
        </w:rPr>
        <w:t>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الجنيد الإسكافي، محمّد بن أحمد</w:t>
      </w:r>
    </w:p>
    <w:p>
      <w:pPr>
        <w:pStyle w:val="BookText"/>
        <w:rPr/>
      </w:pPr>
      <w:r>
        <w:rPr>
          <w:rFonts w:ascii="Amiri" w:hAnsi="Amiri" w:eastAsia="Amiri" w:cs="Amiri"/>
          <w:color w:val="111111"/>
          <w:sz w:val="28"/>
          <w:sz w:val="28"/>
          <w:szCs w:val="28"/>
          <w:rtl w:val="true"/>
          <w:lang w:bidi="ar-SA"/>
        </w:rPr>
        <w:t xml:space="preserve">أبو بصير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 xml:space="preserve">أبو بصير، ليث المرادي </w:t>
      </w:r>
      <w:r>
        <w:rPr>
          <w:rFonts w:eastAsia="Amiri" w:cs="Amiri" w:ascii="Amiri" w:hAnsi="Amiri"/>
          <w:color w:val="111111"/>
          <w:sz w:val="28"/>
          <w:szCs w:val="28"/>
          <w:lang w:bidi="ar-SA"/>
        </w:rPr>
        <w:t>546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أبو 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المفضّل بن صالح</w:t>
      </w:r>
    </w:p>
    <w:p>
      <w:pPr>
        <w:pStyle w:val="BookText"/>
        <w:rPr/>
      </w:pP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أبو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يوسف القاضي، يعقوب بن إبراهيم</w:t>
      </w:r>
    </w:p>
    <w:p>
      <w:pPr>
        <w:pStyle w:val="BookText"/>
        <w:rPr/>
      </w:pPr>
      <w:r>
        <w:rPr>
          <w:rFonts w:ascii="Amiri" w:hAnsi="Amiri" w:eastAsia="Amiri" w:cs="Amiri"/>
          <w:color w:val="111111"/>
          <w:sz w:val="28"/>
          <w:sz w:val="28"/>
          <w:szCs w:val="28"/>
          <w:rtl w:val="true"/>
          <w:lang w:bidi="ar-SA"/>
        </w:rPr>
        <w:t xml:space="preserve">أبو يوسف القاضي، يعقوب بن إبراهيم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أحمد بن عبدالواحد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عبدون</w:t>
      </w:r>
    </w:p>
    <w:p>
      <w:pPr>
        <w:pStyle w:val="BookText"/>
        <w:rPr/>
      </w:pPr>
      <w:r>
        <w:rPr>
          <w:rFonts w:ascii="IRNazanin" w:hAnsi="IRNazanin" w:eastAsia="IRNazanin"/>
          <w:color w:val="111111"/>
          <w:sz w:val="28"/>
          <w:sz w:val="28"/>
          <w:szCs w:val="28"/>
          <w:rtl w:val="true"/>
          <w:lang w:bidi="fa-IR"/>
        </w:rPr>
        <w:t xml:space="preserve">أحمد بن عبدوس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أحمد بن عبدون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أحمد بن محمّد 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الجوهري، أحمد بن محمّد</w:t>
      </w:r>
    </w:p>
    <w:p>
      <w:pPr>
        <w:pStyle w:val="BookText"/>
        <w:rPr/>
      </w:pPr>
      <w:r>
        <w:rPr>
          <w:rFonts w:ascii="IRNazanin" w:hAnsi="IRNazanin" w:eastAsia="IRNazanin"/>
          <w:color w:val="111111"/>
          <w:sz w:val="28"/>
          <w:sz w:val="28"/>
          <w:szCs w:val="28"/>
          <w:rtl w:val="true"/>
          <w:lang w:bidi="fa-IR"/>
        </w:rPr>
        <w:t xml:space="preserve">الأخفش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الأردبيلي، أحمد بن محمّد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إسحاق بن جرير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IRNazanin" w:hAnsi="IRNazanin" w:eastAsia="IRNazanin"/>
          <w:color w:val="111111"/>
          <w:sz w:val="28"/>
          <w:sz w:val="28"/>
          <w:szCs w:val="28"/>
          <w:rtl w:val="true"/>
          <w:lang w:bidi="fa-IR"/>
        </w:rPr>
        <w:t>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بن عمّار</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إسحاق بن عمّار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الإسكافي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الجنيد الإسكافي، محمّد بن أحمد</w:t>
      </w:r>
    </w:p>
    <w:p>
      <w:pPr>
        <w:pStyle w:val="BookText"/>
        <w:rPr/>
      </w:pPr>
      <w:r>
        <w:rPr>
          <w:rFonts w:ascii="Amiri" w:hAnsi="Amiri" w:eastAsia="Amiri" w:cs="Amiri"/>
          <w:color w:val="111111"/>
          <w:sz w:val="28"/>
          <w:sz w:val="28"/>
          <w:szCs w:val="28"/>
          <w:rtl w:val="true"/>
          <w:lang w:bidi="ar-SA"/>
        </w:rPr>
        <w:t xml:space="preserve">إسماعيل بن عبدالخالق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 xml:space="preserve">إسماعيل بن مرار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إسماعيل بن همّام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أسماء بنت عميس </w:t>
      </w:r>
      <w:r>
        <w:rPr>
          <w:rFonts w:eastAsia="Amiri" w:cs="Amiri" w:ascii="Amiri" w:hAnsi="Amiri"/>
          <w:color w:val="111111"/>
          <w:sz w:val="28"/>
          <w:szCs w:val="28"/>
          <w:lang w:bidi="ar-SA"/>
        </w:rPr>
        <w:t>557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558</w:t>
      </w:r>
    </w:p>
    <w:p>
      <w:pPr>
        <w:pStyle w:val="BookText"/>
        <w:rPr/>
      </w:pPr>
      <w:r>
        <w:rPr>
          <w:rFonts w:ascii="Amiri" w:hAnsi="Amiri" w:eastAsia="Amiri" w:cs="Amiri"/>
          <w:color w:val="111111"/>
          <w:sz w:val="28"/>
          <w:sz w:val="28"/>
          <w:szCs w:val="28"/>
          <w:rtl w:val="true"/>
          <w:lang w:bidi="ar-SA"/>
        </w:rPr>
        <w:t xml:space="preserve">الأشعري، محمّد بن أحمد بن يحيى بن عمران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الأصبغ بن نباتة</w:t>
      </w:r>
    </w:p>
    <w:p>
      <w:pPr>
        <w:pStyle w:val="BookText"/>
        <w:rPr/>
      </w:pPr>
      <w:r>
        <w:rPr>
          <w:rFonts w:ascii="Amiri" w:hAnsi="Amiri" w:eastAsia="Amiri" w:cs="Amiri"/>
          <w:color w:val="111111"/>
          <w:sz w:val="28"/>
          <w:sz w:val="28"/>
          <w:szCs w:val="28"/>
          <w:rtl w:val="true"/>
          <w:lang w:bidi="ar-SA"/>
        </w:rPr>
        <w:t xml:space="preserve">الأصبغ بن نباتة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الأقطع، سليمان بن خالد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 xml:space="preserve">اُمّ سلمة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الأنصاري، مرتضى بن محمّد أمين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584</w:t>
      </w:r>
    </w:p>
    <w:p>
      <w:pPr>
        <w:pStyle w:val="BookText"/>
        <w:rPr/>
      </w:pPr>
      <w:r>
        <w:rPr>
          <w:rFonts w:ascii="IRNazanin" w:hAnsi="IRNazanin" w:eastAsia="IRNazanin"/>
          <w:color w:val="111111"/>
          <w:sz w:val="28"/>
          <w:sz w:val="28"/>
          <w:szCs w:val="28"/>
          <w:rtl w:val="true"/>
          <w:lang w:bidi="fa-IR"/>
        </w:rPr>
        <w:t xml:space="preserve">بحر العلوم </w:t>
      </w:r>
      <w:r>
        <w:rPr>
          <w:rFonts w:eastAsia="IRNazanin" w:cs="IRNazanin"/>
          <w:color w:val="111111"/>
          <w:sz w:val="28"/>
          <w:szCs w:val="28"/>
          <w:lang w:bidi="fa-IR"/>
        </w:rPr>
        <w:t>495</w:t>
      </w:r>
    </w:p>
    <w:p>
      <w:pPr>
        <w:pStyle w:val="BookText"/>
        <w:rPr/>
      </w:pPr>
      <w:r>
        <w:rPr>
          <w:rFonts w:ascii="Amiri" w:hAnsi="Amiri" w:eastAsia="Amiri" w:cs="Amiri"/>
          <w:color w:val="111111"/>
          <w:sz w:val="28"/>
          <w:sz w:val="28"/>
          <w:szCs w:val="28"/>
          <w:rtl w:val="true"/>
          <w:lang w:bidi="ar-SA"/>
        </w:rPr>
        <w:t xml:space="preserve">البحراني، يوسف بن أحمد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البزنطي، أحمد بن محمّد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عبدالرحمان بن أبي عبداللّه</w:t>
      </w:r>
    </w:p>
    <w:p>
      <w:pPr>
        <w:pStyle w:val="BookText"/>
        <w:rPr/>
      </w:pPr>
      <w:r>
        <w:rPr>
          <w:rFonts w:ascii="Amiri" w:hAnsi="Amiri" w:eastAsia="Amiri" w:cs="Amiri"/>
          <w:color w:val="111111"/>
          <w:sz w:val="28"/>
          <w:sz w:val="28"/>
          <w:szCs w:val="28"/>
          <w:rtl w:val="true"/>
          <w:lang w:bidi="ar-SA"/>
        </w:rPr>
        <w:t xml:space="preserve">البطائني، علي بن أبي حمزة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رضا بن محمّد هادي</w:t>
      </w:r>
    </w:p>
    <w:p>
      <w:pPr>
        <w:pStyle w:val="BookText"/>
        <w:rPr/>
      </w:pPr>
      <w:r>
        <w:rPr>
          <w:rFonts w:ascii="Amiri" w:hAnsi="Amiri" w:eastAsia="Amiri" w:cs="Amiri"/>
          <w:color w:val="111111"/>
          <w:sz w:val="28"/>
          <w:sz w:val="28"/>
          <w:szCs w:val="28"/>
          <w:rtl w:val="true"/>
          <w:lang w:bidi="ar-SA"/>
        </w:rPr>
        <w:t>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البهائي، محمّد بن الحسين</w:t>
      </w:r>
    </w:p>
    <w:p>
      <w:pPr>
        <w:pStyle w:val="BookText"/>
        <w:rPr/>
      </w:pPr>
      <w:r>
        <w:rPr>
          <w:rFonts w:ascii="Amiri" w:hAnsi="Amiri" w:eastAsia="Amiri" w:cs="Amiri"/>
          <w:color w:val="111111"/>
          <w:sz w:val="28"/>
          <w:sz w:val="28"/>
          <w:szCs w:val="28"/>
          <w:rtl w:val="true"/>
          <w:lang w:bidi="ar-SA"/>
        </w:rPr>
        <w:t xml:space="preserve">البهبهاني، محمّد باقر بن محمّد أكمل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التقي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الصلاح الحلبي، التقي بن نجم</w:t>
      </w:r>
    </w:p>
    <w:p>
      <w:pPr>
        <w:pStyle w:val="BookText"/>
        <w:rPr/>
      </w:pP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جعفر بن محمّد بن عون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جعفر بن محمّد بن يونس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الجعفي، إسماعيل بن جابر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الجوهري، أحمد بن محمّد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 xml:space="preserve">الجوهري، إسماعيل بن حمّاد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الجوهري، القاسم بن محمّد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أعين</w:t>
      </w:r>
    </w:p>
    <w:p>
      <w:pPr>
        <w:pStyle w:val="BookText"/>
        <w:rPr/>
      </w:pPr>
      <w:r>
        <w:rPr>
          <w:rFonts w:ascii="Amiri" w:hAnsi="Amiri" w:eastAsia="Amiri" w:cs="Amiri"/>
          <w:color w:val="111111"/>
          <w:sz w:val="28"/>
          <w:sz w:val="28"/>
          <w:szCs w:val="28"/>
          <w:rtl w:val="true"/>
          <w:lang w:bidi="ar-SA"/>
        </w:rPr>
        <w:t xml:space="preserve">الحذّاء، زياد بن عيسى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الحرّ العاملي، محمّد بن الحسن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السجستاني، حريز بن عبداللّه</w:t>
      </w:r>
    </w:p>
    <w:p>
      <w:pPr>
        <w:pStyle w:val="BookText"/>
        <w:rPr/>
      </w:pPr>
      <w:r>
        <w:rPr>
          <w:rFonts w:ascii="IRNazanin" w:hAnsi="IRNazanin" w:eastAsia="IRNazanin"/>
          <w:color w:val="111111"/>
          <w:sz w:val="28"/>
          <w:sz w:val="28"/>
          <w:szCs w:val="28"/>
          <w:rtl w:val="true"/>
          <w:lang w:bidi="fa-IR"/>
        </w:rPr>
        <w:t xml:space="preserve">الحسن بن راشد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السرّاد، الحسن بن محبوب</w:t>
      </w:r>
    </w:p>
    <w:p>
      <w:pPr>
        <w:pStyle w:val="BookText"/>
        <w:rPr/>
      </w:pPr>
      <w:r>
        <w:rPr>
          <w:rFonts w:ascii="Amiri" w:hAnsi="Amiri" w:eastAsia="Amiri" w:cs="Amiri"/>
          <w:color w:val="111111"/>
          <w:sz w:val="28"/>
          <w:sz w:val="28"/>
          <w:szCs w:val="28"/>
          <w:rtl w:val="true"/>
          <w:lang w:bidi="ar-SA"/>
        </w:rPr>
        <w:t>الحسين بن نعيم الصحّاف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الصحّاف، الحسين بن نعيم</w:t>
      </w:r>
    </w:p>
    <w:p>
      <w:pPr>
        <w:pStyle w:val="BookText"/>
        <w:rPr/>
      </w:pPr>
      <w:r>
        <w:rPr>
          <w:rFonts w:ascii="Amiri" w:hAnsi="Amiri" w:eastAsia="Amiri" w:cs="Amiri"/>
          <w:color w:val="111111"/>
          <w:sz w:val="28"/>
          <w:sz w:val="28"/>
          <w:szCs w:val="28"/>
          <w:rtl w:val="true"/>
          <w:lang w:bidi="ar-SA"/>
        </w:rPr>
        <w:t xml:space="preserve">الحضرمي، أبو بكر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حفص بن البختري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حفص بن غياث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 xml:space="preserve">حكم بن حكيم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الحلبي، عبيداللّه بن علي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الصلاح الحلبي، التقي بن نجم</w:t>
      </w:r>
    </w:p>
    <w:p>
      <w:pPr>
        <w:pStyle w:val="BookText"/>
        <w:rPr/>
      </w:pPr>
      <w:r>
        <w:rPr>
          <w:rFonts w:ascii="Amiri" w:hAnsi="Amiri" w:eastAsia="Amiri" w:cs="Amiri"/>
          <w:color w:val="111111"/>
          <w:sz w:val="28"/>
          <w:sz w:val="28"/>
          <w:szCs w:val="28"/>
          <w:rtl w:val="true"/>
          <w:lang w:bidi="ar-SA"/>
        </w:rPr>
        <w:t>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محمّد بن أحمد</w:t>
      </w:r>
    </w:p>
    <w:p>
      <w:pPr>
        <w:pStyle w:val="BookText"/>
        <w:rPr/>
      </w:pPr>
      <w:r>
        <w:rPr>
          <w:rFonts w:ascii="IRNazanin" w:hAnsi="IRNazanin" w:eastAsia="IRNazanin"/>
          <w:color w:val="111111"/>
          <w:sz w:val="28"/>
          <w:sz w:val="28"/>
          <w:szCs w:val="28"/>
          <w:rtl w:val="true"/>
          <w:lang w:bidi="fa-IR"/>
        </w:rPr>
        <w:t xml:space="preserve">حمّاد بن عثمان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 xml:space="preserve">حمران بن أعين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 xml:space="preserve">حمنة بنت جحش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حميد بن المثنّى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حنّان بن سدير </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 xml:space="preserve">الخثعمي، محمّد بن حكيم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الآخوند الخراساني، محمّد كاظم بن الحسين</w:t>
      </w:r>
    </w:p>
    <w:p>
      <w:pPr>
        <w:pStyle w:val="BookText"/>
        <w:rPr/>
      </w:pPr>
      <w:r>
        <w:rPr>
          <w:rFonts w:ascii="Amiri" w:hAnsi="Amiri" w:eastAsia="Amiri" w:cs="Amiri"/>
          <w:color w:val="111111"/>
          <w:sz w:val="28"/>
          <w:sz w:val="28"/>
          <w:szCs w:val="28"/>
          <w:rtl w:val="true"/>
          <w:lang w:bidi="ar-SA"/>
        </w:rPr>
        <w:t>خلف 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الكوفي، خلف بن حمّاد</w:t>
      </w:r>
    </w:p>
    <w:p>
      <w:pPr>
        <w:pStyle w:val="BookText"/>
        <w:rPr/>
      </w:pPr>
      <w:r>
        <w:rPr>
          <w:rFonts w:ascii="Amiri" w:hAnsi="Amiri" w:eastAsia="Amiri" w:cs="Amiri"/>
          <w:color w:val="111111"/>
          <w:sz w:val="28"/>
          <w:sz w:val="28"/>
          <w:szCs w:val="28"/>
          <w:rtl w:val="true"/>
          <w:lang w:bidi="ar-SA"/>
        </w:rPr>
        <w:t>الخونساري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الآقا جمال خوانساري، محمّد بن الحسين</w:t>
      </w:r>
    </w:p>
    <w:p>
      <w:pPr>
        <w:pStyle w:val="BookText"/>
        <w:rPr/>
      </w:pPr>
      <w:r>
        <w:rPr>
          <w:rFonts w:ascii="Amiri" w:hAnsi="Amiri" w:eastAsia="Amiri" w:cs="Amiri"/>
          <w:color w:val="111111"/>
          <w:sz w:val="28"/>
          <w:sz w:val="28"/>
          <w:szCs w:val="28"/>
          <w:rtl w:val="true"/>
          <w:lang w:bidi="ar-SA"/>
        </w:rPr>
        <w:t>الداماد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الميرداماد، محمّد باقر بن محمّد</w:t>
      </w:r>
    </w:p>
    <w:p>
      <w:pPr>
        <w:pStyle w:val="BookText"/>
        <w:rPr/>
      </w:pPr>
      <w:r>
        <w:rPr>
          <w:rFonts w:ascii="IRNazanin" w:hAnsi="IRNazanin" w:eastAsia="IRNazanin"/>
          <w:color w:val="111111"/>
          <w:sz w:val="28"/>
          <w:sz w:val="28"/>
          <w:szCs w:val="28"/>
          <w:rtl w:val="true"/>
          <w:lang w:bidi="fa-IR"/>
        </w:rPr>
        <w:t xml:space="preserve">داود بن فرقد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 xml:space="preserve">داود مولى أبي المغرا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الدجاجي، داود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القطب الراوندي، سعيد بن هبة اللّه</w:t>
      </w:r>
    </w:p>
    <w:p>
      <w:pPr>
        <w:pStyle w:val="BookText"/>
        <w:rPr/>
      </w:pPr>
      <w:r>
        <w:rPr>
          <w:rFonts w:ascii="Amiri" w:hAnsi="Amiri" w:eastAsia="Amiri" w:cs="Amiri"/>
          <w:color w:val="111111"/>
          <w:sz w:val="28"/>
          <w:sz w:val="28"/>
          <w:szCs w:val="28"/>
          <w:rtl w:val="true"/>
          <w:lang w:bidi="ar-SA"/>
        </w:rPr>
        <w:t xml:space="preserve">رُزيق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الزبير الخلقاني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580</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النخّاس، رفاعة بن موسى </w:t>
      </w:r>
    </w:p>
    <w:p>
      <w:pPr>
        <w:pStyle w:val="BookText"/>
        <w:rPr/>
      </w:pPr>
      <w:r>
        <w:rPr>
          <w:rFonts w:ascii="Amiri" w:hAnsi="Amiri" w:eastAsia="Amiri" w:cs="Amiri"/>
          <w:color w:val="111111"/>
          <w:sz w:val="28"/>
          <w:sz w:val="28"/>
          <w:szCs w:val="28"/>
          <w:rtl w:val="true"/>
          <w:lang w:bidi="ar-SA"/>
        </w:rPr>
        <w:t>الزبيري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الزبير</w:t>
      </w:r>
    </w:p>
    <w:p>
      <w:pPr>
        <w:pStyle w:val="BookText"/>
        <w:rPr/>
      </w:pPr>
      <w:r>
        <w:rPr>
          <w:rFonts w:ascii="Amiri" w:hAnsi="Amiri" w:eastAsia="Amiri" w:cs="Amiri"/>
          <w:color w:val="111111"/>
          <w:sz w:val="28"/>
          <w:sz w:val="28"/>
          <w:szCs w:val="28"/>
          <w:rtl w:val="true"/>
          <w:lang w:bidi="ar-SA"/>
        </w:rPr>
        <w:t xml:space="preserve">زرارة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 xml:space="preserve">الزمخشري، محمود بن عمر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زياد بن سوقة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زينب بنت جحش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الساباطي، عمّار بن موسى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 xml:space="preserve">السجستاني، حريز بن عبداللّه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IRNazanin" w:hAnsi="IRNazanin" w:eastAsia="IRNazanin"/>
          <w:color w:val="111111"/>
          <w:sz w:val="28"/>
          <w:sz w:val="28"/>
          <w:szCs w:val="28"/>
          <w:rtl w:val="true"/>
          <w:lang w:bidi="fa-IR"/>
        </w:rPr>
        <w:t xml:space="preserve">السرّاد، الحسن بن محبوب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p>
    <w:p>
      <w:pPr>
        <w:pStyle w:val="BookText"/>
        <w:rPr/>
      </w:pPr>
      <w:r>
        <w:rPr>
          <w:rFonts w:ascii="Amiri" w:hAnsi="Amiri" w:eastAsia="Amiri" w:cs="Amiri"/>
          <w:color w:val="111111"/>
          <w:sz w:val="28"/>
          <w:sz w:val="28"/>
          <w:szCs w:val="28"/>
          <w:rtl w:val="true"/>
          <w:lang w:bidi="ar-SA"/>
        </w:rPr>
        <w:t xml:space="preserve">سعيد بن يسار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السكوني، إسماعيل بن أبي زياد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580</w:t>
      </w:r>
    </w:p>
    <w:p>
      <w:pPr>
        <w:pStyle w:val="BookText"/>
        <w:rPr/>
      </w:pPr>
      <w:r>
        <w:rPr>
          <w:rFonts w:ascii="Amiri" w:hAnsi="Amiri" w:eastAsia="Amiri" w:cs="Amiri"/>
          <w:color w:val="111111"/>
          <w:sz w:val="28"/>
          <w:sz w:val="28"/>
          <w:szCs w:val="28"/>
          <w:rtl w:val="true"/>
          <w:lang w:bidi="ar-SA"/>
        </w:rPr>
        <w:t xml:space="preserve">سلاّر الديلمي، حمزة بن عبدالعزيز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p>
    <w:p>
      <w:pPr>
        <w:pStyle w:val="BookText"/>
        <w:rPr/>
      </w:pPr>
      <w:r>
        <w:rPr>
          <w:rFonts w:ascii="Amiri" w:hAnsi="Amiri" w:eastAsia="Amiri" w:cs="Amiri"/>
          <w:color w:val="111111"/>
          <w:sz w:val="28"/>
          <w:sz w:val="28"/>
          <w:szCs w:val="28"/>
          <w:rtl w:val="true"/>
          <w:lang w:bidi="ar-SA"/>
        </w:rPr>
        <w:t>سليمان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الأقطع، سليمان بن خالد</w:t>
      </w:r>
    </w:p>
    <w:p>
      <w:pPr>
        <w:pStyle w:val="BookText"/>
        <w:rPr/>
      </w:pPr>
      <w:r>
        <w:rPr>
          <w:rFonts w:ascii="Amiri" w:hAnsi="Amiri" w:eastAsia="Amiri" w:cs="Amiri"/>
          <w:color w:val="111111"/>
          <w:sz w:val="28"/>
          <w:sz w:val="28"/>
          <w:szCs w:val="28"/>
          <w:rtl w:val="true"/>
          <w:lang w:bidi="ar-SA"/>
        </w:rPr>
        <w:t xml:space="preserve">سماعة بن مهران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 xml:space="preserve">سهل بن زياد الآدمي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زهرة، حمزة بن علي</w:t>
      </w:r>
    </w:p>
    <w:p>
      <w:pPr>
        <w:pStyle w:val="BookText"/>
        <w:rPr/>
      </w:pPr>
      <w:r>
        <w:rPr>
          <w:rFonts w:ascii="Amiri" w:hAnsi="Amiri" w:eastAsia="Amiri" w:cs="Amiri"/>
          <w:color w:val="111111"/>
          <w:sz w:val="28"/>
          <w:sz w:val="28"/>
          <w:szCs w:val="28"/>
          <w:rtl w:val="true"/>
          <w:lang w:bidi="ar-SA"/>
        </w:rPr>
        <w:t>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الهدى، علي بن الحسين</w:t>
      </w:r>
    </w:p>
    <w:p>
      <w:pPr>
        <w:pStyle w:val="BookText"/>
        <w:rPr/>
      </w:pP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الطباطبائي، علي بن محمّد علي</w:t>
      </w:r>
    </w:p>
    <w:p>
      <w:pPr>
        <w:pStyle w:val="BookText"/>
        <w:rPr/>
      </w:pPr>
      <w:r>
        <w:rPr>
          <w:rFonts w:ascii="Amiri" w:hAnsi="Amiri" w:eastAsia="Amiri" w:cs="Amiri"/>
          <w:color w:val="111111"/>
          <w:sz w:val="28"/>
          <w:sz w:val="28"/>
          <w:szCs w:val="28"/>
          <w:rtl w:val="true"/>
          <w:lang w:bidi="ar-SA"/>
        </w:rPr>
        <w:t xml:space="preserve">شاذان بن الخليل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شارح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البهبهاني، محمّد باقر بن محمّد أكمل</w:t>
      </w:r>
    </w:p>
    <w:p>
      <w:pPr>
        <w:pStyle w:val="BookText"/>
        <w:rPr/>
      </w:pPr>
      <w:r>
        <w:rPr>
          <w:rFonts w:ascii="Amiri" w:hAnsi="Amiri" w:eastAsia="Amiri" w:cs="Amiri"/>
          <w:color w:val="111111"/>
          <w:sz w:val="28"/>
          <w:sz w:val="28"/>
          <w:szCs w:val="28"/>
          <w:rtl w:val="true"/>
          <w:lang w:bidi="ar-SA"/>
        </w:rPr>
        <w:t xml:space="preserve">الشافعي، محمّد بن إدريس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شرحبيل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الكندي، شرحبيل</w:t>
      </w:r>
    </w:p>
    <w:p>
      <w:pPr>
        <w:pStyle w:val="BookText"/>
        <w:rPr/>
      </w:pP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الأوّل، محمّد بن مكّي</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زين الدين بن علي </w:t>
      </w:r>
    </w:p>
    <w:p>
      <w:pPr>
        <w:pStyle w:val="BookText"/>
        <w:rPr/>
      </w:pPr>
      <w:r>
        <w:rPr>
          <w:rFonts w:ascii="Amiri" w:hAnsi="Amiri" w:eastAsia="Amiri" w:cs="Amiri"/>
          <w:color w:val="111111"/>
          <w:sz w:val="28"/>
          <w:sz w:val="28"/>
          <w:szCs w:val="28"/>
          <w:rtl w:val="true"/>
          <w:lang w:bidi="ar-SA"/>
        </w:rPr>
        <w:t xml:space="preserve">الشهيد الأوّل، محمّد بن مكّي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 xml:space="preserve">الشهيد الثاني، زين الدين بن علي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الشهيدان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الشهيد الأوّل، محمّد بن 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الثاني، زين الدين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الطوسي، محمّد بن الحسن</w:t>
      </w:r>
    </w:p>
    <w:p>
      <w:pPr>
        <w:pStyle w:val="BookText"/>
        <w:rPr/>
      </w:pPr>
      <w:r>
        <w:rPr>
          <w:rFonts w:ascii="Amiri" w:hAnsi="Amiri" w:eastAsia="Amiri" w:cs="Amiri"/>
          <w:color w:val="111111"/>
          <w:sz w:val="28"/>
          <w:sz w:val="28"/>
          <w:szCs w:val="28"/>
          <w:rtl w:val="true"/>
          <w:lang w:bidi="ar-SA"/>
        </w:rPr>
        <w:t xml:space="preserve">الشيخان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الكليني، محمّد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محمّد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الأنصاري، مرتضى بن محمّد أمين</w:t>
      </w:r>
    </w:p>
    <w:p>
      <w:pPr>
        <w:pStyle w:val="BookText"/>
        <w:rPr/>
      </w:pPr>
      <w:r>
        <w:rPr>
          <w:rFonts w:ascii="Amiri" w:hAnsi="Amiri" w:eastAsia="Amiri" w:cs="Amiri"/>
          <w:color w:val="111111"/>
          <w:sz w:val="28"/>
          <w:sz w:val="28"/>
          <w:szCs w:val="28"/>
          <w:rtl w:val="true"/>
          <w:lang w:bidi="ar-SA"/>
        </w:rPr>
        <w:t xml:space="preserve">شيخ البهائي، محمّد بن الحسين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الطوسي، محمّد بن الحسن</w:t>
      </w:r>
    </w:p>
    <w:p>
      <w:pPr>
        <w:pStyle w:val="BookText"/>
        <w:rPr/>
      </w:pPr>
      <w:r>
        <w:rPr>
          <w:rFonts w:ascii="IRNazanin" w:hAnsi="IRNazanin" w:eastAsia="IRNazanin"/>
          <w:color w:val="111111"/>
          <w:sz w:val="28"/>
          <w:sz w:val="28"/>
          <w:szCs w:val="28"/>
          <w:rtl w:val="true"/>
          <w:lang w:bidi="fa-IR"/>
        </w:rPr>
        <w:t xml:space="preserve">صاحب الجواهر، محمّد حسن بن باقر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p>
    <w:p>
      <w:pPr>
        <w:pStyle w:val="BookText"/>
        <w:rPr/>
      </w:pPr>
      <w:r>
        <w:rPr>
          <w:rFonts w:ascii="Amiri" w:hAnsi="Amiri" w:eastAsia="Amiri" w:cs="Amiri"/>
          <w:color w:val="111111"/>
          <w:sz w:val="28"/>
          <w:sz w:val="28"/>
          <w:szCs w:val="28"/>
          <w:rtl w:val="true"/>
          <w:lang w:bidi="ar-SA"/>
        </w:rPr>
        <w:t>صاحب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البحراني، يوسف بن أحمد</w:t>
      </w:r>
    </w:p>
    <w:p>
      <w:pPr>
        <w:pStyle w:val="BookText"/>
        <w:rPr/>
      </w:pPr>
      <w:r>
        <w:rPr>
          <w:rFonts w:ascii="Amiri" w:hAnsi="Amiri" w:eastAsia="Amiri" w:cs="Amiri"/>
          <w:color w:val="111111"/>
          <w:sz w:val="28"/>
          <w:sz w:val="28"/>
          <w:szCs w:val="28"/>
          <w:rtl w:val="true"/>
          <w:lang w:bidi="ar-SA"/>
        </w:rPr>
        <w:t>صاحب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الجوهري، إسماعيل بن حمّاد</w:t>
      </w:r>
    </w:p>
    <w:p>
      <w:pPr>
        <w:pStyle w:val="BookText"/>
        <w:rPr/>
      </w:pPr>
      <w:r>
        <w:rPr>
          <w:rFonts w:ascii="Amiri" w:hAnsi="Amiri" w:eastAsia="Amiri" w:cs="Amiri"/>
          <w:color w:val="111111"/>
          <w:sz w:val="28"/>
          <w:sz w:val="28"/>
          <w:szCs w:val="28"/>
          <w:rtl w:val="true"/>
          <w:lang w:bidi="ar-SA"/>
        </w:rPr>
        <w:t>صاحب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الموسوي العاملي، محمّد بن علي</w:t>
      </w:r>
    </w:p>
    <w:p>
      <w:pPr>
        <w:pStyle w:val="BookText"/>
        <w:rPr/>
      </w:pPr>
      <w:r>
        <w:rPr>
          <w:rFonts w:ascii="Amiri" w:hAnsi="Amiri" w:eastAsia="Amiri" w:cs="Amiri"/>
          <w:color w:val="111111"/>
          <w:sz w:val="28"/>
          <w:sz w:val="28"/>
          <w:szCs w:val="28"/>
          <w:rtl w:val="true"/>
          <w:lang w:bidi="ar-SA"/>
        </w:rPr>
        <w:t>صاحب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الثاني، زين الدين بن علي</w:t>
      </w:r>
    </w:p>
    <w:p>
      <w:pPr>
        <w:pStyle w:val="BookText"/>
        <w:rPr/>
      </w:pPr>
      <w:r>
        <w:rPr>
          <w:rFonts w:ascii="Amiri" w:hAnsi="Amiri" w:eastAsia="Amiri" w:cs="Amiri"/>
          <w:color w:val="111111"/>
          <w:sz w:val="28"/>
          <w:sz w:val="28"/>
          <w:szCs w:val="28"/>
          <w:rtl w:val="true"/>
          <w:lang w:bidi="ar-SA"/>
        </w:rPr>
        <w:t>صاحب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رضا بن محمّد هادي</w:t>
      </w:r>
    </w:p>
    <w:p>
      <w:pPr>
        <w:pStyle w:val="BookText"/>
        <w:rPr/>
      </w:pPr>
      <w:r>
        <w:rPr>
          <w:rFonts w:ascii="Amiri" w:hAnsi="Amiri" w:eastAsia="Amiri" w:cs="Amiri"/>
          <w:color w:val="111111"/>
          <w:sz w:val="28"/>
          <w:sz w:val="28"/>
          <w:szCs w:val="28"/>
          <w:rtl w:val="true"/>
          <w:lang w:bidi="ar-SA"/>
        </w:rPr>
        <w:t>صاحب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الفيض الكاشاني، محمّد بن شاه المرتضى</w:t>
      </w:r>
    </w:p>
    <w:p>
      <w:pPr>
        <w:pStyle w:val="BookText"/>
        <w:rPr/>
      </w:pPr>
      <w:r>
        <w:rPr>
          <w:rFonts w:ascii="Amiri" w:hAnsi="Amiri" w:eastAsia="Amiri" w:cs="Amiri"/>
          <w:color w:val="111111"/>
          <w:sz w:val="28"/>
          <w:sz w:val="28"/>
          <w:szCs w:val="28"/>
          <w:rtl w:val="true"/>
          <w:lang w:bidi="ar-SA"/>
        </w:rPr>
        <w:t xml:space="preserve">الصحّاف، الحسين بن نعيم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محمّد بن علي</w:t>
      </w:r>
    </w:p>
    <w:p>
      <w:pPr>
        <w:pStyle w:val="BookText"/>
        <w:rPr/>
      </w:pPr>
      <w:r>
        <w:rPr>
          <w:rFonts w:ascii="Amiri" w:hAnsi="Amiri" w:eastAsia="Amiri" w:cs="Amiri"/>
          <w:color w:val="111111"/>
          <w:sz w:val="28"/>
          <w:sz w:val="28"/>
          <w:szCs w:val="28"/>
          <w:rtl w:val="true"/>
          <w:lang w:bidi="ar-SA"/>
        </w:rPr>
        <w:t xml:space="preserve">الصدوقان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بابويه،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محمّد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 xml:space="preserve">صفوان بن يحيى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الطباطبائي، علي بن محمّد علي</w:t>
      </w:r>
    </w:p>
    <w:p>
      <w:pPr>
        <w:pStyle w:val="BookText"/>
        <w:rPr/>
      </w:pPr>
      <w:r>
        <w:rPr>
          <w:rFonts w:ascii="Amiri" w:hAnsi="Amiri" w:eastAsia="Amiri" w:cs="Amiri"/>
          <w:color w:val="111111"/>
          <w:sz w:val="28"/>
          <w:sz w:val="28"/>
          <w:szCs w:val="28"/>
          <w:rtl w:val="true"/>
          <w:lang w:bidi="ar-SA"/>
        </w:rPr>
        <w:t xml:space="preserve">الطباطبائي، علي بن محمّد علي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473</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الطبرسي، فضل بن الحسن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الطوسي، محمّد بن الحسن</w:t>
      </w:r>
    </w:p>
    <w:p>
      <w:pPr>
        <w:pStyle w:val="BookText"/>
        <w:rPr/>
      </w:pPr>
      <w:r>
        <w:rPr>
          <w:rFonts w:ascii="Amiri" w:hAnsi="Amiri" w:eastAsia="Amiri" w:cs="Amiri"/>
          <w:color w:val="111111"/>
          <w:sz w:val="28"/>
          <w:sz w:val="28"/>
          <w:szCs w:val="28"/>
          <w:rtl w:val="true"/>
          <w:lang w:bidi="ar-SA"/>
        </w:rPr>
        <w:t xml:space="preserve">الطوسي، محمّد بن الحسن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573</w:t>
      </w:r>
    </w:p>
    <w:p>
      <w:pPr>
        <w:pStyle w:val="BookText"/>
        <w:rPr/>
      </w:pPr>
      <w:r>
        <w:rPr>
          <w:rFonts w:ascii="Amiri" w:hAnsi="Amiri" w:eastAsia="Amiri" w:cs="Amiri"/>
          <w:color w:val="111111"/>
          <w:sz w:val="28"/>
          <w:sz w:val="28"/>
          <w:szCs w:val="28"/>
          <w:rtl w:val="true"/>
          <w:lang w:bidi="ar-SA"/>
        </w:rPr>
        <w:t xml:space="preserve">الطيالسي، محمّد بن خالد </w:t>
      </w:r>
      <w:r>
        <w:rPr>
          <w:rFonts w:eastAsia="Amiri" w:cs="Amiri" w:ascii="Amiri" w:hAnsi="Amiri"/>
          <w:color w:val="111111"/>
          <w:sz w:val="28"/>
          <w:szCs w:val="28"/>
          <w:lang w:bidi="ar-SA"/>
        </w:rPr>
        <w:t>514</w:t>
      </w:r>
    </w:p>
    <w:p>
      <w:pPr>
        <w:pStyle w:val="BookText"/>
        <w:rPr/>
      </w:pPr>
      <w:r>
        <w:rPr>
          <w:rFonts w:ascii="IRNazanin" w:hAnsi="IRNazanin" w:eastAsia="IRNazanin"/>
          <w:color w:val="111111"/>
          <w:sz w:val="28"/>
          <w:sz w:val="28"/>
          <w:szCs w:val="28"/>
          <w:rtl w:val="true"/>
          <w:lang w:bidi="fa-IR"/>
        </w:rPr>
        <w:t xml:space="preserve">عبدالرحمان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p>
    <w:p>
      <w:pPr>
        <w:pStyle w:val="BookText"/>
        <w:rPr/>
      </w:pPr>
      <w:r>
        <w:rPr>
          <w:rFonts w:ascii="Amiri" w:hAnsi="Amiri" w:eastAsia="Amiri" w:cs="Amiri"/>
          <w:color w:val="111111"/>
          <w:sz w:val="28"/>
          <w:sz w:val="28"/>
          <w:szCs w:val="28"/>
          <w:rtl w:val="true"/>
          <w:lang w:bidi="ar-SA"/>
        </w:rPr>
        <w:t xml:space="preserve">عبدالرحمان بن أبي عبداللّه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عبدالرحمان بن أعين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عبدالرحمان بن الحجّاج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 xml:space="preserve">عبداللّه بن أبي يعفور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عبداللّه بن المغيرة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عبداللّه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بكير</w:t>
      </w:r>
    </w:p>
    <w:p>
      <w:pPr>
        <w:pStyle w:val="BookText"/>
        <w:rPr/>
      </w:pPr>
      <w:r>
        <w:rPr>
          <w:rFonts w:ascii="Amiri" w:hAnsi="Amiri" w:eastAsia="Amiri" w:cs="Amiri"/>
          <w:color w:val="111111"/>
          <w:sz w:val="28"/>
          <w:sz w:val="28"/>
          <w:szCs w:val="28"/>
          <w:rtl w:val="true"/>
          <w:lang w:bidi="ar-SA"/>
        </w:rPr>
        <w:t xml:space="preserve">عبداللّه بن سليمان </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 xml:space="preserve">عبداللّه بن سنان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573</w:t>
      </w:r>
    </w:p>
    <w:p>
      <w:pPr>
        <w:pStyle w:val="BookText"/>
        <w:rPr/>
      </w:pPr>
      <w:r>
        <w:rPr>
          <w:rFonts w:ascii="Amiri" w:hAnsi="Amiri" w:eastAsia="Amiri" w:cs="Amiri"/>
          <w:color w:val="111111"/>
          <w:sz w:val="28"/>
          <w:sz w:val="28"/>
          <w:szCs w:val="28"/>
          <w:rtl w:val="true"/>
          <w:lang w:bidi="ar-SA"/>
        </w:rPr>
        <w:t xml:space="preserve">عبداللّه بن محمّد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عبدالملك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عبدالملك بن عمرو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عبيد بن زرارة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العبيدي، محمّد بن عيسى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محمّد بن أحمد</w:t>
      </w:r>
    </w:p>
    <w:p>
      <w:pPr>
        <w:pStyle w:val="BookText"/>
        <w:rPr/>
      </w:pPr>
      <w:r>
        <w:rPr>
          <w:rFonts w:ascii="Amiri" w:hAnsi="Amiri" w:eastAsia="Amiri" w:cs="Amiri"/>
          <w:color w:val="111111"/>
          <w:sz w:val="28"/>
          <w:sz w:val="28"/>
          <w:szCs w:val="28"/>
          <w:rtl w:val="true"/>
          <w:lang w:bidi="ar-SA"/>
        </w:rPr>
        <w:t xml:space="preserve">العلاّمة الحلّي، الحسن بن يوسف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563</w:t>
      </w:r>
    </w:p>
    <w:p>
      <w:pPr>
        <w:pStyle w:val="BookText"/>
        <w:rPr/>
      </w:pPr>
      <w:r>
        <w:rPr>
          <w:rFonts w:ascii="Amiri" w:hAnsi="Amiri" w:eastAsia="Amiri" w:cs="Amiri"/>
          <w:color w:val="111111"/>
          <w:sz w:val="28"/>
          <w:sz w:val="28"/>
          <w:szCs w:val="28"/>
          <w:rtl w:val="true"/>
          <w:lang w:bidi="ar-SA"/>
        </w:rPr>
        <w:t>العلاّمة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العلوم، محمّد مهدي بن مرتضى</w:t>
      </w:r>
    </w:p>
    <w:p>
      <w:pPr>
        <w:pStyle w:val="BookText"/>
        <w:rPr/>
      </w:pPr>
      <w:r>
        <w:rPr>
          <w:rFonts w:ascii="Amiri" w:hAnsi="Amiri" w:eastAsia="Amiri" w:cs="Amiri"/>
          <w:color w:val="111111"/>
          <w:sz w:val="28"/>
          <w:sz w:val="28"/>
          <w:szCs w:val="28"/>
          <w:rtl w:val="true"/>
          <w:lang w:bidi="ar-SA"/>
        </w:rPr>
        <w:t xml:space="preserve">علم الهدى، علي بن الحسين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 علي بن إبراهيم</w:t>
      </w:r>
    </w:p>
    <w:p>
      <w:pPr>
        <w:pStyle w:val="BookText"/>
        <w:rPr/>
      </w:pPr>
      <w:r>
        <w:rPr>
          <w:rFonts w:ascii="Amiri" w:hAnsi="Amiri" w:eastAsia="Amiri" w:cs="Amiri"/>
          <w:color w:val="111111"/>
          <w:sz w:val="28"/>
          <w:sz w:val="28"/>
          <w:szCs w:val="28"/>
          <w:rtl w:val="true"/>
          <w:lang w:bidi="ar-SA"/>
        </w:rPr>
        <w:t>علي 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البطائني، علي بن أبي حمزة</w:t>
      </w:r>
    </w:p>
    <w:p>
      <w:pPr>
        <w:pStyle w:val="BookText"/>
        <w:rPr/>
      </w:pPr>
      <w:r>
        <w:rPr>
          <w:rFonts w:ascii="Amiri" w:hAnsi="Amiri" w:eastAsia="Amiri" w:cs="Amiri"/>
          <w:color w:val="111111"/>
          <w:sz w:val="28"/>
          <w:sz w:val="28"/>
          <w:szCs w:val="28"/>
          <w:rtl w:val="true"/>
          <w:lang w:bidi="ar-SA"/>
        </w:rPr>
        <w:t xml:space="preserve">علي بن الحسن بن فضّال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علي بن بابويه </w:t>
      </w:r>
      <w:r>
        <w:rPr>
          <w:rFonts w:eastAsia="Amiri" w:cs="Amiri" w:ascii="Amiri" w:hAnsi="Amiri"/>
          <w:color w:val="111111"/>
          <w:sz w:val="28"/>
          <w:szCs w:val="28"/>
          <w:lang w:bidi="ar-SA"/>
        </w:rPr>
        <w:t>44</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جعفر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محمّد بن الزبير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علي بن محمّد بن الزبير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الزبيري، علي بن محمّد بن زبير</w:t>
      </w:r>
    </w:p>
    <w:p>
      <w:pPr>
        <w:pStyle w:val="BookText"/>
        <w:rPr/>
      </w:pPr>
      <w:r>
        <w:rPr>
          <w:rFonts w:ascii="Amiri" w:hAnsi="Amiri" w:eastAsia="Amiri" w:cs="Amiri"/>
          <w:color w:val="111111"/>
          <w:sz w:val="28"/>
          <w:sz w:val="28"/>
          <w:szCs w:val="28"/>
          <w:rtl w:val="true"/>
          <w:lang w:bidi="ar-SA"/>
        </w:rPr>
        <w:t xml:space="preserve">علي بن مهزيار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 xml:space="preserve">علي بن يقطين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العمّاني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أبيعقيل، الحسن بن علي</w:t>
      </w:r>
    </w:p>
    <w:p>
      <w:pPr>
        <w:pStyle w:val="BookText"/>
        <w:rPr/>
      </w:pPr>
      <w:r>
        <w:rPr>
          <w:rFonts w:ascii="Amiri" w:hAnsi="Amiri" w:eastAsia="Amiri" w:cs="Amiri"/>
          <w:color w:val="111111"/>
          <w:sz w:val="28"/>
          <w:sz w:val="28"/>
          <w:szCs w:val="28"/>
          <w:rtl w:val="true"/>
          <w:lang w:bidi="ar-SA"/>
        </w:rPr>
        <w:t xml:space="preserve">عمر بن حنظلة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عمر بن يزيد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عيص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العيص بن القاسم</w:t>
      </w:r>
    </w:p>
    <w:p>
      <w:pPr>
        <w:pStyle w:val="BookText"/>
        <w:rPr/>
      </w:pPr>
      <w:r>
        <w:rPr>
          <w:rFonts w:ascii="Amiri" w:hAnsi="Amiri" w:eastAsia="Amiri" w:cs="Amiri"/>
          <w:color w:val="111111"/>
          <w:sz w:val="28"/>
          <w:sz w:val="28"/>
          <w:szCs w:val="28"/>
          <w:rtl w:val="true"/>
          <w:lang w:bidi="ar-SA"/>
        </w:rPr>
        <w:t xml:space="preserve">العيص بن القاسم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الفاضلان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 الحلّي، جعفر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الحلّي، الحسن بن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فاطمة بنت أبي حبيش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 xml:space="preserve">الفتياني، المقرن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فخر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المحقّقين، محمّد بن الحسن</w:t>
      </w:r>
    </w:p>
    <w:p>
      <w:pPr>
        <w:pStyle w:val="BookText"/>
        <w:rPr/>
      </w:pPr>
      <w:r>
        <w:rPr>
          <w:rFonts w:ascii="Amiri" w:hAnsi="Amiri" w:eastAsia="Amiri" w:cs="Amiri"/>
          <w:color w:val="111111"/>
          <w:sz w:val="28"/>
          <w:sz w:val="28"/>
          <w:szCs w:val="28"/>
          <w:rtl w:val="true"/>
          <w:lang w:bidi="ar-SA"/>
        </w:rPr>
        <w:t xml:space="preserve">فخر المحقّقين، محمّد بن الحسن </w:t>
      </w:r>
      <w:r>
        <w:rPr>
          <w:rFonts w:eastAsia="Amiri" w:cs="Amiri" w:ascii="Amiri" w:hAnsi="Amiri"/>
          <w:color w:val="111111"/>
          <w:sz w:val="28"/>
          <w:szCs w:val="28"/>
          <w:lang w:bidi="ar-SA"/>
        </w:rPr>
        <w:t>456</w:t>
      </w:r>
    </w:p>
    <w:p>
      <w:pPr>
        <w:pStyle w:val="BookText"/>
        <w:rPr/>
      </w:pPr>
      <w:r>
        <w:rPr>
          <w:rFonts w:ascii="IRNazanin" w:hAnsi="IRNazanin" w:eastAsia="IRNazanin"/>
          <w:color w:val="111111"/>
          <w:sz w:val="28"/>
          <w:sz w:val="28"/>
          <w:szCs w:val="28"/>
          <w:rtl w:val="true"/>
          <w:lang w:bidi="fa-IR"/>
        </w:rPr>
        <w:t>الفضل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شاذان، الفضل بن شاذان</w:t>
      </w:r>
    </w:p>
    <w:p>
      <w:pPr>
        <w:pStyle w:val="BookText"/>
        <w:rPr/>
      </w:pPr>
      <w:r>
        <w:rPr>
          <w:rFonts w:ascii="Amiri" w:hAnsi="Amiri" w:eastAsia="Amiri" w:cs="Amiri"/>
          <w:color w:val="111111"/>
          <w:sz w:val="28"/>
          <w:sz w:val="28"/>
          <w:szCs w:val="28"/>
          <w:rtl w:val="true"/>
          <w:lang w:bidi="ar-SA"/>
        </w:rPr>
        <w:t xml:space="preserve">فضل بن يونس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الفضيل بن يسار</w:t>
      </w:r>
    </w:p>
    <w:p>
      <w:pPr>
        <w:pStyle w:val="BookText"/>
        <w:rPr/>
      </w:pPr>
      <w:r>
        <w:rPr>
          <w:rFonts w:ascii="Amiri" w:hAnsi="Amiri" w:eastAsia="Amiri" w:cs="Amiri"/>
          <w:color w:val="111111"/>
          <w:sz w:val="28"/>
          <w:sz w:val="28"/>
          <w:szCs w:val="28"/>
          <w:rtl w:val="true"/>
          <w:lang w:bidi="ar-SA"/>
        </w:rPr>
        <w:t xml:space="preserve">الفضيل بن يسار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 xml:space="preserve">الفيض الكاشاني، محمّد بن شاه مرتضى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البرّاج، عبدالعزيز بن نحرير</w:t>
      </w:r>
    </w:p>
    <w:p>
      <w:pPr>
        <w:pStyle w:val="BookText"/>
        <w:rPr/>
      </w:pPr>
      <w:r>
        <w:rPr>
          <w:rFonts w:ascii="Amiri" w:hAnsi="Amiri" w:eastAsia="Amiri" w:cs="Amiri"/>
          <w:color w:val="111111"/>
          <w:sz w:val="28"/>
          <w:sz w:val="28"/>
          <w:szCs w:val="28"/>
          <w:rtl w:val="true"/>
          <w:lang w:bidi="ar-SA"/>
        </w:rPr>
        <w:t xml:space="preserve">القطب الراوندي، سعيد بن هبة اللّه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القمّي، إبراهيم بن هاشم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558</w:t>
      </w:r>
    </w:p>
    <w:p>
      <w:pPr>
        <w:pStyle w:val="BookText"/>
        <w:rPr/>
      </w:pPr>
      <w:r>
        <w:rPr>
          <w:rFonts w:ascii="Amiri" w:hAnsi="Amiri" w:eastAsia="Amiri" w:cs="Amiri"/>
          <w:color w:val="111111"/>
          <w:sz w:val="28"/>
          <w:sz w:val="28"/>
          <w:szCs w:val="28"/>
          <w:rtl w:val="true"/>
          <w:lang w:bidi="ar-SA"/>
        </w:rPr>
        <w:t xml:space="preserve">القمّي، علي بن إبراهيم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الجنيد الإسكافي، محمّد بن أحمد</w:t>
      </w:r>
    </w:p>
    <w:p>
      <w:pPr>
        <w:pStyle w:val="BookText"/>
        <w:rPr/>
      </w:pPr>
      <w:r>
        <w:rPr>
          <w:rFonts w:ascii="Amiri" w:hAnsi="Amiri" w:eastAsia="Amiri" w:cs="Amiri"/>
          <w:color w:val="111111"/>
          <w:sz w:val="28"/>
          <w:sz w:val="28"/>
          <w:szCs w:val="28"/>
          <w:rtl w:val="true"/>
          <w:lang w:bidi="ar-SA"/>
        </w:rPr>
        <w:t xml:space="preserve">الكشّي، محمّد بن عمر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الكليني، محمّد بن يعقوب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الكناني، أبو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الصباح الكناني</w:t>
      </w:r>
    </w:p>
    <w:p>
      <w:pPr>
        <w:pStyle w:val="BookText"/>
        <w:rPr/>
      </w:pPr>
      <w:r>
        <w:rPr>
          <w:rFonts w:ascii="Amiri" w:hAnsi="Amiri" w:eastAsia="Amiri" w:cs="Amiri"/>
          <w:color w:val="111111"/>
          <w:sz w:val="28"/>
          <w:sz w:val="28"/>
          <w:szCs w:val="28"/>
          <w:rtl w:val="true"/>
          <w:lang w:bidi="ar-SA"/>
        </w:rPr>
        <w:t xml:space="preserve">الكندي، شرحبيل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الكوفي، خلف بن حمّاد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ليث المرادي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بصير، ليث المرادي</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مالك بن أعين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المأمون، خليفة العبّاسي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 xml:space="preserve">المجلسي، محمّد باقر بن محمّد تقي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المحقّق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الكركي، علي بن الحسين</w:t>
      </w:r>
    </w:p>
    <w:p>
      <w:pPr>
        <w:pStyle w:val="BookText"/>
        <w:rPr/>
      </w:pPr>
      <w:r>
        <w:rPr>
          <w:rFonts w:ascii="Amiri" w:hAnsi="Amiri" w:eastAsia="Amiri" w:cs="Amiri"/>
          <w:color w:val="111111"/>
          <w:sz w:val="28"/>
          <w:sz w:val="28"/>
          <w:szCs w:val="28"/>
          <w:rtl w:val="true"/>
          <w:lang w:bidi="ar-SA"/>
        </w:rPr>
        <w:t xml:space="preserve">المحقّق الحلّي، جعفر بن الحسن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571</w:t>
      </w:r>
    </w:p>
    <w:p>
      <w:pPr>
        <w:pStyle w:val="BookText"/>
        <w:rPr/>
      </w:pPr>
      <w:r>
        <w:rPr>
          <w:rFonts w:ascii="Amiri" w:hAnsi="Amiri" w:eastAsia="Amiri" w:cs="Amiri"/>
          <w:color w:val="111111"/>
          <w:sz w:val="28"/>
          <w:sz w:val="28"/>
          <w:szCs w:val="28"/>
          <w:rtl w:val="true"/>
          <w:lang w:bidi="ar-SA"/>
        </w:rPr>
        <w:t xml:space="preserve">المحقّق الكركي، علي بن الحسين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محمّد بن أبي بكر </w:t>
      </w:r>
      <w:r>
        <w:rPr>
          <w:rFonts w:eastAsia="Amiri" w:cs="Amiri" w:ascii="Amiri" w:hAnsi="Amiri"/>
          <w:color w:val="111111"/>
          <w:sz w:val="28"/>
          <w:szCs w:val="28"/>
          <w:lang w:bidi="ar-SA"/>
        </w:rPr>
        <w:t>557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558</w:t>
      </w:r>
    </w:p>
    <w:p>
      <w:pPr>
        <w:pStyle w:val="BookText"/>
        <w:rPr/>
      </w:pPr>
      <w:r>
        <w:rPr>
          <w:rFonts w:ascii="Amiri" w:hAnsi="Amiri" w:eastAsia="Amiri" w:cs="Amiri"/>
          <w:color w:val="111111"/>
          <w:sz w:val="28"/>
          <w:sz w:val="28"/>
          <w:szCs w:val="28"/>
          <w:rtl w:val="true"/>
          <w:lang w:bidi="ar-SA"/>
        </w:rPr>
        <w:t>محمّد بن أحمد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الأشعري، محمّد بن أحمد بن يحيى بن عمران</w:t>
      </w:r>
    </w:p>
    <w:p>
      <w:pPr>
        <w:pStyle w:val="BookText"/>
        <w:rPr/>
      </w:pPr>
      <w:r>
        <w:rPr>
          <w:rFonts w:ascii="Amiri" w:hAnsi="Amiri" w:eastAsia="Amiri" w:cs="Amiri"/>
          <w:color w:val="111111"/>
          <w:sz w:val="28"/>
          <w:sz w:val="28"/>
          <w:szCs w:val="28"/>
          <w:rtl w:val="true"/>
          <w:lang w:bidi="ar-SA"/>
        </w:rPr>
        <w:t xml:space="preserve">محمّد بن الربيع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محمّد بن الفضيل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محمّد بن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الخثعمي، محمّد بن حكيم</w:t>
      </w:r>
    </w:p>
    <w:p>
      <w:pPr>
        <w:pStyle w:val="BookText"/>
        <w:rPr/>
      </w:pPr>
      <w:r>
        <w:rPr>
          <w:rFonts w:ascii="Amiri" w:hAnsi="Amiri" w:eastAsia="Amiri" w:cs="Amiri"/>
          <w:color w:val="111111"/>
          <w:sz w:val="28"/>
          <w:sz w:val="28"/>
          <w:szCs w:val="28"/>
          <w:rtl w:val="true"/>
          <w:lang w:bidi="ar-SA"/>
        </w:rPr>
        <w:t xml:space="preserve">محمّد بن عبداللّه بن زرارة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محمّد بن عمرو بن سعيد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p>
    <w:p>
      <w:pPr>
        <w:pStyle w:val="BookText"/>
        <w:rPr/>
      </w:pPr>
      <w:r>
        <w:rPr>
          <w:rFonts w:ascii="Amiri" w:hAnsi="Amiri" w:eastAsia="Amiri" w:cs="Amiri"/>
          <w:color w:val="111111"/>
          <w:sz w:val="28"/>
          <w:sz w:val="28"/>
          <w:szCs w:val="28"/>
          <w:rtl w:val="true"/>
          <w:lang w:bidi="ar-SA"/>
        </w:rPr>
        <w:t>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العطّار</w:t>
      </w:r>
    </w:p>
    <w:p>
      <w:pPr>
        <w:pStyle w:val="BookText"/>
        <w:rPr/>
      </w:pPr>
      <w:r>
        <w:rPr>
          <w:rFonts w:ascii="Amiri" w:hAnsi="Amiri" w:eastAsia="Amiri" w:cs="Amiri"/>
          <w:color w:val="111111"/>
          <w:sz w:val="28"/>
          <w:sz w:val="28"/>
          <w:szCs w:val="28"/>
          <w:rtl w:val="true"/>
          <w:lang w:bidi="ar-SA"/>
        </w:rPr>
        <w:t xml:space="preserve">محمّد بن يحيى العطّار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المرادي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بصير، ليث المرادي</w:t>
      </w:r>
    </w:p>
    <w:p>
      <w:pPr>
        <w:pStyle w:val="BookText"/>
        <w:rPr/>
      </w:pPr>
      <w:r>
        <w:rPr>
          <w:rFonts w:ascii="Amiri" w:hAnsi="Amiri" w:eastAsia="Amiri" w:cs="Amiri"/>
          <w:color w:val="111111"/>
          <w:sz w:val="28"/>
          <w:sz w:val="28"/>
          <w:szCs w:val="28"/>
          <w:rtl w:val="true"/>
          <w:lang w:bidi="ar-SA"/>
        </w:rPr>
        <w:t xml:space="preserve">معاوية بن حكيم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معاوية بن عمّار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ascii="IRNazanin" w:hAnsi="IRNazanin" w:eastAsia="IRNazanin"/>
          <w:color w:val="111111"/>
          <w:sz w:val="28"/>
          <w:sz w:val="28"/>
          <w:szCs w:val="28"/>
          <w:rtl w:val="true"/>
          <w:lang w:bidi="fa-IR"/>
        </w:rPr>
        <w:t xml:space="preserve">المفضّل بن صالح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p>
    <w:p>
      <w:pPr>
        <w:pStyle w:val="BookText"/>
        <w:rPr/>
      </w:pPr>
      <w:r>
        <w:rPr>
          <w:rFonts w:ascii="Amiri" w:hAnsi="Amiri" w:eastAsia="Amiri" w:cs="Amiri"/>
          <w:color w:val="111111"/>
          <w:sz w:val="28"/>
          <w:sz w:val="28"/>
          <w:szCs w:val="28"/>
          <w:rtl w:val="true"/>
          <w:lang w:bidi="ar-SA"/>
        </w:rPr>
        <w:t xml:space="preserve">المفيد، محمّد بن محمّد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573</w:t>
      </w:r>
    </w:p>
    <w:p>
      <w:pPr>
        <w:pStyle w:val="BookText"/>
        <w:rPr/>
      </w:pPr>
      <w:r>
        <w:rPr>
          <w:rFonts w:ascii="Amiri" w:hAnsi="Amiri" w:eastAsia="Amiri" w:cs="Amiri"/>
          <w:color w:val="111111"/>
          <w:sz w:val="28"/>
          <w:sz w:val="28"/>
          <w:szCs w:val="28"/>
          <w:rtl w:val="true"/>
          <w:lang w:bidi="ar-SA"/>
        </w:rPr>
        <w:t>المقرن الفتياني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الفتياني، المقرن</w:t>
      </w:r>
    </w:p>
    <w:p>
      <w:pPr>
        <w:pStyle w:val="BookText"/>
        <w:rPr/>
      </w:pPr>
      <w:r>
        <w:rPr>
          <w:rFonts w:ascii="IRNazanin" w:hAnsi="IRNazanin" w:eastAsia="IRNazanin"/>
          <w:color w:val="111111"/>
          <w:sz w:val="28"/>
          <w:sz w:val="28"/>
          <w:szCs w:val="28"/>
          <w:rtl w:val="true"/>
          <w:lang w:bidi="fa-IR"/>
        </w:rPr>
        <w:t xml:space="preserve">منصور بن حازم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الموسوي العاملي، محمّد بن علي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المولى البهبهاني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البهبهاني، محمّد باقر بن محمّد أكمل</w:t>
      </w:r>
    </w:p>
    <w:p>
      <w:pPr>
        <w:pStyle w:val="BookText"/>
        <w:rPr/>
      </w:pPr>
      <w:r>
        <w:rPr>
          <w:rFonts w:ascii="Amiri" w:hAnsi="Amiri" w:eastAsia="Amiri" w:cs="Amiri"/>
          <w:color w:val="111111"/>
          <w:sz w:val="28"/>
          <w:sz w:val="28"/>
          <w:szCs w:val="28"/>
          <w:rtl w:val="true"/>
          <w:lang w:bidi="ar-SA"/>
        </w:rPr>
        <w:t xml:space="preserve">الميرداماد، محمّد باقر بن محمّد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النجاشي، أحمد بن علي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النجفي، محمّد حسن بن 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الجواهر، محمّد حسن بن باقر</w:t>
      </w:r>
    </w:p>
    <w:p>
      <w:pPr>
        <w:pStyle w:val="BookText"/>
        <w:rPr/>
      </w:pPr>
      <w:r>
        <w:rPr>
          <w:rFonts w:ascii="Amiri" w:hAnsi="Amiri" w:eastAsia="Amiri" w:cs="Amiri"/>
          <w:color w:val="111111"/>
          <w:sz w:val="28"/>
          <w:sz w:val="28"/>
          <w:szCs w:val="28"/>
          <w:rtl w:val="true"/>
          <w:lang w:bidi="ar-SA"/>
        </w:rPr>
        <w:t xml:space="preserve">النخّاس، رفاعة بن موسى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النيسابوري، محمّد بن إسماعيل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 xml:space="preserve">هشام بن سالم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الهمداني، رضا بن محمّد هادي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الهمداني، محمّد بن عبدالرحمان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يعقوب الأحمر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يعقوب بن يقطين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عبدالرحمان</w:t>
      </w:r>
    </w:p>
    <w:p>
      <w:pPr>
        <w:pStyle w:val="BookText"/>
        <w:rPr/>
      </w:pPr>
      <w:r>
        <w:rPr>
          <w:rFonts w:ascii="Amiri" w:hAnsi="Amiri" w:eastAsia="Amiri" w:cs="Amiri"/>
          <w:color w:val="111111"/>
          <w:sz w:val="28"/>
          <w:sz w:val="28"/>
          <w:szCs w:val="28"/>
          <w:rtl w:val="true"/>
          <w:lang w:bidi="ar-SA"/>
        </w:rPr>
        <w:t xml:space="preserve">يونس بن عبدالرحمان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584</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يونس بن يعقوب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bookmarkStart w:id="879" w:name="pg15019_191195"/>
    </w:p>
    <w:p>
      <w:pPr>
        <w:pStyle w:val="Heading3"/>
        <w:numPr>
          <w:ilvl w:val="2"/>
          <w:numId w:val="1"/>
        </w:numPr>
        <w:rPr/>
      </w:pPr>
      <w:bookmarkStart w:id="880" w:name="__RefHeading___Toc686798_3406789950"/>
      <w:bookmarkStart w:id="881" w:name="_Toc317"/>
      <w:bookmarkEnd w:id="879"/>
      <w:bookmarkEnd w:id="880"/>
      <w:r>
        <w:rPr/>
        <w:t>5</w:t>
      </w:r>
      <w:r>
        <w:rPr>
          <w:rtl w:val="true"/>
        </w:rPr>
        <w:t xml:space="preserve"> - </w:t>
      </w:r>
      <w:r>
        <w:rPr>
          <w:rtl w:val="true"/>
        </w:rPr>
        <w:t>فهرس الكتب الواردة في المتن</w:t>
      </w:r>
      <w:bookmarkEnd w:id="881"/>
    </w:p>
    <w:p>
      <w:pPr>
        <w:pStyle w:val="BookText"/>
        <w:rPr/>
      </w:pP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أحكام الراوندي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أحكام النساء </w:t>
      </w:r>
      <w:r>
        <w:rPr>
          <w:rFonts w:eastAsia="Amiri" w:cs="Amiri" w:ascii="Amiri" w:hAnsi="Amiri"/>
          <w:color w:val="111111"/>
          <w:sz w:val="28"/>
          <w:szCs w:val="28"/>
          <w:lang w:bidi="ar-SA"/>
        </w:rPr>
        <w:t>561</w:t>
      </w:r>
    </w:p>
    <w:p>
      <w:pPr>
        <w:pStyle w:val="BookText"/>
        <w:rPr/>
      </w:pP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الإصباح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إصباح الشيعة</w:t>
      </w:r>
    </w:p>
    <w:p>
      <w:pPr>
        <w:pStyle w:val="BookText"/>
        <w:rPr/>
      </w:pPr>
      <w:r>
        <w:rPr>
          <w:rFonts w:ascii="Amiri" w:hAnsi="Amiri" w:eastAsia="Amiri" w:cs="Amiri"/>
          <w:color w:val="111111"/>
          <w:sz w:val="28"/>
          <w:sz w:val="28"/>
          <w:szCs w:val="28"/>
          <w:rtl w:val="true"/>
          <w:lang w:bidi="ar-SA"/>
        </w:rPr>
        <w:t xml:space="preserve">إصباح الشيعة </w:t>
      </w:r>
      <w:r>
        <w:rPr>
          <w:rFonts w:eastAsia="Amiri" w:cs="Amiri" w:ascii="Amiri" w:hAnsi="Amiri"/>
          <w:color w:val="111111"/>
          <w:sz w:val="28"/>
          <w:szCs w:val="28"/>
          <w:lang w:bidi="ar-SA"/>
        </w:rPr>
        <w:t>510</w:t>
      </w:r>
    </w:p>
    <w:p>
      <w:pPr>
        <w:pStyle w:val="BookText"/>
        <w:rPr/>
      </w:pPr>
      <w:r>
        <w:rPr>
          <w:rFonts w:ascii="IRNazanin" w:hAnsi="IRNazanin" w:eastAsia="IRNazanin"/>
          <w:color w:val="111111"/>
          <w:sz w:val="28"/>
          <w:sz w:val="28"/>
          <w:szCs w:val="28"/>
          <w:rtl w:val="true"/>
          <w:lang w:bidi="fa-IR"/>
        </w:rPr>
        <w:t xml:space="preserve">الإعلام </w:t>
      </w:r>
      <w:r>
        <w:rPr>
          <w:rFonts w:eastAsia="IRNazanin" w:cs="IRNazanin"/>
          <w:color w:val="111111"/>
          <w:sz w:val="28"/>
          <w:szCs w:val="28"/>
          <w:lang w:bidi="fa-IR"/>
        </w:rPr>
        <w:t>562</w:t>
      </w:r>
    </w:p>
    <w:p>
      <w:pPr>
        <w:pStyle w:val="BookText"/>
        <w:rPr/>
      </w:pPr>
      <w:r>
        <w:rPr>
          <w:rFonts w:ascii="Amiri" w:hAnsi="Amiri" w:eastAsia="Amiri" w:cs="Amiri"/>
          <w:color w:val="111111"/>
          <w:sz w:val="28"/>
          <w:sz w:val="28"/>
          <w:szCs w:val="28"/>
          <w:rtl w:val="true"/>
          <w:lang w:bidi="ar-SA"/>
        </w:rPr>
        <w:t xml:space="preserve">الاقتصاد الهادي إلى طريق الرشاد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 xml:space="preserve">الأمالي للصدوق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551</w:t>
      </w:r>
    </w:p>
    <w:p>
      <w:pPr>
        <w:pStyle w:val="BookText"/>
        <w:rPr/>
      </w:pPr>
      <w:r>
        <w:rPr>
          <w:rFonts w:ascii="IRNazanin" w:hAnsi="IRNazanin" w:eastAsia="IRNazanin"/>
          <w:color w:val="111111"/>
          <w:sz w:val="28"/>
          <w:sz w:val="28"/>
          <w:szCs w:val="28"/>
          <w:rtl w:val="true"/>
          <w:lang w:bidi="fa-IR"/>
        </w:rPr>
        <w:t xml:space="preserve">الانتصار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 xml:space="preserve">التبيان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الأحكام</w:t>
      </w:r>
    </w:p>
    <w:p>
      <w:pPr>
        <w:pStyle w:val="BookText"/>
        <w:rPr/>
      </w:pPr>
      <w:r>
        <w:rPr>
          <w:rFonts w:ascii="Amiri" w:hAnsi="Amiri" w:eastAsia="Amiri" w:cs="Amiri"/>
          <w:color w:val="111111"/>
          <w:sz w:val="28"/>
          <w:sz w:val="28"/>
          <w:szCs w:val="28"/>
          <w:rtl w:val="true"/>
          <w:lang w:bidi="ar-SA"/>
        </w:rPr>
        <w:t xml:space="preserve">تحرير الأحكام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الفقهاء</w:t>
      </w:r>
    </w:p>
    <w:p>
      <w:pPr>
        <w:pStyle w:val="BookText"/>
        <w:rPr/>
      </w:pPr>
      <w:r>
        <w:rPr>
          <w:rFonts w:ascii="Amiri" w:hAnsi="Amiri" w:eastAsia="Amiri" w:cs="Amiri"/>
          <w:color w:val="111111"/>
          <w:sz w:val="28"/>
          <w:sz w:val="28"/>
          <w:szCs w:val="28"/>
          <w:rtl w:val="true"/>
          <w:lang w:bidi="ar-SA"/>
        </w:rPr>
        <w:t xml:space="preserve">تذكرة الفقهاء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585</w:t>
      </w:r>
    </w:p>
    <w:p>
      <w:pPr>
        <w:pStyle w:val="BookText"/>
        <w:rPr/>
      </w:pPr>
      <w:r>
        <w:rPr>
          <w:rFonts w:ascii="Amiri" w:hAnsi="Amiri" w:eastAsia="Amiri" w:cs="Amiri"/>
          <w:color w:val="111111"/>
          <w:sz w:val="28"/>
          <w:sz w:val="28"/>
          <w:szCs w:val="28"/>
          <w:rtl w:val="true"/>
          <w:lang w:bidi="ar-SA"/>
        </w:rPr>
        <w:t xml:space="preserve">تقريرات بعض أعاظم فنّ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الاُصول</w:t>
      </w:r>
    </w:p>
    <w:p>
      <w:pPr>
        <w:pStyle w:val="BookText"/>
        <w:rPr/>
      </w:pPr>
      <w:r>
        <w:rPr>
          <w:rFonts w:ascii="Amiri" w:hAnsi="Amiri" w:eastAsia="Amiri" w:cs="Amiri"/>
          <w:color w:val="111111"/>
          <w:sz w:val="28"/>
          <w:sz w:val="28"/>
          <w:szCs w:val="28"/>
          <w:rtl w:val="true"/>
          <w:lang w:bidi="ar-SA"/>
        </w:rPr>
        <w:t xml:space="preserve">التنقيح الرائع </w:t>
      </w:r>
      <w:r>
        <w:rPr>
          <w:rFonts w:eastAsia="Amiri" w:cs="Amiri" w:ascii="Amiri" w:hAnsi="Amiri"/>
          <w:color w:val="111111"/>
          <w:sz w:val="28"/>
          <w:szCs w:val="28"/>
          <w:lang w:bidi="ar-SA"/>
        </w:rPr>
        <w:t>531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w:t>
      </w:r>
    </w:p>
    <w:p>
      <w:pPr>
        <w:pStyle w:val="BookText"/>
        <w:rPr/>
      </w:pP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الجامع للشرائع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p>
    <w:p>
      <w:pPr>
        <w:pStyle w:val="BookText"/>
        <w:rPr/>
      </w:pP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580</w:t>
      </w:r>
    </w:p>
    <w:p>
      <w:pPr>
        <w:pStyle w:val="BookText"/>
        <w:rPr/>
      </w:pPr>
      <w:r>
        <w:rPr>
          <w:rFonts w:ascii="Amiri" w:hAnsi="Amiri" w:eastAsia="Amiri" w:cs="Amiri"/>
          <w:color w:val="111111"/>
          <w:sz w:val="28"/>
          <w:sz w:val="28"/>
          <w:szCs w:val="28"/>
          <w:rtl w:val="true"/>
          <w:lang w:bidi="ar-SA"/>
        </w:rPr>
        <w:t xml:space="preserve">الجعفرية </w:t>
      </w:r>
      <w:r>
        <w:rPr>
          <w:rFonts w:eastAsia="Amiri" w:cs="Amiri" w:ascii="Amiri" w:hAnsi="Amiri"/>
          <w:color w:val="111111"/>
          <w:sz w:val="28"/>
          <w:szCs w:val="28"/>
          <w:lang w:bidi="ar-SA"/>
        </w:rPr>
        <w:t>548</w:t>
      </w:r>
    </w:p>
    <w:p>
      <w:pPr>
        <w:pStyle w:val="BookText"/>
        <w:rPr/>
      </w:pPr>
      <w:r>
        <w:rPr>
          <w:rFonts w:ascii="IRNazanin" w:hAnsi="IRNazanin" w:eastAsia="IRNazanin"/>
          <w:color w:val="111111"/>
          <w:sz w:val="28"/>
          <w:sz w:val="28"/>
          <w:szCs w:val="28"/>
          <w:rtl w:val="true"/>
          <w:lang w:bidi="fa-IR"/>
        </w:rPr>
        <w:t xml:space="preserve">جمل العلم والعمل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الجمل والعقود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w:t>
      </w:r>
    </w:p>
    <w:p>
      <w:pPr>
        <w:pStyle w:val="BookText"/>
        <w:rPr/>
      </w:pP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572</w:t>
      </w:r>
    </w:p>
    <w:p>
      <w:pPr>
        <w:pStyle w:val="BookText"/>
        <w:rPr/>
      </w:pPr>
      <w:r>
        <w:rPr>
          <w:rFonts w:ascii="Amiri" w:hAnsi="Amiri" w:eastAsia="Amiri" w:cs="Amiri"/>
          <w:color w:val="111111"/>
          <w:sz w:val="28"/>
          <w:sz w:val="28"/>
          <w:szCs w:val="28"/>
          <w:rtl w:val="true"/>
          <w:lang w:bidi="ar-SA"/>
        </w:rPr>
        <w:t xml:space="preserve">حاشية الإرشاد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حاشية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الحواشي على شرح اللمعة الدمشقية</w:t>
      </w:r>
    </w:p>
    <w:p>
      <w:pPr>
        <w:pStyle w:val="BookText"/>
        <w:rPr/>
      </w:pPr>
      <w:r>
        <w:rPr>
          <w:rFonts w:ascii="Amiri" w:hAnsi="Amiri" w:eastAsia="Amiri" w:cs="Amiri"/>
          <w:color w:val="111111"/>
          <w:sz w:val="28"/>
          <w:sz w:val="28"/>
          <w:szCs w:val="28"/>
          <w:rtl w:val="true"/>
          <w:lang w:bidi="ar-SA"/>
        </w:rPr>
        <w:t>حاشية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الحاشية على مدارك الأحكام</w:t>
      </w:r>
    </w:p>
    <w:p>
      <w:pPr>
        <w:pStyle w:val="BookText"/>
        <w:rPr/>
      </w:pPr>
      <w:r>
        <w:rPr>
          <w:rFonts w:ascii="Amiri" w:hAnsi="Amiri" w:eastAsia="Amiri" w:cs="Amiri"/>
          <w:color w:val="111111"/>
          <w:sz w:val="28"/>
          <w:sz w:val="28"/>
          <w:szCs w:val="28"/>
          <w:rtl w:val="true"/>
          <w:lang w:bidi="ar-SA"/>
        </w:rPr>
        <w:t xml:space="preserve">الحاشية على مدارك الأحكام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الحواشي على شرح اللمعة الدمشقية </w:t>
      </w:r>
      <w:r>
        <w:rPr>
          <w:rFonts w:eastAsia="Amiri" w:cs="Amiri" w:ascii="Amiri" w:hAnsi="Amiri"/>
          <w:color w:val="111111"/>
          <w:sz w:val="28"/>
          <w:szCs w:val="28"/>
          <w:lang w:bidi="ar-SA"/>
        </w:rPr>
        <w:t>484</w:t>
      </w:r>
    </w:p>
    <w:p>
      <w:pPr>
        <w:pStyle w:val="BookText"/>
        <w:rPr/>
      </w:pPr>
      <w:r>
        <w:rPr>
          <w:rFonts w:ascii="IRNazanin" w:hAnsi="IRNazanin" w:eastAsia="IRNazanin"/>
          <w:color w:val="111111"/>
          <w:sz w:val="28"/>
          <w:sz w:val="28"/>
          <w:szCs w:val="28"/>
          <w:rtl w:val="true"/>
          <w:lang w:bidi="fa-IR"/>
        </w:rPr>
        <w:t xml:space="preserve">الخلاف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w:t>
      </w:r>
    </w:p>
    <w:p>
      <w:pPr>
        <w:pStyle w:val="BookText"/>
        <w:rPr/>
      </w:pP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الدروس الشرعية</w:t>
      </w:r>
    </w:p>
    <w:p>
      <w:pPr>
        <w:pStyle w:val="BookText"/>
        <w:rPr/>
      </w:pPr>
      <w:r>
        <w:rPr>
          <w:rFonts w:ascii="Amiri" w:hAnsi="Amiri" w:eastAsia="Amiri" w:cs="Amiri"/>
          <w:color w:val="111111"/>
          <w:sz w:val="28"/>
          <w:sz w:val="28"/>
          <w:szCs w:val="28"/>
          <w:rtl w:val="true"/>
          <w:lang w:bidi="ar-SA"/>
        </w:rPr>
        <w:t xml:space="preserve">الدروس الشرعية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ascii="IRNazanin" w:hAnsi="IRNazanin" w:eastAsia="IRNazanin"/>
          <w:color w:val="111111"/>
          <w:sz w:val="28"/>
          <w:sz w:val="28"/>
          <w:szCs w:val="28"/>
          <w:rtl w:val="true"/>
          <w:lang w:bidi="fa-IR"/>
        </w:rPr>
        <w:t>الدعائم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الإسلام</w:t>
      </w:r>
    </w:p>
    <w:p>
      <w:pPr>
        <w:pStyle w:val="BookText"/>
        <w:rPr/>
      </w:pP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ذخيرة المعاد</w:t>
      </w:r>
    </w:p>
    <w:p>
      <w:pPr>
        <w:pStyle w:val="BookText"/>
        <w:rPr/>
      </w:pPr>
      <w:r>
        <w:rPr>
          <w:rFonts w:ascii="Amiri" w:hAnsi="Amiri" w:eastAsia="Amiri" w:cs="Amiri"/>
          <w:color w:val="111111"/>
          <w:sz w:val="28"/>
          <w:sz w:val="28"/>
          <w:szCs w:val="28"/>
          <w:rtl w:val="true"/>
          <w:lang w:bidi="ar-SA"/>
        </w:rPr>
        <w:t xml:space="preserve">ذخيرة المعاد </w:t>
      </w:r>
      <w:r>
        <w:rPr>
          <w:rFonts w:eastAsia="Amiri" w:cs="Amiri" w:ascii="Amiri" w:hAnsi="Amiri"/>
          <w:color w:val="111111"/>
          <w:sz w:val="28"/>
          <w:szCs w:val="28"/>
          <w:lang w:bidi="ar-SA"/>
        </w:rPr>
        <w:t>510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ذكرى الشيعة</w:t>
      </w:r>
    </w:p>
    <w:p>
      <w:pPr>
        <w:pStyle w:val="BookText"/>
        <w:rPr/>
      </w:pPr>
      <w:r>
        <w:rPr>
          <w:rFonts w:ascii="Amiri" w:hAnsi="Amiri" w:eastAsia="Amiri" w:cs="Amiri"/>
          <w:color w:val="111111"/>
          <w:sz w:val="28"/>
          <w:sz w:val="28"/>
          <w:szCs w:val="28"/>
          <w:rtl w:val="true"/>
          <w:lang w:bidi="ar-SA"/>
        </w:rPr>
        <w:t xml:space="preserve">ذكرى الشيعة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 xml:space="preserve">رسالة علي بن بابويه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 الجنان</w:t>
      </w:r>
    </w:p>
    <w:p>
      <w:pPr>
        <w:pStyle w:val="BookText"/>
        <w:rPr/>
      </w:pPr>
      <w:r>
        <w:rPr>
          <w:rFonts w:ascii="IRNazanin" w:hAnsi="IRNazanin" w:eastAsia="IRNazanin"/>
          <w:color w:val="111111"/>
          <w:sz w:val="28"/>
          <w:sz w:val="28"/>
          <w:szCs w:val="28"/>
          <w:rtl w:val="true"/>
          <w:lang w:bidi="fa-IR"/>
        </w:rPr>
        <w:t xml:space="preserve">روض الجنان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p>
    <w:p>
      <w:pPr>
        <w:pStyle w:val="BookText"/>
        <w:rPr/>
      </w:pPr>
      <w:r>
        <w:rPr>
          <w:rFonts w:ascii="Amiri" w:hAnsi="Amiri" w:eastAsia="Amiri" w:cs="Amiri"/>
          <w:color w:val="111111"/>
          <w:sz w:val="28"/>
          <w:sz w:val="28"/>
          <w:szCs w:val="28"/>
          <w:rtl w:val="true"/>
          <w:lang w:bidi="ar-SA"/>
        </w:rPr>
        <w:t xml:space="preserve">الروضة البهيّة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المسائل</w:t>
      </w:r>
    </w:p>
    <w:p>
      <w:pPr>
        <w:pStyle w:val="BookText"/>
        <w:rPr/>
      </w:pPr>
      <w:r>
        <w:rPr>
          <w:rFonts w:ascii="Amiri" w:hAnsi="Amiri" w:eastAsia="Amiri" w:cs="Amiri"/>
          <w:color w:val="111111"/>
          <w:sz w:val="28"/>
          <w:sz w:val="28"/>
          <w:szCs w:val="28"/>
          <w:rtl w:val="true"/>
          <w:lang w:bidi="ar-SA"/>
        </w:rPr>
        <w:t xml:space="preserve">رياض المسائل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الإسلام</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شرائع الإسلام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شرح الإرشاد </w:t>
      </w:r>
      <w:r>
        <w:rPr>
          <w:rFonts w:eastAsia="IRNazanin" w:cs="IRNazanin"/>
          <w:color w:val="111111"/>
          <w:sz w:val="28"/>
          <w:szCs w:val="28"/>
          <w:lang w:bidi="fa-IR"/>
        </w:rPr>
        <w:t>456</w:t>
      </w:r>
    </w:p>
    <w:p>
      <w:pPr>
        <w:pStyle w:val="BookText"/>
        <w:rPr/>
      </w:pPr>
      <w:r>
        <w:rPr>
          <w:rFonts w:ascii="Amiri" w:hAnsi="Amiri" w:eastAsia="Amiri" w:cs="Amiri"/>
          <w:color w:val="111111"/>
          <w:sz w:val="28"/>
          <w:sz w:val="28"/>
          <w:szCs w:val="28"/>
          <w:rtl w:val="true"/>
          <w:lang w:bidi="ar-SA"/>
        </w:rPr>
        <w:t xml:space="preserve">شرح الجعفرية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 xml:space="preserve">شرح الرسالة للسيّد المرتضى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شرح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مصابيح الظلام</w:t>
      </w:r>
    </w:p>
    <w:p>
      <w:pPr>
        <w:pStyle w:val="BookText"/>
        <w:rPr/>
      </w:pPr>
      <w:r>
        <w:rPr>
          <w:rFonts w:ascii="Amiri" w:hAnsi="Amiri" w:eastAsia="Amiri" w:cs="Amiri"/>
          <w:color w:val="111111"/>
          <w:sz w:val="28"/>
          <w:sz w:val="28"/>
          <w:szCs w:val="28"/>
          <w:rtl w:val="true"/>
          <w:lang w:bidi="ar-SA"/>
        </w:rPr>
        <w:t>شرحي الجعفرية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المطالب المظفرية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الغروية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p>
    <w:p>
      <w:pPr>
        <w:pStyle w:val="BookText"/>
        <w:rPr/>
      </w:pPr>
      <w:r>
        <w:rPr>
          <w:rFonts w:ascii="Amiri" w:hAnsi="Amiri" w:eastAsia="Amiri" w:cs="Amiri"/>
          <w:color w:val="111111"/>
          <w:sz w:val="28"/>
          <w:sz w:val="28"/>
          <w:szCs w:val="28"/>
          <w:rtl w:val="true"/>
          <w:lang w:bidi="ar-SA"/>
        </w:rPr>
        <w:t xml:space="preserve">الطهارة للشيخ الأنصاري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w:t>
      </w:r>
    </w:p>
    <w:p>
      <w:pPr>
        <w:pStyle w:val="BookText"/>
        <w:rPr/>
      </w:pP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عيون أخبار الرضا علیه السلام</w:t>
      </w:r>
    </w:p>
    <w:p>
      <w:pPr>
        <w:pStyle w:val="BookText"/>
        <w:rPr/>
      </w:pPr>
      <w:r>
        <w:rPr>
          <w:rFonts w:ascii="IRNazanin" w:hAnsi="IRNazanin" w:eastAsia="IRNazanin"/>
          <w:color w:val="111111"/>
          <w:sz w:val="28"/>
          <w:sz w:val="28"/>
          <w:szCs w:val="28"/>
          <w:rtl w:val="true"/>
          <w:lang w:bidi="fa-IR"/>
        </w:rPr>
        <w:t xml:space="preserve">عيون أخبار الرضا علیه السلام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564</w:t>
      </w:r>
    </w:p>
    <w:p>
      <w:pPr>
        <w:pStyle w:val="BookText"/>
        <w:rPr/>
      </w:pP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غنية النزوع</w:t>
      </w:r>
    </w:p>
    <w:p>
      <w:pPr>
        <w:pStyle w:val="BookText"/>
        <w:rPr/>
      </w:pPr>
      <w:r>
        <w:rPr>
          <w:rFonts w:ascii="Amiri" w:hAnsi="Amiri" w:eastAsia="Amiri" w:cs="Amiri"/>
          <w:color w:val="111111"/>
          <w:sz w:val="28"/>
          <w:sz w:val="28"/>
          <w:szCs w:val="28"/>
          <w:rtl w:val="true"/>
          <w:lang w:bidi="ar-SA"/>
        </w:rPr>
        <w:t xml:space="preserve">غنية النزوع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585</w:t>
      </w:r>
    </w:p>
    <w:p>
      <w:pPr>
        <w:pStyle w:val="BookText"/>
        <w:rPr/>
      </w:pPr>
      <w:r>
        <w:rPr>
          <w:rFonts w:ascii="IRNazanin" w:hAnsi="IRNazanin" w:eastAsia="IRNazanin"/>
          <w:color w:val="111111"/>
          <w:sz w:val="28"/>
          <w:sz w:val="28"/>
          <w:szCs w:val="28"/>
          <w:rtl w:val="true"/>
          <w:lang w:bidi="fa-IR"/>
        </w:rPr>
        <w:t xml:space="preserve">الفائق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الفقه الرضوي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المنسوب للإمام الرضا علیه السلام</w:t>
      </w:r>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المنسوب للإمام الرضا علیه السلام</w:t>
      </w:r>
    </w:p>
    <w:p>
      <w:pPr>
        <w:pStyle w:val="BookText"/>
        <w:rPr/>
      </w:pPr>
      <w:r>
        <w:rPr>
          <w:rFonts w:ascii="IRNazanin" w:hAnsi="IRNazanin" w:eastAsia="IRNazanin"/>
          <w:color w:val="111111"/>
          <w:sz w:val="28"/>
          <w:sz w:val="28"/>
          <w:szCs w:val="28"/>
          <w:rtl w:val="true"/>
          <w:lang w:bidi="fa-IR"/>
        </w:rPr>
        <w:t xml:space="preserve">الفقه المنسوب للإمام الرضا علیه السلام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p>
    <w:p>
      <w:pPr>
        <w:pStyle w:val="BookText"/>
        <w:rPr/>
      </w:pPr>
      <w:r>
        <w:rPr>
          <w:rFonts w:ascii="Amiri" w:hAnsi="Amiri" w:eastAsia="Amiri" w:cs="Amiri"/>
          <w:color w:val="111111"/>
          <w:sz w:val="28"/>
          <w:sz w:val="28"/>
          <w:szCs w:val="28"/>
          <w:rtl w:val="true"/>
          <w:lang w:bidi="ar-SA"/>
        </w:rPr>
        <w:t xml:space="preserve">المطالب المظفرية </w:t>
      </w:r>
      <w:r>
        <w:rPr>
          <w:rFonts w:eastAsia="Amiri" w:cs="Amiri" w:ascii="Amiri" w:hAnsi="Amiri"/>
          <w:color w:val="111111"/>
          <w:sz w:val="28"/>
          <w:szCs w:val="28"/>
          <w:lang w:bidi="ar-SA"/>
        </w:rPr>
        <w:t>510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p>
    <w:p>
      <w:pPr>
        <w:pStyle w:val="BookText"/>
        <w:rPr/>
      </w:pPr>
      <w:r>
        <w:rPr>
          <w:rFonts w:ascii="IRNazanin" w:hAnsi="IRNazanin" w:eastAsia="IRNazanin"/>
          <w:color w:val="111111"/>
          <w:sz w:val="28"/>
          <w:sz w:val="28"/>
          <w:szCs w:val="28"/>
          <w:rtl w:val="true"/>
          <w:lang w:bidi="fa-IR"/>
        </w:rPr>
        <w:t xml:space="preserve">فوائد الاُصول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فوائد الشرائع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p>
    <w:p>
      <w:pPr>
        <w:pStyle w:val="BookText"/>
        <w:rPr/>
      </w:pPr>
      <w:r>
        <w:rPr>
          <w:rFonts w:ascii="Amiri" w:hAnsi="Amiri" w:eastAsia="Amiri" w:cs="Amiri"/>
          <w:color w:val="111111"/>
          <w:sz w:val="28"/>
          <w:sz w:val="28"/>
          <w:szCs w:val="28"/>
          <w:rtl w:val="true"/>
          <w:lang w:bidi="ar-SA"/>
        </w:rPr>
        <w:t xml:space="preserve">الفوائد الغروية </w:t>
      </w:r>
      <w:r>
        <w:rPr>
          <w:rFonts w:eastAsia="Amiri" w:cs="Amiri" w:ascii="Amiri" w:hAnsi="Amiri"/>
          <w:color w:val="111111"/>
          <w:sz w:val="28"/>
          <w:szCs w:val="28"/>
          <w:lang w:bidi="ar-SA"/>
        </w:rPr>
        <w:t>510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p>
    <w:p>
      <w:pPr>
        <w:pStyle w:val="BookText"/>
        <w:rPr/>
      </w:pP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الأحكام</w:t>
      </w:r>
    </w:p>
    <w:p>
      <w:pPr>
        <w:pStyle w:val="BookText"/>
        <w:rPr/>
      </w:pPr>
      <w:r>
        <w:rPr>
          <w:rFonts w:ascii="Amiri" w:hAnsi="Amiri" w:eastAsia="Amiri" w:cs="Amiri"/>
          <w:color w:val="111111"/>
          <w:sz w:val="28"/>
          <w:sz w:val="28"/>
          <w:szCs w:val="28"/>
          <w:rtl w:val="true"/>
          <w:lang w:bidi="ar-SA"/>
        </w:rPr>
        <w:t xml:space="preserve">قواعد الأحكام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الكافي في الفقه </w:t>
      </w:r>
      <w:r>
        <w:rPr>
          <w:rFonts w:eastAsia="Amiri" w:cs="Amiri" w:ascii="Amiri" w:hAnsi="Amiri"/>
          <w:color w:val="111111"/>
          <w:sz w:val="28"/>
          <w:szCs w:val="28"/>
          <w:lang w:bidi="ar-SA"/>
        </w:rPr>
        <w:t>510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539</w:t>
      </w:r>
    </w:p>
    <w:p>
      <w:pPr>
        <w:pStyle w:val="BookText"/>
        <w:rPr/>
      </w:pPr>
      <w:r>
        <w:rPr>
          <w:rFonts w:ascii="IRNazanin" w:hAnsi="IRNazanin" w:eastAsia="IRNazanin"/>
          <w:color w:val="111111"/>
          <w:sz w:val="28"/>
          <w:sz w:val="28"/>
          <w:szCs w:val="28"/>
          <w:rtl w:val="true"/>
          <w:lang w:bidi="fa-IR"/>
        </w:rPr>
        <w:t xml:space="preserve">كتاب علي علیه السلام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كتاب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w:t>
      </w:r>
    </w:p>
    <w:p>
      <w:pPr>
        <w:pStyle w:val="BookText"/>
        <w:rPr/>
      </w:pPr>
      <w:r>
        <w:rPr>
          <w:rFonts w:ascii="Amiri" w:hAnsi="Amiri" w:eastAsia="Amiri" w:cs="Amiri"/>
          <w:color w:val="111111"/>
          <w:sz w:val="28"/>
          <w:sz w:val="28"/>
          <w:szCs w:val="28"/>
          <w:rtl w:val="true"/>
          <w:lang w:bidi="ar-SA"/>
        </w:rPr>
        <w:t xml:space="preserve">كشف الالتباس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 xml:space="preserve">كشف الرموز </w:t>
      </w:r>
      <w:r>
        <w:rPr>
          <w:rFonts w:eastAsia="Amiri" w:cs="Amiri" w:ascii="Amiri" w:hAnsi="Amiri"/>
          <w:color w:val="111111"/>
          <w:sz w:val="28"/>
          <w:szCs w:val="28"/>
          <w:lang w:bidi="ar-SA"/>
        </w:rPr>
        <w:t>531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 xml:space="preserve">كشف اللثام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الفقه</w:t>
      </w:r>
    </w:p>
    <w:p>
      <w:pPr>
        <w:pStyle w:val="BookText"/>
        <w:rPr/>
      </w:pPr>
      <w:r>
        <w:rPr>
          <w:rFonts w:ascii="Amiri" w:hAnsi="Amiri" w:eastAsia="Amiri" w:cs="Amiri"/>
          <w:color w:val="111111"/>
          <w:sz w:val="28"/>
          <w:sz w:val="28"/>
          <w:szCs w:val="28"/>
          <w:rtl w:val="true"/>
          <w:lang w:bidi="ar-SA"/>
        </w:rPr>
        <w:t xml:space="preserve">كفاية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585</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المبسوط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p>
    <w:p>
      <w:pPr>
        <w:pStyle w:val="BookText"/>
        <w:rPr/>
      </w:pPr>
      <w:r>
        <w:rPr>
          <w:rFonts w:ascii="Amiri" w:hAnsi="Amiri" w:eastAsia="Amiri" w:cs="Amiri"/>
          <w:color w:val="111111"/>
          <w:sz w:val="28"/>
          <w:sz w:val="28"/>
          <w:szCs w:val="28"/>
          <w:rtl w:val="true"/>
          <w:lang w:bidi="ar-SA"/>
        </w:rPr>
        <w:t>مجمع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الفائدة والبرهان</w:t>
      </w:r>
    </w:p>
    <w:p>
      <w:pPr>
        <w:pStyle w:val="BookText"/>
        <w:rPr/>
      </w:pPr>
      <w:r>
        <w:rPr>
          <w:rFonts w:ascii="Amiri" w:hAnsi="Amiri" w:eastAsia="Amiri" w:cs="Amiri"/>
          <w:color w:val="111111"/>
          <w:sz w:val="28"/>
          <w:sz w:val="28"/>
          <w:szCs w:val="28"/>
          <w:rtl w:val="true"/>
          <w:lang w:bidi="ar-SA"/>
        </w:rPr>
        <w:t xml:space="preserve">مجمع الفائدة والبرهان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البحرين</w:t>
      </w:r>
    </w:p>
    <w:p>
      <w:pPr>
        <w:pStyle w:val="BookText"/>
        <w:rPr/>
      </w:pP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w:t>
      </w:r>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 xml:space="preserve">المختصر النافع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p>
    <w:p>
      <w:pPr>
        <w:pStyle w:val="BookText"/>
        <w:rPr/>
      </w:pP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 الشيعة</w:t>
      </w:r>
    </w:p>
    <w:p>
      <w:pPr>
        <w:pStyle w:val="BookText"/>
        <w:rPr/>
      </w:pPr>
      <w:r>
        <w:rPr>
          <w:rFonts w:ascii="Amiri" w:hAnsi="Amiri" w:eastAsia="Amiri" w:cs="Amiri"/>
          <w:color w:val="111111"/>
          <w:sz w:val="28"/>
          <w:sz w:val="28"/>
          <w:szCs w:val="28"/>
          <w:rtl w:val="true"/>
          <w:lang w:bidi="ar-SA"/>
        </w:rPr>
        <w:t xml:space="preserve">مختلف الشيعة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مدارك الأحكام</w:t>
      </w:r>
    </w:p>
    <w:p>
      <w:pPr>
        <w:pStyle w:val="BookText"/>
        <w:rPr/>
      </w:pPr>
      <w:r>
        <w:rPr>
          <w:rFonts w:ascii="Amiri" w:hAnsi="Amiri" w:eastAsia="Amiri" w:cs="Amiri"/>
          <w:color w:val="111111"/>
          <w:sz w:val="28"/>
          <w:sz w:val="28"/>
          <w:szCs w:val="28"/>
          <w:rtl w:val="true"/>
          <w:lang w:bidi="ar-SA"/>
        </w:rPr>
        <w:t xml:space="preserve">مدارك الأحكام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 xml:space="preserve">مرآة العقول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المراسم </w:t>
      </w:r>
      <w:r>
        <w:rPr>
          <w:rFonts w:eastAsia="IRNazanin" w:cs="IRNazanin"/>
          <w:color w:val="111111"/>
          <w:sz w:val="28"/>
          <w:szCs w:val="28"/>
          <w:lang w:bidi="fa-IR"/>
        </w:rPr>
        <w:t>550</w:t>
      </w:r>
    </w:p>
    <w:p>
      <w:pPr>
        <w:pStyle w:val="BookText"/>
        <w:rPr/>
      </w:pP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الأفهام</w:t>
      </w:r>
    </w:p>
    <w:p>
      <w:pPr>
        <w:pStyle w:val="BookText"/>
        <w:rPr/>
      </w:pP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585</w:t>
      </w:r>
    </w:p>
    <w:p>
      <w:pPr>
        <w:pStyle w:val="BookText"/>
        <w:rPr/>
      </w:pP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 الشيعة</w:t>
      </w:r>
    </w:p>
    <w:p>
      <w:pPr>
        <w:pStyle w:val="BookText"/>
        <w:rPr/>
      </w:pPr>
      <w:r>
        <w:rPr>
          <w:rFonts w:ascii="Amiri" w:hAnsi="Amiri" w:eastAsia="Amiri" w:cs="Amiri"/>
          <w:color w:val="111111"/>
          <w:sz w:val="28"/>
          <w:sz w:val="28"/>
          <w:szCs w:val="28"/>
          <w:rtl w:val="true"/>
          <w:lang w:bidi="ar-SA"/>
        </w:rPr>
        <w:t xml:space="preserve">مستند الشيعة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المشيخة للحسن بن محبوب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 xml:space="preserve">مصابيح الظلام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585</w:t>
      </w:r>
    </w:p>
    <w:p>
      <w:pPr>
        <w:pStyle w:val="BookText"/>
        <w:rPr/>
      </w:pPr>
      <w:r>
        <w:rPr>
          <w:rFonts w:ascii="Amiri" w:hAnsi="Amiri" w:eastAsia="Amiri" w:cs="Amiri"/>
          <w:color w:val="111111"/>
          <w:sz w:val="28"/>
          <w:sz w:val="28"/>
          <w:szCs w:val="28"/>
          <w:rtl w:val="true"/>
          <w:lang w:bidi="ar-SA"/>
        </w:rPr>
        <w:t xml:space="preserve">مصباح الفقيه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 xml:space="preserve">المعتبر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585</w:t>
      </w:r>
    </w:p>
    <w:p>
      <w:pPr>
        <w:pStyle w:val="BookText"/>
        <w:rPr/>
      </w:pP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الشرائع</w:t>
      </w:r>
    </w:p>
    <w:p>
      <w:pPr>
        <w:pStyle w:val="BookText"/>
        <w:rPr/>
      </w:pPr>
      <w:r>
        <w:rPr>
          <w:rFonts w:ascii="Amiri" w:hAnsi="Amiri" w:eastAsia="Amiri" w:cs="Amiri"/>
          <w:color w:val="111111"/>
          <w:sz w:val="28"/>
          <w:sz w:val="28"/>
          <w:szCs w:val="28"/>
          <w:rtl w:val="true"/>
          <w:lang w:bidi="ar-SA"/>
        </w:rPr>
        <w:t xml:space="preserve">مفاتيح الشرائع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 xml:space="preserve">مفتاح الكرامة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p>
    <w:p>
      <w:pPr>
        <w:pStyle w:val="BookText"/>
        <w:rPr/>
      </w:pP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561</w:t>
      </w:r>
    </w:p>
    <w:p>
      <w:pPr>
        <w:pStyle w:val="BookText"/>
        <w:rPr/>
      </w:pP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المطلب</w:t>
      </w:r>
    </w:p>
    <w:p>
      <w:pPr>
        <w:pStyle w:val="BookText"/>
        <w:rPr/>
      </w:pPr>
      <w:r>
        <w:rPr>
          <w:rFonts w:ascii="IRNazanin" w:hAnsi="IRNazanin" w:eastAsia="IRNazanin"/>
          <w:color w:val="111111"/>
          <w:sz w:val="28"/>
          <w:sz w:val="28"/>
          <w:szCs w:val="28"/>
          <w:rtl w:val="true"/>
          <w:lang w:bidi="fa-IR"/>
        </w:rPr>
        <w:t xml:space="preserve">منتهى المطلب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 xml:space="preserve">المنجد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الموجز الحاوي لتحرير الفتاوى</w:t>
      </w:r>
    </w:p>
    <w:p>
      <w:pPr>
        <w:pStyle w:val="BookText"/>
        <w:rPr/>
      </w:pPr>
      <w:r>
        <w:rPr>
          <w:rFonts w:ascii="Amiri" w:hAnsi="Amiri" w:eastAsia="Amiri" w:cs="Amiri"/>
          <w:color w:val="111111"/>
          <w:sz w:val="28"/>
          <w:sz w:val="28"/>
          <w:szCs w:val="28"/>
          <w:rtl w:val="true"/>
          <w:lang w:bidi="ar-SA"/>
        </w:rPr>
        <w:t xml:space="preserve">الموجز الحاوي لتحرير الفتاوى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 xml:space="preserve">الناصريات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568</w:t>
      </w:r>
    </w:p>
    <w:p>
      <w:pPr>
        <w:pStyle w:val="BookText"/>
        <w:rPr/>
      </w:pP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المختصر النافع</w:t>
      </w:r>
    </w:p>
    <w:p>
      <w:pPr>
        <w:pStyle w:val="BookText"/>
        <w:rPr/>
      </w:pP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الإحكام</w:t>
      </w:r>
    </w:p>
    <w:p>
      <w:pPr>
        <w:pStyle w:val="BookText"/>
        <w:rPr/>
      </w:pP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 في مجرّد الفقه والفتاوى</w:t>
      </w:r>
    </w:p>
    <w:p>
      <w:pPr>
        <w:pStyle w:val="BookText"/>
        <w:rPr/>
      </w:pP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 في غريب الحديث والأثر</w:t>
      </w:r>
    </w:p>
    <w:p>
      <w:pPr>
        <w:pStyle w:val="BookText"/>
        <w:rPr/>
      </w:pPr>
      <w:r>
        <w:rPr>
          <w:rFonts w:ascii="Amiri" w:hAnsi="Amiri" w:eastAsia="Amiri" w:cs="Amiri"/>
          <w:color w:val="111111"/>
          <w:sz w:val="28"/>
          <w:sz w:val="28"/>
          <w:szCs w:val="28"/>
          <w:rtl w:val="true"/>
          <w:lang w:bidi="ar-SA"/>
        </w:rPr>
        <w:t xml:space="preserve">النهاية في غريب الحديث والأثر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النهاية في مجرّد الفقه والفتاوى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نهاية الإحكام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الوافي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الوسيلة إلى نيل الفضيلة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539</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الهداية للصدوق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2" w:name="pg15019_191207"/>
      <w:bookmarkStart w:id="883" w:name="pg15019_191207"/>
      <w:bookmarkEnd w:id="883"/>
    </w:p>
    <w:p>
      <w:pPr>
        <w:pStyle w:val="Heading3"/>
        <w:numPr>
          <w:ilvl w:val="2"/>
          <w:numId w:val="1"/>
        </w:numPr>
        <w:rPr/>
      </w:pPr>
      <w:bookmarkStart w:id="884" w:name="pg15019_191207"/>
      <w:bookmarkStart w:id="885" w:name="__RefHeading___Toc686800_3406789950"/>
      <w:bookmarkStart w:id="886" w:name="_Toc318"/>
      <w:bookmarkEnd w:id="884"/>
      <w:bookmarkEnd w:id="885"/>
      <w:r>
        <w:rPr/>
        <w:t>6</w:t>
      </w:r>
      <w:r>
        <w:rPr>
          <w:rtl w:val="true"/>
        </w:rPr>
        <w:t xml:space="preserve"> - </w:t>
      </w:r>
      <w:r>
        <w:rPr>
          <w:rtl w:val="true"/>
        </w:rPr>
        <w:t>فهرس مصادر التحقيق</w:t>
      </w:r>
      <w:bookmarkEnd w:id="8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الاجتهاد والتقليد ،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أحكام النساء ،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مصنّفات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عبداللّه محمّد بن محمّد بن النعمان العكبري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الطبعة الاُولى ، قم ، المؤتمر العالمي لألفية الشيخ</w:t>
      </w:r>
    </w:p>
    <w:p>
      <w:pPr>
        <w:pStyle w:val="BookText"/>
        <w:rPr/>
      </w:pPr>
      <w:r>
        <w:rPr>
          <w:rFonts w:ascii="Amiri" w:hAnsi="Amiri" w:eastAsia="Amiri" w:cs="Amiri"/>
          <w:color w:val="111111"/>
          <w:sz w:val="28"/>
          <w:sz w:val="28"/>
          <w:szCs w:val="28"/>
          <w:rtl w:val="true"/>
          <w:lang w:bidi="ar-SA"/>
        </w:rPr>
        <w:t xml:space="preserve">المفيد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حسن المصطفوي ، جامعة مشهد ،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إرشاد الأذهان إلى أحكام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جمال الدين الحسن بن يوسف بن المطهّر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فارس الحسّون ، الطبعة الاُولى ، مجلّدان ، قم ، مؤسّسة</w:t>
      </w:r>
    </w:p>
    <w:p>
      <w:pPr>
        <w:pStyle w:val="BookText"/>
        <w:rPr/>
      </w:pPr>
      <w:r>
        <w:rPr>
          <w:rFonts w:ascii="Amiri" w:hAnsi="Amiri" w:eastAsia="Amiri" w:cs="Amiri"/>
          <w:color w:val="111111"/>
          <w:sz w:val="28"/>
          <w:sz w:val="28"/>
          <w:szCs w:val="28"/>
          <w:rtl w:val="true"/>
          <w:lang w:bidi="ar-SA"/>
        </w:rPr>
        <w:t xml:space="preserve">النشر الإسلامي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الاستبصار فيما اختلف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السيّد حسن الموسوي الخرسان ، الطبعة الثالثة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طهران ، دار الكتب الإسلامية ،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الاستصحاب ،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الإشارات والتنبيهات ، مع الشرح للمحقّق نصير الدين الطوسي وشرح الشرح للعلاّمة قطب الدين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الرئيس أبو علي حسين بن عبداللّه بن سينا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طهران ، دفتر نشر كتاب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إصباح الشيعة بمصباح 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الدين محمّد بن الحسين الكيدرى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الشيخ إبراهيم البهادري ، الطبعة الاُولى ، قم ، مؤسّسة الإمام الصادق علیه السلام ،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الاقتصاد الهادي إلى طريق الرشاد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شيخ الطائفة محمّد بن الحسن المعروف بالشيخ الطوسي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طهران ، مكتبة جامع چهلستون ،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محمّد بن إدريس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محمّد زهري النجّار ، بيروت ، نشر دار المعرفة للطباعة والنشر ،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البعثة ، الطبعة الاُولى ، قم ، دار الثقافة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أو المجالس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الخامسة ، بيروت ، مؤسّسة الأعلمي للمطبوعات ،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المرتضى علم الهدى أبو القاسم علي بن الحسين الموسوي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 مؤسّسة النشر الإسلامي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أنوار الهداية في التعليقة علي الكفاية ،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الجامعة لدُرر أخبار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محمّد باقر بن محمّدتقيّ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 إعداد عدّة من العلماء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من المجلّد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المدخل ، بيروت ، دار إحياء التراث العربي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بداية المجتهد ونهاية المقتصد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رشد القرطبي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مجلّدان ، قم ، منشورات الشريف الرضيّ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الأوّل شمس الدين محمّد بن مكّي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محمّد الحسّون ، الطبعة الاُولى ، قم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تبصرة المتعلّمين في أحكام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جمال الدين الحسن بن يوسف بن المطهّر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أحمد الحسينى والشيخ هادي اليوسفي ، قم ، مجمع الذخائر الإسلامية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التبيان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وتصحيح أحمد حبيب قصير العاملي ، بيروت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دار إحياء التراث العربي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تحرير الأحكام الشرعية علي مذهب الإمامية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الحلّي جمال الدين الحسن بن يوسف بن المطهّر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الشيخ إبراهيم البهادري ، الطبعة الاُولى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 قم ، مؤسّسة الإمام الصادق علیه السلام ،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تذكرة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الدين الحسن بن يوسف بن المطهّر ، العلاّمة الحلّي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 مؤسّسة آل البيت علیهم السلام لإحياء التراث ، الطبعة الاُولى ، صدر منه حتّى</w:t>
      </w:r>
    </w:p>
    <w:p>
      <w:pPr>
        <w:pStyle w:val="BookText"/>
        <w:rPr/>
      </w:pPr>
      <w:r>
        <w:rPr>
          <w:rFonts w:ascii="IRNazanin" w:hAnsi="IRNazanin" w:eastAsia="IRNazanin"/>
          <w:color w:val="111111"/>
          <w:sz w:val="28"/>
          <w:sz w:val="28"/>
          <w:szCs w:val="28"/>
          <w:rtl w:val="true"/>
          <w:lang w:bidi="fa-IR"/>
        </w:rPr>
        <w:t xml:space="preserve">الآن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 قم ، مؤسّسة آل البيت علیهم السلام لإحياء التراث ، </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التعادل والترجيح ،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تعليقات علي منهج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محمّد باقر بن محمّد أكمل الوحيد البهبهاني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الحجرية </w:t>
      </w:r>
      <w:r>
        <w:rPr>
          <w:rFonts w:eastAsia="Amiri" w:cs="Amiri" w:ascii="Amiri" w:hAnsi="Amiri"/>
          <w:color w:val="111111"/>
          <w:sz w:val="28"/>
          <w:szCs w:val="28"/>
          <w:rtl w:val="true"/>
          <w:lang w:bidi="ar-SA"/>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النضر محمّد بن مسعود بن محمّد بن عيّاش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أواخر قرن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السيّد هاشم الرسولي المحلاّتي ، مجلّدان ، طهران ، المكتبة العلمية الإسلامية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إبراهيم بن هاشم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السيّد طيّب الموسوي الجزائري ، الطبعة الثالثة ، مجلّدان ، قم ، مؤسّسة دار الكتاب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تنقيح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تقريرات الإمام الخميني قدّس 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حسين التقوي الاشتهاردي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تنظيم ونشر آثار الإمام الخميني قدّس سرّه ، الطبعة الاُولى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مؤسّسة تنظيم ونشر آثار الإمام الخميني قدّس سرّه ،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التنقيح الرائع لمختصر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مقداد بن عبداللّه السيوري الحلّي المعروف بالفاضل المقداد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عبداللطيف الكوه‌كمري ، الطبعة الاُولى ،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مجلّدات ، قم ، مكتبة آية اللّه المرعشي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تنقيح المقال في علم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عبداللّه بن محمّد حسن المامقاني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 قم ، بالاُفست عن طبعة النجف الأشرف ، المطبعة</w:t>
      </w:r>
    </w:p>
    <w:p>
      <w:pPr>
        <w:pStyle w:val="BookText"/>
        <w:rPr/>
      </w:pPr>
      <w:r>
        <w:rPr>
          <w:rFonts w:ascii="Amiri" w:hAnsi="Amiri" w:eastAsia="Amiri" w:cs="Amiri"/>
          <w:color w:val="111111"/>
          <w:sz w:val="28"/>
          <w:sz w:val="28"/>
          <w:szCs w:val="28"/>
          <w:rtl w:val="true"/>
          <w:lang w:bidi="ar-SA"/>
        </w:rPr>
        <w:t xml:space="preserve">المرتضوية ،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 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السيّد حسن الموسوي الخرسان ، الطبعة الرابعة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طهران ، دار الكتب الإسلامية ،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تقريرات الإمام الخميني قدّس 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جعفر السبحاني التبريزي ، تحقيق مؤسّسة تنظيم ونشر آثار الإمام الخميني قدّس سرّه ، الطبعة الاُولى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مؤسّسة تنظيم ونشر آثار الإمام الخميني قدّس سرّه ،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أحاديث الشيعة ، الذي اُلّف تحت إشراف آية اللّه العظمى الحاج آقا حسين الطباطبائي البروجردي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إسماعيل المعزّي الملايري ، الطبعة الثانيه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مطبعة مهر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المقاصد في شرح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الثاني علي بن الحسين بن عبدالعالي الكركي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868</w:t>
      </w:r>
      <w:r>
        <w:rPr>
          <w:rFonts w:eastAsia="IRNazanin" w:cs="IRNazanin"/>
          <w:color w:val="111111"/>
          <w:sz w:val="28"/>
          <w:szCs w:val="28"/>
          <w:rtl w:val="true"/>
          <w:lang w:bidi="fa-IR"/>
        </w:rPr>
        <w:t xml:space="preserve"> -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مؤسّسة آل البيت علیهم السلام لإحياء التراث ، الطبعة الاُولى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 قم ، مؤسّسة آل البيت علیهم السلام لإحياء التراث ، </w:t>
      </w:r>
      <w:r>
        <w:rPr>
          <w:rFonts w:eastAsia="IRNazanin" w:cs="IRNazanin"/>
          <w:color w:val="111111"/>
          <w:sz w:val="28"/>
          <w:szCs w:val="28"/>
          <w:lang w:bidi="fa-IR"/>
        </w:rPr>
        <w:t>1408</w:t>
      </w:r>
      <w:r>
        <w:rPr>
          <w:rFonts w:eastAsia="IRNazanin" w:cs="IRNazanin"/>
          <w:color w:val="111111"/>
          <w:sz w:val="28"/>
          <w:szCs w:val="28"/>
          <w:rtl w:val="true"/>
          <w:lang w:bidi="fa-IR"/>
        </w:rPr>
        <w:t xml:space="preserve">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لأحكام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القرطبي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عبداللّه محمّد بن أحمد الأنصاري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بيروت ، دار إحياء التراث العربي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للشرائع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نجيب الدين يحيى بن أحمد بن سعيد الحلّي الهذلي </w:t>
      </w:r>
      <w:r>
        <w:rPr>
          <w:rFonts w:eastAsia="IRNazanin" w:cs="IRNazanin"/>
          <w:color w:val="111111"/>
          <w:sz w:val="28"/>
          <w:szCs w:val="28"/>
          <w:rtl w:val="true"/>
          <w:lang w:bidi="fa-IR"/>
        </w:rPr>
        <w:t>(</w:t>
      </w:r>
      <w:r>
        <w:rPr>
          <w:rFonts w:eastAsia="IRNazanin" w:cs="IRNazanin"/>
          <w:color w:val="111111"/>
          <w:sz w:val="28"/>
          <w:szCs w:val="28"/>
          <w:lang w:bidi="fa-IR"/>
        </w:rPr>
        <w:t>601</w:t>
      </w:r>
      <w:r>
        <w:rPr>
          <w:rFonts w:eastAsia="IRNazanin" w:cs="IRNazanin"/>
          <w:color w:val="111111"/>
          <w:sz w:val="28"/>
          <w:szCs w:val="28"/>
          <w:rtl w:val="true"/>
          <w:lang w:bidi="fa-IR"/>
        </w:rPr>
        <w:t xml:space="preserve"> -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جمع من الفضلاء ، قم ، مؤسّسة سيّد الشهداء علیه السلام ،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الجعفريات أو الأشعثيات المطبوع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محمّد بن محمّد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طهران ، مكتبة نينوى الحديثة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الكلام في شرح شرائع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حسن بن باقر النجفي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الشيخ عبّاس القوچاني ، الطبعة الثالثة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 طهران ، دار الكتب الإسلامية ،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الحاشية علي مدارك الأحكام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المولى محمّد باقر بن محمّد أكمل الوحيد البهبهاني </w:t>
      </w:r>
      <w:r>
        <w:rPr>
          <w:rFonts w:eastAsia="IRNazanin" w:cs="IRNazanin"/>
          <w:color w:val="111111"/>
          <w:sz w:val="28"/>
          <w:szCs w:val="28"/>
          <w:rtl w:val="true"/>
          <w:lang w:bidi="fa-IR"/>
        </w:rPr>
        <w:t>(</w:t>
      </w:r>
      <w:r>
        <w:rPr>
          <w:rFonts w:eastAsia="IRNazanin" w:cs="IRNazanin"/>
          <w:color w:val="111111"/>
          <w:sz w:val="28"/>
          <w:szCs w:val="28"/>
          <w:lang w:bidi="fa-IR"/>
        </w:rPr>
        <w:t>1118</w:t>
      </w:r>
      <w:r>
        <w:rPr>
          <w:rFonts w:eastAsia="IRNazanin" w:cs="IRNazanin"/>
          <w:color w:val="111111"/>
          <w:sz w:val="28"/>
          <w:szCs w:val="28"/>
          <w:rtl w:val="true"/>
          <w:lang w:bidi="fa-IR"/>
        </w:rPr>
        <w:t xml:space="preserve"> -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مؤسّسة آل البيت علیهم السلام لإحياء التراث ، الطبعة الاُولى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 قم ، مؤسّسة آل البيت علیهم السلام لإحياء التراث ،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الحبل المتين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بهاء الدين محمّد بن الحسين بن عبد الصمد الحارثي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 مكتبة بصيرتي ،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في أحكام العترة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يوسف بن أحمد البحراني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محمّد تقيّ الإيرواني ، الطبعة الاُولى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 ، قم ، مؤسّسة النشر</w:t>
      </w:r>
    </w:p>
    <w:p>
      <w:pPr>
        <w:pStyle w:val="BookText"/>
        <w:rPr/>
      </w:pPr>
      <w:r>
        <w:rPr>
          <w:rFonts w:ascii="Amiri" w:hAnsi="Amiri" w:eastAsia="Amiri" w:cs="Amiri"/>
          <w:color w:val="111111"/>
          <w:sz w:val="28"/>
          <w:sz w:val="28"/>
          <w:szCs w:val="28"/>
          <w:rtl w:val="true"/>
          <w:lang w:bidi="ar-SA"/>
        </w:rPr>
        <w:t xml:space="preserve">الإسلامي ،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المتعالية في الأسفار العقلية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المتألّهين محمّد بن إبراهيم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مكتبة المصطفوي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الحواشي علي شرح اللمعة الدمشقية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آقا حسين بن جمال الدين محمّد الخوانساري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 منشورات المدرسة الرضوية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حياة المحقّق الكركي وآثاره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الثاني الشيخ علي بن الحسين الكركي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محمّد الحسّون ، الطبعة الاُولى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قم ، منشورات الاحتجاج ،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خلاصة الأقوال في معرفة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جمال الدين الحسن بن يوسف بن المطهّر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جواد القيّومي ، الطبعة الاُولى ، قم ، مؤسّسة نشر الفقاهة ،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جماعة من المحقّقين ، الطبعة الاُولى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 قم ، مؤسّسة النشر</w:t>
      </w:r>
    </w:p>
    <w:p>
      <w:pPr>
        <w:pStyle w:val="BookText"/>
        <w:rPr/>
      </w:pPr>
      <w:r>
        <w:rPr>
          <w:rFonts w:ascii="Amiri" w:hAnsi="Amiri" w:eastAsia="Amiri" w:cs="Amiri"/>
          <w:color w:val="111111"/>
          <w:sz w:val="28"/>
          <w:sz w:val="28"/>
          <w:szCs w:val="28"/>
          <w:rtl w:val="true"/>
          <w:lang w:bidi="ar-SA"/>
        </w:rPr>
        <w:t xml:space="preserve">الإسلامي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الدروس الشرعية في فقه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الأوّل شمس الدين محمّد بن مكّي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النشر الإسلامي ، الطبعة الاُولى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 قم ، مؤسّسة</w:t>
      </w:r>
    </w:p>
    <w:p>
      <w:pPr>
        <w:pStyle w:val="BookText"/>
        <w:rPr/>
      </w:pPr>
      <w:r>
        <w:rPr>
          <w:rFonts w:ascii="Amiri" w:hAnsi="Amiri" w:eastAsia="Amiri" w:cs="Amiri"/>
          <w:color w:val="111111"/>
          <w:sz w:val="28"/>
          <w:sz w:val="28"/>
          <w:szCs w:val="28"/>
          <w:rtl w:val="true"/>
          <w:lang w:bidi="ar-SA"/>
        </w:rPr>
        <w:t xml:space="preserve">النشر الإسلامي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القاضي النعمان بن محمّد بن منصور بن أحمد بن حيّون التميمي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آصف بن علي أصغر فيضي ، مجلّدان ، القاهرة ، دار المعارف ،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ذخيرة المعاد في شرح 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السبزواري محمّد باقر بن محمّد مؤمن </w:t>
      </w:r>
      <w:r>
        <w:rPr>
          <w:rFonts w:eastAsia="IRNazanin" w:cs="IRNazanin"/>
          <w:color w:val="111111"/>
          <w:sz w:val="28"/>
          <w:szCs w:val="28"/>
          <w:rtl w:val="true"/>
          <w:lang w:bidi="fa-IR"/>
        </w:rPr>
        <w:t>(</w:t>
      </w:r>
      <w:r>
        <w:rPr>
          <w:rFonts w:eastAsia="IRNazanin" w:cs="IRNazanin"/>
          <w:color w:val="111111"/>
          <w:sz w:val="28"/>
          <w:szCs w:val="28"/>
          <w:lang w:bidi="fa-IR"/>
        </w:rPr>
        <w:t>1017</w:t>
      </w:r>
      <w:r>
        <w:rPr>
          <w:rFonts w:eastAsia="IRNazanin" w:cs="IRNazanin"/>
          <w:color w:val="111111"/>
          <w:sz w:val="28"/>
          <w:szCs w:val="28"/>
          <w:rtl w:val="true"/>
          <w:lang w:bidi="fa-IR"/>
        </w:rPr>
        <w:t xml:space="preserve"> -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الحجرية ، قم ، مؤسّسة آل البيت علیهم السلام لإحياء التراث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الذريعة إلى اُصول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علي بن الحسين الموسوي المعروف بالشريف</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المرتضى وعلم الهدى </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أبو القاسم گرجي ، مجلّدان ، الطبعة </w:t>
      </w:r>
    </w:p>
    <w:p>
      <w:pPr>
        <w:pStyle w:val="BookText"/>
        <w:rPr/>
      </w:pPr>
      <w:r>
        <w:rPr>
          <w:rFonts w:ascii="IRNazanin" w:hAnsi="IRNazanin" w:eastAsia="IRNazanin"/>
          <w:color w:val="111111"/>
          <w:sz w:val="28"/>
          <w:sz w:val="28"/>
          <w:szCs w:val="28"/>
          <w:rtl w:val="true"/>
          <w:lang w:bidi="fa-IR"/>
        </w:rPr>
        <w:t xml:space="preserve">الاُولى ، طهران ، مؤسّسه انتشارات و چاپ دانشگاه طهران ،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ذكرى الشيعة في أحكام 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الشهيد الأوّل شمس الدين محمّد بن مكّي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مؤسّسة آل البيت علیهم السلام لإحياء التراث ، الطبعة الاُولى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 قم ، مؤسّسة آل البيت علیهم السلام لإحياء التراث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الحسن بن علي بن داود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السيّد محمّد صادق آل بحر العلوم ، قم ، منشورات الشريف الرضيّ ، بالاُفست عن طبعة النجف الأشرف ، المطبعة الحيدرية ،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البرقى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أحمد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جواد القيّومي الأصفهاني ، الطبعة الاُولى ، قم ، مؤسّسة القيّوم ،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جواد القيّومي الأصفهاني ، الطبعة الاُولى ، قم ، مؤسّسة النشر</w:t>
      </w:r>
    </w:p>
    <w:p>
      <w:pPr>
        <w:pStyle w:val="BookText"/>
        <w:rPr/>
      </w:pPr>
      <w:r>
        <w:rPr>
          <w:rFonts w:ascii="Amiri" w:hAnsi="Amiri" w:eastAsia="Amiri" w:cs="Amiri"/>
          <w:color w:val="111111"/>
          <w:sz w:val="28"/>
          <w:sz w:val="28"/>
          <w:szCs w:val="28"/>
          <w:rtl w:val="true"/>
          <w:lang w:bidi="ar-SA"/>
        </w:rPr>
        <w:t xml:space="preserve">الإسلامي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أحمد بن علي بن أحمد بن العبّاس النجاشي الأسدي الكوفي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موسى الشبيري الزنجاني ، الطبعة الاُولى ، قم ، مؤسّسة النشر الإسلامي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رسائل ابن 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الرئيس أبو علي حسين بن عبداللّه بن سينا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 نشر مكتبة البيدار ،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رسائل الشريف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علي بن الحسين الموسوي المعروف بالشريف المرتضى وعلم الهدى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السيّد مهدي الرجائي ، الطبعة الاُولى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دار القرآن الكريم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الرسائل 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حسن بن علي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النشر الإسلامي ، الطبعة الاُولى ، قم ، مؤسّسة النشر الإسلامي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الرسائل 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أبو العبّاس أحمد بن محمّد بن فهد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السيّد مهدي الرجائي ، الطبعة الاُولى ، قم ، منشورات مكتبة آية اللّه العظمى</w:t>
      </w:r>
    </w:p>
    <w:p>
      <w:pPr>
        <w:pStyle w:val="BookText"/>
        <w:rPr/>
      </w:pPr>
      <w:r>
        <w:rPr>
          <w:rFonts w:ascii="Amiri" w:hAnsi="Amiri" w:eastAsia="Amiri" w:cs="Amiri"/>
          <w:color w:val="111111"/>
          <w:sz w:val="28"/>
          <w:sz w:val="28"/>
          <w:szCs w:val="28"/>
          <w:rtl w:val="true"/>
          <w:lang w:bidi="ar-SA"/>
        </w:rPr>
        <w:t xml:space="preserve">المرعشي النجفي ،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الرسائل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الآخوند الخراساني المولى محمّد كاظم بن حسين الهروي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صالح المدرّسي ، الطبعة الاُولى ، قم ، مرصاد ،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 الجنان في شرح إرشاد الأذهان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زين الدين بن علي بن أحمد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مركز الأبحاث والآثار الإسلامية ، الطبعة الاُولى ، مجلّدان ، قم ، مكتب الإعلام الإسلامي ،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الروضة البهيّة في شرح اللمعة الدمشقية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زين الدين بن علي بن أحمد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مجمع الفكر الإسلامي ، الطبعة الاُولى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مجمع الفكر الإسلامي ،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رياض المسائل في بيان أحكام الشرع بالدلائل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بن محمّد علي الطباطبائي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النشر الإسلامي ، الطبعة الاُولى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 ، قم ،</w:t>
      </w:r>
    </w:p>
    <w:p>
      <w:pPr>
        <w:pStyle w:val="BookText"/>
        <w:rPr/>
      </w:pPr>
      <w:r>
        <w:rPr>
          <w:rFonts w:ascii="Amiri" w:hAnsi="Amiri" w:eastAsia="Amiri" w:cs="Amiri"/>
          <w:color w:val="111111"/>
          <w:sz w:val="28"/>
          <w:sz w:val="28"/>
          <w:szCs w:val="28"/>
          <w:rtl w:val="true"/>
          <w:lang w:bidi="ar-SA"/>
        </w:rPr>
        <w:t xml:space="preserve">مؤسّسة النشر الإسلامي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السرائر الحاوي لتحرير الفتاوي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منصور بن أحمد بن إدريس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مؤسّسة النشر الإسلامي ، الطبعة الثانية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مؤسّسة النشر الإسلامي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محمّد بن يزيد بن ماجة القزويني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محمّد فؤاد عبدالباقي ، مجلّدان ، بيروت ، دار الكتب العلمية </w:t>
      </w:r>
      <w:r>
        <w:rPr>
          <w:rFonts w:eastAsia="Amiri" w:cs="Amiri" w:ascii="Amiri" w:hAnsi="Amiri"/>
          <w:color w:val="111111"/>
          <w:sz w:val="28"/>
          <w:szCs w:val="28"/>
          <w:rtl w:val="true"/>
          <w:lang w:bidi="ar-SA"/>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عيسى محمّد بن عيسى بن سورة الترمذي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عبدالوهّاب عبداللطيف ، الطبعة الثانية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الفكر للطباعة والنشر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الدار 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عمر الدارقطني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 في مجلّدين ،</w:t>
      </w:r>
    </w:p>
    <w:p>
      <w:pPr>
        <w:pStyle w:val="BookText"/>
        <w:rPr/>
      </w:pPr>
      <w:r>
        <w:rPr>
          <w:rFonts w:ascii="Amiri" w:hAnsi="Amiri" w:eastAsia="Amiri" w:cs="Amiri"/>
          <w:color w:val="111111"/>
          <w:sz w:val="28"/>
          <w:sz w:val="28"/>
          <w:szCs w:val="28"/>
          <w:rtl w:val="true"/>
          <w:lang w:bidi="ar-SA"/>
        </w:rPr>
        <w:t xml:space="preserve">بيروت ، دار إحياء التراث العربي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شرائع الإسلام في مسائل الحلال والحرام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الحلّي نجم الدين جعفر بن الحسن ابن يحيى بن سعيد الهذلي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عبدالحسين محمّد علي بقّال ، الطبعة الثالثة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مجلّدين ، قم ، مؤسّسة إسماعيليان ،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الفقيه الحسين بن مسعود البغوي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شعيب الأرناؤوط ومحمّد زهير الشاويش ، الطبعة الاُولى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بيروت ، المكتب الإسلامي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الشرح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عبدالرحمن بن محمّد بن أحمد بن قدامة المقدسي الحنبلي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المطبوع مع المغني ، لعبداللّه بن أحمد بن قدامة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 ، بيروت ، دار الكتاب العربي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المنظومة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هادي بن مهدي السبزواري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و تعليق وتحقيق حسن حسن‌زاده الآملي ومسعود الطالبي ، الطبعة الاُولى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طهران ، نشر ناب ،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تبصرة المتعلّمين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ضياء الدين العراقي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محمّد الحسّون ، الطبعة الاُولى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مؤسّسة النشر الإسلامي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الرئيس أبو علي حسين بن عبداللّه بن سينا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عدّة من الأساتذة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الإلهيات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المنطق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الطبيعيات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الرياضيات مجلّدان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 مكتبة آية اللّه المرعشي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اللغة وصحاح العربية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حمّاد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أحمد عبدالغفور عطّار ، الطبعة الرابعة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 بيروت ، دار العلم للملايين ،</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محمّد بن إسماعيل البخاري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وشرح الشيخ قاسم الشمّاعي الرفاعي ، الطبعة الاُولى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القلم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مسلم بن الحجّاج القشيري النيسابوري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وتعليق الدكتور موسى شاهين لاشين والدكتور أحمد عمر هاشم ، الطبعة الاُولى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مؤسّسة عزّ الدين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 مكتب الإعلام الإسلامي ،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الطهارة ،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الأعظم مرتضى بن محمّد أمين الأنصاري الدزفولي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لجنة تحقيق تراث الشيخ الأعظم ، الطبعة الاُولى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المكتبة الفقهية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العدّة في اُصول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محمّد رضا الأنصاري القمّي ، الطبعة الاُولى ، مجلّدان ،</w:t>
      </w:r>
    </w:p>
    <w:p>
      <w:pPr>
        <w:pStyle w:val="BookText"/>
        <w:rPr/>
      </w:pPr>
      <w:r>
        <w:rPr>
          <w:rFonts w:ascii="Amiri" w:hAnsi="Amiri" w:eastAsia="Amiri" w:cs="Amiri"/>
          <w:color w:val="111111"/>
          <w:sz w:val="28"/>
          <w:sz w:val="28"/>
          <w:szCs w:val="28"/>
          <w:rtl w:val="true"/>
          <w:lang w:bidi="ar-SA"/>
        </w:rPr>
        <w:t xml:space="preserve">قم ، مطبعة ستارة ،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كاظم الطباطبائي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تعليقات عدّة من الفقهاء العظام ، إعداد أحمد المحسني السبزواري ، الطبعة الثانية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 قم ،</w:t>
      </w:r>
    </w:p>
    <w:p>
      <w:pPr>
        <w:pStyle w:val="BookText"/>
        <w:rPr/>
      </w:pPr>
      <w:r>
        <w:rPr>
          <w:rFonts w:ascii="Amiri" w:hAnsi="Amiri" w:eastAsia="Amiri" w:cs="Amiri"/>
          <w:color w:val="111111"/>
          <w:sz w:val="28"/>
          <w:sz w:val="28"/>
          <w:szCs w:val="28"/>
          <w:rtl w:val="true"/>
          <w:lang w:bidi="ar-SA"/>
        </w:rPr>
        <w:t xml:space="preserve">مؤسّسة النشر الإسلامي ،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النجف الأشرف ، المكتبة الحيدرية ،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عيون أخبار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علي بن الحسين بن بابويه القمّي ،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السيّد مهديّ الحسيني اللاجوردي ، الطبعة الثانية ، منشورات جهان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غنية النزوع إلى علمي الاُصول والفروع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المكارم السيّد حمزة بن علي بن زهرة الحلبي المعروف بابن زهرة </w:t>
      </w:r>
      <w:r>
        <w:rPr>
          <w:rFonts w:eastAsia="IRNazanin" w:cs="IRNazanin"/>
          <w:color w:val="111111"/>
          <w:sz w:val="28"/>
          <w:szCs w:val="28"/>
          <w:rtl w:val="true"/>
          <w:lang w:bidi="fa-IR"/>
        </w:rPr>
        <w:t>(</w:t>
      </w:r>
      <w:r>
        <w:rPr>
          <w:rFonts w:eastAsia="IRNazanin" w:cs="IRNazanin"/>
          <w:color w:val="111111"/>
          <w:sz w:val="28"/>
          <w:szCs w:val="28"/>
          <w:lang w:bidi="fa-IR"/>
        </w:rPr>
        <w:t>511</w:t>
      </w:r>
      <w:r>
        <w:rPr>
          <w:rFonts w:eastAsia="IRNazanin" w:cs="IRNazanin"/>
          <w:color w:val="111111"/>
          <w:sz w:val="28"/>
          <w:szCs w:val="28"/>
          <w:rtl w:val="true"/>
          <w:lang w:bidi="fa-IR"/>
        </w:rPr>
        <w:t xml:space="preserve"> -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الشيخ إبراهيم البهادري ، الطبعة الاُولى ، مجلّدان، قم ، مؤسّسة الإمام الصادق علیه السلام ،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الفائق في غريب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جاراللّه محمود بن عمر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علي محمّد البجاوي ومحمّد أبي الفضل إبراهيم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الفكر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الوجيز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المجموع شرح المهذّب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الاُصول ،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الأعظم مرتضى بن محمّد أمين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لجنة تحقيق تراث الشيخ الأعظم ، الطبعة الاُولى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مجمع الفكر الإسلامي ،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فقه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أبو الحسن سعيد بن هبة اللّه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أحمد الحسيني ، الطبعة الثانية ، مجلّدان ، قم ، مكتبة آية اللّه المرعشي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الفقه المنسوب للإمام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مؤسّسة آل البيت علیهم السلام لإحياء التراث ، الطبعة الاُولى ، مشهد المقدّس ، المؤتمر العالمي للإمام الرضا علیه السلام ،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الفقه علي المذاهب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الجزيري ، الطبعة السابعة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إحياء التراث العربي ،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بن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السيّد حسن الموسوي الخرسان ، الطبعة الرابعة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النجف الأشرف ، دار الكتب الإسلامية ،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فوائد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المحقّق النائيني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علي الكاظمي الخراساني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مؤسّسة النشر الإسلامي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جواد القيّومي ، الطبعة الاُولى ، قم ، مؤسّسة نشر الفقاهة ،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القاموس المحيط والقابوس الوسيط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طاهر مجدالدين محمّد بن يعقوب الفيروزآبادي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الجيل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العبّاس عبداللّه بن جعفر الحميري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مؤسّسة آل البيت علیهم السلام لإحياء التراث ، الطبعة الاُولى ، قم ، مؤسّسة آل البيت علیهم السلام لإحياء التراث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قواعد الأحكام في مسائل الحلال والحرام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الحسن بن يوسف بن علي بن المطهّر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النشر الإسلامي ، الطبعة الاُولى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مؤسّسة النشر الإسلامي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الإسلام أبو جعفر محمّد بن يعقوب بن إسحاق الكليني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علي أكبر الغفّاري ، الطبعة الخامسة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طهران ، دار الكتب الإسلامية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في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تقيّ الدين بن نجم أبو الصلاح الحلبي </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رضا الاُستادي ، أصفهان ، مكتبة الإمام أمير المؤمنين علیه السلام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الكشّاف عن حقائق غوامض التنزيل وعيون الأقاويل في وجوه 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جاراللّه محمود بن عمر الزمخشري الخوارزمي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مصطفى حسين أحمد ، الطبعة الثالثة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الكتاب العربي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الالتباس عن موجز أبي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مفلح بن الحسن بن رشيد بن صلاح الصميري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حدود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 مؤسّسة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كشف الرموز في شرح المختصر النافع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الدين أبو علي الحسن بن أبيطالب ابن أبيالمجد اليوسفي المعروف بالفاضل والمحقّق الآبي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 علي پناه الاشتهاردي وحسين اليزدي ، الطبعة الاُولى ، مجلّدان ، قم ، مؤسّسة النشر الإسلامي ،</w:t>
      </w:r>
    </w:p>
    <w:p>
      <w:pPr>
        <w:pStyle w:val="BookText"/>
        <w:rPr/>
      </w:pP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الغُمّة في معرفة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عيسى بن أبو الفتح الإربلي ، إعداد السيّد الهاشم الرسولي ، مجلّدان ، مكتبة بني هاشمي ،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محمّد الأصفهاني المعروف بالفاضل الهندي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النشر الإسلامي ، الطبعة الاُولى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 ، قم ، مؤسّسة</w:t>
      </w:r>
    </w:p>
    <w:p>
      <w:pPr>
        <w:pStyle w:val="BookText"/>
        <w:rPr/>
      </w:pPr>
      <w:r>
        <w:rPr>
          <w:rFonts w:ascii="Amiri" w:hAnsi="Amiri" w:eastAsia="Amiri" w:cs="Amiri"/>
          <w:color w:val="111111"/>
          <w:sz w:val="28"/>
          <w:sz w:val="28"/>
          <w:szCs w:val="28"/>
          <w:rtl w:val="true"/>
          <w:lang w:bidi="ar-SA"/>
        </w:rPr>
        <w:t xml:space="preserve">النشر الإسلامي ،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الآخوند الخراساني المولى محمّد كاظم بن حسين الهروي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النشر الإسلامي ، قم ، مؤسّسة النشر الإسلامي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الفقه المشتهر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كفاية الأحكام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باقر بن محمّد مؤمن الشريف الخراساني السبزواري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مرتضى الواعظي الأراكي ، الطبعة الاُولى ، مجلّدان ، قم ، مؤسّسة النشر الإسلامي ،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العرفان في فقه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جمال الدين المقداد بن عبداللّه السيوري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تعليق الشيخ محمّد باقر شريف‌زاده ، الطبعة الرابعة ، مجلّدان ، طهران ، المكتبة الرضوية ،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جمال الدين محمّد بن مكرم بن منظور المصري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 ، بيروت ، دار إحياء التراث العربي ،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محمّد بن أحمد بن أبي سهل السرخسي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بيروت ، دار المعرفة ،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المبسوط في فقه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السيّد محمّد تقيّ الكشفي ، الطبعة الثانية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 في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طهران ، المكتبة المرتضوية لإحياء الآثار الجعفرية ،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البحرين ومطلع النيّرين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الطريحي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ومكتبة الهلال ،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أمين الإسلام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حوالي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وتصحيح السيّد هاشم الرسولي المحلاّتي والسيّد فضل اللّه اليزدي الطباطبائي ، الطبعة الاُولى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 بيروت ،</w:t>
      </w:r>
    </w:p>
    <w:p>
      <w:pPr>
        <w:pStyle w:val="BookText"/>
        <w:rPr/>
      </w:pPr>
      <w:r>
        <w:rPr>
          <w:rFonts w:ascii="Amiri" w:hAnsi="Amiri" w:eastAsia="Amiri" w:cs="Amiri"/>
          <w:color w:val="111111"/>
          <w:sz w:val="28"/>
          <w:sz w:val="28"/>
          <w:szCs w:val="28"/>
          <w:rtl w:val="true"/>
          <w:lang w:bidi="ar-SA"/>
        </w:rPr>
        <w:t xml:space="preserve">دار المعرفة للطباعة والنشر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زكيّ الدين المولى عناية اللّه علي القهپائي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وتعليق السيّد ضياء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الأصفهاني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جزءاً في ثلاث مجلّدات ، قم ، موسّسة إسماعيليان ،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الفائدة والبرهان في شرح إرشاد الأذهان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المعروف بالمقدّس الأردبيلي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مجتبى العراقي وعلي پناه الاشتهاردي وحسين اليزدي ، الطبعة الاُولى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 قم ، مؤسّسة النشر الإسلامي ، </w:t>
      </w:r>
      <w:r>
        <w:rPr>
          <w:rFonts w:eastAsia="IRNazanin" w:cs="IRNazanin"/>
          <w:color w:val="111111"/>
          <w:sz w:val="28"/>
          <w:szCs w:val="28"/>
          <w:lang w:bidi="fa-IR"/>
        </w:rPr>
        <w:t>1402</w:t>
      </w:r>
      <w:r>
        <w:rPr>
          <w:rFonts w:eastAsia="IRNazanin" w:cs="IRNazanin"/>
          <w:color w:val="111111"/>
          <w:sz w:val="28"/>
          <w:szCs w:val="28"/>
          <w:rtl w:val="true"/>
          <w:lang w:bidi="fa-IR"/>
        </w:rPr>
        <w:t xml:space="preserve">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 فتح العزيز ويليه التلخيص الحبير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زكريّا يحيى بن شرف النووي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بيروت ، دار الفكر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أحمد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جلال الدين الحسيني الاُرموي ، الطبعة الثانية ، قم ، دار الكتب الإسلامية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المختصر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نجم الدين جعفر بن حسن بن يحيى بن سعيد الهُذَلي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 قم ، منشورات مؤسّسة المطبوعات الديني ،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مختلف الشيعة في أحكام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جمال الدين الحسن بن يوسف بن </w:t>
      </w:r>
    </w:p>
    <w:p>
      <w:pPr>
        <w:pStyle w:val="BookText"/>
        <w:rPr/>
      </w:pPr>
      <w:r>
        <w:rPr>
          <w:rFonts w:ascii="Amiri" w:hAnsi="Amiri" w:eastAsia="Amiri" w:cs="Amiri"/>
          <w:color w:val="111111"/>
          <w:sz w:val="28"/>
          <w:sz w:val="28"/>
          <w:szCs w:val="28"/>
          <w:rtl w:val="true"/>
          <w:lang w:bidi="ar-SA"/>
        </w:rPr>
        <w:t xml:space="preserve">المطهّر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مركز الأبحاث والدراسات الإسلامية ، الطبعة الاُولى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 ، قم ، مكتب الإعلام الإسلامي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مدارك الأحكام في شرح شرائع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بن علي الموسوي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مؤسّسة آل البيت علیهم السلام لإحياء التراث ، الطبعة الاُولى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 قم ، مؤسّسة آل البيت علیهم السلام لإحياء التراث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مرآة العقول في شرح أخبار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محمّد باقر بن محمّد تقيّ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السيّد هاشم الرسولي والسيّد جعفر الحسيني والشيخ علي الآخوندي ، الطبعة الثانية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طهران ، دار الكتب الإسلامية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المراسم في فقه الإمامي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بن عبد العزيز الديلمي الملقّب بسلاّر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محمود البستاني ، قم ، منشورات حرمين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مسائل الناصريات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علي بن الحسين الموسوي المعروف بالشريف المرتضى وعلم الهدى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مركز البحوث والدراسات العلمية ، قم ، مؤسّسة الهدى ،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مسائل علي بن جعفر ومستدركاتها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مؤسّسة آل البيت علیهم السلام لإحياء التراث ، الطبعة الاُولى ، بيروت ، مؤسّسة آل البيت علیهم السلام لإحياء التراث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إلى تنقيح شرائع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زين الدين بن علي العاملي الجبعي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المعارف الإسلامية ، الطبعة الاُولى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قم ، مؤسّسة المعارف الإسلامية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مستدرك الوسائل ومستنبط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الميرزا حسين المحدّث النوري الطبرسي </w:t>
      </w: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 xml:space="preserve"> -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مؤسّسة آل البيت علیهم السلام لإحياء التراث ، الطبعة الاُولى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 قم ، مؤسّسة آل البيت علیهم السلام لإحياء التراث ،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مستمسك 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الطباطبائي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قم ، مؤسّسة دار التفسير ،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مستند الشيعة في أحكام 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مهدي النراقي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مؤسّسة آل البيت علیهم السلام لإحياء التراث ، الطبعة الاُولى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 قم ، مؤسّسة آل البيت علیهم السلام لإحياء التراث ، </w:t>
      </w:r>
      <w:r>
        <w:rPr>
          <w:rFonts w:eastAsia="IRNazanin" w:cs="IRNazanin"/>
          <w:color w:val="111111"/>
          <w:sz w:val="28"/>
          <w:szCs w:val="28"/>
          <w:lang w:bidi="fa-IR"/>
        </w:rPr>
        <w:t>1415</w:t>
      </w:r>
      <w:r>
        <w:rPr>
          <w:rFonts w:eastAsia="IRNazanin" w:cs="IRNazanin"/>
          <w:color w:val="111111"/>
          <w:sz w:val="28"/>
          <w:szCs w:val="28"/>
          <w:rtl w:val="true"/>
          <w:lang w:bidi="fa-IR"/>
        </w:rPr>
        <w:t xml:space="preserve"> -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مصابيح الظلام في شرح مفاتيح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محمّد باقر بن محمّد الوحيد البهبهاني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مؤسّسة العلاّمة المجدّد الوحيد البهبهاني ، الطبعة الاُولى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قم ، مؤسّسة علاّمة المجدّد الوحيد البهبهاني ،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المصابيح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مهدي الطباطبائي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بحر العلوم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مخطوط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 ، الصلاة ، الزكاة ، الخمس ، الصوم ، الرهن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الحاج آقا رضا بن محمّد هادي الهمداني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الطهارة والصلاة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المؤسّسة الجعفرية لإحياء التراث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 مؤسّسة</w:t>
      </w:r>
    </w:p>
    <w:p>
      <w:pPr>
        <w:pStyle w:val="BookText"/>
        <w:rPr/>
      </w:pPr>
      <w:r>
        <w:rPr>
          <w:rFonts w:ascii="Amiri" w:hAnsi="Amiri" w:eastAsia="Amiri" w:cs="Amiri"/>
          <w:color w:val="111111"/>
          <w:sz w:val="28"/>
          <w:sz w:val="28"/>
          <w:szCs w:val="28"/>
          <w:rtl w:val="true"/>
          <w:lang w:bidi="ar-SA"/>
        </w:rPr>
        <w:t>مهديّ الموعود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الزكاة والخمس والصوم والرهن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حسب ترتيب 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 مؤسّسة النشر الإسلامي ،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المتهجّد وسلاح المتعبّد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حسين الأعلمي ، الطبعة الاُولى ، بيروت ، مؤسّسة الأعلمي للمطبوعات ،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المعتبر في شرح المختصر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الحلّي نجم الدين جعفر بن الحسن بن يحيى بن سعيد الهُذلي </w:t>
      </w:r>
      <w:r>
        <w:rPr>
          <w:rFonts w:eastAsia="IRNazanin" w:cs="IRNazanin"/>
          <w:color w:val="111111"/>
          <w:sz w:val="28"/>
          <w:szCs w:val="28"/>
          <w:rtl w:val="true"/>
          <w:lang w:bidi="fa-IR"/>
        </w:rPr>
        <w:t>(</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عدّة من الأفاضل ، الطبعة الاُولى ، مجلّدان ، قم ، مؤسّسة سيّد الشهداء علیه السلام ،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مقاييس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أحمد بن فارس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عبد السلام محمّد هارون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مكتب الإعلام الإسلامي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المغرب في ترتيب المعرب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الفتح ناصر الدين بن عبد السيّد بن علي بن المطرّزي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محمود فاخوري وعبد الحميد مختار ، الطبعة الاُولى ، مجلّدان ، حلب ، مكتبة اُسامة بن زيد ،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المغني ويليه الشرح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عبداللّه بن أحمد بن محمّد بن قدامة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 الفرج عبدالرحمان بن أبي عمر محمّد بن أحمد بن قدامة 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بيروت ، دار الكتب العربي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مفاتيح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محسن 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مهدي الرجائي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مطبعة الخيّام ،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مفتاح الكرامة في شرح قواعد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جواد الحسيني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محمّد باقر الخالصي ، الطبعة الاُولى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 ، قم ، مؤسّسة النشر</w:t>
      </w:r>
    </w:p>
    <w:p>
      <w:pPr>
        <w:pStyle w:val="BookText"/>
        <w:rPr/>
      </w:pPr>
      <w:r>
        <w:rPr>
          <w:rFonts w:ascii="Amiri" w:hAnsi="Amiri" w:eastAsia="Amiri" w:cs="Amiri"/>
          <w:color w:val="111111"/>
          <w:sz w:val="28"/>
          <w:sz w:val="28"/>
          <w:szCs w:val="28"/>
          <w:rtl w:val="true"/>
          <w:lang w:bidi="ar-SA"/>
        </w:rPr>
        <w:t xml:space="preserve">الإسلامي ،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مفردات ألفاظ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محمّد المفضّل الراغب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حدود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عدنان صفوان داوودي ، الطبعة الثانية ، قم ، منشورات ذوي القربى ،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علي بن الحسين بن بابويه القمّي المعروف بالشيخ الصدوق </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لجنة التحقيق التابعة لمؤسّسة الإمام الهادي علیه السلام ، قم ، مؤسّسة الإمام الهادي علیه السلام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محمّد بن محمّد بن النعمان العكبري البغدادي المعروف بالشيخ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مؤسّسة النشر الإسلامي ، الطبعة الثانية ، قم ، مؤسّسة النشر</w:t>
      </w:r>
    </w:p>
    <w:p>
      <w:pPr>
        <w:pStyle w:val="BookText"/>
        <w:rPr/>
      </w:pPr>
      <w:r>
        <w:rPr>
          <w:rFonts w:ascii="Amiri" w:hAnsi="Amiri" w:eastAsia="Amiri" w:cs="Amiri"/>
          <w:color w:val="111111"/>
          <w:sz w:val="28"/>
          <w:sz w:val="28"/>
          <w:szCs w:val="28"/>
          <w:rtl w:val="true"/>
          <w:lang w:bidi="ar-SA"/>
        </w:rPr>
        <w:t xml:space="preserve">الإسلامي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مناهج الوصول إلى علم الاُصول ،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موسوعة</w:t>
      </w:r>
    </w:p>
    <w:p>
      <w:pPr>
        <w:pStyle w:val="BookText"/>
        <w:rPr/>
      </w:pPr>
      <w:r>
        <w:rPr>
          <w:rFonts w:ascii="Amiri" w:hAnsi="Amiri" w:eastAsia="Amiri" w:cs="Amiri"/>
          <w:color w:val="111111"/>
          <w:sz w:val="28"/>
          <w:sz w:val="28"/>
          <w:szCs w:val="28"/>
          <w:rtl w:val="true"/>
          <w:lang w:bidi="ar-SA"/>
        </w:rPr>
        <w:t xml:space="preserve">الإمام الخميني قدّس سرّه </w:t>
      </w:r>
      <w:r>
        <w:rPr>
          <w:rFonts w:eastAsia="Amiri" w:cs="Amiri" w:ascii="Amiri" w:hAnsi="Amiri"/>
          <w:color w:val="111111"/>
          <w:sz w:val="28"/>
          <w:szCs w:val="28"/>
          <w:rtl w:val="true"/>
          <w:lang w:bidi="ar-SA"/>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منتقى الجمان في الأحاديث الصحاح والحسان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أبو منصور الحسن بن زين الدين الشهيد الجباعي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علي أكبر الغفّاري ، الطبعة الاُولى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مؤسّسة النشر الإسلامي ،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منتهى المطلب في تحقيق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جمال الدين الحسن بن يوسف بن المطهّر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قسم الفقه في مجمع البحوث الإسلامية ، الطبعة الاُولى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مشهد ، مجمع البحوث الإسلامية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منتهى المقال في أحوال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علي محمّد بن إسماعيل الحائري المازندراني </w:t>
      </w:r>
      <w:r>
        <w:rPr>
          <w:rFonts w:eastAsia="IRNazanin" w:cs="IRNazanin"/>
          <w:color w:val="111111"/>
          <w:sz w:val="28"/>
          <w:szCs w:val="28"/>
          <w:rtl w:val="true"/>
          <w:lang w:bidi="fa-IR"/>
        </w:rPr>
        <w:t>(</w:t>
      </w:r>
      <w:r>
        <w:rPr>
          <w:rFonts w:eastAsia="IRNazanin" w:cs="IRNazanin"/>
          <w:color w:val="111111"/>
          <w:sz w:val="28"/>
          <w:szCs w:val="28"/>
          <w:lang w:bidi="fa-IR"/>
        </w:rPr>
        <w:t>1159</w:t>
      </w:r>
      <w:r>
        <w:rPr>
          <w:rFonts w:eastAsia="IRNazanin" w:cs="IRNazanin"/>
          <w:color w:val="111111"/>
          <w:sz w:val="28"/>
          <w:szCs w:val="28"/>
          <w:rtl w:val="true"/>
          <w:lang w:bidi="fa-IR"/>
        </w:rPr>
        <w:t xml:space="preserve"> -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مؤسّسة آل البيت علیهم السلام لإحياء التراث ، الطبعة الاُولى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 قم ، مؤسّسة آل البيت علیهم السلام لإحياء التراث ،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المنجد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لوئيس معلوف وعدّة من الأساتذة ، الطبعة الثالثة والثلاثون ، بيروت ، دار المشرق ،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مؤسّسة تنظيم ونشر آثار الإمام الخميني قدّس سرّه ، الطبعة الاُولى ، قم ، مؤسّسة تنظيم ونشر آثار الإمام الخميني قدّس سرّه ،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عبدالعزيز بن نحرير بن عبدالعزيز القاضي ابن البرّاج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مؤسّسة سيّدالشهداء ، الطبعة الاُولى ، مجلّدان ، قم ، مؤسّسة النشر الإسلامي ،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الإحكام في معرفة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جمال الدين الحسن بن يوسف بن المطهّر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السيّد مهدي الرجائي ، الطبعة الثانية ، مجلّدان ، قم ،</w:t>
      </w:r>
    </w:p>
    <w:p>
      <w:pPr>
        <w:pStyle w:val="BookText"/>
        <w:rPr/>
      </w:pPr>
      <w:r>
        <w:rPr>
          <w:rFonts w:ascii="Amiri" w:hAnsi="Amiri" w:eastAsia="Amiri" w:cs="Amiri"/>
          <w:color w:val="111111"/>
          <w:sz w:val="28"/>
          <w:sz w:val="28"/>
          <w:szCs w:val="28"/>
          <w:rtl w:val="true"/>
          <w:lang w:bidi="ar-SA"/>
        </w:rPr>
        <w:t xml:space="preserve">مؤسّسة إسماعيليان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نهاية التقرير في مباحث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تقريرات المحقّق البروجردي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الموحّدي الفاضل اللنكراني ، تحقيق مركز فقه الأئمّة الأطهار علیهم السلام ، الطبعة الاُولى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في غريب الحديث والأثر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 الدين أبو السعادات المبارك بن محمّد بن محمّد الجزري المعروف بابن الأثير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طاهر أحمد التراوي ومحمود </w:t>
      </w:r>
    </w:p>
    <w:p>
      <w:pPr>
        <w:pStyle w:val="BookText"/>
        <w:rPr/>
      </w:pPr>
      <w:r>
        <w:rPr>
          <w:rFonts w:ascii="Amiri" w:hAnsi="Amiri" w:eastAsia="Amiri" w:cs="Amiri"/>
          <w:color w:val="111111"/>
          <w:sz w:val="28"/>
          <w:sz w:val="28"/>
          <w:szCs w:val="28"/>
          <w:rtl w:val="true"/>
          <w:lang w:bidi="ar-SA"/>
        </w:rPr>
        <w:t xml:space="preserve">محمّد الطناحي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مؤسّسة إسماعيليان ،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في مجرّد الفقه والفتاوى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 انتشارات قدس محمّدي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المرتضى المولى محسن المعروف بالفيض الكاشاني </w:t>
      </w:r>
      <w:r>
        <w:rPr>
          <w:rFonts w:eastAsia="IRNazanin" w:cs="IRNazanin"/>
          <w:color w:val="111111"/>
          <w:sz w:val="28"/>
          <w:szCs w:val="28"/>
          <w:rtl w:val="true"/>
          <w:lang w:bidi="fa-IR"/>
        </w:rPr>
        <w:t>(</w:t>
      </w:r>
      <w:r>
        <w:rPr>
          <w:rFonts w:eastAsia="IRNazanin" w:cs="IRNazanin"/>
          <w:color w:val="111111"/>
          <w:sz w:val="28"/>
          <w:szCs w:val="28"/>
          <w:lang w:bidi="fa-IR"/>
        </w:rPr>
        <w:t>1006</w:t>
      </w:r>
      <w:r>
        <w:rPr>
          <w:rFonts w:eastAsia="IRNazanin" w:cs="IRNazanin"/>
          <w:color w:val="111111"/>
          <w:sz w:val="28"/>
          <w:szCs w:val="28"/>
          <w:rtl w:val="true"/>
          <w:lang w:bidi="fa-IR"/>
        </w:rPr>
        <w:t xml:space="preserve"> -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إعداد ضياء الدين الحسيني ، الطبعة الاُولى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 أصفهان ، مكتبة الإمام أمير المؤمنين علیه السلام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الشيعة إلى تحصيل مسائل 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بن الحسن الحرّ العاملي </w:t>
      </w: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 xml:space="preserve"> -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مؤسّسة آل البيت علیهم السلام لإحياء التراث ، الطبعة الاُولى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 قم ، مؤسّسة آل البيت علیهم السلام لإحياء التراث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والطبعة الحجرية منه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طهران ، دار الطباعة ،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الوسيلة إلى نيل الفضيلة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الدين أبو جعفر محمّد بن علي الطوسي المعروف بابن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محمّد الحسّون ، الطبعة الاُولى ، قم ، مكتبة آية اللّه المرعشي ،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الهداية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الاُصول والفروع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محمّد بن علي بن الحسين بن بابويه القمّي المعروف بالشيخ الصدوق </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مؤسّسة الإمام الهادي علیه السلام ، الطبعة الاُولى ، قم ، مؤسّسة الإمام الهادي علیه السلام ،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7" w:name="pg15019_191246"/>
      <w:bookmarkStart w:id="888" w:name="pg15019_191246"/>
      <w:bookmarkEnd w:id="888"/>
    </w:p>
    <w:p>
      <w:pPr>
        <w:pStyle w:val="Heading3"/>
        <w:numPr>
          <w:ilvl w:val="2"/>
          <w:numId w:val="1"/>
        </w:numPr>
        <w:rPr/>
      </w:pPr>
      <w:bookmarkStart w:id="889" w:name="pg15019_191246"/>
      <w:bookmarkStart w:id="890" w:name="__RefHeading___Toc686802_3406789950"/>
      <w:bookmarkStart w:id="891" w:name="_Toc319"/>
      <w:bookmarkEnd w:id="889"/>
      <w:bookmarkEnd w:id="890"/>
      <w:r>
        <w:rPr/>
        <w:t>7</w:t>
      </w:r>
      <w:r>
        <w:rPr>
          <w:rtl w:val="true"/>
        </w:rPr>
        <w:t xml:space="preserve"> - </w:t>
      </w:r>
      <w:r>
        <w:rPr>
          <w:rtl w:val="true"/>
        </w:rPr>
        <w:t>فهرس الموضوعات</w:t>
      </w:r>
      <w:bookmarkEnd w:id="891"/>
    </w:p>
    <w:p>
      <w:pPr>
        <w:pStyle w:val="BookText"/>
        <w:rPr/>
      </w:pPr>
      <w:r>
        <w:rPr>
          <w:rFonts w:ascii="Amiri" w:hAnsi="Amiri" w:eastAsia="Amiri" w:cs="Amiri"/>
          <w:color w:val="111111"/>
          <w:sz w:val="28"/>
          <w:sz w:val="28"/>
          <w:szCs w:val="28"/>
          <w:rtl w:val="true"/>
          <w:lang w:bidi="ar-SA"/>
        </w:rPr>
        <w:t xml:space="preserve">مقدمة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المقصد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الحيض</w:t>
      </w:r>
    </w:p>
    <w:p>
      <w:pPr>
        <w:pStyle w:val="BookText"/>
        <w:rPr/>
      </w:pP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 الحيض شرعاً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كلام المحقّق الخراساني وجوابه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في هذا المقصد مطالب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المطلب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يميّز به دم الحيض عن غيره</w:t>
      </w:r>
    </w:p>
    <w:p>
      <w:pPr>
        <w:pStyle w:val="BookText"/>
        <w:rPr/>
      </w:pPr>
      <w:r>
        <w:rPr>
          <w:rFonts w:ascii="Amiri" w:hAnsi="Amiri" w:eastAsia="Amiri" w:cs="Amiri"/>
          <w:color w:val="111111"/>
          <w:sz w:val="28"/>
          <w:sz w:val="28"/>
          <w:szCs w:val="28"/>
          <w:rtl w:val="true"/>
          <w:lang w:bidi="ar-SA"/>
        </w:rPr>
        <w:t xml:space="preserve">يتمّ الكلام فيه برسم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يميّز به دم الحيض عن الاستحاضة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في أمارية الأوصاف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تفصيل المحقّق الخراساني بين الأوصاف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مقدار أمارية الأوصاف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حول اختصاص أمارية الصفات بمستمرّة الدم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الكلام حول دلالة مرسلة يونس الطويلة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هل الأوصاف خاصّة مركّبة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في حجّية مطلق الظنّ بالحيضية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يميّز به دم الحيض عن دم العذرة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في أمارية التطوّق للعذرة والانغماس للحيض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دخل العلم بالافتضاض في أمارية التطوّق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في مورد أمارية التطوّق والانغماس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أمارية التطوّق للعذرة مطلقاً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أمارية التطوّق والانغماس في جميع صور الشكّ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حول وجوب الاختبار في جميع صور الشكّ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يميّز به دم الحيض عن دم القرحة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استفادة أمارية خروج الدم من الأيسر أو الأيمن من رواية أبان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الإشكال في مقتضى إطلاق رواية أبان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سائر الاشتباهات بين دم الحيض وغيره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الكلام في قاعدة الإمكان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موضوع قاعدة الإمكان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دليل قاعدة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السلامة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بطوائف من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في مقدار سعة قاعدة الإمكان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حول أمارية القاعدة وأصليتها وبيان نسبتها مع غيرها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المطلب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حدود الحيض وقيوده وشرائطه</w:t>
      </w:r>
    </w:p>
    <w:p>
      <w:pPr>
        <w:pStyle w:val="BookText"/>
        <w:rPr/>
      </w:pPr>
      <w:r>
        <w:rPr>
          <w:rFonts w:ascii="Amiri" w:hAnsi="Amiri" w:eastAsia="Amiri" w:cs="Amiri"/>
          <w:color w:val="111111"/>
          <w:sz w:val="28"/>
          <w:sz w:val="28"/>
          <w:szCs w:val="28"/>
          <w:rtl w:val="true"/>
          <w:lang w:bidi="ar-SA"/>
        </w:rPr>
        <w:t xml:space="preserve">وهي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تراه الصبيّة قبل البلوغ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في التنافي بين كون الحيض دليل البلوغ وعدم حيضية ما تراه الصبيّة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عدم صحّة التمسّك بروايات الصفات للحكم بالحيضية والسنّ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حدّ اليأس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أدلّة التفصيل بين القرشية وغيرها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مقتضى الأصل عند الشكّ في القرشية والنبطية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أقلّ الحيض ثلاثة أيّام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حول الروايات الواردة في حدود الحيض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اعتبار التوالي في الأيّام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الروايات الدالّة على اعتبار التوالي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التمسّك بمرسلة يونس القصيرة على عدم اعتبار التوالي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التمسّك بصحيحة ابن مسلم وروايته على عدم اعتبار التوالي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التمسّك برواية عبد الرحمان على عدم اعتبار التوالي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بطلان التمسّك بقاعدة الإمكان على عدم اعتبار التوالي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حول الاُصول الموضوعية والحكمية الدالّة على اعتبار التوالي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في اعتبار الاستمرار في الأيّام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عدم إضرار الفترات اليسيرة المعهودة بين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في دخول الليالي في الأيّام الثلاثة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دخول الليلتين المتوسّطتين والاُولى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أكثر الحيض عشرة أيّام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اعتبار التوالي في العشرة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مخالفة صاحب الحدائق المشهور في اعتبار التوالي وأقلّ الطهر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المطلب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أقسام الحائض وأحكامها</w:t>
      </w:r>
    </w:p>
    <w:p>
      <w:pPr>
        <w:pStyle w:val="BookText"/>
        <w:rPr/>
      </w:pPr>
      <w:r>
        <w:rPr>
          <w:rFonts w:ascii="IRNazanin" w:hAnsi="IRNazanin" w:eastAsia="IRNazanin"/>
          <w:color w:val="111111"/>
          <w:sz w:val="28"/>
          <w:sz w:val="28"/>
          <w:szCs w:val="28"/>
          <w:rtl w:val="true"/>
          <w:lang w:bidi="fa-IR"/>
        </w:rPr>
        <w:t xml:space="preserve">أقسام الحائض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الكلام في أحكام الحائض في ضمن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استفادة حصول العادة بمرّتين من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دلالة ذيل مرسلة يونس على تحقّق العادة بحيضتين مطلقاً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ثبوت العددية الناقصة برؤية مرّتين مختلفتين عدداً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تحقّق العادة بالمرّتين مطلقاً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حصول العادة بالمرّتين مع حصول النقاء في البين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حصول العادة الوقتية بتكرّر الحيض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زوال العادة بعادة شرعية مطلقاً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هل تزول العادة برؤية مرّتين غير متماثلتين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أقسام ذات العادة وأحكامها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يتمّ الكلام فيها في ضمن جهات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تحيّض ذات العادة الوقتية مطلقاً برؤية الدم في أيّامها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بحيضية الدم المتقدّم أو المتأخّر بقليل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الدم المرئي قبل أيّام العادة أو بعدها بكثير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الحكم بحيضية الدم الجامع لصفات الحيض مطلقاً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الروايات التي قد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توهّم دلالتها على عدم التحيّض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الحكم بعدم حيضية الدم الجامع لصفات الاستحاضة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التمسّك بقاعدة الإمكان لإثبات حيضية الدم الجامع لصفات الاستحاضة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ذات العادة العددية المحضة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حكم المبتدئة والمضطربة والناسية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حكم تعارض الأمارتين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المسألة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ما إذا رأت الدم ثلاثة أيّام فانقطع ثمّ رأته بعدها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حكم الدم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حكم الدم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المسألة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الاستبراء عند الانقطاع لدون العشرة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مقتضى الأصل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الاستدلال على وجوب الاستبراء بالأخبار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هل يجب الاستبراء ثانياً وثالثاً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حكم نسيان الاستبراء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حول سقوط شرطية الاستبراء مع تعذّره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كيفية الاستبراء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المسألة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 ما بعد الاستبراء وبيان أحكامها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الصورة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خرجت القطنة نقيّة بعد الاستبراء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خرجت القطنة ملوّثة بالحمرة أو الصفرة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ما إذا رأت ذات العادة بعد أيّامها صفرة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الصورة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ذات العادة مع تلوّث القطنة بعد أيّامها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مقتضى القاعدة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في الصورة الرابعة جهات من 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مصبّ أخبار الاستظهار وموردها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اختلاف أخبار الاستظهار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تعارض روايات الاستظهار مع أدلّة الاقتصار وبيان وجه الجمع بينها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رجحان الحمل على الإرشاد العقلي على ما ذكره المحقّقون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انقطاع الدم على العشرة وتجاوزه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حيضية جميع الأيّام فيما لو انقطع على العشرة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حيضية خصوص أيّام العادة مع تجاوز الدم عن العشرة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لزوم قضاء الصوم مع انقطاع الدم على العشرة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صحّة صيام ما بعد العادة مع تجاوز العشرة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المطلب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مهمّات أحكام الحيض والحائض</w:t>
      </w:r>
    </w:p>
    <w:p>
      <w:pPr>
        <w:pStyle w:val="BookText"/>
        <w:rPr/>
      </w:pPr>
      <w:r>
        <w:rPr>
          <w:rFonts w:ascii="Amiri" w:hAnsi="Amiri" w:eastAsia="Amiri" w:cs="Amiri"/>
          <w:color w:val="111111"/>
          <w:sz w:val="28"/>
          <w:sz w:val="28"/>
          <w:szCs w:val="28"/>
          <w:rtl w:val="true"/>
          <w:lang w:bidi="ar-SA"/>
        </w:rPr>
        <w:t xml:space="preserve">وهو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الوط‌ء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في لحوق أيّام الاستظهار بالحيض في جميع أحكامه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مقتضى الأصل العملي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مقتضى أدلّة الاستظهار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الروايات التي يمكن استفادة الحرمة منها وجوابها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يجوز الاستمتاع به من الحائض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عدم دلالة آية المحيض إلاّ على حرمة الوط‌ء في الفرج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دلالة الأخبار على جواز الاستمتاع بغير الفرج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الروايات التي قد يتوهّم معارضتها لما سبق وبيان وجه الجمع بينهما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كفّارة وط‌ء الحائض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الروايات الدالّة على مختار القدماء من أصحابنا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الروايات المنافية للطائفة السابقة وبيان إعراض الأصحاب عنها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تكرّر الكفّارة بتكرّر الوط‌ء في وقت 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 xml:space="preserve">مقتضى مقام الثبوت والتصوّر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مقتضى مقام الإثبات والدلالة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هل يتعدّى الحكم إلى الأجنبيّة المشتبهة أو المزنيّ 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تحديد أوّل الحيض ووسطه وآخره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عدم إلحاق وط‌ء النفساء بالحائض في ثبوت الكفّارة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وط‌ء الزوجة قبلاً بعد نقائها وقبل الغسل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دلالة آية المحيض على الجواز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تقريب دلالة الآية بناءً على قراءة التخفيف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تقريب دلالة الآية بناءً على قراءة التضعيف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ترجيح قراءة التخفيف وإبطال القراءات السبع أو العشر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بيان وجه الجمع العقلائي بين قراءتي التخفيف والتضعيف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دلالة عموم الكتاب والسنّة على جواز الوط‌ء قبل الغسل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دلالة الأخبار الخاصّة على جواز الوط‌ء قبل الغسل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اعتبار وقوع الانقطاع في آخر أيّام الحيض لا بعد أيّامه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 xml:space="preserve">جواز الوط‌ء قبل غسل الفرج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 xml:space="preserve">ارتفاع المنع أو المرجوحية مع تيمّم المرأة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الأمر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إجزاء غسل الحيض عن الوضوء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في الوجوب الشرطي لغسل الحيض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عدم إجزاء سائر الأغسال عن الوضوء عدا غسل الجنابة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حول الأخبار الواردة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حول وجوب تقديم الوضوء على الغسل وجوباً شرطياً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في كيفية رفع غسل الحيض والوضوء الحدثين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في الالتزام بالتوزيع مع تحقّق سبب الأكبر دون الأصغر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الحيض بعد دخول وقت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مقتضى أدلّة القضاء وعدمه على الحائض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تعارض أدلّة عدم القضاء مع الأدلّة السابقة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مقتضى الأخبار الخاصّة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الأمر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صلاة الحائض إن طهرت آخر الوقت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حكم إدراك ركعة من العصر والعشاء والصبح مع الشرائط الاختيارية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حكم إدراك ركعة من الظهر والمغرب مع الشرائط الاختيارية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حكم إدراك أقلّ من ركعة مع الشرائط الاختيارية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حكم إدراك تمام الصلاة بفردها الاضطراري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مقتضى القواعد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مقتضى الروايات الخاصّة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المقصد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الاستحاضة</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حقيقة الاستحاضة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في ذكر معنى الاستحاضة 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التحقيق في بيان موضوع الاستحاضة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الكلام يقع في مقامات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الأوصاف التي جعلت بحسب الروايات أمارة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عدم حصول التمييز بغير الأوصاف المنصوصة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حدود دلالة الروايات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الدالّة على أمارية الصفات على الاستحاضة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يمتنع أن يكون حيضاً فهو استحاضة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كلام بعض الأعلام وردّه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توجيه الحكم باستحاضة اليائسة والصغيرة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اجتماع الحمل والحيض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الأقوال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أدلّة الاجتماع مطلقاً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أدلّة الاجتماع في الجملة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أدلّة عدم الاجتماع مطلقاً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وجه الجمع بين ما دلّت على الاجتماع وما دلّت على عدمه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قوّة العمل بصحيحة الصحّاف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 xml:space="preserve">هاهنا مطالب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المطلب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تجاوز الدم عن أكثر الحيض</w:t>
      </w:r>
    </w:p>
    <w:p>
      <w:pPr>
        <w:pStyle w:val="BookText"/>
        <w:rPr/>
      </w:pPr>
      <w:r>
        <w:rPr>
          <w:rFonts w:ascii="Amiri" w:hAnsi="Amiri" w:eastAsia="Amiri" w:cs="Amiri"/>
          <w:color w:val="111111"/>
          <w:sz w:val="28"/>
          <w:sz w:val="28"/>
          <w:szCs w:val="28"/>
          <w:rtl w:val="true"/>
          <w:lang w:bidi="ar-SA"/>
        </w:rPr>
        <w:t>فلابدّ في بيان الأقسام وأحكامها من ذكر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اعتبار التمييز في المبتدئة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الروايات التي زعم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دلالتها على عدم اعتبار التمييز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مرسلة يونس الطويلة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بيان بعض فقرات المرسلة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رواية سماعة وموثّقة ابن بكير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ينبغي التنبيه على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شرائط الرجوع إلى التمييز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مختار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ونقده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ما تراه بصفة الحيض أقلّ من ثلاثة أيّام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الكلام في كيفية التتميم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ما تراه بصفة الحيض أكثر من عشرة أيّام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ما إذا رأت ذات التمييز صفرة بين الدمين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فقدان المرأة للتمييز بناءً على أمارية أوصاف الاستحاضة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الأمر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المبتدئة الفاقدة للتمييز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الكلام يقع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الجمع بين الروايات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رجوع غير مستقرّة العادة إلى عادة نسائها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ما هو المعتبر عند الرجوع إلى عادة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حول إجراء أصالة العدم الأزلي لإحراز موضوع الرجوع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كفاية الاتّفاق في خصوص العدد أو خصوص الوقت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الجهة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الرجوع إلى عادة أقرانها عند فقد نسائها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الأمر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من لا يمكنها الرجوع إلى نسائها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وجه للجمع بين أخبار المقام وبيان ما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ترجيح العمل بمرسلة يونس على ما ينافيها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تعارض فقرات المرسلة وقوّة الأخذ بالسبعة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عدم اختصاص المرسلة بالمبتدئة بالمعنى الأخصّ بخلاف الموثّقات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المبتدئة يتعيّن عليها جعل ما تختاره من العدد أوّل الرؤية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تقديم ذات العادة لعادتها على التمييز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أقسام الناسية وأحكامها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وفيها جهات من 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أقسام الناسية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دلالة المرسلة على رجوع الناسية إلى العادة أوّلاً ثمّ إلى التمييز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الناسية إذا فقدت التمييز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يقع الكلام في ثلاثة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الموضع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ناسية الوقت دون العدد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القول بوجوب الاحتياط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التمسّك بمثل مرسلة يونس على التحيّض ونفي الاحتياط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كيفية تحيّض الناسية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الروايات التي بإطلاقها يقتضي التخيير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الروايات التي يمكن الاستدلال بها على لزوم التحيّض في أوّل الرؤية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الموضع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ناسية العدد دون الوقت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الموضع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ناسية الوقت والعدد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المطلب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أقسام الاستحاضة</w:t>
      </w:r>
    </w:p>
    <w:p>
      <w:pPr>
        <w:pStyle w:val="BookText"/>
        <w:rPr/>
      </w:pPr>
      <w:r>
        <w:rPr>
          <w:rFonts w:ascii="Amiri" w:hAnsi="Amiri" w:eastAsia="Amiri" w:cs="Amiri"/>
          <w:color w:val="111111"/>
          <w:sz w:val="28"/>
          <w:sz w:val="28"/>
          <w:szCs w:val="28"/>
          <w:rtl w:val="true"/>
          <w:lang w:bidi="ar-SA"/>
        </w:rPr>
        <w:t xml:space="preserve">مقتضى الجمع بين الروايات تثليث الأقسام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ضابطة الاستحاضة الكثيرة والمتوسّطة والقليلة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المطلب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أحكام الأقسام الثلاثة</w:t>
      </w:r>
    </w:p>
    <w:p>
      <w:pPr>
        <w:pStyle w:val="BookText"/>
        <w:rPr/>
      </w:pPr>
      <w:r>
        <w:rPr>
          <w:rFonts w:ascii="Amiri" w:hAnsi="Amiri" w:eastAsia="Amiri" w:cs="Amiri"/>
          <w:color w:val="111111"/>
          <w:sz w:val="28"/>
          <w:sz w:val="28"/>
          <w:szCs w:val="28"/>
          <w:rtl w:val="true"/>
          <w:lang w:bidi="ar-SA"/>
        </w:rPr>
        <w:t xml:space="preserve">حكم الاستحاضة القليلة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تغيير القطنة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تجديد الوضوء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عدم الفرق بين الفريضة والنافلة في 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حكم الاستحاضة المتوسّطة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تبديل القطنة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وجوب الوضوء </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وجوب الغسل </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Amiri" w:hAnsi="Amiri" w:eastAsia="Amiri" w:cs="Amiri"/>
          <w:color w:val="111111"/>
          <w:sz w:val="28"/>
          <w:sz w:val="28"/>
          <w:szCs w:val="28"/>
          <w:rtl w:val="true"/>
          <w:lang w:bidi="ar-SA"/>
        </w:rPr>
        <w:t xml:space="preserve">منشأ الاختلاف في عدد الغسل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بقيت روايات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وجوب الغسل بنحو الوجوب الشرطي المتقدّم لجميع الصلوات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الاستحاضة الكثيرة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تبديل القطنة ونحوها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وجوب الغسل والوضوء </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Amiri" w:hAnsi="Amiri" w:eastAsia="Amiri" w:cs="Amiri"/>
          <w:color w:val="111111"/>
          <w:sz w:val="28"/>
          <w:sz w:val="28"/>
          <w:szCs w:val="28"/>
          <w:rtl w:val="true"/>
          <w:lang w:bidi="ar-SA"/>
        </w:rPr>
        <w:t xml:space="preserve">ينبغي التنبيه على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نفس الدم الكثير بذاته موجب للغسل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محتملات ما يوجب الأغسال الثلاثة بحسب التصوّر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مناقشة الاحتمال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مناقشة الاحتمالين الثاني والثالث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مناقشة الاحتمال الرابع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مناقشة الاحتمال الخامس وترجيح السادس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سببية الدم الفعلي للأغسال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انقطاع دم الاستحاضة لبرء أو فترة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بيان تكليف المستحاضة بالنسبة للأعمال المستقبلة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بيان تكليف المستحاضة بالنسبة للأعمال الماضية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تفريق الصلوات والغسل لكلّ 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في جواز إيقاع غسلين مع الجمع بين الصلاتين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تعاقب الصلاة للغسل والوضوء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بيان حال الغسل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بيان حال الوضوء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الأمر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الفحص والاختبار لتعيين نوع الاستحاضة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 xml:space="preserve">التفصيل بين سهولة الاختبار وغيره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الأمر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منع خروج الدم قدر الإمكان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IRNazanin" w:hAnsi="IRNazanin" w:eastAsia="IRNazanin"/>
          <w:color w:val="111111"/>
          <w:sz w:val="28"/>
          <w:sz w:val="28"/>
          <w:szCs w:val="28"/>
          <w:rtl w:val="true"/>
          <w:lang w:bidi="fa-IR"/>
        </w:rPr>
        <w:t xml:space="preserve">عدم وجوب الاستظهار قبل الوضوء أو الغسل ولا بعدهما </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Amiri" w:hAnsi="Amiri" w:eastAsia="Amiri" w:cs="Amiri"/>
          <w:color w:val="111111"/>
          <w:sz w:val="28"/>
          <w:sz w:val="28"/>
          <w:szCs w:val="28"/>
          <w:rtl w:val="true"/>
          <w:lang w:bidi="ar-SA"/>
        </w:rPr>
        <w:t xml:space="preserve">الأمر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المستحاضة بعد أفعالها بحكم الطاهر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منطوق ومفهوم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فعلت ذلك تصير بحكم الطاهر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جواز وط‌ء المستحاضة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 xml:space="preserve">الأمر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صوم المستحاضة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 xml:space="preserve">بطلان صوم المستحاضة إذا أخلّت بأغسالها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 xml:space="preserve">توقّف صحّة صوم المستحاضة على الأغسال النهارية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 xml:space="preserve">المقصد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النفاس</w:t>
      </w:r>
    </w:p>
    <w:p>
      <w:pPr>
        <w:pStyle w:val="BookText"/>
        <w:rPr/>
      </w:pP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هو موضوع الأحكام الشرعية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يتمّ المقصد بذكر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الدم الخارج قبل الولادة وبعدها والمقارن 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حكم الدم المتقدّم على الولادة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 xml:space="preserve">حول الحكم بحيضية الدم المتقدّم المستجمع لشرائط الحيض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 xml:space="preserve">ما يتشبّث به للزوم الفصل بأقلّ الطهر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 xml:space="preserve">الرجوع إلى الأمارات لإثبات الحيضية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حكم الدم المتأخّر عن الولادة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حكم الدم المقارن للولادة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 xml:space="preserve">نفاسية الدم الخارج مع المضغة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 النفاس في طرف القلّة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 النفاس في طرف الكثرة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 xml:space="preserve">حول الأخبار الواردة في أكثر النفاس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 xml:space="preserve">الطائفة الاُولى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 xml:space="preserve">الطائفة الثانية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 xml:space="preserve">الطائفة الثالثة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 xml:space="preserve">مقتضى الجمع بين الأخبار الواردة في أكثر النفاس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حول تفصيل العلاّمة في أكثر النفاس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حول الرجوع إلى الصفات أو عادات النساء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الحامل باثنين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 xml:space="preserve">الروايات الدالّة على استقلال كلّ من النفاسين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 xml:space="preserve">حكم ما إذا وضعت الولد الواحد قطعةً قطعةً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p>
    <w:p>
      <w:pPr>
        <w:pStyle w:val="BookText"/>
        <w:rPr/>
      </w:pPr>
      <w:r>
        <w:rPr>
          <w:rFonts w:ascii="Amiri" w:hAnsi="Amiri" w:eastAsia="Amiri" w:cs="Amiri"/>
          <w:color w:val="111111"/>
          <w:sz w:val="28"/>
          <w:sz w:val="28"/>
          <w:szCs w:val="28"/>
          <w:rtl w:val="true"/>
          <w:lang w:bidi="ar-SA"/>
        </w:rPr>
        <w:t xml:space="preserve">حول ثمرة القول بتعدّد النفاسين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تأخّر الدم عن الولادة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p>
    <w:p>
      <w:pPr>
        <w:pStyle w:val="BookText"/>
        <w:rPr/>
      </w:pPr>
      <w:r>
        <w:rPr>
          <w:rFonts w:ascii="Amiri" w:hAnsi="Amiri" w:eastAsia="Amiri" w:cs="Amiri"/>
          <w:color w:val="111111"/>
          <w:sz w:val="28"/>
          <w:sz w:val="28"/>
          <w:szCs w:val="28"/>
          <w:rtl w:val="true"/>
          <w:lang w:bidi="ar-SA"/>
        </w:rPr>
        <w:t xml:space="preserve">الكلام في أصل نفاسية الدم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p>
    <w:p>
      <w:pPr>
        <w:pStyle w:val="BookText"/>
        <w:rPr/>
      </w:pPr>
      <w:r>
        <w:rPr>
          <w:rFonts w:ascii="Amiri" w:hAnsi="Amiri" w:eastAsia="Amiri" w:cs="Amiri"/>
          <w:color w:val="111111"/>
          <w:sz w:val="28"/>
          <w:sz w:val="28"/>
          <w:szCs w:val="28"/>
          <w:rtl w:val="true"/>
          <w:lang w:bidi="ar-SA"/>
        </w:rPr>
        <w:t xml:space="preserve">مقدار قعود ذات العادة مع انقطاع دمها في العشرة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w:t>
      </w:r>
    </w:p>
    <w:p>
      <w:pPr>
        <w:pStyle w:val="BookText"/>
        <w:rPr/>
      </w:pPr>
      <w:r>
        <w:rPr>
          <w:rFonts w:ascii="Amiri" w:hAnsi="Amiri" w:eastAsia="Amiri" w:cs="Amiri"/>
          <w:color w:val="111111"/>
          <w:sz w:val="28"/>
          <w:sz w:val="28"/>
          <w:szCs w:val="28"/>
          <w:rtl w:val="true"/>
          <w:lang w:bidi="ar-SA"/>
        </w:rPr>
        <w:t xml:space="preserve">مقدار قعود ذات العادة مع تجاوز دمها عن العشرة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تخلّل النقاء أثناء النفاس الواحد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p>
    <w:p>
      <w:p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اتّحاد أحكام النفساء والحائض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p>
    <w:p>
      <w:pPr>
        <w:pStyle w:val="BookText"/>
        <w:rPr/>
      </w:pPr>
      <w:r>
        <w:rPr>
          <w:rFonts w:ascii="Amiri" w:hAnsi="Amiri" w:eastAsia="Amiri" w:cs="Amiri"/>
          <w:color w:val="111111"/>
          <w:sz w:val="28"/>
          <w:sz w:val="28"/>
          <w:szCs w:val="28"/>
          <w:rtl w:val="true"/>
          <w:lang w:bidi="ar-SA"/>
        </w:rPr>
        <w:t>الفهارس العامّة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الآيات الكريمة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الأحاديث الشريفة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أسماء المعصومين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الأعلام </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الكتب الواردة في المتن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مصادر التحقيق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8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8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الفقهية ، المحقّق الخراساني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متنها في الصفحة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الفقهية ، المحقّق الخراساني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موثّقة بإسحاق بن جرير ؛ فإنّه واقفي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مستند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 ضمن تراث الشيخ الأعظم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الكليني ، عن محمّد بن إسماعيل ، عن الفضل بن شاذان ، عن حمّاد بن عيسى وابن أبي عمير ، جميعاً عن معاوية بن عمّار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الترديد لوقوع محمّد بن إسماعيل النيسابوري في السند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يأتي حوله في الصفحة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الطهارة ، أبواب الحيض ، الباب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الفقهية ، المحقّق الخراساني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الطهارة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أبو جعفر عليه‌السلام عن رجل افتض امرأته أو أمته فرأت دماً كثيراً لا ينقطع عنها يوماً ، كيف تصنع بالصلاة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تمسك الكرسف فإن خرجت القطنة مطوّقةً بالدم فإنّه من العذرة ، تغتسل ، وتمسك معها قطنةً وتصلّي ، فإن خرج الكرسف منغمساً بالدم فهو من الطمث ، تقعد عن الصلاة أيّام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في ترجمة محمّد بن جعفر بن محمّد بن عون الأسدي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أبوه وجهاً روى عنه أحمد بن محمّد بن عيسى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مستند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وكذا قيل فيما يخرج</w:t>
      </w:r>
      <w:r>
        <w:rPr>
          <w:rFonts w:eastAsia="IRNazanin" w:cs="IRNazanin"/>
          <w:b w:val="false"/>
          <w:bCs w:val="false"/>
          <w:i w:val="false"/>
          <w:iCs w:val="false"/>
          <w:color w:val="333333"/>
          <w:sz w:val="20"/>
          <w:szCs w:val="20"/>
          <w:rtl w:val="true"/>
        </w:rPr>
        <w:t>»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مصنّفات المفيد رحمه‌الله ، اُنظر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مصابيح الظلام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إلى نيل الفضيلة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التعادل والترجيح ، الإمام الخميني قدس‌سره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مستند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وكذا قيل فيما يخرج</w:t>
      </w:r>
      <w:r>
        <w:rPr>
          <w:rFonts w:eastAsia="IRNazanin" w:cs="IRNazanin"/>
          <w:b w:val="false"/>
          <w:bCs w:val="false"/>
          <w:i w:val="false"/>
          <w:iCs w:val="false"/>
          <w:color w:val="333333"/>
          <w:sz w:val="20"/>
          <w:szCs w:val="20"/>
          <w:rtl w:val="true"/>
        </w:rPr>
        <w:t>»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الطهارة ، ضمن تراث الشيخ الأعظم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ستأتي في الصفحة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الفقيه ، الطهارة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مستمسك العروة الوثقى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الطهارة ، أبواب الحيض ، الباب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المغني، 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العزيز، ذيل المجموع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الطهارة ، أبواب الحيض ، الباب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الطلاق ، أبواب العدد ،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النفاس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النفاس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النفاس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النفاس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الكليني ، عن علي بن إبراهيم ، عن أبيه ، عن ابن أبي عمير ، عن يونس بن يعقوب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صحيحة أو موثّقة ؛ لأنّ يونس بن يعقوب مردّد بين كونه ثقةً أو موثّقاً ، فإنّه كان فطحياً ثمّ رجع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لا يخفى أنّ الرواية صحيحة عند المصنّف كما يأتي التصريح بها في الصفحة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الياء</w:t>
      </w:r>
      <w:r>
        <w:rPr>
          <w:rFonts w:eastAsia="IRNazanin" w:cs="IRNazanin"/>
          <w:b w:val="false"/>
          <w:bCs w:val="false"/>
          <w:i w:val="false"/>
          <w:iCs w:val="false"/>
          <w:color w:val="333333"/>
          <w:sz w:val="20"/>
          <w:szCs w:val="20"/>
          <w:rtl w:val="true"/>
        </w:rPr>
        <w:t>)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كخبر منصور بن حازم ،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العزيز ، ذيل المجموع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تأتي في الصفحة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الطهارة، ضمن تراث الشيخ الأعظم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الفقيه ، الطهارة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مستند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الطلاق ، أبواب العدد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وجهه في الصفحة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الشيخ بإسناده ، عن علي بن الحسن ، عن محمّد بن الحسين بن أبي الخطّاب ، عن صفوان ، عن عبدالرحمان بن الحجّاج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في المشيخة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ذكرته في هذا الكتاب عن علي بن الحسن بن فضّال فقد أخبرني به أحمد بن عبدون المعروف بابن الحاشر سماعاً منه وإجازة عن علي بن محمّد ابن الزبير عن علي بن الحسن بن فضّال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 المشيخة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الطلاق ، أبواب العدد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تبصرة المتعلّمين ، المحقّق العراقي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مقدّمة العبادات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مستند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الطلاق ، أبواب العدد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الطوسي في مشيخة التهذيب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ذكرته في هذا الكتاب عن علي بن الحسن بن فضّال ، فقد أخبرني به أحمد بن عبدون المعروف بابن الحاشر سماعاً منه وإجازة عن علي بن محمّد بن الزبير ، عن علي بن الحسن بن فضّال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 المشيخة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منتهى المقال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تأتي في الصفحة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الاستصحاب ، الإمام الخميني قدس‌سره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الطلاق ، أبواب العدد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الفقهية ، المحقّق الخراساني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الطهارة ، ضمن تراث الشيخ الأعظم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مصابيح الظلام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الفهرست ،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باب النفاس ما يمكن أن يكون وجه التناسب 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الطهارة ، ضمن تراث الشيخ الأعظم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الطلاق ، أبواب العدد ،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مستند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نواقض الوضوء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الاستصحاب ، الإمام الخميني قدس‌سره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 ضمن تراث الشيخ الأعظم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ذخيرة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الطهارة ، ضمن تراث الشيخ الأعظم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 ضمن تراث الشيخ الأعظم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الناضرة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الطهارة ، ضمن تراث الشيخ الأعظم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 ضمن تراث الشيخ الأعظم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تقدّمتا في الصفحة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مصباح الفقيه ، الطهارة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تقدّمتا في الصفحة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النفاس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مطابق مع النسخة الحجرية من الوسائل ، راجع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السطر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الحجري</w:t>
      </w:r>
      <w:r>
        <w:rPr>
          <w:rFonts w:eastAsia="IRNazanin" w:cs="IRNazanin"/>
          <w:b w:val="false"/>
          <w:bCs w:val="false"/>
          <w:i w:val="false"/>
          <w:iCs w:val="false"/>
          <w:color w:val="333333"/>
          <w:sz w:val="20"/>
          <w:szCs w:val="20"/>
          <w:rtl w:val="true"/>
        </w:rPr>
        <w:t>)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الطهارة ، ضمن تراث الشيخ الأعظم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الطلاق ، أبواب العدد ،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الطلاق ، أبواب العدد ،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أكثر أحاديث الباب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والمطلّقات يتربّصن بأنفسهنّ ثلاثة قروء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فقه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العرفان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السرخسي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المغني ، ابن قدامة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الطلاق ، أبواب العدد ،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مستند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كمضمرة سماعة ، راجع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الطهارة ، ضمن تراث الشيخ الأعظم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 ضمن تراث الشيخ الأعظم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 ضمن تراث الشيخ الأعظم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الطهارة ، ضمن تراث الشيخ الأعظم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الفقيه ، الطهارة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الطهارة ، ضمن تراث الشيخ الأعظم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الرسائل الفقهية ، المحقّق الخراساني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الفقهية ، المحقّق الخراساني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متنها في الصفحة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الأصل والصحيح زيادة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w:t>
      </w:r>
      <w:r>
        <w:rPr>
          <w:rFonts w:eastAsia="IRNazanin" w:cs="IRNazanin"/>
          <w:b w:val="false"/>
          <w:bCs w:val="false"/>
          <w:i w:val="false"/>
          <w:iCs w:val="false"/>
          <w:color w:val="333333"/>
          <w:sz w:val="20"/>
          <w:szCs w:val="20"/>
          <w:rtl w:val="true"/>
        </w:rPr>
        <w:t>»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الاستصحاب ، الإمام الخميني قدس‌سره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تقدّما في الصفحة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الفقهية ، المحقّق الخراساني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متنها الكامل في الصفحة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 ضمن تراث الشيخ الأعظم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 السرخسي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متنها الكامل في الصفحة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 ضمن تراث الشيخ الأعظم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الفقهية ، المحقّق الخراساني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مستند الشيعة</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الطهارة ، ضمن تراث الشيخ الأعظم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ضمن مرسلة يونس في الصفحة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النفاس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 ضمن تراث الشيخ الأعظم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الفقيه ، الطهارة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النفاس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النفاس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 ضمن تراث الشيخ الأعظم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 ضمن تراث الشيخ الأعظم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الاستصحاب ، الإمام الخميني قدس‌سره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الإشارات والتنبيهات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المتعالية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الاستصحاب ، الإمام الخميني قدس‌سره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تقدّمت الروايات في الصفحة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السنّة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 ضمن تراث الشيخ الأعظم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الفقيه ، الطهارة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وراجع ما تقدّم في الصفحة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وجهه في الصفحة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الاستحاضة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النفاس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مصباح الفقيه ، الطهارة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الاستصحاب ، الإمام الخميني قدس‌سره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الطهارة ، ضمن تراث الشيخ الأعظم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مصباح الفقيه ، الطهارة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لباس المصلّي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الكليني ، عن محمّد بن يحيى ، عن سلمة بن الخطّاب ، عن علي بن الحسن الطاطري ، عن محمّد بن أبي حمزة ، عن ابن مسكان ، عن شرحبيل الكندي ، عن أبي عبداللّه عليه‌السلام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تعرف الطامث طهرها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تعمد برجلها اليسرى على الحائط ، وتستدخل الكرسف بيدها اليمنى ، فإن كان ثمّ مثل رأس الذباب خرج على الكرسف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وجه ضعف مرسلة يونس في الصفحة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 رواية الكندي فإنّها ضعيفة بسلمة بن الخطاب الضعيف وشرحبيل الكندي المجهول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كون هذا الكتاب روايةً غير ثابت فضلاً عن اعتباره كما قاله المصنّف قدس‌سره في الجزء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مستمسك العروة الوثقى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 ضمن تراث الشيخ الأعظم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وتقدّم أيضاً في الصفحة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 ضمن تراث الشيخ الأعظم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الطهارة ، ضمن تراث الشيخ الأعظم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ذخيرة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متنها الكامل في الصفحة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وتقدّمت أيضاً في الصفحة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تقدّمتا في الصفحة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الطلاق ، أبواب العدد ، الباب</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النفاس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الرواسي هو أبو عمرو عثمان بن عيسى الكلابي ، كان شيخ الواقفة ووجهها ، ثمّ تاب ورجع وهو من أصحاب الإجماع على 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اختيار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العين</w:t>
      </w:r>
      <w:r>
        <w:rPr>
          <w:rFonts w:eastAsia="IRNazanin" w:cs="IRNazanin"/>
          <w:b w:val="false"/>
          <w:bCs w:val="false"/>
          <w:i w:val="false"/>
          <w:iCs w:val="false"/>
          <w:color w:val="333333"/>
          <w:sz w:val="20"/>
          <w:szCs w:val="20"/>
          <w:rtl w:val="true"/>
        </w:rPr>
        <w:t>)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 ضمن تراث الشيخ الأعظم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النفاس،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الاستحاضة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الاستحاضة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الاستحاضة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متنها الكامل في الصفحة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 ضمن تراث الشيخ الأعظم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الاستحاضة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النفاس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الكليني ، عن عدّة من أصحابنا ، عن أحمد بن محمّد ، عن علي بن الحكم ، عن عبداللّه بن بكير ، عن عبد الرحمان بن أعين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الرحمان بن أعين إمامي ممدوح ، وعبداللّه بن بكير فطحي ثقة ، وبقيّة رجال السند لا كلام فيهم ، فحينئذٍ يتّصف السند بالحسن ، كما عبّر به هنا بناءً على كون الموثّق أقوى من الحسن ، ويتّصف بالموثّق كما عبّر به في الصفحة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على كون الحسن أقوى من الموثّق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العين</w:t>
      </w:r>
      <w:r>
        <w:rPr>
          <w:rFonts w:eastAsia="IRNazanin" w:cs="IRNazanin"/>
          <w:b w:val="false"/>
          <w:bCs w:val="false"/>
          <w:i w:val="false"/>
          <w:iCs w:val="false"/>
          <w:color w:val="333333"/>
          <w:sz w:val="20"/>
          <w:szCs w:val="20"/>
          <w:rtl w:val="true"/>
        </w:rPr>
        <w:t>))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النفاس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الاستحاضة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الصفحة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الطهارة ، ضمن تراث الشيخ الأعظم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الرسائل الفقهية ، المحقّق الخراسانى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الطهارة ، ضمن تراث الشيخ الأعظم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الطهارة ، ضمن تراث الشيخ الأعظم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 ضمن تراث الشيخ الأعظم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تقدّمتا في الصفحة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النفاس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النفاس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الاجتهاد والتقليد ، الإمام الخميني قدس‌سره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وَيَسأَ لُونَكَ عَنِ المَحِيضِ قُلْ هُوَ أَذًى فَاعتَزِلُوا النِساءَ فِى المَحِيضِ وَلاَ تَقرَبُوهُنَّ حَتّى يَطهُرنَ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الجزء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متنها الكامل في الصفحة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الاستحاضة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الاستصحاب ، الإمام الخميني قدس‌سره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نّه رجل فاضل ديّن وأ نّه أصدق لهجة من أحمد بن الحسن بن فضّال، مع كونه 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الوحيد البهبهاني في تعليقته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الوجيزة أ نّه ثقة ، وقال جدي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وثّقه بعض أصحابنا المعاصرين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تعليقات على منهج المقال ، الوحيد البهبهاني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الميم</w:t>
      </w:r>
      <w:r>
        <w:rPr>
          <w:rFonts w:eastAsia="IRNazanin" w:cs="IRNazanin"/>
          <w:b w:val="false"/>
          <w:bCs w:val="false"/>
          <w:i w:val="false"/>
          <w:iCs w:val="false"/>
          <w:color w:val="333333"/>
          <w:sz w:val="20"/>
          <w:szCs w:val="20"/>
          <w:rtl w:val="true"/>
        </w:rPr>
        <w:t>)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الاستحاضة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الاستحاضة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الاستحاضة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النفاس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الصفحة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الشرح الكبير ، ذيل 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الفقه على المذاهب الأربعة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الشرح الكبير ، ذيل 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الطهارة ، أبواب الحيض ، الباب</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إلى نيل الفضيلة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الشيخ الطوسي بإسناده ، عن محمّد بن أحمد بن يحيى ، عن بعض أصحابنا ، عن الطيالسي ، عن أحمد بن محمّد ، عن داود بن فرقد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مع إرسالها ضعيفة بمحمّد بن خالد الطيالسي ؛ لأ نّه مهمل في كتب الرجال ، وضعّفه المحقّق في المعتبر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استدباره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وسطه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والمتن مطابق لبعض الكتب الفقهية ، راجع 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الفقيه ، الطهارة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الحدود ، أبواب بقيّة الحدود ،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الشيخ الطوسي ، عن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محمّد ، عن أبيه ، عن سعد بن عبداللّه ، عن أحمد بن محمّد ، عن الحسن بن علي الوشّاء ، عن عبداللّه بن سنان ، عن حفص ، عن محمّد بن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وحفص مشترك بين حفص الأعور المجهول وحفص بن البختري الثقة ، ولكن لا يبعد أن يكون المراد بحفص في هذا السند بقرينة الراوي والمرويّ عنه هو حفص بن البختري ، وعلى هذا تكون الرواية صحيحة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الطهارة ، أبواب الحيض ، الباب</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الطهارة ، أبواب الحيض ، الباب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وجه ضعفها في الصفحة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الصفحة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الصفحة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اُصول الشريعة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 ضمن تراث الشيخ الأعظم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 ضمن تراث الشيخ الأعظم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 الإلهيات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المتعالية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المنظومة ، قسم الحكمة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 الإلهيات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ابن سينا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المتعالية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تقدّمتا في الصفحة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 ضمن تراث الشيخ الأعظم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الطهارة ، ضمن تراث الشيخ الأعظم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بعض الروايات في الصفحة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يأتي في الصفحة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التبيان في تفسير</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الهداية ،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لباس المصلّي ،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الطهارة ، ضمن تراث الشيخ الأعظم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جواهر الكلام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اُبي بن كعب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لقي رسول اللّه صلى‌الله‌عليه‌و‌آله‌وسلم جبرئيل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جبرئيل إنّي بعثت إلى اُمّة اُمّيين منهم العجوز والشيخ الكبير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إنّ القرآن اُنزل على سبعة أحرف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4013</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جواهر الكلام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الصلاة ، ضمن تراث الشيخ الأعظم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 ضمن تراث الشيخ الأعظم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الاستصحاب ، الإمام الخميني قدس‌سره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 ضمن تراث الشيخ الأعظم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الاستصحاب ، الإمام الخميني قدس‌سره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الشيخ الطوسي بإسناده ، عن علي بن الحسن بن فضّال ، عن محمّد وأحمد ابني الحسن ، عن أبيهما ، عن عبداللّه بن بكير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أنّ في طريق الشيخ إلى علي بن الحسن ، علي بن محمّد بن الزبير القرشي ، ولم يرد فيه توثيق ، ولكنّ الأرجح عند المصنّف قدس‌سره قبول رواياته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الصفحة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الشيخ الطوسي بإسناده ، عن علي بن الحسن بن فضّال ، عن أيّوب بن نوح ، عن محمّد بن أبي حمزة ، عن علي بن يقطين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وجه عدم بُعد كونها موثّقة في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وجهه في الصفحة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الفقه على المذاهب الأربعة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الصفحة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الصفحة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كموثّقة ابن بكير ، عن أبي عبداللّه عليه‌السلام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انقطع الدم ولم تغتسل فليأتها زوجها إن شاء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ما تقدّم في الصفحة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روض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تقدّم في الصفحة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 ضمن تراث الشيخ الأعظم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الطهارة ، أبواب التيمّم ، الباب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الطهارة ، ضمن تراث الشيخ الأعظم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الجزء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عبداللّه عليه‌السلام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المرأة إذا تيمّمت من الحيض ، هل تحلّ لزوجها ؟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في شأنه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ضعيفاً في الحديث ، غير معتمد فيه ، وكان أحمد بن محمّد بن عيسى يشهد عليه بالغلوّ والكذب وأخرجه من قم إلى الري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السين</w:t>
      </w:r>
      <w:r>
        <w:rPr>
          <w:rFonts w:eastAsia="IRNazanin" w:cs="IRNazanin"/>
          <w:b w:val="false"/>
          <w:bCs w:val="false"/>
          <w:i w:val="false"/>
          <w:iCs w:val="false"/>
          <w:color w:val="333333"/>
          <w:sz w:val="20"/>
          <w:szCs w:val="20"/>
          <w:rtl w:val="true"/>
        </w:rPr>
        <w:t>) .</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الصفحة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الوضوء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الجنابة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ما يأتي في الصفحة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جمل العلم والعمل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الوضوء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الجنابة ،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الجنابة ،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الجنابة ،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الجنابة ،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الجنابة ،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الجنابة ،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الجنابة ،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الجنابة ،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الجنابة ،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الجنابة ،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الجنابة ،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 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الجنابة ،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الشيخ الطوسي بإسناده ، عن سعد بن عبداللّه ، عن الحسن بن علي بن إبراهيم ، عن جدّه إبراهيم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ضعيفة بالحسن بن علي بن إبراهيم الهمداني ، فإنّه مهمل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الشيخ الطوسي بإسناده ، عن سعد ، عن موسى بن جعفر عن الحسن بن الحسين اللؤلؤي ، عن الحسن بن علي بن فضّال ، عن حمّاد بن عثمان ، عن رجل ، عن أبي عبداللّه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ضعيفة بموسى بن جعفر بن وهب البغدادي والحسن بن الحسين اللؤلؤي ، فإنّ الأوّل مهمل لم يرد في شأنه شيء من الجرح أو التعديل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 اختلف في وثاقته ، فوثّقه النجاشي في ترجمته واستثناه ابن الوليد من رجال محمّد بن أحمد بن يحيى ، ولهذا ضعّفه المصنّف قدس‌سره في الجزء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الجنابة ،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الجنابة ،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الجنابة ،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الجنابة ،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الجنابة ،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الجنابة ،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الجنابة ،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الشيخ الطوسي بإسناده ، عن محمّد بن الحسن الصفّار ، عن يعقوب بن يزيد ، عن ابن أبي عمير ، عن حمّاد بن عثمان أو غيره ، عن أبي عبداللّه عليه‌السلام ، فإنّ الطريق إلى ابن أبي عمير صحيح كما تقدّم في الصفحة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ولكنّ الراوي عن أبي عبداللّه عليه‌السلاممردّد بين حمّاد بن عثمان وراوٍ آخر غير معلوم ، فالرواية إمّا صحيحة أو مرسلة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الجنابة ،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متنها الكامل فيالصفحة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ذخيرة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الجنابة ،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غسل الميّت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غسل المسّ ،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الأغسال المسنونة ، أحاديث الأبواب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قضاء الصلوات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أنوار الهداية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قضاء الصلوات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الجزء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الكلام فيه في الصفحة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الشين</w:t>
      </w:r>
      <w:r>
        <w:rPr>
          <w:rFonts w:eastAsia="IRNazanin" w:cs="IRNazanin"/>
          <w:b w:val="false"/>
          <w:bCs w:val="false"/>
          <w:i w:val="false"/>
          <w:iCs w:val="false"/>
          <w:color w:val="333333"/>
          <w:sz w:val="20"/>
          <w:szCs w:val="20"/>
          <w:rtl w:val="true"/>
        </w:rPr>
        <w:t>) .</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توصيف الرواية بالضعف لوقوع أبي الورد في السند ؛ فإنّه مهمل لم يرد في شأنه شيء من الجرح أو التعديل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المواقيت ،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المواقيت ،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المواقيت ،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 المحقّق الحائري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مستمسك العروة الوثقى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إصباح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 المحقّق الحائري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التقرير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الشيخ الطوسي بإسناده ، عن محمّد بن علي بن محبوب ، عن العبّاس ، عن إسماعيل بن همّام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إشكال في السند إلاّ في طريق الشيخ إلى محمّد بن علي بن محبوب ، فإنّ فيه أحمد ابن محمّد بن يحيى العطّار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في مشيخته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ذكرته في هذا الكتاب عن محمّد بن علي بن محبوب فقد أخبرني به الحسين بن عبيداللّه ، عن أحمد بن محمّد بن يحيى العطّار ، عن أبيه محمّد بن يحيى ، عن محمّد بن علي بن محبوب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محلّ كلام إلاّ أ نّه وثّقه العلاّمة والمجلسي ، ولا إشكال في وثاقته بلحاظ رواياته الكثيرة في أبواب الفقه ، كما قال المصنّف قدس‌سره في بعض تقريراته الاُصولية في تصحيح حديث الرفع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 المشيخة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تنقيح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المواقيت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المواقيت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المواقيت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التيمّم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الصلاة ، أبواب لباس المصلّي ، الباب</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نواقض الوضوء ،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صلاة الخوف والمطاردة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هذا الحديث بهذا اللفظ في الكتب الروائية ، نعم في صحيحة زرارة الواردة في أبواب الاستحاضة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تدع الصلاة على حال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الاستحاضة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ما يأتي في الجزء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الشيخ الطوسي بإسناده ، عن علي بن الحسن بن فضّال ، عن عبد الرحمان بن أبي نجران ، عن عبداللّه بن سنان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أنّ في طريق الشيخ إلى علي بن الحسن ، علي بن محمّد بن الزبير القرشي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من الكلام في الزبيري في الصفحة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ابن الأثير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بصيغة المبنيّ للمعلوم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تأتي في الصفحة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 xml:space="preserve"> .</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في ترتيب المعرب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 الزمخشري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أحاديث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2947</w:t>
      </w:r>
      <w:r>
        <w:rPr>
          <w:rFonts w:eastAsia="IRNazanin" w:cs="IRNazanin"/>
          <w:b w:val="false"/>
          <w:bCs w:val="false"/>
          <w:i w:val="false"/>
          <w:iCs w:val="false"/>
          <w:color w:val="333333"/>
          <w:sz w:val="20"/>
          <w:szCs w:val="20"/>
          <w:rtl w:val="true"/>
        </w:rPr>
        <w:t xml:space="preserve"> .</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مرآة العقول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 الزمخشري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الاستحاضة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ويأتي أيضاً في الصفحة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دم عبيط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 خالص</w:t>
      </w:r>
      <w:r>
        <w:rPr>
          <w:rFonts w:eastAsia="IRNazanin" w:cs="IRNazanin"/>
          <w:b w:val="false"/>
          <w:bCs w:val="false"/>
          <w:i w:val="false"/>
          <w:iCs w:val="false"/>
          <w:color w:val="333333"/>
          <w:sz w:val="20"/>
          <w:szCs w:val="20"/>
          <w:rtl w:val="true"/>
        </w:rPr>
        <w:t>» .</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تأتي في الصفحة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تأتي الروايتان في الصفحة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النفاس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 ضمن تراث الشيخ الأعظم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ابن الأثير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النفاس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الاستحاضة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 ضمن تراث الشيخ الأعظم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الاستحاضة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الطهارة ، أبواب</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مسائل الناصريات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الناصريات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النساء ، ضمن مصنّفات الشيخ المفيد</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عزاه إليه في الذكرى والتنقيح وجامع المقاصد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مصابيح الظلام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نكاح العبيد والإماء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الطلاق ، أبواب مقدّمات الطلاق وشرائطه ،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ما قاله الصدوق رحمه‌الله في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مرسلة يونس القصيرة ؛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تأتي في الصفحة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تأتي في الصفحة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 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الشرح الكبير ، ذيل المغني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الطلاق ، أبواب مقدّمات الطلاق وشرائطه ،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الطلاق ، أبواب مقدّمات الطلاق وشرائطه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نكاح العبيد والإماء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الطلاق ، أبواب العدد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الطلاق ، أبواب العدد ،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الطلاق ، أبواب العدد ،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نكاح العبيد والإماء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نكاح العبيد والإماء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تأتي في الصفحة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تقدّمتا في الصفحة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تقدّمتا في الصفحة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ويأتي متنها في الصفحة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الصفحة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الفقيه ، الطهارة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والموجود في مفتاح الكرامة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وفي المدارك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المبتدئة هذا الحكم مجمع عليه بين الأصحاب ، قاله في المعتبر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وليعلم أنّ جماعة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وقع الخلاف بين أصحابنا في العبيدي على قولين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نّه ضعيف وهو الذي صرّح به جمع ، منهم الشيخ الطوسي 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ثانيهما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نّه ثقة وهو الذي صرّح به النجاشي والكشّي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اختيار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الميم</w:t>
      </w:r>
      <w:r>
        <w:rPr>
          <w:rFonts w:eastAsia="IRNazanin" w:cs="IRNazanin"/>
          <w:b w:val="false"/>
          <w:bCs w:val="false"/>
          <w:i w:val="false"/>
          <w:iCs w:val="false"/>
          <w:color w:val="333333"/>
          <w:sz w:val="20"/>
          <w:szCs w:val="20"/>
          <w:rtl w:val="true"/>
        </w:rPr>
        <w:t>) .</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 xml:space="preserve"> .</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الحواشي على شرح اللمعة الدمشقية ، المحقّق الخوانساري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 ضمن تراث الشيخ الأعظم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الصفحة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الطهارة ، ضمن تراث الشيخ الأعظم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الصفحة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مفاتيح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التنقيح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الشيخ بإسناده ، عن زرعة ، عن سماعة ، ورواها الكليني مرفوعةً عن زرعة ، عن سماعة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النفاس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 ضمن تراث الشيخ الأعظم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الصفحة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أنوار الهداية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الاستصحاب ، الإمام الخميني قدس‌سره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الشيخ ، عن أحمد بن عبدون ، عن علي بن محمّد بن الزبير ، عن علي بن الحسن ابن فضّال ، عن الحسن بن علي بن زياد الخزّاز ، وليس في السند من يتأمّل فيه إلاّ محمّد ابن الزبير القرشي ، وقد تقدّم الكلام فيه في الصفحة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تقدّمتا أيضاً في الصفحة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إلى نيل الفضيلة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 ضمن تراث الشيخ الأعظم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مستند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الفقيه ، الطهارة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 ضمن تراث الشيخ الأعظم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الفقيه ، الطهارة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تقدّمتا في الصفحة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الصفحة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الشيخ الطوسي بإسناده ، عن سعد بن عبداللّه ، عن موسى بن الحسن ، عن أحمد ابن هلال ، عن محمّد بن أبي عمير ، عن عبداللّه بن المغيرة ، عن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ضعيفة بأحمد بن هلال العبرتائي ، فإنّه رُمي بالغلوّ ومتّهم في دينه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اختيار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الاستحاضة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مرسلة يونس الطويلة التي تقدّمت في الصفحة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 ضمن تراث الشيخ الأعظم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الاستصحاب ، الإمام الخميني قدس‌سره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الفقهية ، المحقّق الخراساني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الهداية ،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وجهه في الصفحة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الاستحاضة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الاستحاضة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الاستحاضة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الطهارة ، أبواب الحيض ، الباب</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الاستحاضة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الاستحاضة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الاستحاضة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تقدّم متنهما في الصفحة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النفاس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تقدّم متنها في الصفحة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كرواية إسحاق بن عمّار ، راجع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إلى نيل الفضيلة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الناصريات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الالتباس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الاستحاضة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الاستحاضة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الاستحاضة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الاستحاضة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الاستحاضة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الاستحاضة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الاستحاضة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الطهارة ، ضمن تراث الشيخ الأعظم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مسائل الناصريات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الاستحاضة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الاستحاضة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الجنابة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الاستحاضة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 ضمن تراث الشيخ الأعظم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الاستحاضة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الاستحاضة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الجنابة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الاستحاضة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الاستحاضة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الناصريات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الجنابة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الاستحاضة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الاستحاضة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الاستحاضة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الاستحاضة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 xml:space="preserve"> .</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 ضمن تراث الشيخ الأعظم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الاستحاضة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الاستحاضة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موثّقة سماعة الاُخرى، وقد تقدّمت كلتا الموثّقتين في الصفحة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 ضمن تراث الشيخ الأعظم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الاستحاضة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تبصرة المتعلّمين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مسائل الناصريات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إلى نيل الفضيلة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رسائل الشريف المرتضى ، جمل العلم والعمل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مصابيح الظلام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 ضمن تراث الشيخ الأعظم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 ضمن تراث الشيخ الأعظم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 ضمن تراث الشيخ الأعظم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الاستحاضة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الاستحاضة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الاستحاضة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الرسائل العشر لابن فهد الحلّي ، الموجز الحاوي لتحرير الفتاوى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الالتباس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الحواشي على شرح اللمعة الدمشقية ، المحقّق الخوانساري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 ضمن تراث الشيخ الأعظم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 ضمن تراث الشيخ الأعظم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الاستحاضة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الاستحاضة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الطهارة ، ضمن تراث الشيخ الأعظم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 ضمن تراث الشيخ الأعظم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مصباح الفقيه ، الطهارة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الفقيه ، الطهارة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مصابيح الظلام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 ضمن تراث الشيخ الأعظم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المصابيح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الاستحاضة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 ضمن تراث الشيخ الأعظم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الاستحاضة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المواقيت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الاستحاضة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مصباح الفقيه ، الطهارة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مصباح الفقيه ، الطهارة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الاستحاضة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الاستحاضة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تقدّمتا في الصفحة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الاستحاضة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الاستحاضة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النجاسات ،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الاستحاضة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الاستحاضة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الاستحاضة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الاستحاضة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كشف الالتباس</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إلى نيل الفضيلة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الطواف ، 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الفقيه ، الطهارة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 ضمن تراث الشيخ الأعظم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الاستحاضة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الرسائل العشر لابن فهد الحلّي ، الموجز الحاوي لتحرير الفتاوى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الالتباس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ذخيرة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الرسائل العشر للشيخ الطوسي ، الجمل والعقود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إصباح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الهداية ،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اُنظر الطهارة ، ضمن تراث الشيخ الأعظم</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مستند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الفقيه ، الطهارة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الاستحاضة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الاستحاضة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الاستحاضة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الاستحاضة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النفاس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الاستحاضة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الاستحاضة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الاستحاضة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الاستحاضة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الشرعية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الفرائض والمواريث ، أبواب موانع الإرث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الميم</w:t>
      </w:r>
      <w:r>
        <w:rPr>
          <w:rFonts w:eastAsia="IRNazanin" w:cs="IRNazanin"/>
          <w:b w:val="false"/>
          <w:bCs w:val="false"/>
          <w:i w:val="false"/>
          <w:iCs w:val="false"/>
          <w:color w:val="333333"/>
          <w:sz w:val="20"/>
          <w:szCs w:val="20"/>
          <w:rtl w:val="true"/>
        </w:rPr>
        <w:t>) .</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السطر</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أيضاً الطهارة ، ضمن تراث الشيخ الأعظم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الفقيه ، الطهارة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بعض الكلام في وثاقته في الصفحة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النفاس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الاستحاضة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الاستحاضة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ذخيرة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مصابيح الظلام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مستند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الفقيه ، الطهارة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الطهارة ، ضمن تراث الشيخ الأعظم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صحيحة علي بن مهزيار ، التي تقدّمت في الصفحة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الطهارة ، ضمن تراث الشيخ الأعظم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الجنابة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الفرائض والمواريث ، أبواب ميراث الخُنثى ،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المغرب في ترتيب المعرب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المغني ، 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النفاس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النفاس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الرموز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التنقيح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الحواشي على شرح اللمعة الدمشقية ، المحقّق الخوانساري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تقدّمتا في الصفحة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النفاس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النفاس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الاستحاضة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تقدّم في الصفحة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تقدّمتا في الصفحة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الصفحة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الطهارة ، ضمن تراث الشيخ الأعظم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النفاس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النفاس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الناصريات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الرسائل العشر ، الجمل والعقود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إلى نيل الفضيلة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الشيخ الطوسي بإسناده ، عن محمّد بن أحمد بن يحيى ، عن إبراهيم بن هاشم ، عن النوفلي ، عن السكوني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إشكال في السند ؛ لأنّ النوفلي وإن لم يرد فيه توثيق ، والسكوني وإن كان عامّياً إلاّ أنّ الأرجح عند المصنّف قدس‌سره وثاقتهما ، كما يظهر بالفحص والتدبّر في رواياتهما وعمل الأصحاب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يأتي في الجزء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 ضمن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الطهارة ، أبواب</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الالتباس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مصابيح الظلام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الشيخ الطوسي ، عن الحسين بن عبيداللّه بن إبراهيم ، عن هارون بن موسى التلعكبري ، عن محمّد بن همام بن سهيل ، عن عبداللّه بن جعفر الحميري ، عن محمّد بن خالد الطيالسي الخزّاز ، عن زريق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ضعيفة بالطيالسي وزريق فإنّهما مهملان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النفاس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ما يأتي في الصفحة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عبداللّه عليه‌السلام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النفساء ، كم حدّ نفاسها حتّى تجب عليها الصلاة ؟ وكيف تصنع؟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لها حدّ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النفاس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وجه ضعفها في الصفحة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 ضمن تراث الشيخ الأعظم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الفقيه ، الطهارة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أبي عبداللّه عليه‌السلام أ نّه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نساءكم لسن كالنساء الاُول ، إنّ نساءكم أكبر لحماً وأكثر دماً فلتقعد حتّى تطهر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الالتباس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المحقّق الكركي وآثاره ، الرسالة الجعفرية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الصفحة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يأتي في الصفحة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جمل العلم والعمل ، اُنظر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التنقيح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الفائدة والبرهان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أحكام النساء المطبوعة ضمن مصنّفات الشيخ المفيد ، ولكن نقل عنه في السرائر والمفتاح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النفاس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الاستحاضة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النفاس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النفاس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الطهارة ، ضمن تراث الشيخ الأعظم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النفاس ،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النفاس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النفاس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بمثل أيّام اُمّها أيّامها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النفاس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الحيض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النفاس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النفاس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النفاس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النفاس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النفاس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النفاس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النفاس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النفاس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النفاس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النفاس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الصفحة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 ضمن تراث الشيخ الأعظم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الفقيه ، الطهارة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مدارك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الفقهية ، المحقّق الخراساني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الناصريات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النفاس ،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النفاس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الصفحة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هذه الروايات في الصفحة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النفاس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الطهارة ، ضمن تراث الشيخ الأعظم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الصفحة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النفاس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النفاس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النفاس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الماء المطلق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هذه الروايات في الصفحة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 الطهارة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الطهارة ، أبواب الحيض ، الباب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 ضمن تراث الشيخ الأعظم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مصابيح الظلام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الفقيه ، الطهارة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image" Target="media/image2.jpeg"/><Relationship Id="rId681" Type="http://schemas.openxmlformats.org/officeDocument/2006/relationships/image" Target="media/image2.jpeg"/><Relationship Id="rId682" Type="http://schemas.openxmlformats.org/officeDocument/2006/relationships/footer" Target="footer675.xml"/><Relationship Id="rId683" Type="http://schemas.openxmlformats.org/officeDocument/2006/relationships/footnotes" Target="footnotes.xml"/><Relationship Id="rId684" Type="http://schemas.openxmlformats.org/officeDocument/2006/relationships/numbering" Target="numbering.xml"/><Relationship Id="rId685" Type="http://schemas.openxmlformats.org/officeDocument/2006/relationships/fontTable" Target="fontTable.xml"/><Relationship Id="rId686" Type="http://schemas.openxmlformats.org/officeDocument/2006/relationships/settings" Target="settings.xml"/><Relationship Id="rId68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690</Pages>
  <Words>72448</Words>
  <Characters>283214</Characters>
  <CharactersWithSpaces>352796</CharactersWithSpaces>
  <Paragraphs>3215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2026-08-24T20:02:25Z</dcterms:created>
  <dc:creator>ghaemiyeh.com</dc:creator>
  <dc:description/>
  <dc:language>en-US</dc:language>
  <cp:lastModifiedBy/>
  <dcterms:modified xsi:type="dcterms:W3CDTF">2026-08-24T23:32:48Z</dcterms:modified>
  <cp:revision>1</cp:revision>
  <dc:subject/>
  <dc:title>موسوعة الامام الخمینی قدس سرة الشریف المجلدات 8 - 11 کتاب الطهارة جلد 1</dc:title>
</cp:coreProperties>
</file>

<file path=docProps/custom.xml><?xml version="1.0" encoding="utf-8"?>
<Properties xmlns="http://schemas.openxmlformats.org/officeDocument/2006/custom-properties" xmlns:vt="http://schemas.openxmlformats.org/officeDocument/2006/docPropsVTypes"/>
</file>