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علم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616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8618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8620_1738255347">
            <w:r>
              <w:rPr>
                <w:webHidden/>
                <w:rStyle w:val="IndexLink"/>
                <w:rtl w:val="true"/>
              </w:rPr>
              <w:t>کلمة المؤتمر</w:t>
            </w:r>
            <w:r>
              <w:rPr>
                <w:rStyle w:val="IndexLink"/>
                <w:rtl w:val="true"/>
              </w:rPr>
              <w:tab/>
            </w:r>
            <w:r>
              <w:rPr>
                <w:rStyle w:val="IndexLink"/>
              </w:rPr>
              <w:t>16</w:t>
            </w:r>
          </w:hyperlink>
        </w:p>
        <w:p>
          <w:pPr>
            <w:pStyle w:val="Contents2"/>
            <w:tabs>
              <w:tab w:val="clear" w:pos="8743"/>
              <w:tab w:val="right" w:pos="9026" w:leader="dot"/>
            </w:tabs>
            <w:rPr/>
          </w:pPr>
          <w:hyperlink w:anchor="__RefHeading___Toc508622_1738255347">
            <w:r>
              <w:rPr>
                <w:webHidden/>
                <w:rStyle w:val="IndexLink"/>
                <w:rtl w:val="true"/>
              </w:rPr>
              <w:t>الحلقة الاولی</w:t>
            </w:r>
            <w:r>
              <w:rPr>
                <w:rStyle w:val="IndexLink"/>
                <w:rtl w:val="true"/>
              </w:rPr>
              <w:tab/>
            </w:r>
            <w:r>
              <w:rPr>
                <w:rStyle w:val="IndexLink"/>
              </w:rPr>
              <w:t>20</w:t>
            </w:r>
          </w:hyperlink>
        </w:p>
        <w:p>
          <w:pPr>
            <w:pStyle w:val="Contents3"/>
            <w:tabs>
              <w:tab w:val="clear" w:pos="8459"/>
              <w:tab w:val="right" w:pos="9026" w:leader="dot"/>
            </w:tabs>
            <w:rPr/>
          </w:pPr>
          <w:hyperlink w:anchor="__RefHeading___Toc508624_17382553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08626_1738255347">
            <w:r>
              <w:rPr>
                <w:webHidden/>
                <w:rStyle w:val="IndexLink"/>
                <w:rtl w:val="true"/>
              </w:rPr>
              <w:t>إهداء</w:t>
            </w:r>
            <w:r>
              <w:rPr>
                <w:rStyle w:val="IndexLink"/>
                <w:rtl w:val="true"/>
              </w:rPr>
              <w:tab/>
            </w:r>
            <w:r>
              <w:rPr>
                <w:rStyle w:val="IndexLink"/>
              </w:rPr>
              <w:t>22</w:t>
            </w:r>
          </w:hyperlink>
        </w:p>
        <w:p>
          <w:pPr>
            <w:pStyle w:val="Contents3"/>
            <w:tabs>
              <w:tab w:val="clear" w:pos="8459"/>
              <w:tab w:val="right" w:pos="9026" w:leader="dot"/>
            </w:tabs>
            <w:rPr/>
          </w:pPr>
          <w:hyperlink w:anchor="__RefHeading___Toc508628_1738255347">
            <w:r>
              <w:rPr>
                <w:webHidden/>
                <w:rStyle w:val="IndexLink"/>
                <w:rtl w:val="true"/>
              </w:rPr>
              <w:t xml:space="preserve">مقدّمة </w:t>
            </w:r>
            <w:r>
              <w:rPr>
                <w:rStyle w:val="IndexLink"/>
                <w:rtl w:val="true"/>
              </w:rPr>
              <w:t>[</w:t>
            </w:r>
            <w:r>
              <w:rPr>
                <w:rStyle w:val="IndexLink"/>
                <w:rtl w:val="true"/>
              </w:rPr>
              <w:t>للحلقات الثلاث</w:t>
            </w:r>
            <w:r>
              <w:rPr>
                <w:rStyle w:val="IndexLink"/>
                <w:rtl w:val="true"/>
              </w:rPr>
              <w:t>]</w:t>
              <w:tab/>
            </w:r>
            <w:r>
              <w:rPr>
                <w:rStyle w:val="IndexLink"/>
              </w:rPr>
              <w:t>24</w:t>
            </w:r>
          </w:hyperlink>
        </w:p>
        <w:p>
          <w:pPr>
            <w:pStyle w:val="Contents4"/>
            <w:tabs>
              <w:tab w:val="clear" w:pos="8176"/>
              <w:tab w:val="right" w:pos="9026" w:leader="dot"/>
            </w:tabs>
            <w:rPr/>
          </w:pPr>
          <w:hyperlink w:anchor="__RefHeading___Toc508630_173825534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508632_1738255347">
            <w:r>
              <w:rPr>
                <w:webHidden/>
                <w:rStyle w:val="IndexLink"/>
                <w:rtl w:val="true"/>
              </w:rPr>
              <w:t>[</w:t>
            </w:r>
            <w:r>
              <w:rPr>
                <w:rStyle w:val="IndexLink"/>
                <w:rtl w:val="true"/>
              </w:rPr>
              <w:t>مناهج الحوزة العلمیّة فی دراسة هذا العلم</w:t>
            </w:r>
            <w:r>
              <w:rPr>
                <w:rStyle w:val="IndexLink"/>
                <w:rtl w:val="true"/>
              </w:rPr>
              <w:t>]</w:t>
              <w:tab/>
            </w:r>
            <w:r>
              <w:rPr>
                <w:rStyle w:val="IndexLink"/>
              </w:rPr>
              <w:t>26</w:t>
            </w:r>
          </w:hyperlink>
        </w:p>
        <w:p>
          <w:pPr>
            <w:pStyle w:val="Contents4"/>
            <w:tabs>
              <w:tab w:val="clear" w:pos="8176"/>
              <w:tab w:val="right" w:pos="9026" w:leader="dot"/>
            </w:tabs>
            <w:rPr/>
          </w:pPr>
          <w:hyperlink w:anchor="__RefHeading___Toc508634_1738255347">
            <w:r>
              <w:rPr>
                <w:webHidden/>
                <w:rStyle w:val="IndexLink"/>
                <w:rtl w:val="true"/>
              </w:rPr>
              <w:t>[</w:t>
            </w:r>
            <w:r>
              <w:rPr>
                <w:rStyle w:val="IndexLink"/>
                <w:rtl w:val="true"/>
              </w:rPr>
              <w:t>مبرّرات استبدال الکتب الدراسیّة فی هذا العلم</w:t>
            </w:r>
            <w:r>
              <w:rPr>
                <w:rStyle w:val="IndexLink"/>
                <w:rtl w:val="true"/>
              </w:rPr>
              <w:t>]</w:t>
              <w:tab/>
            </w:r>
            <w:r>
              <w:rPr>
                <w:rStyle w:val="IndexLink"/>
              </w:rPr>
              <w:t>28</w:t>
            </w:r>
          </w:hyperlink>
        </w:p>
        <w:p>
          <w:pPr>
            <w:pStyle w:val="Contents4"/>
            <w:tabs>
              <w:tab w:val="clear" w:pos="8176"/>
              <w:tab w:val="right" w:pos="9026" w:leader="dot"/>
            </w:tabs>
            <w:rPr/>
          </w:pPr>
          <w:hyperlink w:anchor="__RefHeading___Toc508636_1738255347">
            <w:r>
              <w:rPr>
                <w:webHidden/>
                <w:rStyle w:val="IndexLink"/>
                <w:rtl w:val="true"/>
              </w:rPr>
              <w:t>[</w:t>
            </w:r>
            <w:r>
              <w:rPr>
                <w:rStyle w:val="IndexLink"/>
                <w:rtl w:val="true"/>
              </w:rPr>
              <w:t>عدّة محاولات للاستبدال</w:t>
            </w:r>
            <w:r>
              <w:rPr>
                <w:rStyle w:val="IndexLink"/>
                <w:rtl w:val="true"/>
              </w:rPr>
              <w:t>]</w:t>
              <w:tab/>
            </w:r>
            <w:r>
              <w:rPr>
                <w:rStyle w:val="IndexLink"/>
              </w:rPr>
              <w:t>38</w:t>
            </w:r>
          </w:hyperlink>
        </w:p>
        <w:p>
          <w:pPr>
            <w:pStyle w:val="Contents4"/>
            <w:tabs>
              <w:tab w:val="clear" w:pos="8176"/>
              <w:tab w:val="right" w:pos="9026" w:leader="dot"/>
            </w:tabs>
            <w:rPr/>
          </w:pPr>
          <w:hyperlink w:anchor="__RefHeading___Toc508638_1738255347">
            <w:r>
              <w:rPr>
                <w:webHidden/>
                <w:rStyle w:val="IndexLink"/>
                <w:rtl w:val="true"/>
              </w:rPr>
              <w:t>[</w:t>
            </w:r>
            <w:r>
              <w:rPr>
                <w:rStyle w:val="IndexLink"/>
                <w:rtl w:val="true"/>
              </w:rPr>
              <w:t>الخصائص الملحوظة فی هذه الحلقات</w:t>
            </w:r>
            <w:r>
              <w:rPr>
                <w:rStyle w:val="IndexLink"/>
                <w:rtl w:val="true"/>
              </w:rPr>
              <w:t>]</w:t>
              <w:tab/>
            </w:r>
            <w:r>
              <w:rPr>
                <w:rStyle w:val="IndexLink"/>
              </w:rPr>
              <w:t>40</w:t>
            </w:r>
          </w:hyperlink>
        </w:p>
        <w:p>
          <w:pPr>
            <w:pStyle w:val="Contents4"/>
            <w:tabs>
              <w:tab w:val="clear" w:pos="8176"/>
              <w:tab w:val="right" w:pos="9026" w:leader="dot"/>
            </w:tabs>
            <w:rPr/>
          </w:pPr>
          <w:hyperlink w:anchor="__RefHeading___Toc508640_1738255347">
            <w:r>
              <w:rPr>
                <w:webHidden/>
                <w:rStyle w:val="IndexLink"/>
                <w:rtl w:val="true"/>
              </w:rPr>
              <w:t>[</w:t>
            </w:r>
            <w:r>
              <w:rPr>
                <w:rStyle w:val="IndexLink"/>
                <w:rtl w:val="true"/>
              </w:rPr>
              <w:t>إرشادات فی مجال دراسة هذا الکتاب</w:t>
            </w:r>
            <w:r>
              <w:rPr>
                <w:rStyle w:val="IndexLink"/>
                <w:rtl w:val="true"/>
              </w:rPr>
              <w:t>]</w:t>
              <w:tab/>
            </w:r>
            <w:r>
              <w:rPr>
                <w:rStyle w:val="IndexLink"/>
              </w:rPr>
              <w:t>48</w:t>
            </w:r>
          </w:hyperlink>
        </w:p>
        <w:p>
          <w:pPr>
            <w:pStyle w:val="Contents3"/>
            <w:tabs>
              <w:tab w:val="clear" w:pos="8459"/>
              <w:tab w:val="right" w:pos="9026" w:leader="dot"/>
            </w:tabs>
            <w:rPr/>
          </w:pPr>
          <w:hyperlink w:anchor="__RefHeading___Toc508642_1738255347">
            <w:r>
              <w:rPr>
                <w:webHidden/>
                <w:rStyle w:val="IndexLink"/>
                <w:rtl w:val="true"/>
              </w:rPr>
              <w:t>مُقَدّمَة للحلقة الاولی</w:t>
            </w:r>
            <w:r>
              <w:rPr>
                <w:rStyle w:val="IndexLink"/>
                <w:rtl w:val="true"/>
              </w:rPr>
              <w:tab/>
            </w:r>
            <w:r>
              <w:rPr>
                <w:rStyle w:val="IndexLink"/>
              </w:rPr>
              <w:t>50</w:t>
            </w:r>
          </w:hyperlink>
        </w:p>
        <w:p>
          <w:pPr>
            <w:pStyle w:val="Contents3"/>
            <w:tabs>
              <w:tab w:val="clear" w:pos="8459"/>
              <w:tab w:val="right" w:pos="9026" w:leader="dot"/>
            </w:tabs>
            <w:rPr/>
          </w:pPr>
          <w:hyperlink w:anchor="__RefHeading___Toc508644_1738255347">
            <w:r>
              <w:rPr>
                <w:webHidden/>
                <w:rStyle w:val="IndexLink"/>
                <w:rtl w:val="true"/>
              </w:rPr>
              <w:t>التمهید</w:t>
            </w:r>
            <w:r>
              <w:rPr>
                <w:rStyle w:val="IndexLink"/>
                <w:rtl w:val="true"/>
              </w:rPr>
              <w:tab/>
            </w:r>
            <w:r>
              <w:rPr>
                <w:rStyle w:val="IndexLink"/>
              </w:rPr>
              <w:t>51</w:t>
            </w:r>
          </w:hyperlink>
        </w:p>
        <w:p>
          <w:pPr>
            <w:pStyle w:val="Contents4"/>
            <w:tabs>
              <w:tab w:val="clear" w:pos="8176"/>
              <w:tab w:val="right" w:pos="9026" w:leader="dot"/>
            </w:tabs>
            <w:rPr/>
          </w:pPr>
          <w:hyperlink w:anchor="__RefHeading___Toc508646_173825534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08648_1738255347">
            <w:r>
              <w:rPr>
                <w:webHidden/>
                <w:rStyle w:val="IndexLink"/>
                <w:rtl w:val="true"/>
              </w:rPr>
              <w:t>التعریف بعلمِ الاصول</w:t>
            </w:r>
            <w:r>
              <w:rPr>
                <w:rStyle w:val="IndexLink"/>
                <w:rtl w:val="true"/>
              </w:rPr>
              <w:tab/>
            </w:r>
            <w:r>
              <w:rPr>
                <w:rStyle w:val="IndexLink"/>
              </w:rPr>
              <w:t>54</w:t>
            </w:r>
          </w:hyperlink>
        </w:p>
        <w:p>
          <w:pPr>
            <w:pStyle w:val="Contents5"/>
            <w:tabs>
              <w:tab w:val="clear" w:pos="7892"/>
              <w:tab w:val="right" w:pos="9026" w:leader="dot"/>
            </w:tabs>
            <w:rPr/>
          </w:pPr>
          <w:hyperlink w:anchor="__RefHeading___Toc508650_1738255347">
            <w:r>
              <w:rPr>
                <w:webHidden/>
                <w:rStyle w:val="IndexLink"/>
                <w:rtl w:val="true"/>
              </w:rPr>
              <w:t>کلمة تمهیدیة</w:t>
            </w:r>
            <w:r>
              <w:rPr>
                <w:rStyle w:val="IndexLink"/>
                <w:rtl w:val="true"/>
              </w:rPr>
              <w:tab/>
            </w:r>
            <w:r>
              <w:rPr>
                <w:rStyle w:val="IndexLink"/>
              </w:rPr>
              <w:t>54</w:t>
            </w:r>
          </w:hyperlink>
        </w:p>
        <w:p>
          <w:pPr>
            <w:pStyle w:val="Contents5"/>
            <w:tabs>
              <w:tab w:val="clear" w:pos="7892"/>
              <w:tab w:val="right" w:pos="9026" w:leader="dot"/>
            </w:tabs>
            <w:rPr/>
          </w:pPr>
          <w:hyperlink w:anchor="__RefHeading___Toc508652_1738255347">
            <w:r>
              <w:rPr>
                <w:webHidden/>
                <w:rStyle w:val="IndexLink"/>
                <w:rtl w:val="true"/>
              </w:rPr>
              <w:t>تعریف علم الاصول</w:t>
            </w:r>
            <w:r>
              <w:rPr>
                <w:rStyle w:val="IndexLink"/>
                <w:rtl w:val="true"/>
              </w:rPr>
              <w:tab/>
            </w:r>
            <w:r>
              <w:rPr>
                <w:rStyle w:val="IndexLink"/>
              </w:rPr>
              <w:t>55</w:t>
            </w:r>
          </w:hyperlink>
        </w:p>
        <w:p>
          <w:pPr>
            <w:pStyle w:val="Contents5"/>
            <w:tabs>
              <w:tab w:val="clear" w:pos="7892"/>
              <w:tab w:val="right" w:pos="9026" w:leader="dot"/>
            </w:tabs>
            <w:rPr/>
          </w:pPr>
          <w:hyperlink w:anchor="__RefHeading___Toc508654_1738255347">
            <w:r>
              <w:rPr>
                <w:webHidden/>
                <w:rStyle w:val="IndexLink"/>
                <w:rtl w:val="true"/>
              </w:rPr>
              <w:t>موضوع علم الاصول</w:t>
            </w:r>
            <w:r>
              <w:rPr>
                <w:rStyle w:val="IndexLink"/>
                <w:rtl w:val="true"/>
              </w:rPr>
              <w:tab/>
            </w:r>
            <w:r>
              <w:rPr>
                <w:rStyle w:val="IndexLink"/>
              </w:rPr>
              <w:t>58</w:t>
            </w:r>
          </w:hyperlink>
        </w:p>
        <w:p>
          <w:pPr>
            <w:pStyle w:val="Contents5"/>
            <w:tabs>
              <w:tab w:val="clear" w:pos="7892"/>
              <w:tab w:val="right" w:pos="9026" w:leader="dot"/>
            </w:tabs>
            <w:rPr/>
          </w:pPr>
          <w:hyperlink w:anchor="__RefHeading___Toc508656_1738255347">
            <w:r>
              <w:rPr>
                <w:webHidden/>
                <w:rStyle w:val="IndexLink"/>
                <w:rtl w:val="true"/>
              </w:rPr>
              <w:t>علم الاصول منطق الفقه</w:t>
            </w:r>
            <w:r>
              <w:rPr>
                <w:rStyle w:val="IndexLink"/>
                <w:rtl w:val="true"/>
              </w:rPr>
              <w:tab/>
            </w:r>
            <w:r>
              <w:rPr>
                <w:rStyle w:val="IndexLink"/>
              </w:rPr>
              <w:t>59</w:t>
            </w:r>
          </w:hyperlink>
        </w:p>
        <w:p>
          <w:pPr>
            <w:pStyle w:val="Contents5"/>
            <w:tabs>
              <w:tab w:val="clear" w:pos="7892"/>
              <w:tab w:val="right" w:pos="9026" w:leader="dot"/>
            </w:tabs>
            <w:rPr/>
          </w:pPr>
          <w:hyperlink w:anchor="__RefHeading___Toc508658_1738255347">
            <w:r>
              <w:rPr>
                <w:webHidden/>
                <w:rStyle w:val="IndexLink"/>
                <w:rtl w:val="true"/>
              </w:rPr>
              <w:t>أهمّیة علم الاصول فی عملیة الاستنباط</w:t>
            </w:r>
            <w:r>
              <w:rPr>
                <w:rStyle w:val="IndexLink"/>
                <w:rtl w:val="true"/>
              </w:rPr>
              <w:tab/>
            </w:r>
            <w:r>
              <w:rPr>
                <w:rStyle w:val="IndexLink"/>
              </w:rPr>
              <w:t>60</w:t>
            </w:r>
          </w:hyperlink>
        </w:p>
        <w:p>
          <w:pPr>
            <w:pStyle w:val="Contents5"/>
            <w:tabs>
              <w:tab w:val="clear" w:pos="7892"/>
              <w:tab w:val="right" w:pos="9026" w:leader="dot"/>
            </w:tabs>
            <w:rPr/>
          </w:pPr>
          <w:hyperlink w:anchor="__RefHeading___Toc508660_1738255347">
            <w:r>
              <w:rPr>
                <w:webHidden/>
                <w:rStyle w:val="IndexLink"/>
                <w:rtl w:val="true"/>
              </w:rPr>
              <w:t>الاصول و الفقه یمثِّلان النظریة و التطبیق</w:t>
            </w:r>
            <w:r>
              <w:rPr>
                <w:rStyle w:val="IndexLink"/>
                <w:rtl w:val="true"/>
              </w:rPr>
              <w:tab/>
            </w:r>
            <w:r>
              <w:rPr>
                <w:rStyle w:val="IndexLink"/>
              </w:rPr>
              <w:t>61</w:t>
            </w:r>
          </w:hyperlink>
        </w:p>
        <w:p>
          <w:pPr>
            <w:pStyle w:val="Contents5"/>
            <w:tabs>
              <w:tab w:val="clear" w:pos="7892"/>
              <w:tab w:val="right" w:pos="9026" w:leader="dot"/>
            </w:tabs>
            <w:rPr/>
          </w:pPr>
          <w:hyperlink w:anchor="__RefHeading___Toc508662_1738255347">
            <w:r>
              <w:rPr>
                <w:webHidden/>
                <w:rStyle w:val="IndexLink"/>
                <w:rtl w:val="true"/>
              </w:rPr>
              <w:t>التفاعل بین الفکر الاصولیِّ و الفکر الفقهی</w:t>
            </w:r>
            <w:r>
              <w:rPr>
                <w:rStyle w:val="IndexLink"/>
                <w:rtl w:val="true"/>
              </w:rPr>
              <w:tab/>
            </w:r>
            <w:r>
              <w:rPr>
                <w:rStyle w:val="IndexLink"/>
              </w:rPr>
              <w:t>62</w:t>
            </w:r>
          </w:hyperlink>
        </w:p>
        <w:p>
          <w:pPr>
            <w:pStyle w:val="Contents4"/>
            <w:tabs>
              <w:tab w:val="clear" w:pos="8176"/>
              <w:tab w:val="right" w:pos="9026" w:leader="dot"/>
            </w:tabs>
            <w:rPr/>
          </w:pPr>
          <w:hyperlink w:anchor="__RefHeading___Toc508664_1738255347">
            <w:r>
              <w:rPr>
                <w:webHidden/>
                <w:rStyle w:val="IndexLink"/>
                <w:rtl w:val="true"/>
              </w:rPr>
              <w:t>جوازُ عملیّةِ الاستنباط</w:t>
            </w:r>
            <w:r>
              <w:rPr>
                <w:rStyle w:val="IndexLink"/>
                <w:rtl w:val="true"/>
              </w:rPr>
              <w:tab/>
            </w:r>
            <w:r>
              <w:rPr>
                <w:rStyle w:val="IndexLink"/>
              </w:rPr>
              <w:t>65</w:t>
            </w:r>
          </w:hyperlink>
        </w:p>
        <w:p>
          <w:pPr>
            <w:pStyle w:val="Contents5"/>
            <w:tabs>
              <w:tab w:val="clear" w:pos="7892"/>
              <w:tab w:val="right" w:pos="9026" w:leader="dot"/>
            </w:tabs>
            <w:rPr/>
          </w:pPr>
          <w:hyperlink w:anchor="__RefHeading___Toc508666_17382553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08668_1738255347">
            <w:r>
              <w:rPr>
                <w:webHidden/>
                <w:rStyle w:val="IndexLink"/>
                <w:rtl w:val="true"/>
              </w:rPr>
              <w:t>[</w:t>
            </w:r>
            <w:r>
              <w:rPr>
                <w:rStyle w:val="IndexLink"/>
                <w:rtl w:val="true"/>
              </w:rPr>
              <w:t xml:space="preserve">تطوّر معنی </w:t>
            </w:r>
            <w:r>
              <w:rPr>
                <w:rStyle w:val="IndexLink"/>
                <w:rtl w:val="true"/>
              </w:rPr>
              <w:t>(</w:t>
            </w:r>
            <w:r>
              <w:rPr>
                <w:rStyle w:val="IndexLink"/>
                <w:rtl w:val="true"/>
              </w:rPr>
              <w:t>الاجتهاد</w:t>
            </w:r>
            <w:r>
              <w:rPr>
                <w:rStyle w:val="IndexLink"/>
                <w:rtl w:val="true"/>
              </w:rPr>
              <w:t>)]</w:t>
              <w:tab/>
            </w:r>
            <w:r>
              <w:rPr>
                <w:rStyle w:val="IndexLink"/>
              </w:rPr>
              <w:t>66</w:t>
            </w:r>
          </w:hyperlink>
        </w:p>
        <w:p>
          <w:pPr>
            <w:pStyle w:val="Contents5"/>
            <w:tabs>
              <w:tab w:val="clear" w:pos="7892"/>
              <w:tab w:val="right" w:pos="9026" w:leader="dot"/>
            </w:tabs>
            <w:rPr/>
          </w:pPr>
          <w:hyperlink w:anchor="__RefHeading___Toc508670_1738255347">
            <w:r>
              <w:rPr>
                <w:webHidden/>
                <w:rStyle w:val="IndexLink"/>
                <w:rtl w:val="true"/>
              </w:rPr>
              <w:t>[</w:t>
            </w:r>
            <w:r>
              <w:rPr>
                <w:rStyle w:val="IndexLink"/>
                <w:rtl w:val="true"/>
              </w:rPr>
              <w:t>تفسیر موقف المعارضین للاجتهاد</w:t>
            </w:r>
            <w:r>
              <w:rPr>
                <w:rStyle w:val="IndexLink"/>
                <w:rtl w:val="true"/>
              </w:rPr>
              <w:t>]</w:t>
              <w:tab/>
            </w:r>
            <w:r>
              <w:rPr>
                <w:rStyle w:val="IndexLink"/>
              </w:rPr>
              <w:t>71</w:t>
            </w:r>
          </w:hyperlink>
        </w:p>
        <w:p>
          <w:pPr>
            <w:pStyle w:val="Contents4"/>
            <w:tabs>
              <w:tab w:val="clear" w:pos="8176"/>
              <w:tab w:val="right" w:pos="9026" w:leader="dot"/>
            </w:tabs>
            <w:rPr/>
          </w:pPr>
          <w:hyperlink w:anchor="__RefHeading___Toc508672_1738255347">
            <w:r>
              <w:rPr>
                <w:webHidden/>
                <w:rStyle w:val="IndexLink"/>
                <w:rtl w:val="true"/>
              </w:rPr>
              <w:t>الحکم الشرعیّ و تقسیمه</w:t>
            </w:r>
            <w:r>
              <w:rPr>
                <w:rStyle w:val="IndexLink"/>
                <w:rtl w:val="true"/>
              </w:rPr>
              <w:tab/>
            </w:r>
            <w:r>
              <w:rPr>
                <w:rStyle w:val="IndexLink"/>
              </w:rPr>
              <w:t>72</w:t>
            </w:r>
          </w:hyperlink>
        </w:p>
        <w:p>
          <w:pPr>
            <w:pStyle w:val="Contents5"/>
            <w:tabs>
              <w:tab w:val="clear" w:pos="7892"/>
              <w:tab w:val="right" w:pos="9026" w:leader="dot"/>
            </w:tabs>
            <w:rPr/>
          </w:pPr>
          <w:hyperlink w:anchor="__RefHeading___Toc508674_173825534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08676_1738255347">
            <w:r>
              <w:rPr>
                <w:webHidden/>
                <w:rStyle w:val="IndexLink"/>
                <w:rtl w:val="true"/>
              </w:rPr>
              <w:t>[</w:t>
            </w:r>
            <w:r>
              <w:rPr>
                <w:rStyle w:val="IndexLink"/>
                <w:rtl w:val="true"/>
              </w:rPr>
              <w:t>تعریف الحکم الشرعی</w:t>
            </w:r>
            <w:r>
              <w:rPr>
                <w:rStyle w:val="IndexLink"/>
                <w:rtl w:val="true"/>
              </w:rPr>
              <w:t>]</w:t>
              <w:tab/>
            </w:r>
            <w:r>
              <w:rPr>
                <w:rStyle w:val="IndexLink"/>
              </w:rPr>
              <w:t>72</w:t>
            </w:r>
          </w:hyperlink>
        </w:p>
        <w:p>
          <w:pPr>
            <w:pStyle w:val="Contents5"/>
            <w:tabs>
              <w:tab w:val="clear" w:pos="7892"/>
              <w:tab w:val="right" w:pos="9026" w:leader="dot"/>
            </w:tabs>
            <w:rPr/>
          </w:pPr>
          <w:hyperlink w:anchor="__RefHeading___Toc508678_1738255347">
            <w:r>
              <w:rPr>
                <w:webHidden/>
                <w:rStyle w:val="IndexLink"/>
                <w:rtl w:val="true"/>
              </w:rPr>
              <w:t>تقسیم الحکم إلی تکلیفیٍّ و وضعی</w:t>
            </w:r>
            <w:r>
              <w:rPr>
                <w:rStyle w:val="IndexLink"/>
                <w:rtl w:val="true"/>
              </w:rPr>
              <w:tab/>
            </w:r>
            <w:r>
              <w:rPr>
                <w:rStyle w:val="IndexLink"/>
              </w:rPr>
              <w:t>73</w:t>
            </w:r>
          </w:hyperlink>
        </w:p>
        <w:p>
          <w:pPr>
            <w:pStyle w:val="Contents5"/>
            <w:tabs>
              <w:tab w:val="clear" w:pos="7892"/>
              <w:tab w:val="right" w:pos="9026" w:leader="dot"/>
            </w:tabs>
            <w:rPr/>
          </w:pPr>
          <w:hyperlink w:anchor="__RefHeading___Toc508680_1738255347">
            <w:r>
              <w:rPr>
                <w:webHidden/>
                <w:rStyle w:val="IndexLink"/>
                <w:rtl w:val="true"/>
              </w:rPr>
              <w:t>أقسام الحکم التکلیفی</w:t>
            </w:r>
            <w:r>
              <w:rPr>
                <w:rStyle w:val="IndexLink"/>
                <w:rtl w:val="true"/>
              </w:rPr>
              <w:tab/>
            </w:r>
            <w:r>
              <w:rPr>
                <w:rStyle w:val="IndexLink"/>
              </w:rPr>
              <w:t>74</w:t>
            </w:r>
          </w:hyperlink>
        </w:p>
        <w:p>
          <w:pPr>
            <w:pStyle w:val="Contents3"/>
            <w:tabs>
              <w:tab w:val="clear" w:pos="8459"/>
              <w:tab w:val="right" w:pos="9026" w:leader="dot"/>
            </w:tabs>
            <w:rPr/>
          </w:pPr>
          <w:hyperlink w:anchor="__RefHeading___Toc508682_1738255347">
            <w:r>
              <w:rPr>
                <w:webHidden/>
                <w:rStyle w:val="IndexLink"/>
                <w:rtl w:val="true"/>
              </w:rPr>
              <w:t>بحوث عِلم الاصول</w:t>
            </w:r>
            <w:r>
              <w:rPr>
                <w:rStyle w:val="IndexLink"/>
                <w:rtl w:val="true"/>
              </w:rPr>
              <w:tab/>
            </w:r>
            <w:r>
              <w:rPr>
                <w:rStyle w:val="IndexLink"/>
              </w:rPr>
              <w:t>76</w:t>
            </w:r>
          </w:hyperlink>
        </w:p>
        <w:p>
          <w:pPr>
            <w:pStyle w:val="Contents4"/>
            <w:tabs>
              <w:tab w:val="clear" w:pos="8176"/>
              <w:tab w:val="right" w:pos="9026" w:leader="dot"/>
            </w:tabs>
            <w:rPr/>
          </w:pPr>
          <w:hyperlink w:anchor="__RefHeading___Toc508684_173825534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508686_1738255347">
            <w:r>
              <w:rPr>
                <w:webHidden/>
                <w:rStyle w:val="IndexLink"/>
                <w:rtl w:val="true"/>
              </w:rPr>
              <w:t>تنویع البحث</w:t>
            </w:r>
            <w:r>
              <w:rPr>
                <w:rStyle w:val="IndexLink"/>
                <w:rtl w:val="true"/>
              </w:rPr>
              <w:tab/>
            </w:r>
            <w:r>
              <w:rPr>
                <w:rStyle w:val="IndexLink"/>
              </w:rPr>
              <w:t>78</w:t>
            </w:r>
          </w:hyperlink>
        </w:p>
        <w:p>
          <w:pPr>
            <w:pStyle w:val="Contents4"/>
            <w:tabs>
              <w:tab w:val="clear" w:pos="8176"/>
              <w:tab w:val="right" w:pos="9026" w:leader="dot"/>
            </w:tabs>
            <w:rPr/>
          </w:pPr>
          <w:hyperlink w:anchor="__RefHeading___Toc508688_1738255347">
            <w:r>
              <w:rPr>
                <w:webHidden/>
                <w:rStyle w:val="IndexLink"/>
                <w:rtl w:val="true"/>
              </w:rPr>
              <w:t>العنصر المشترک بین النوعین</w:t>
            </w:r>
            <w:r>
              <w:rPr>
                <w:rStyle w:val="IndexLink"/>
                <w:rtl w:val="true"/>
              </w:rPr>
              <w:tab/>
            </w:r>
            <w:r>
              <w:rPr>
                <w:rStyle w:val="IndexLink"/>
              </w:rPr>
              <w:t>79</w:t>
            </w:r>
          </w:hyperlink>
        </w:p>
        <w:p>
          <w:pPr>
            <w:pStyle w:val="Contents4"/>
            <w:tabs>
              <w:tab w:val="clear" w:pos="8176"/>
              <w:tab w:val="right" w:pos="9026" w:leader="dot"/>
            </w:tabs>
            <w:rPr/>
          </w:pPr>
          <w:hyperlink w:anchor="__RefHeading___Toc508690_1738255347">
            <w:r>
              <w:rPr>
                <w:webHidden/>
                <w:rStyle w:val="IndexLink"/>
                <w:rtl w:val="true"/>
              </w:rPr>
              <w:t xml:space="preserve">النوع الأوّل </w:t>
            </w:r>
            <w:r>
              <w:rPr>
                <w:rStyle w:val="IndexLink"/>
                <w:rtl w:val="true"/>
              </w:rPr>
              <w:t xml:space="preserve">: </w:t>
            </w:r>
            <w:r>
              <w:rPr>
                <w:rStyle w:val="IndexLink"/>
                <w:rtl w:val="true"/>
              </w:rPr>
              <w:t>الأدلّة المحرزة</w:t>
            </w:r>
            <w:r>
              <w:rPr>
                <w:rStyle w:val="IndexLink"/>
                <w:rtl w:val="true"/>
              </w:rPr>
              <w:tab/>
            </w:r>
            <w:r>
              <w:rPr>
                <w:rStyle w:val="IndexLink"/>
              </w:rPr>
              <w:t>82</w:t>
            </w:r>
          </w:hyperlink>
        </w:p>
        <w:p>
          <w:pPr>
            <w:pStyle w:val="Contents5"/>
            <w:tabs>
              <w:tab w:val="clear" w:pos="7892"/>
              <w:tab w:val="right" w:pos="9026" w:leader="dot"/>
            </w:tabs>
            <w:rPr/>
          </w:pPr>
          <w:hyperlink w:anchor="__RefHeading___Toc508692_173825534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08694_1738255347">
            <w:r>
              <w:rPr>
                <w:webHidden/>
                <w:rStyle w:val="IndexLink"/>
                <w:rtl w:val="true"/>
              </w:rPr>
              <w:t>مبادیء عامّة</w:t>
            </w:r>
            <w:r>
              <w:rPr>
                <w:rStyle w:val="IndexLink"/>
                <w:rtl w:val="true"/>
              </w:rPr>
              <w:tab/>
            </w:r>
            <w:r>
              <w:rPr>
                <w:rStyle w:val="IndexLink"/>
              </w:rPr>
              <w:t>84</w:t>
            </w:r>
          </w:hyperlink>
        </w:p>
        <w:p>
          <w:pPr>
            <w:pStyle w:val="Contents5"/>
            <w:tabs>
              <w:tab w:val="clear" w:pos="7892"/>
              <w:tab w:val="right" w:pos="9026" w:leader="dot"/>
            </w:tabs>
            <w:rPr/>
          </w:pPr>
          <w:hyperlink w:anchor="__RefHeading___Toc508696_1738255347">
            <w:r>
              <w:rPr>
                <w:webHidden/>
                <w:rStyle w:val="IndexLink"/>
                <w:rtl w:val="true"/>
              </w:rPr>
              <w:t>تقسیم البحث</w:t>
            </w:r>
            <w:r>
              <w:rPr>
                <w:rStyle w:val="IndexLink"/>
                <w:rtl w:val="true"/>
              </w:rPr>
              <w:tab/>
            </w:r>
            <w:r>
              <w:rPr>
                <w:rStyle w:val="IndexLink"/>
              </w:rPr>
              <w:t>85</w:t>
            </w:r>
          </w:hyperlink>
        </w:p>
        <w:p>
          <w:pPr>
            <w:pStyle w:val="Contents5"/>
            <w:tabs>
              <w:tab w:val="clear" w:pos="7892"/>
              <w:tab w:val="right" w:pos="9026" w:leader="dot"/>
            </w:tabs>
            <w:rPr/>
          </w:pPr>
          <w:hyperlink w:anchor="__RefHeading___Toc508698_1738255347">
            <w:r>
              <w:rPr>
                <w:webHidden/>
                <w:rStyle w:val="IndexLink"/>
              </w:rPr>
              <w:t>1</w:t>
            </w:r>
            <w:r>
              <w:rPr>
                <w:rStyle w:val="IndexLink"/>
                <w:rtl w:val="true"/>
              </w:rPr>
              <w:t xml:space="preserve">- </w:t>
            </w:r>
            <w:r>
              <w:rPr>
                <w:rStyle w:val="IndexLink"/>
                <w:rtl w:val="true"/>
              </w:rPr>
              <w:t>الدلیل الشرعی</w:t>
            </w:r>
            <w:r>
              <w:rPr>
                <w:rStyle w:val="IndexLink"/>
                <w:rtl w:val="true"/>
              </w:rPr>
              <w:tab/>
            </w:r>
            <w:r>
              <w:rPr>
                <w:rStyle w:val="IndexLink"/>
              </w:rPr>
              <w:t>88</w:t>
            </w:r>
          </w:hyperlink>
        </w:p>
        <w:p>
          <w:pPr>
            <w:pStyle w:val="Contents6"/>
            <w:tabs>
              <w:tab w:val="clear" w:pos="7609"/>
              <w:tab w:val="right" w:pos="9026" w:leader="dot"/>
            </w:tabs>
            <w:rPr/>
          </w:pPr>
          <w:hyperlink w:anchor="__RefHeading___Toc508700_173825534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508702_1738255347">
            <w:r>
              <w:rPr>
                <w:webHidden/>
                <w:rStyle w:val="IndexLink"/>
                <w:rtl w:val="true"/>
              </w:rPr>
              <w:t xml:space="preserve">أ </w:t>
            </w:r>
            <w:r>
              <w:rPr>
                <w:rStyle w:val="IndexLink"/>
                <w:rtl w:val="true"/>
              </w:rPr>
              <w:t xml:space="preserve">- </w:t>
            </w:r>
            <w:r>
              <w:rPr>
                <w:rStyle w:val="IndexLink"/>
                <w:rtl w:val="true"/>
              </w:rPr>
              <w:t>الدلیل الشرعی اللفظی</w:t>
            </w:r>
            <w:r>
              <w:rPr>
                <w:rStyle w:val="IndexLink"/>
                <w:rtl w:val="true"/>
              </w:rPr>
              <w:tab/>
            </w:r>
            <w:r>
              <w:rPr>
                <w:rStyle w:val="IndexLink"/>
              </w:rPr>
              <w:t>90</w:t>
            </w:r>
          </w:hyperlink>
        </w:p>
        <w:p>
          <w:pPr>
            <w:pStyle w:val="Contents6"/>
            <w:tabs>
              <w:tab w:val="clear" w:pos="7609"/>
              <w:tab w:val="right" w:pos="9026" w:leader="dot"/>
            </w:tabs>
            <w:rPr/>
          </w:pPr>
          <w:hyperlink w:anchor="__RefHeading___Toc508704_1738255347">
            <w:r>
              <w:rPr>
                <w:webHidden/>
                <w:rStyle w:val="IndexLink"/>
                <w:rtl w:val="true"/>
              </w:rPr>
              <w:t>الدلالة</w:t>
            </w:r>
            <w:r>
              <w:rPr>
                <w:rStyle w:val="IndexLink"/>
                <w:rtl w:val="true"/>
              </w:rPr>
              <w:tab/>
            </w:r>
            <w:r>
              <w:rPr>
                <w:rStyle w:val="IndexLink"/>
              </w:rPr>
              <w:t>90</w:t>
            </w:r>
          </w:hyperlink>
        </w:p>
        <w:p>
          <w:pPr>
            <w:pStyle w:val="Contents6"/>
            <w:tabs>
              <w:tab w:val="clear" w:pos="7609"/>
              <w:tab w:val="right" w:pos="9026" w:leader="dot"/>
            </w:tabs>
            <w:rPr/>
          </w:pPr>
          <w:hyperlink w:anchor="__RefHeading___Toc508706_1738255347">
            <w:r>
              <w:rPr>
                <w:webHidden/>
                <w:rStyle w:val="IndexLink"/>
                <w:rtl w:val="true"/>
              </w:rPr>
              <w:t>تمهید</w:t>
            </w:r>
            <w:r>
              <w:rPr>
                <w:rStyle w:val="IndexLink"/>
                <w:rtl w:val="true"/>
              </w:rPr>
              <w:tab/>
            </w:r>
            <w:r>
              <w:rPr>
                <w:rStyle w:val="IndexLink"/>
              </w:rPr>
              <w:t>90</w:t>
            </w:r>
          </w:hyperlink>
        </w:p>
        <w:p>
          <w:pPr>
            <w:pStyle w:val="Contents6"/>
            <w:tabs>
              <w:tab w:val="clear" w:pos="7609"/>
              <w:tab w:val="right" w:pos="9026" w:leader="dot"/>
            </w:tabs>
            <w:rPr/>
          </w:pPr>
          <w:hyperlink w:anchor="__RefHeading___Toc508708_1738255347">
            <w:r>
              <w:rPr>
                <w:webHidden/>
                <w:rStyle w:val="IndexLink"/>
                <w:rtl w:val="true"/>
              </w:rPr>
              <w:t>ما هو الوضع و العلاقة اللغویة؟</w:t>
            </w:r>
            <w:r>
              <w:rPr>
                <w:rStyle w:val="IndexLink"/>
                <w:rtl w:val="true"/>
              </w:rPr>
              <w:tab/>
            </w:r>
            <w:r>
              <w:rPr>
                <w:rStyle w:val="IndexLink"/>
              </w:rPr>
              <w:t>90</w:t>
            </w:r>
          </w:hyperlink>
        </w:p>
        <w:p>
          <w:pPr>
            <w:pStyle w:val="Contents6"/>
            <w:tabs>
              <w:tab w:val="clear" w:pos="7609"/>
              <w:tab w:val="right" w:pos="9026" w:leader="dot"/>
            </w:tabs>
            <w:rPr/>
          </w:pPr>
          <w:hyperlink w:anchor="__RefHeading___Toc508710_1738255347">
            <w:r>
              <w:rPr>
                <w:webHidden/>
                <w:rStyle w:val="IndexLink"/>
                <w:rtl w:val="true"/>
              </w:rPr>
              <w:t>ما هو الاستعمال؟</w:t>
            </w:r>
            <w:r>
              <w:rPr>
                <w:rStyle w:val="IndexLink"/>
                <w:rtl w:val="true"/>
              </w:rPr>
              <w:tab/>
            </w:r>
            <w:r>
              <w:rPr>
                <w:rStyle w:val="IndexLink"/>
              </w:rPr>
              <w:t>95</w:t>
            </w:r>
          </w:hyperlink>
        </w:p>
        <w:p>
          <w:pPr>
            <w:pStyle w:val="Contents6"/>
            <w:tabs>
              <w:tab w:val="clear" w:pos="7609"/>
              <w:tab w:val="right" w:pos="9026" w:leader="dot"/>
            </w:tabs>
            <w:rPr/>
          </w:pPr>
          <w:hyperlink w:anchor="__RefHeading___Toc508712_1738255347">
            <w:r>
              <w:rPr>
                <w:webHidden/>
                <w:rStyle w:val="IndexLink"/>
                <w:rtl w:val="true"/>
              </w:rPr>
              <w:t>الحقیقة و المجاز</w:t>
            </w:r>
            <w:r>
              <w:rPr>
                <w:rStyle w:val="IndexLink"/>
                <w:rtl w:val="true"/>
              </w:rPr>
              <w:tab/>
            </w:r>
            <w:r>
              <w:rPr>
                <w:rStyle w:val="IndexLink"/>
              </w:rPr>
              <w:t>96</w:t>
            </w:r>
          </w:hyperlink>
        </w:p>
        <w:p>
          <w:pPr>
            <w:pStyle w:val="Contents6"/>
            <w:tabs>
              <w:tab w:val="clear" w:pos="7609"/>
              <w:tab w:val="right" w:pos="9026" w:leader="dot"/>
            </w:tabs>
            <w:rPr/>
          </w:pPr>
          <w:hyperlink w:anchor="__RefHeading___Toc508714_1738255347">
            <w:r>
              <w:rPr>
                <w:webHidden/>
                <w:rStyle w:val="IndexLink"/>
                <w:rtl w:val="true"/>
              </w:rPr>
              <w:t>قد ینقلب المجاز حقیقةً</w:t>
            </w:r>
            <w:r>
              <w:rPr>
                <w:rStyle w:val="IndexLink"/>
                <w:rtl w:val="true"/>
              </w:rPr>
              <w:tab/>
            </w:r>
            <w:r>
              <w:rPr>
                <w:rStyle w:val="IndexLink"/>
              </w:rPr>
              <w:t>97</w:t>
            </w:r>
          </w:hyperlink>
        </w:p>
        <w:p>
          <w:pPr>
            <w:pStyle w:val="Contents6"/>
            <w:tabs>
              <w:tab w:val="clear" w:pos="7609"/>
              <w:tab w:val="right" w:pos="9026" w:leader="dot"/>
            </w:tabs>
            <w:rPr/>
          </w:pPr>
          <w:hyperlink w:anchor="__RefHeading___Toc508716_1738255347">
            <w:r>
              <w:rPr>
                <w:webHidden/>
                <w:rStyle w:val="IndexLink"/>
                <w:rtl w:val="true"/>
              </w:rPr>
              <w:t>تصنیف اللغة إلی معانٍ اسمیّةٍ و حرفیّة</w:t>
            </w:r>
            <w:r>
              <w:rPr>
                <w:rStyle w:val="IndexLink"/>
                <w:rtl w:val="true"/>
              </w:rPr>
              <w:tab/>
            </w:r>
            <w:r>
              <w:rPr>
                <w:rStyle w:val="IndexLink"/>
              </w:rPr>
              <w:t>98</w:t>
            </w:r>
          </w:hyperlink>
        </w:p>
        <w:p>
          <w:pPr>
            <w:pStyle w:val="Contents6"/>
            <w:tabs>
              <w:tab w:val="clear" w:pos="7609"/>
              <w:tab w:val="right" w:pos="9026" w:leader="dot"/>
            </w:tabs>
            <w:rPr/>
          </w:pPr>
          <w:hyperlink w:anchor="__RefHeading___Toc508718_1738255347">
            <w:r>
              <w:rPr>
                <w:webHidden/>
                <w:rStyle w:val="IndexLink"/>
                <w:rtl w:val="true"/>
              </w:rPr>
              <w:t>هیئة الجملة</w:t>
            </w:r>
            <w:r>
              <w:rPr>
                <w:rStyle w:val="IndexLink"/>
                <w:rtl w:val="true"/>
              </w:rPr>
              <w:tab/>
            </w:r>
            <w:r>
              <w:rPr>
                <w:rStyle w:val="IndexLink"/>
              </w:rPr>
              <w:t>99</w:t>
            </w:r>
          </w:hyperlink>
        </w:p>
        <w:p>
          <w:pPr>
            <w:pStyle w:val="Contents6"/>
            <w:tabs>
              <w:tab w:val="clear" w:pos="7609"/>
              <w:tab w:val="right" w:pos="9026" w:leader="dot"/>
            </w:tabs>
            <w:rPr/>
          </w:pPr>
          <w:hyperlink w:anchor="__RefHeading___Toc508720_1738255347">
            <w:r>
              <w:rPr>
                <w:webHidden/>
                <w:rStyle w:val="IndexLink"/>
                <w:rtl w:val="true"/>
              </w:rPr>
              <w:t>الجملة التامّة و الجملة الناقصة</w:t>
            </w:r>
            <w:r>
              <w:rPr>
                <w:rStyle w:val="IndexLink"/>
                <w:rtl w:val="true"/>
              </w:rPr>
              <w:tab/>
            </w:r>
            <w:r>
              <w:rPr>
                <w:rStyle w:val="IndexLink"/>
              </w:rPr>
              <w:t>100</w:t>
            </w:r>
          </w:hyperlink>
        </w:p>
        <w:p>
          <w:pPr>
            <w:pStyle w:val="Contents6"/>
            <w:tabs>
              <w:tab w:val="clear" w:pos="7609"/>
              <w:tab w:val="right" w:pos="9026" w:leader="dot"/>
            </w:tabs>
            <w:rPr/>
          </w:pPr>
          <w:hyperlink w:anchor="__RefHeading___Toc508722_1738255347">
            <w:r>
              <w:rPr>
                <w:webHidden/>
                <w:rStyle w:val="IndexLink"/>
                <w:rtl w:val="true"/>
              </w:rPr>
              <w:t>المدلول اللغویّ و المدلول التصدیقی</w:t>
            </w:r>
            <w:r>
              <w:rPr>
                <w:rStyle w:val="IndexLink"/>
                <w:rtl w:val="true"/>
              </w:rPr>
              <w:tab/>
            </w:r>
            <w:r>
              <w:rPr>
                <w:rStyle w:val="IndexLink"/>
              </w:rPr>
              <w:t>101</w:t>
            </w:r>
          </w:hyperlink>
        </w:p>
        <w:p>
          <w:pPr>
            <w:pStyle w:val="Contents6"/>
            <w:tabs>
              <w:tab w:val="clear" w:pos="7609"/>
              <w:tab w:val="right" w:pos="9026" w:leader="dot"/>
            </w:tabs>
            <w:rPr/>
          </w:pPr>
          <w:hyperlink w:anchor="__RefHeading___Toc508724_1738255347">
            <w:r>
              <w:rPr>
                <w:webHidden/>
                <w:rStyle w:val="IndexLink"/>
                <w:rtl w:val="true"/>
              </w:rPr>
              <w:t>الجملة الخبریة و الجملة الإنشائیة</w:t>
            </w:r>
            <w:r>
              <w:rPr>
                <w:rStyle w:val="IndexLink"/>
                <w:rtl w:val="true"/>
              </w:rPr>
              <w:tab/>
            </w:r>
            <w:r>
              <w:rPr>
                <w:rStyle w:val="IndexLink"/>
              </w:rPr>
              <w:t>104</w:t>
            </w:r>
          </w:hyperlink>
        </w:p>
        <w:p>
          <w:pPr>
            <w:pStyle w:val="Contents6"/>
            <w:tabs>
              <w:tab w:val="clear" w:pos="7609"/>
              <w:tab w:val="right" w:pos="9026" w:leader="dot"/>
            </w:tabs>
            <w:rPr/>
          </w:pPr>
          <w:hyperlink w:anchor="__RefHeading___Toc508726_1738255347">
            <w:r>
              <w:rPr>
                <w:webHidden/>
                <w:rStyle w:val="IndexLink"/>
                <w:rtl w:val="true"/>
              </w:rPr>
              <w:t>الدلالات التی یبحث عنها علم الاصول</w:t>
            </w:r>
            <w:r>
              <w:rPr>
                <w:rStyle w:val="IndexLink"/>
                <w:rtl w:val="true"/>
              </w:rPr>
              <w:tab/>
            </w:r>
            <w:r>
              <w:rPr>
                <w:rStyle w:val="IndexLink"/>
              </w:rPr>
              <w:t>105</w:t>
            </w:r>
          </w:hyperlink>
        </w:p>
        <w:p>
          <w:pPr>
            <w:pStyle w:val="Contents6"/>
            <w:tabs>
              <w:tab w:val="clear" w:pos="7609"/>
              <w:tab w:val="right" w:pos="9026" w:leader="dot"/>
            </w:tabs>
            <w:rPr/>
          </w:pPr>
          <w:hyperlink w:anchor="__RefHeading___Toc508728_1738255347">
            <w:r>
              <w:rPr>
                <w:webHidden/>
                <w:rStyle w:val="IndexLink"/>
              </w:rPr>
              <w:t>1</w:t>
            </w:r>
            <w:r>
              <w:rPr>
                <w:rStyle w:val="IndexLink"/>
                <w:rtl w:val="true"/>
              </w:rPr>
              <w:t xml:space="preserve"> - </w:t>
            </w:r>
            <w:r>
              <w:rPr>
                <w:rStyle w:val="IndexLink"/>
                <w:rtl w:val="true"/>
              </w:rPr>
              <w:t>صیغة الأمر</w:t>
            </w:r>
            <w:r>
              <w:rPr>
                <w:rStyle w:val="IndexLink"/>
                <w:rtl w:val="true"/>
              </w:rPr>
              <w:tab/>
            </w:r>
            <w:r>
              <w:rPr>
                <w:rStyle w:val="IndexLink"/>
              </w:rPr>
              <w:t>107</w:t>
            </w:r>
          </w:hyperlink>
        </w:p>
        <w:p>
          <w:pPr>
            <w:pStyle w:val="Contents6"/>
            <w:tabs>
              <w:tab w:val="clear" w:pos="7609"/>
              <w:tab w:val="right" w:pos="9026" w:leader="dot"/>
            </w:tabs>
            <w:rPr/>
          </w:pPr>
          <w:hyperlink w:anchor="__RefHeading___Toc508730_1738255347">
            <w:r>
              <w:rPr>
                <w:webHidden/>
                <w:rStyle w:val="IndexLink"/>
              </w:rPr>
              <w:t>2</w:t>
            </w:r>
            <w:r>
              <w:rPr>
                <w:rStyle w:val="IndexLink"/>
                <w:rtl w:val="true"/>
              </w:rPr>
              <w:t xml:space="preserve"> - </w:t>
            </w:r>
            <w:r>
              <w:rPr>
                <w:rStyle w:val="IndexLink"/>
                <w:rtl w:val="true"/>
              </w:rPr>
              <w:t>صیغة النهی</w:t>
            </w:r>
            <w:r>
              <w:rPr>
                <w:rStyle w:val="IndexLink"/>
                <w:rtl w:val="true"/>
              </w:rPr>
              <w:tab/>
            </w:r>
            <w:r>
              <w:rPr>
                <w:rStyle w:val="IndexLink"/>
              </w:rPr>
              <w:t>109</w:t>
            </w:r>
          </w:hyperlink>
        </w:p>
        <w:p>
          <w:pPr>
            <w:pStyle w:val="Contents6"/>
            <w:tabs>
              <w:tab w:val="clear" w:pos="7609"/>
              <w:tab w:val="right" w:pos="9026" w:leader="dot"/>
            </w:tabs>
            <w:rPr/>
          </w:pPr>
          <w:hyperlink w:anchor="__RefHeading___Toc508732_1738255347">
            <w:r>
              <w:rPr>
                <w:webHidden/>
                <w:rStyle w:val="IndexLink"/>
              </w:rPr>
              <w:t>3</w:t>
            </w:r>
            <w:r>
              <w:rPr>
                <w:rStyle w:val="IndexLink"/>
                <w:rtl w:val="true"/>
              </w:rPr>
              <w:t xml:space="preserve"> - </w:t>
            </w:r>
            <w:r>
              <w:rPr>
                <w:rStyle w:val="IndexLink"/>
                <w:rtl w:val="true"/>
              </w:rPr>
              <w:t>الإطلاق</w:t>
            </w:r>
            <w:r>
              <w:rPr>
                <w:rStyle w:val="IndexLink"/>
                <w:rtl w:val="true"/>
              </w:rPr>
              <w:tab/>
            </w:r>
            <w:r>
              <w:rPr>
                <w:rStyle w:val="IndexLink"/>
              </w:rPr>
              <w:t>110</w:t>
            </w:r>
          </w:hyperlink>
        </w:p>
        <w:p>
          <w:pPr>
            <w:pStyle w:val="Contents6"/>
            <w:tabs>
              <w:tab w:val="clear" w:pos="7609"/>
              <w:tab w:val="right" w:pos="9026" w:leader="dot"/>
            </w:tabs>
            <w:rPr/>
          </w:pPr>
          <w:hyperlink w:anchor="__RefHeading___Toc508734_1738255347">
            <w:r>
              <w:rPr>
                <w:webHidden/>
                <w:rStyle w:val="IndexLink"/>
              </w:rPr>
              <w:t>4</w:t>
            </w:r>
            <w:r>
              <w:rPr>
                <w:rStyle w:val="IndexLink"/>
                <w:rtl w:val="true"/>
              </w:rPr>
              <w:t xml:space="preserve"> - </w:t>
            </w:r>
            <w:r>
              <w:rPr>
                <w:rStyle w:val="IndexLink"/>
                <w:rtl w:val="true"/>
              </w:rPr>
              <w:t>أدوات العموم</w:t>
            </w:r>
            <w:r>
              <w:rPr>
                <w:rStyle w:val="IndexLink"/>
                <w:rtl w:val="true"/>
              </w:rPr>
              <w:tab/>
            </w:r>
            <w:r>
              <w:rPr>
                <w:rStyle w:val="IndexLink"/>
              </w:rPr>
              <w:t>111</w:t>
            </w:r>
          </w:hyperlink>
        </w:p>
        <w:p>
          <w:pPr>
            <w:pStyle w:val="Contents6"/>
            <w:tabs>
              <w:tab w:val="clear" w:pos="7609"/>
              <w:tab w:val="right" w:pos="9026" w:leader="dot"/>
            </w:tabs>
            <w:rPr/>
          </w:pPr>
          <w:hyperlink w:anchor="__RefHeading___Toc508736_1738255347">
            <w:r>
              <w:rPr>
                <w:webHidden/>
                <w:rStyle w:val="IndexLink"/>
              </w:rPr>
              <w:t>5</w:t>
            </w:r>
            <w:r>
              <w:rPr>
                <w:rStyle w:val="IndexLink"/>
                <w:rtl w:val="true"/>
              </w:rPr>
              <w:t xml:space="preserve"> - </w:t>
            </w:r>
            <w:r>
              <w:rPr>
                <w:rStyle w:val="IndexLink"/>
                <w:rtl w:val="true"/>
              </w:rPr>
              <w:t>أداة الشرط</w:t>
            </w:r>
            <w:r>
              <w:rPr>
                <w:rStyle w:val="IndexLink"/>
                <w:rtl w:val="true"/>
              </w:rPr>
              <w:tab/>
            </w:r>
            <w:r>
              <w:rPr>
                <w:rStyle w:val="IndexLink"/>
              </w:rPr>
              <w:t>112</w:t>
            </w:r>
          </w:hyperlink>
        </w:p>
        <w:p>
          <w:pPr>
            <w:pStyle w:val="Contents6"/>
            <w:tabs>
              <w:tab w:val="clear" w:pos="7609"/>
              <w:tab w:val="right" w:pos="9026" w:leader="dot"/>
            </w:tabs>
            <w:rPr/>
          </w:pPr>
          <w:hyperlink w:anchor="__RefHeading___Toc508738_1738255347">
            <w:r>
              <w:rPr>
                <w:webHidden/>
                <w:rStyle w:val="IndexLink"/>
                <w:rtl w:val="true"/>
              </w:rPr>
              <w:t>حجّیة الظهور</w:t>
            </w:r>
            <w:r>
              <w:rPr>
                <w:rStyle w:val="IndexLink"/>
                <w:rtl w:val="true"/>
              </w:rPr>
              <w:tab/>
            </w:r>
            <w:r>
              <w:rPr>
                <w:rStyle w:val="IndexLink"/>
              </w:rPr>
              <w:t>115</w:t>
            </w:r>
          </w:hyperlink>
        </w:p>
        <w:p>
          <w:pPr>
            <w:pStyle w:val="Contents6"/>
            <w:tabs>
              <w:tab w:val="clear" w:pos="7609"/>
              <w:tab w:val="right" w:pos="9026" w:leader="dot"/>
            </w:tabs>
            <w:rPr/>
          </w:pPr>
          <w:hyperlink w:anchor="__RefHeading___Toc508740_1738255347">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508742_1738255347">
            <w:r>
              <w:rPr>
                <w:webHidden/>
                <w:rStyle w:val="IndexLink"/>
                <w:rtl w:val="true"/>
              </w:rPr>
              <w:t>تطبیقات حجّیة الظهور علی الأدلّة اللفظیة</w:t>
            </w:r>
            <w:r>
              <w:rPr>
                <w:rStyle w:val="IndexLink"/>
                <w:rtl w:val="true"/>
              </w:rPr>
              <w:tab/>
            </w:r>
            <w:r>
              <w:rPr>
                <w:rStyle w:val="IndexLink"/>
              </w:rPr>
              <w:t>116</w:t>
            </w:r>
          </w:hyperlink>
        </w:p>
        <w:p>
          <w:pPr>
            <w:pStyle w:val="Contents6"/>
            <w:tabs>
              <w:tab w:val="clear" w:pos="7609"/>
              <w:tab w:val="right" w:pos="9026" w:leader="dot"/>
            </w:tabs>
            <w:rPr/>
          </w:pPr>
          <w:hyperlink w:anchor="__RefHeading___Toc508744_1738255347">
            <w:r>
              <w:rPr>
                <w:webHidden/>
                <w:rStyle w:val="IndexLink"/>
                <w:rtl w:val="true"/>
              </w:rPr>
              <w:t>القرینة المتَّصلة و المنفصلة</w:t>
            </w:r>
            <w:r>
              <w:rPr>
                <w:rStyle w:val="IndexLink"/>
                <w:rtl w:val="true"/>
              </w:rPr>
              <w:tab/>
            </w:r>
            <w:r>
              <w:rPr>
                <w:rStyle w:val="IndexLink"/>
              </w:rPr>
              <w:t>118</w:t>
            </w:r>
          </w:hyperlink>
        </w:p>
        <w:p>
          <w:pPr>
            <w:pStyle w:val="Contents6"/>
            <w:tabs>
              <w:tab w:val="clear" w:pos="7609"/>
              <w:tab w:val="right" w:pos="9026" w:leader="dot"/>
            </w:tabs>
            <w:rPr/>
          </w:pPr>
          <w:hyperlink w:anchor="__RefHeading___Toc508746_1738255347">
            <w:r>
              <w:rPr>
                <w:webHidden/>
                <w:rStyle w:val="IndexLink"/>
                <w:rtl w:val="true"/>
              </w:rPr>
              <w:t>إثبات الصدور</w:t>
            </w:r>
            <w:r>
              <w:rPr>
                <w:rStyle w:val="IndexLink"/>
                <w:rtl w:val="true"/>
              </w:rPr>
              <w:tab/>
            </w:r>
            <w:r>
              <w:rPr>
                <w:rStyle w:val="IndexLink"/>
              </w:rPr>
              <w:t>120</w:t>
            </w:r>
          </w:hyperlink>
        </w:p>
        <w:p>
          <w:pPr>
            <w:pStyle w:val="Contents6"/>
            <w:tabs>
              <w:tab w:val="clear" w:pos="7609"/>
              <w:tab w:val="right" w:pos="9026" w:leader="dot"/>
            </w:tabs>
            <w:rPr/>
          </w:pPr>
          <w:hyperlink w:anchor="__RefHeading___Toc508748_1738255347">
            <w:r>
              <w:rPr>
                <w:webHidden/>
                <w:rStyle w:val="IndexLink"/>
                <w:rtl w:val="true"/>
              </w:rPr>
              <w:t xml:space="preserve">ب </w:t>
            </w:r>
            <w:r>
              <w:rPr>
                <w:rStyle w:val="IndexLink"/>
                <w:rtl w:val="true"/>
              </w:rPr>
              <w:t xml:space="preserve">- </w:t>
            </w:r>
            <w:r>
              <w:rPr>
                <w:rStyle w:val="IndexLink"/>
                <w:rtl w:val="true"/>
              </w:rPr>
              <w:t>الدلیل الشرعی غیر اللفظی</w:t>
            </w:r>
            <w:r>
              <w:rPr>
                <w:rStyle w:val="IndexLink"/>
                <w:rtl w:val="true"/>
              </w:rPr>
              <w:tab/>
            </w:r>
            <w:r>
              <w:rPr>
                <w:rStyle w:val="IndexLink"/>
              </w:rPr>
              <w:t>124</w:t>
            </w:r>
          </w:hyperlink>
        </w:p>
        <w:p>
          <w:pPr>
            <w:pStyle w:val="Contents5"/>
            <w:tabs>
              <w:tab w:val="clear" w:pos="7892"/>
              <w:tab w:val="right" w:pos="9026" w:leader="dot"/>
            </w:tabs>
            <w:rPr/>
          </w:pPr>
          <w:hyperlink w:anchor="__RefHeading___Toc508750_1738255347">
            <w:r>
              <w:rPr>
                <w:webHidden/>
                <w:rStyle w:val="IndexLink"/>
              </w:rPr>
              <w:t>2</w:t>
            </w:r>
            <w:r>
              <w:rPr>
                <w:rStyle w:val="IndexLink"/>
                <w:rtl w:val="true"/>
              </w:rPr>
              <w:t xml:space="preserve">- </w:t>
            </w:r>
            <w:r>
              <w:rPr>
                <w:rStyle w:val="IndexLink"/>
                <w:rtl w:val="true"/>
              </w:rPr>
              <w:t>الدلیل العقلی</w:t>
            </w:r>
            <w:r>
              <w:rPr>
                <w:rStyle w:val="IndexLink"/>
                <w:rtl w:val="true"/>
              </w:rPr>
              <w:tab/>
            </w:r>
            <w:r>
              <w:rPr>
                <w:rStyle w:val="IndexLink"/>
              </w:rPr>
              <w:t>126</w:t>
            </w:r>
          </w:hyperlink>
        </w:p>
        <w:p>
          <w:pPr>
            <w:pStyle w:val="Contents6"/>
            <w:tabs>
              <w:tab w:val="clear" w:pos="7609"/>
              <w:tab w:val="right" w:pos="9026" w:leader="dot"/>
            </w:tabs>
            <w:rPr/>
          </w:pPr>
          <w:hyperlink w:anchor="__RefHeading___Toc508752_1738255347">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508754_1738255347">
            <w:r>
              <w:rPr>
                <w:webHidden/>
                <w:rStyle w:val="IndexLink"/>
                <w:rtl w:val="true"/>
              </w:rPr>
              <w:t>دراسة العلاقات العقلیة</w:t>
            </w:r>
            <w:r>
              <w:rPr>
                <w:rStyle w:val="IndexLink"/>
                <w:rtl w:val="true"/>
              </w:rPr>
              <w:tab/>
            </w:r>
            <w:r>
              <w:rPr>
                <w:rStyle w:val="IndexLink"/>
              </w:rPr>
              <w:t>128</w:t>
            </w:r>
          </w:hyperlink>
        </w:p>
        <w:p>
          <w:pPr>
            <w:pStyle w:val="Contents6"/>
            <w:tabs>
              <w:tab w:val="clear" w:pos="7609"/>
              <w:tab w:val="right" w:pos="9026" w:leader="dot"/>
            </w:tabs>
            <w:rPr/>
          </w:pPr>
          <w:hyperlink w:anchor="__RefHeading___Toc508756_1738255347">
            <w:r>
              <w:rPr>
                <w:webHidden/>
                <w:rStyle w:val="IndexLink"/>
                <w:rtl w:val="true"/>
              </w:rPr>
              <w:t>تقسیم البحث</w:t>
            </w:r>
            <w:r>
              <w:rPr>
                <w:rStyle w:val="IndexLink"/>
                <w:rtl w:val="true"/>
              </w:rPr>
              <w:tab/>
            </w:r>
            <w:r>
              <w:rPr>
                <w:rStyle w:val="IndexLink"/>
              </w:rPr>
              <w:t>130</w:t>
            </w:r>
          </w:hyperlink>
        </w:p>
        <w:p>
          <w:pPr>
            <w:pStyle w:val="Contents6"/>
            <w:tabs>
              <w:tab w:val="clear" w:pos="7609"/>
              <w:tab w:val="right" w:pos="9026" w:leader="dot"/>
            </w:tabs>
            <w:rPr/>
          </w:pPr>
          <w:hyperlink w:anchor="__RefHeading___Toc508758_1738255347">
            <w:r>
              <w:rPr>
                <w:webHidden/>
                <w:rStyle w:val="IndexLink"/>
                <w:rtl w:val="true"/>
              </w:rPr>
              <w:t>العلاقات القائمة بین نفس الأحکام</w:t>
            </w:r>
            <w:r>
              <w:rPr>
                <w:rStyle w:val="IndexLink"/>
                <w:rtl w:val="true"/>
              </w:rPr>
              <w:tab/>
            </w:r>
            <w:r>
              <w:rPr>
                <w:rStyle w:val="IndexLink"/>
              </w:rPr>
              <w:t>131</w:t>
            </w:r>
          </w:hyperlink>
        </w:p>
        <w:p>
          <w:pPr>
            <w:pStyle w:val="Contents6"/>
            <w:tabs>
              <w:tab w:val="clear" w:pos="7609"/>
              <w:tab w:val="right" w:pos="9026" w:leader="dot"/>
            </w:tabs>
            <w:rPr/>
          </w:pPr>
          <w:hyperlink w:anchor="__RefHeading___Toc508760_1738255347">
            <w:r>
              <w:rPr>
                <w:webHidden/>
                <w:rStyle w:val="IndexLink"/>
                <w:rtl w:val="true"/>
              </w:rPr>
              <w:t>علاقة التضادّ بین الوجوب و الحرمة</w:t>
            </w:r>
            <w:r>
              <w:rPr>
                <w:rStyle w:val="IndexLink"/>
                <w:rtl w:val="true"/>
              </w:rPr>
              <w:tab/>
            </w:r>
            <w:r>
              <w:rPr>
                <w:rStyle w:val="IndexLink"/>
              </w:rPr>
              <w:t>131</w:t>
            </w:r>
          </w:hyperlink>
        </w:p>
        <w:p>
          <w:pPr>
            <w:pStyle w:val="Contents6"/>
            <w:tabs>
              <w:tab w:val="clear" w:pos="7609"/>
              <w:tab w:val="right" w:pos="9026" w:leader="dot"/>
            </w:tabs>
            <w:rPr/>
          </w:pPr>
          <w:hyperlink w:anchor="__RefHeading___Toc508762_1738255347">
            <w:r>
              <w:rPr>
                <w:webHidden/>
                <w:rStyle w:val="IndexLink"/>
                <w:rtl w:val="true"/>
              </w:rPr>
              <w:t>هل تستلزم الحرمة البطلان؟</w:t>
            </w:r>
            <w:r>
              <w:rPr>
                <w:rStyle w:val="IndexLink"/>
                <w:rtl w:val="true"/>
              </w:rPr>
              <w:tab/>
            </w:r>
            <w:r>
              <w:rPr>
                <w:rStyle w:val="IndexLink"/>
              </w:rPr>
              <w:t>133</w:t>
            </w:r>
          </w:hyperlink>
        </w:p>
        <w:p>
          <w:pPr>
            <w:pStyle w:val="Contents6"/>
            <w:tabs>
              <w:tab w:val="clear" w:pos="7609"/>
              <w:tab w:val="right" w:pos="9026" w:leader="dot"/>
            </w:tabs>
            <w:rPr/>
          </w:pPr>
          <w:hyperlink w:anchor="__RefHeading___Toc508764_1738255347">
            <w:r>
              <w:rPr>
                <w:webHidden/>
                <w:rStyle w:val="IndexLink"/>
                <w:rtl w:val="true"/>
              </w:rPr>
              <w:t>العلاقات القائمة بین الحکم و موضوعه</w:t>
            </w:r>
            <w:r>
              <w:rPr>
                <w:rStyle w:val="IndexLink"/>
                <w:rtl w:val="true"/>
              </w:rPr>
              <w:tab/>
            </w:r>
            <w:r>
              <w:rPr>
                <w:rStyle w:val="IndexLink"/>
              </w:rPr>
              <w:t>135</w:t>
            </w:r>
          </w:hyperlink>
        </w:p>
        <w:p>
          <w:pPr>
            <w:pStyle w:val="Contents6"/>
            <w:tabs>
              <w:tab w:val="clear" w:pos="7609"/>
              <w:tab w:val="right" w:pos="9026" w:leader="dot"/>
            </w:tabs>
            <w:rPr/>
          </w:pPr>
          <w:hyperlink w:anchor="__RefHeading___Toc508766_1738255347">
            <w:r>
              <w:rPr>
                <w:webHidden/>
                <w:rStyle w:val="IndexLink"/>
                <w:rtl w:val="true"/>
              </w:rPr>
              <w:t>العلاقات القائمة بین الحکم و متعلّقه</w:t>
            </w:r>
            <w:r>
              <w:rPr>
                <w:rStyle w:val="IndexLink"/>
                <w:rtl w:val="true"/>
              </w:rPr>
              <w:tab/>
            </w:r>
            <w:r>
              <w:rPr>
                <w:rStyle w:val="IndexLink"/>
              </w:rPr>
              <w:t>138</w:t>
            </w:r>
          </w:hyperlink>
        </w:p>
        <w:p>
          <w:pPr>
            <w:pStyle w:val="Contents6"/>
            <w:tabs>
              <w:tab w:val="clear" w:pos="7609"/>
              <w:tab w:val="right" w:pos="9026" w:leader="dot"/>
            </w:tabs>
            <w:rPr/>
          </w:pPr>
          <w:hyperlink w:anchor="__RefHeading___Toc508768_1738255347">
            <w:r>
              <w:rPr>
                <w:webHidden/>
                <w:rStyle w:val="IndexLink"/>
                <w:rtl w:val="true"/>
              </w:rPr>
              <w:t>العلاقات القائمة بین الحکم و المقدِّمات</w:t>
            </w:r>
            <w:r>
              <w:rPr>
                <w:rStyle w:val="IndexLink"/>
                <w:rtl w:val="true"/>
              </w:rPr>
              <w:tab/>
            </w:r>
            <w:r>
              <w:rPr>
                <w:rStyle w:val="IndexLink"/>
              </w:rPr>
              <w:t>140</w:t>
            </w:r>
          </w:hyperlink>
        </w:p>
        <w:p>
          <w:pPr>
            <w:pStyle w:val="Contents6"/>
            <w:tabs>
              <w:tab w:val="clear" w:pos="7609"/>
              <w:tab w:val="right" w:pos="9026" w:leader="dot"/>
            </w:tabs>
            <w:rPr/>
          </w:pPr>
          <w:hyperlink w:anchor="__RefHeading___Toc508770_1738255347">
            <w:r>
              <w:rPr>
                <w:webHidden/>
                <w:rStyle w:val="IndexLink"/>
                <w:rtl w:val="true"/>
              </w:rPr>
              <w:t>العَلاقات القائمة فی داخل الحکم الواحد</w:t>
            </w:r>
            <w:r>
              <w:rPr>
                <w:rStyle w:val="IndexLink"/>
                <w:rtl w:val="true"/>
              </w:rPr>
              <w:tab/>
            </w:r>
            <w:r>
              <w:rPr>
                <w:rStyle w:val="IndexLink"/>
              </w:rPr>
              <w:t>143</w:t>
            </w:r>
          </w:hyperlink>
        </w:p>
        <w:p>
          <w:pPr>
            <w:pStyle w:val="Contents4"/>
            <w:tabs>
              <w:tab w:val="clear" w:pos="8176"/>
              <w:tab w:val="right" w:pos="9026" w:leader="dot"/>
            </w:tabs>
            <w:rPr/>
          </w:pPr>
          <w:hyperlink w:anchor="__RefHeading___Toc508772_1738255347">
            <w:r>
              <w:rPr>
                <w:webHidden/>
                <w:rStyle w:val="IndexLink"/>
                <w:rtl w:val="true"/>
              </w:rPr>
              <w:t xml:space="preserve">النوع الثانی </w:t>
            </w:r>
            <w:r>
              <w:rPr>
                <w:rStyle w:val="IndexLink"/>
                <w:rtl w:val="true"/>
              </w:rPr>
              <w:t xml:space="preserve">: </w:t>
            </w:r>
            <w:r>
              <w:rPr>
                <w:rStyle w:val="IndexLink"/>
                <w:rtl w:val="true"/>
              </w:rPr>
              <w:t>الاصول العملیّة</w:t>
            </w:r>
            <w:r>
              <w:rPr>
                <w:rStyle w:val="IndexLink"/>
                <w:rtl w:val="true"/>
              </w:rPr>
              <w:tab/>
            </w:r>
            <w:r>
              <w:rPr>
                <w:rStyle w:val="IndexLink"/>
              </w:rPr>
              <w:t>146</w:t>
            </w:r>
          </w:hyperlink>
        </w:p>
        <w:p>
          <w:pPr>
            <w:pStyle w:val="Contents5"/>
            <w:tabs>
              <w:tab w:val="clear" w:pos="7892"/>
              <w:tab w:val="right" w:pos="9026" w:leader="dot"/>
            </w:tabs>
            <w:rPr/>
          </w:pPr>
          <w:hyperlink w:anchor="__RefHeading___Toc508774_173825534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508776_1738255347">
            <w:r>
              <w:rPr>
                <w:webHidden/>
                <w:rStyle w:val="IndexLink"/>
                <w:rtl w:val="true"/>
              </w:rPr>
              <w:t>تمهید</w:t>
            </w:r>
            <w:r>
              <w:rPr>
                <w:rStyle w:val="IndexLink"/>
                <w:rtl w:val="true"/>
              </w:rPr>
              <w:tab/>
            </w:r>
            <w:r>
              <w:rPr>
                <w:rStyle w:val="IndexLink"/>
              </w:rPr>
              <w:t>148</w:t>
            </w:r>
          </w:hyperlink>
        </w:p>
        <w:p>
          <w:pPr>
            <w:pStyle w:val="Contents5"/>
            <w:tabs>
              <w:tab w:val="clear" w:pos="7892"/>
              <w:tab w:val="right" w:pos="9026" w:leader="dot"/>
            </w:tabs>
            <w:rPr/>
          </w:pPr>
          <w:hyperlink w:anchor="__RefHeading___Toc508778_1738255347">
            <w:r>
              <w:rPr>
                <w:webHidden/>
                <w:rStyle w:val="IndexLink"/>
              </w:rPr>
              <w:t>1</w:t>
            </w:r>
            <w:r>
              <w:rPr>
                <w:rStyle w:val="IndexLink"/>
                <w:rtl w:val="true"/>
              </w:rPr>
              <w:t xml:space="preserve">- </w:t>
            </w:r>
            <w:r>
              <w:rPr>
                <w:rStyle w:val="IndexLink"/>
                <w:rtl w:val="true"/>
              </w:rPr>
              <w:t>القاعدة العملیة الأساسیّة</w:t>
            </w:r>
            <w:r>
              <w:rPr>
                <w:rStyle w:val="IndexLink"/>
                <w:rtl w:val="true"/>
              </w:rPr>
              <w:tab/>
            </w:r>
            <w:r>
              <w:rPr>
                <w:rStyle w:val="IndexLink"/>
              </w:rPr>
              <w:t>149</w:t>
            </w:r>
          </w:hyperlink>
        </w:p>
        <w:p>
          <w:pPr>
            <w:pStyle w:val="Contents5"/>
            <w:tabs>
              <w:tab w:val="clear" w:pos="7892"/>
              <w:tab w:val="right" w:pos="9026" w:leader="dot"/>
            </w:tabs>
            <w:rPr/>
          </w:pPr>
          <w:hyperlink w:anchor="__RefHeading___Toc508780_1738255347">
            <w:r>
              <w:rPr>
                <w:webHidden/>
                <w:rStyle w:val="IndexLink"/>
              </w:rPr>
              <w:t>2</w:t>
            </w:r>
            <w:r>
              <w:rPr>
                <w:rStyle w:val="IndexLink"/>
                <w:rtl w:val="true"/>
              </w:rPr>
              <w:t xml:space="preserve">- </w:t>
            </w:r>
            <w:r>
              <w:rPr>
                <w:rStyle w:val="IndexLink"/>
                <w:rtl w:val="true"/>
              </w:rPr>
              <w:t>القاعدة العملیّة الثانویة</w:t>
            </w:r>
            <w:r>
              <w:rPr>
                <w:rStyle w:val="IndexLink"/>
                <w:rtl w:val="true"/>
              </w:rPr>
              <w:tab/>
            </w:r>
            <w:r>
              <w:rPr>
                <w:rStyle w:val="IndexLink"/>
              </w:rPr>
              <w:t>152</w:t>
            </w:r>
          </w:hyperlink>
        </w:p>
        <w:p>
          <w:pPr>
            <w:pStyle w:val="Contents5"/>
            <w:tabs>
              <w:tab w:val="clear" w:pos="7892"/>
              <w:tab w:val="right" w:pos="9026" w:leader="dot"/>
            </w:tabs>
            <w:rPr/>
          </w:pPr>
          <w:hyperlink w:anchor="__RefHeading___Toc508782_1738255347">
            <w:r>
              <w:rPr>
                <w:webHidden/>
                <w:rStyle w:val="IndexLink"/>
              </w:rPr>
              <w:t>3</w:t>
            </w:r>
            <w:r>
              <w:rPr>
                <w:rStyle w:val="IndexLink"/>
                <w:rtl w:val="true"/>
              </w:rPr>
              <w:t xml:space="preserve">- </w:t>
            </w:r>
            <w:r>
              <w:rPr>
                <w:rStyle w:val="IndexLink"/>
                <w:rtl w:val="true"/>
              </w:rPr>
              <w:t>قاعدة منجّزیة العلم الإجمالی</w:t>
            </w:r>
            <w:r>
              <w:rPr>
                <w:rStyle w:val="IndexLink"/>
                <w:rtl w:val="true"/>
              </w:rPr>
              <w:tab/>
            </w:r>
            <w:r>
              <w:rPr>
                <w:rStyle w:val="IndexLink"/>
              </w:rPr>
              <w:t>154</w:t>
            </w:r>
          </w:hyperlink>
        </w:p>
        <w:p>
          <w:pPr>
            <w:pStyle w:val="Contents6"/>
            <w:tabs>
              <w:tab w:val="clear" w:pos="7609"/>
              <w:tab w:val="right" w:pos="9026" w:leader="dot"/>
            </w:tabs>
            <w:rPr/>
          </w:pPr>
          <w:hyperlink w:anchor="__RefHeading___Toc508784_1738255347">
            <w:r>
              <w:rPr>
                <w:webHidden/>
                <w:rStyle w:val="IndexLink"/>
                <w:rtl w:val="true"/>
              </w:rPr>
              <w:t>تمهید</w:t>
            </w:r>
            <w:r>
              <w:rPr>
                <w:rStyle w:val="IndexLink"/>
                <w:rtl w:val="true"/>
              </w:rPr>
              <w:tab/>
            </w:r>
            <w:r>
              <w:rPr>
                <w:rStyle w:val="IndexLink"/>
              </w:rPr>
              <w:t>154</w:t>
            </w:r>
          </w:hyperlink>
        </w:p>
        <w:p>
          <w:pPr>
            <w:pStyle w:val="Contents6"/>
            <w:tabs>
              <w:tab w:val="clear" w:pos="7609"/>
              <w:tab w:val="right" w:pos="9026" w:leader="dot"/>
            </w:tabs>
            <w:rPr/>
          </w:pPr>
          <w:hyperlink w:anchor="__RefHeading___Toc508786_1738255347">
            <w:r>
              <w:rPr>
                <w:webHidden/>
                <w:rStyle w:val="IndexLink"/>
                <w:rtl w:val="true"/>
              </w:rPr>
              <w:t>منجّزیة العلم الإجمالی</w:t>
            </w:r>
            <w:r>
              <w:rPr>
                <w:rStyle w:val="IndexLink"/>
                <w:rtl w:val="true"/>
              </w:rPr>
              <w:tab/>
            </w:r>
            <w:r>
              <w:rPr>
                <w:rStyle w:val="IndexLink"/>
              </w:rPr>
              <w:t>156</w:t>
            </w:r>
          </w:hyperlink>
        </w:p>
        <w:p>
          <w:pPr>
            <w:pStyle w:val="Contents6"/>
            <w:tabs>
              <w:tab w:val="clear" w:pos="7609"/>
              <w:tab w:val="right" w:pos="9026" w:leader="dot"/>
            </w:tabs>
            <w:rPr/>
          </w:pPr>
          <w:hyperlink w:anchor="__RefHeading___Toc508788_1738255347">
            <w:r>
              <w:rPr>
                <w:webHidden/>
                <w:rStyle w:val="IndexLink"/>
                <w:rtl w:val="true"/>
              </w:rPr>
              <w:t>انحلال العلم الإجمالی</w:t>
            </w:r>
            <w:r>
              <w:rPr>
                <w:rStyle w:val="IndexLink"/>
                <w:rtl w:val="true"/>
              </w:rPr>
              <w:tab/>
            </w:r>
            <w:r>
              <w:rPr>
                <w:rStyle w:val="IndexLink"/>
              </w:rPr>
              <w:t>158</w:t>
            </w:r>
          </w:hyperlink>
        </w:p>
        <w:p>
          <w:pPr>
            <w:pStyle w:val="Contents6"/>
            <w:tabs>
              <w:tab w:val="clear" w:pos="7609"/>
              <w:tab w:val="right" w:pos="9026" w:leader="dot"/>
            </w:tabs>
            <w:rPr/>
          </w:pPr>
          <w:hyperlink w:anchor="__RefHeading___Toc508790_1738255347">
            <w:r>
              <w:rPr>
                <w:webHidden/>
                <w:rStyle w:val="IndexLink"/>
                <w:rtl w:val="true"/>
              </w:rPr>
              <w:t>موارد التردّد</w:t>
            </w:r>
            <w:r>
              <w:rPr>
                <w:rStyle w:val="IndexLink"/>
                <w:rtl w:val="true"/>
              </w:rPr>
              <w:tab/>
            </w:r>
            <w:r>
              <w:rPr>
                <w:rStyle w:val="IndexLink"/>
              </w:rPr>
              <w:t>159</w:t>
            </w:r>
          </w:hyperlink>
        </w:p>
        <w:p>
          <w:pPr>
            <w:pStyle w:val="Contents5"/>
            <w:tabs>
              <w:tab w:val="clear" w:pos="7892"/>
              <w:tab w:val="right" w:pos="9026" w:leader="dot"/>
            </w:tabs>
            <w:rPr/>
          </w:pPr>
          <w:hyperlink w:anchor="__RefHeading___Toc508792_1738255347">
            <w:r>
              <w:rPr>
                <w:webHidden/>
                <w:rStyle w:val="IndexLink"/>
              </w:rPr>
              <w:t>4</w:t>
            </w:r>
            <w:r>
              <w:rPr>
                <w:rStyle w:val="IndexLink"/>
                <w:rtl w:val="true"/>
              </w:rPr>
              <w:t xml:space="preserve">- </w:t>
            </w:r>
            <w:r>
              <w:rPr>
                <w:rStyle w:val="IndexLink"/>
                <w:rtl w:val="true"/>
              </w:rPr>
              <w:t>الاستصحاب</w:t>
            </w:r>
            <w:r>
              <w:rPr>
                <w:rStyle w:val="IndexLink"/>
                <w:rtl w:val="true"/>
              </w:rPr>
              <w:tab/>
            </w:r>
            <w:r>
              <w:rPr>
                <w:rStyle w:val="IndexLink"/>
              </w:rPr>
              <w:t>161</w:t>
            </w:r>
          </w:hyperlink>
        </w:p>
        <w:p>
          <w:pPr>
            <w:pStyle w:val="Contents6"/>
            <w:tabs>
              <w:tab w:val="clear" w:pos="7609"/>
              <w:tab w:val="right" w:pos="9026" w:leader="dot"/>
            </w:tabs>
            <w:rPr/>
          </w:pPr>
          <w:hyperlink w:anchor="__RefHeading___Toc508794_173825534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508796_1738255347">
            <w:r>
              <w:rPr>
                <w:webHidden/>
                <w:rStyle w:val="IndexLink"/>
                <w:rtl w:val="true"/>
              </w:rPr>
              <w:t>الحالة السابقة المتیقّنة</w:t>
            </w:r>
            <w:r>
              <w:rPr>
                <w:rStyle w:val="IndexLink"/>
                <w:rtl w:val="true"/>
              </w:rPr>
              <w:tab/>
            </w:r>
            <w:r>
              <w:rPr>
                <w:rStyle w:val="IndexLink"/>
              </w:rPr>
              <w:t>162</w:t>
            </w:r>
          </w:hyperlink>
        </w:p>
        <w:p>
          <w:pPr>
            <w:pStyle w:val="Contents6"/>
            <w:tabs>
              <w:tab w:val="clear" w:pos="7609"/>
              <w:tab w:val="right" w:pos="9026" w:leader="dot"/>
            </w:tabs>
            <w:rPr/>
          </w:pPr>
          <w:hyperlink w:anchor="__RefHeading___Toc508798_1738255347">
            <w:r>
              <w:rPr>
                <w:webHidden/>
                <w:rStyle w:val="IndexLink"/>
                <w:rtl w:val="true"/>
              </w:rPr>
              <w:t>الشکّ فی البقاء</w:t>
            </w:r>
            <w:r>
              <w:rPr>
                <w:rStyle w:val="IndexLink"/>
                <w:rtl w:val="true"/>
              </w:rPr>
              <w:tab/>
            </w:r>
            <w:r>
              <w:rPr>
                <w:rStyle w:val="IndexLink"/>
              </w:rPr>
              <w:t>163</w:t>
            </w:r>
          </w:hyperlink>
        </w:p>
        <w:p>
          <w:pPr>
            <w:pStyle w:val="Contents6"/>
            <w:tabs>
              <w:tab w:val="clear" w:pos="7609"/>
              <w:tab w:val="right" w:pos="9026" w:leader="dot"/>
            </w:tabs>
            <w:rPr/>
          </w:pPr>
          <w:hyperlink w:anchor="__RefHeading___Toc508800_1738255347">
            <w:r>
              <w:rPr>
                <w:webHidden/>
                <w:rStyle w:val="IndexLink"/>
                <w:rtl w:val="true"/>
              </w:rPr>
              <w:t>وحدة الموضوع فی الاستصحاب</w:t>
            </w:r>
            <w:r>
              <w:rPr>
                <w:rStyle w:val="IndexLink"/>
                <w:rtl w:val="true"/>
              </w:rPr>
              <w:tab/>
            </w:r>
            <w:r>
              <w:rPr>
                <w:rStyle w:val="IndexLink"/>
              </w:rPr>
              <w:t>164</w:t>
            </w:r>
          </w:hyperlink>
        </w:p>
        <w:p>
          <w:pPr>
            <w:pStyle w:val="Contents3"/>
            <w:tabs>
              <w:tab w:val="clear" w:pos="8459"/>
              <w:tab w:val="right" w:pos="9026" w:leader="dot"/>
            </w:tabs>
            <w:rPr/>
          </w:pPr>
          <w:hyperlink w:anchor="__RefHeading___Toc508802_1738255347">
            <w:r>
              <w:rPr>
                <w:webHidden/>
                <w:rStyle w:val="IndexLink"/>
                <w:rtl w:val="true"/>
              </w:rPr>
              <w:t>تعارض الأدلّة</w:t>
            </w:r>
            <w:r>
              <w:rPr>
                <w:rStyle w:val="IndexLink"/>
                <w:rtl w:val="true"/>
              </w:rPr>
              <w:tab/>
            </w:r>
            <w:r>
              <w:rPr>
                <w:rStyle w:val="IndexLink"/>
              </w:rPr>
              <w:t>166</w:t>
            </w:r>
          </w:hyperlink>
        </w:p>
        <w:p>
          <w:pPr>
            <w:pStyle w:val="Contents4"/>
            <w:tabs>
              <w:tab w:val="clear" w:pos="8176"/>
              <w:tab w:val="right" w:pos="9026" w:leader="dot"/>
            </w:tabs>
            <w:rPr/>
          </w:pPr>
          <w:hyperlink w:anchor="__RefHeading___Toc508804_173825534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08806_1738255347">
            <w:r>
              <w:rPr>
                <w:webHidden/>
                <w:rStyle w:val="IndexLink"/>
              </w:rPr>
              <w:t>1</w:t>
            </w:r>
            <w:r>
              <w:rPr>
                <w:rStyle w:val="IndexLink"/>
                <w:rtl w:val="true"/>
              </w:rPr>
              <w:t xml:space="preserve"> - </w:t>
            </w:r>
            <w:r>
              <w:rPr>
                <w:rStyle w:val="IndexLink"/>
                <w:rtl w:val="true"/>
              </w:rPr>
              <w:t>التعارض بین الأدلّة المحرزة</w:t>
            </w:r>
            <w:r>
              <w:rPr>
                <w:rStyle w:val="IndexLink"/>
                <w:rtl w:val="true"/>
              </w:rPr>
              <w:tab/>
            </w:r>
            <w:r>
              <w:rPr>
                <w:rStyle w:val="IndexLink"/>
              </w:rPr>
              <w:t>168</w:t>
            </w:r>
          </w:hyperlink>
        </w:p>
        <w:p>
          <w:pPr>
            <w:pStyle w:val="Contents5"/>
            <w:tabs>
              <w:tab w:val="clear" w:pos="7892"/>
              <w:tab w:val="right" w:pos="9026" w:leader="dot"/>
            </w:tabs>
            <w:rPr/>
          </w:pPr>
          <w:hyperlink w:anchor="__RefHeading___Toc508808_173825534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08810_1738255347">
            <w:r>
              <w:rPr>
                <w:webHidden/>
                <w:rStyle w:val="IndexLink"/>
                <w:rtl w:val="true"/>
              </w:rPr>
              <w:t>حالة التعارض بین دلیلین لفظیَّین</w:t>
            </w:r>
            <w:r>
              <w:rPr>
                <w:rStyle w:val="IndexLink"/>
                <w:rtl w:val="true"/>
              </w:rPr>
              <w:tab/>
            </w:r>
            <w:r>
              <w:rPr>
                <w:rStyle w:val="IndexLink"/>
              </w:rPr>
              <w:t>168</w:t>
            </w:r>
          </w:hyperlink>
        </w:p>
        <w:p>
          <w:pPr>
            <w:pStyle w:val="Contents5"/>
            <w:tabs>
              <w:tab w:val="clear" w:pos="7892"/>
              <w:tab w:val="right" w:pos="9026" w:leader="dot"/>
            </w:tabs>
            <w:rPr/>
          </w:pPr>
          <w:hyperlink w:anchor="__RefHeading___Toc508812_1738255347">
            <w:r>
              <w:rPr>
                <w:webHidden/>
                <w:rStyle w:val="IndexLink"/>
                <w:rtl w:val="true"/>
              </w:rPr>
              <w:t>حالات التعارض الاخری</w:t>
            </w:r>
            <w:r>
              <w:rPr>
                <w:rStyle w:val="IndexLink"/>
                <w:rtl w:val="true"/>
              </w:rPr>
              <w:tab/>
            </w:r>
            <w:r>
              <w:rPr>
                <w:rStyle w:val="IndexLink"/>
              </w:rPr>
              <w:t>171</w:t>
            </w:r>
          </w:hyperlink>
        </w:p>
        <w:p>
          <w:pPr>
            <w:pStyle w:val="Contents4"/>
            <w:tabs>
              <w:tab w:val="clear" w:pos="8176"/>
              <w:tab w:val="right" w:pos="9026" w:leader="dot"/>
            </w:tabs>
            <w:rPr/>
          </w:pPr>
          <w:hyperlink w:anchor="__RefHeading___Toc508814_1738255347">
            <w:r>
              <w:rPr>
                <w:webHidden/>
                <w:rStyle w:val="IndexLink"/>
              </w:rPr>
              <w:t>2</w:t>
            </w:r>
            <w:r>
              <w:rPr>
                <w:rStyle w:val="IndexLink"/>
                <w:rtl w:val="true"/>
              </w:rPr>
              <w:t xml:space="preserve"> - </w:t>
            </w:r>
            <w:r>
              <w:rPr>
                <w:rStyle w:val="IndexLink"/>
                <w:rtl w:val="true"/>
              </w:rPr>
              <w:t>التعارض بین الاصول</w:t>
            </w:r>
            <w:r>
              <w:rPr>
                <w:rStyle w:val="IndexLink"/>
                <w:rtl w:val="true"/>
              </w:rPr>
              <w:tab/>
            </w:r>
            <w:r>
              <w:rPr>
                <w:rStyle w:val="IndexLink"/>
              </w:rPr>
              <w:t>172</w:t>
            </w:r>
          </w:hyperlink>
        </w:p>
        <w:p>
          <w:pPr>
            <w:pStyle w:val="Contents4"/>
            <w:tabs>
              <w:tab w:val="clear" w:pos="8176"/>
              <w:tab w:val="right" w:pos="9026" w:leader="dot"/>
            </w:tabs>
            <w:rPr/>
          </w:pPr>
          <w:hyperlink w:anchor="__RefHeading___Toc508816_1738255347">
            <w:r>
              <w:rPr>
                <w:webHidden/>
                <w:rStyle w:val="IndexLink"/>
              </w:rPr>
              <w:t>3</w:t>
            </w:r>
            <w:r>
              <w:rPr>
                <w:rStyle w:val="IndexLink"/>
                <w:rtl w:val="true"/>
              </w:rPr>
              <w:t xml:space="preserve"> - </w:t>
            </w:r>
            <w:r>
              <w:rPr>
                <w:rStyle w:val="IndexLink"/>
                <w:rtl w:val="true"/>
              </w:rPr>
              <w:t>التعارض بین النوعین</w:t>
            </w:r>
            <w:r>
              <w:rPr>
                <w:rStyle w:val="IndexLink"/>
                <w:rtl w:val="true"/>
              </w:rPr>
              <w:tab/>
            </w:r>
            <w:r>
              <w:rPr>
                <w:rStyle w:val="IndexLink"/>
              </w:rPr>
              <w:t>173</w:t>
            </w:r>
          </w:hyperlink>
        </w:p>
        <w:p>
          <w:pPr>
            <w:pStyle w:val="Contents2"/>
            <w:tabs>
              <w:tab w:val="clear" w:pos="8743"/>
              <w:tab w:val="right" w:pos="9026" w:leader="dot"/>
            </w:tabs>
            <w:rPr/>
          </w:pPr>
          <w:hyperlink w:anchor="__RefHeading___Toc508818_1738255347">
            <w:r>
              <w:rPr>
                <w:webHidden/>
                <w:rStyle w:val="IndexLink"/>
                <w:rtl w:val="true"/>
              </w:rPr>
              <w:t>الحلقة الثانیة</w:t>
            </w:r>
            <w:r>
              <w:rPr>
                <w:rStyle w:val="IndexLink"/>
                <w:rtl w:val="true"/>
              </w:rPr>
              <w:tab/>
            </w:r>
            <w:r>
              <w:rPr>
                <w:rStyle w:val="IndexLink"/>
              </w:rPr>
              <w:t>176</w:t>
            </w:r>
          </w:hyperlink>
        </w:p>
        <w:p>
          <w:pPr>
            <w:pStyle w:val="Contents3"/>
            <w:tabs>
              <w:tab w:val="clear" w:pos="8459"/>
              <w:tab w:val="right" w:pos="9026" w:leader="dot"/>
            </w:tabs>
            <w:rPr/>
          </w:pPr>
          <w:hyperlink w:anchor="__RefHeading___Toc508820_1738255347">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08822_1738255347">
            <w:r>
              <w:rPr>
                <w:webHidden/>
                <w:rStyle w:val="IndexLink"/>
                <w:rtl w:val="true"/>
              </w:rPr>
              <w:t>التمهید</w:t>
            </w:r>
            <w:r>
              <w:rPr>
                <w:rStyle w:val="IndexLink"/>
                <w:rtl w:val="true"/>
              </w:rPr>
              <w:tab/>
            </w:r>
            <w:r>
              <w:rPr>
                <w:rStyle w:val="IndexLink"/>
              </w:rPr>
              <w:t>178</w:t>
            </w:r>
          </w:hyperlink>
        </w:p>
        <w:p>
          <w:pPr>
            <w:pStyle w:val="Contents4"/>
            <w:tabs>
              <w:tab w:val="clear" w:pos="8176"/>
              <w:tab w:val="right" w:pos="9026" w:leader="dot"/>
            </w:tabs>
            <w:rPr/>
          </w:pPr>
          <w:hyperlink w:anchor="__RefHeading___Toc508824_173825534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508826_1738255347">
            <w:r>
              <w:rPr>
                <w:webHidden/>
                <w:rStyle w:val="IndexLink"/>
                <w:rtl w:val="true"/>
              </w:rPr>
              <w:t>تعریف علم الاصول</w:t>
            </w:r>
            <w:r>
              <w:rPr>
                <w:rStyle w:val="IndexLink"/>
                <w:rtl w:val="true"/>
              </w:rPr>
              <w:tab/>
            </w:r>
            <w:r>
              <w:rPr>
                <w:rStyle w:val="IndexLink"/>
              </w:rPr>
              <w:t>180</w:t>
            </w:r>
          </w:hyperlink>
        </w:p>
        <w:p>
          <w:pPr>
            <w:pStyle w:val="Contents4"/>
            <w:tabs>
              <w:tab w:val="clear" w:pos="8176"/>
              <w:tab w:val="right" w:pos="9026" w:leader="dot"/>
            </w:tabs>
            <w:rPr/>
          </w:pPr>
          <w:hyperlink w:anchor="__RefHeading___Toc508828_1738255347">
            <w:r>
              <w:rPr>
                <w:webHidden/>
                <w:rStyle w:val="IndexLink"/>
                <w:rtl w:val="true"/>
              </w:rPr>
              <w:t>موضوع علمِ الاصول و فائدته</w:t>
            </w:r>
            <w:r>
              <w:rPr>
                <w:rStyle w:val="IndexLink"/>
                <w:rtl w:val="true"/>
              </w:rPr>
              <w:tab/>
            </w:r>
            <w:r>
              <w:rPr>
                <w:rStyle w:val="IndexLink"/>
              </w:rPr>
              <w:t>182</w:t>
            </w:r>
          </w:hyperlink>
        </w:p>
        <w:p>
          <w:pPr>
            <w:pStyle w:val="Contents5"/>
            <w:tabs>
              <w:tab w:val="clear" w:pos="7892"/>
              <w:tab w:val="right" w:pos="9026" w:leader="dot"/>
            </w:tabs>
            <w:rPr/>
          </w:pPr>
          <w:hyperlink w:anchor="__RefHeading___Toc508830_1738255347">
            <w:r>
              <w:rPr>
                <w:webHidden/>
                <w:rStyle w:val="IndexLink"/>
                <w:rtl w:val="true"/>
              </w:rPr>
              <w:t>موضوع علم الاصول</w:t>
            </w:r>
            <w:r>
              <w:rPr>
                <w:rStyle w:val="IndexLink"/>
                <w:rtl w:val="true"/>
              </w:rPr>
              <w:tab/>
            </w:r>
            <w:r>
              <w:rPr>
                <w:rStyle w:val="IndexLink"/>
              </w:rPr>
              <w:t>182</w:t>
            </w:r>
          </w:hyperlink>
        </w:p>
        <w:p>
          <w:pPr>
            <w:pStyle w:val="Contents5"/>
            <w:tabs>
              <w:tab w:val="clear" w:pos="7892"/>
              <w:tab w:val="right" w:pos="9026" w:leader="dot"/>
            </w:tabs>
            <w:rPr/>
          </w:pPr>
          <w:hyperlink w:anchor="__RefHeading___Toc508832_1738255347">
            <w:r>
              <w:rPr>
                <w:webHidden/>
                <w:rStyle w:val="IndexLink"/>
                <w:rtl w:val="true"/>
              </w:rPr>
              <w:t>فائدة علم الاصول</w:t>
            </w:r>
            <w:r>
              <w:rPr>
                <w:rStyle w:val="IndexLink"/>
                <w:rtl w:val="true"/>
              </w:rPr>
              <w:tab/>
            </w:r>
            <w:r>
              <w:rPr>
                <w:rStyle w:val="IndexLink"/>
              </w:rPr>
              <w:t>183</w:t>
            </w:r>
          </w:hyperlink>
        </w:p>
        <w:p>
          <w:pPr>
            <w:pStyle w:val="Contents4"/>
            <w:tabs>
              <w:tab w:val="clear" w:pos="8176"/>
              <w:tab w:val="right" w:pos="9026" w:leader="dot"/>
            </w:tabs>
            <w:rPr/>
          </w:pPr>
          <w:hyperlink w:anchor="__RefHeading___Toc508834_1738255347">
            <w:r>
              <w:rPr>
                <w:webHidden/>
                <w:rStyle w:val="IndexLink"/>
                <w:rtl w:val="true"/>
              </w:rPr>
              <w:t>الحکم الشرعیّ و تقسیمه</w:t>
            </w:r>
            <w:r>
              <w:rPr>
                <w:rStyle w:val="IndexLink"/>
                <w:rtl w:val="true"/>
              </w:rPr>
              <w:tab/>
            </w:r>
            <w:r>
              <w:rPr>
                <w:rStyle w:val="IndexLink"/>
              </w:rPr>
              <w:t>185</w:t>
            </w:r>
          </w:hyperlink>
        </w:p>
        <w:p>
          <w:pPr>
            <w:pStyle w:val="Contents5"/>
            <w:tabs>
              <w:tab w:val="clear" w:pos="7892"/>
              <w:tab w:val="right" w:pos="9026" w:leader="dot"/>
            </w:tabs>
            <w:rPr/>
          </w:pPr>
          <w:hyperlink w:anchor="__RefHeading___Toc508836_173825534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508838_1738255347">
            <w:r>
              <w:rPr>
                <w:webHidden/>
                <w:rStyle w:val="IndexLink"/>
                <w:rtl w:val="true"/>
              </w:rPr>
              <w:t>مبادئ الحکم التکلیفی</w:t>
            </w:r>
            <w:r>
              <w:rPr>
                <w:rStyle w:val="IndexLink"/>
                <w:rtl w:val="true"/>
              </w:rPr>
              <w:tab/>
            </w:r>
            <w:r>
              <w:rPr>
                <w:rStyle w:val="IndexLink"/>
              </w:rPr>
              <w:t>185</w:t>
            </w:r>
          </w:hyperlink>
        </w:p>
        <w:p>
          <w:pPr>
            <w:pStyle w:val="Contents5"/>
            <w:tabs>
              <w:tab w:val="clear" w:pos="7892"/>
              <w:tab w:val="right" w:pos="9026" w:leader="dot"/>
            </w:tabs>
            <w:rPr/>
          </w:pPr>
          <w:hyperlink w:anchor="__RefHeading___Toc508840_1738255347">
            <w:r>
              <w:rPr>
                <w:webHidden/>
                <w:rStyle w:val="IndexLink"/>
                <w:rtl w:val="true"/>
              </w:rPr>
              <w:t>التضادّ بین الأحکام التکلیفیة</w:t>
            </w:r>
            <w:r>
              <w:rPr>
                <w:rStyle w:val="IndexLink"/>
                <w:rtl w:val="true"/>
              </w:rPr>
              <w:tab/>
            </w:r>
            <w:r>
              <w:rPr>
                <w:rStyle w:val="IndexLink"/>
              </w:rPr>
              <w:t>187</w:t>
            </w:r>
          </w:hyperlink>
        </w:p>
        <w:p>
          <w:pPr>
            <w:pStyle w:val="Contents5"/>
            <w:tabs>
              <w:tab w:val="clear" w:pos="7892"/>
              <w:tab w:val="right" w:pos="9026" w:leader="dot"/>
            </w:tabs>
            <w:rPr/>
          </w:pPr>
          <w:hyperlink w:anchor="__RefHeading___Toc508842_1738255347">
            <w:r>
              <w:rPr>
                <w:webHidden/>
                <w:rStyle w:val="IndexLink"/>
                <w:rtl w:val="true"/>
              </w:rPr>
              <w:t>شمول الحکم الشرعیّ لجمیع وقائع الحیاة</w:t>
            </w:r>
            <w:r>
              <w:rPr>
                <w:rStyle w:val="IndexLink"/>
                <w:rtl w:val="true"/>
              </w:rPr>
              <w:tab/>
            </w:r>
            <w:r>
              <w:rPr>
                <w:rStyle w:val="IndexLink"/>
              </w:rPr>
              <w:t>188</w:t>
            </w:r>
          </w:hyperlink>
        </w:p>
        <w:p>
          <w:pPr>
            <w:pStyle w:val="Contents5"/>
            <w:tabs>
              <w:tab w:val="clear" w:pos="7892"/>
              <w:tab w:val="right" w:pos="9026" w:leader="dot"/>
            </w:tabs>
            <w:rPr/>
          </w:pPr>
          <w:hyperlink w:anchor="__RefHeading___Toc508844_1738255347">
            <w:r>
              <w:rPr>
                <w:webHidden/>
                <w:rStyle w:val="IndexLink"/>
                <w:rtl w:val="true"/>
              </w:rPr>
              <w:t>الحکم الواقعیّ و الحکم الظاهری</w:t>
            </w:r>
            <w:r>
              <w:rPr>
                <w:rStyle w:val="IndexLink"/>
                <w:rtl w:val="true"/>
              </w:rPr>
              <w:tab/>
            </w:r>
            <w:r>
              <w:rPr>
                <w:rStyle w:val="IndexLink"/>
              </w:rPr>
              <w:t>188</w:t>
            </w:r>
          </w:hyperlink>
        </w:p>
        <w:p>
          <w:pPr>
            <w:pStyle w:val="Contents5"/>
            <w:tabs>
              <w:tab w:val="clear" w:pos="7892"/>
              <w:tab w:val="right" w:pos="9026" w:leader="dot"/>
            </w:tabs>
            <w:rPr/>
          </w:pPr>
          <w:hyperlink w:anchor="__RefHeading___Toc508846_1738255347">
            <w:r>
              <w:rPr>
                <w:webHidden/>
                <w:rStyle w:val="IndexLink"/>
                <w:rtl w:val="true"/>
              </w:rPr>
              <w:t>الأمارات و الاصول</w:t>
            </w:r>
            <w:r>
              <w:rPr>
                <w:rStyle w:val="IndexLink"/>
                <w:rtl w:val="true"/>
              </w:rPr>
              <w:tab/>
            </w:r>
            <w:r>
              <w:rPr>
                <w:rStyle w:val="IndexLink"/>
              </w:rPr>
              <w:t>189</w:t>
            </w:r>
          </w:hyperlink>
        </w:p>
        <w:p>
          <w:pPr>
            <w:pStyle w:val="Contents5"/>
            <w:tabs>
              <w:tab w:val="clear" w:pos="7892"/>
              <w:tab w:val="right" w:pos="9026" w:leader="dot"/>
            </w:tabs>
            <w:rPr/>
          </w:pPr>
          <w:hyperlink w:anchor="__RefHeading___Toc508848_1738255347">
            <w:r>
              <w:rPr>
                <w:webHidden/>
                <w:rStyle w:val="IndexLink"/>
                <w:rtl w:val="true"/>
              </w:rPr>
              <w:t>اجتماع الحکم الواقعیّ و الظاهری</w:t>
            </w:r>
            <w:r>
              <w:rPr>
                <w:rStyle w:val="IndexLink"/>
                <w:rtl w:val="true"/>
              </w:rPr>
              <w:tab/>
            </w:r>
            <w:r>
              <w:rPr>
                <w:rStyle w:val="IndexLink"/>
              </w:rPr>
              <w:t>190</w:t>
            </w:r>
          </w:hyperlink>
        </w:p>
        <w:p>
          <w:pPr>
            <w:pStyle w:val="Contents5"/>
            <w:tabs>
              <w:tab w:val="clear" w:pos="7892"/>
              <w:tab w:val="right" w:pos="9026" w:leader="dot"/>
            </w:tabs>
            <w:rPr/>
          </w:pPr>
          <w:hyperlink w:anchor="__RefHeading___Toc508850_1738255347">
            <w:r>
              <w:rPr>
                <w:webHidden/>
                <w:rStyle w:val="IndexLink"/>
                <w:rtl w:val="true"/>
              </w:rPr>
              <w:t>القضیّة الحقیقیّة و القضیّة الخارجیّة للأحکام</w:t>
            </w:r>
            <w:r>
              <w:rPr>
                <w:rStyle w:val="IndexLink"/>
                <w:rtl w:val="true"/>
              </w:rPr>
              <w:tab/>
            </w:r>
            <w:r>
              <w:rPr>
                <w:rStyle w:val="IndexLink"/>
              </w:rPr>
              <w:t>190</w:t>
            </w:r>
          </w:hyperlink>
        </w:p>
        <w:p>
          <w:pPr>
            <w:pStyle w:val="Contents4"/>
            <w:tabs>
              <w:tab w:val="clear" w:pos="8176"/>
              <w:tab w:val="right" w:pos="9026" w:leader="dot"/>
            </w:tabs>
            <w:rPr/>
          </w:pPr>
          <w:hyperlink w:anchor="__RefHeading___Toc508852_1738255347">
            <w:r>
              <w:rPr>
                <w:webHidden/>
                <w:rStyle w:val="IndexLink"/>
                <w:rtl w:val="true"/>
              </w:rPr>
              <w:t>تنویعُ البحث</w:t>
            </w:r>
            <w:r>
              <w:rPr>
                <w:rStyle w:val="IndexLink"/>
                <w:rtl w:val="true"/>
              </w:rPr>
              <w:tab/>
            </w:r>
            <w:r>
              <w:rPr>
                <w:rStyle w:val="IndexLink"/>
              </w:rPr>
              <w:t>192</w:t>
            </w:r>
          </w:hyperlink>
        </w:p>
        <w:p>
          <w:pPr>
            <w:pStyle w:val="Contents4"/>
            <w:tabs>
              <w:tab w:val="clear" w:pos="8176"/>
              <w:tab w:val="right" w:pos="9026" w:leader="dot"/>
            </w:tabs>
            <w:rPr/>
          </w:pPr>
          <w:hyperlink w:anchor="__RefHeading___Toc508854_1738255347">
            <w:r>
              <w:rPr>
                <w:webHidden/>
                <w:rStyle w:val="IndexLink"/>
                <w:rtl w:val="true"/>
              </w:rPr>
              <w:t>حجّیة القطع</w:t>
            </w:r>
            <w:r>
              <w:rPr>
                <w:rStyle w:val="IndexLink"/>
                <w:rtl w:val="true"/>
              </w:rPr>
              <w:tab/>
            </w:r>
            <w:r>
              <w:rPr>
                <w:rStyle w:val="IndexLink"/>
              </w:rPr>
              <w:t>195</w:t>
            </w:r>
          </w:hyperlink>
        </w:p>
        <w:p>
          <w:pPr>
            <w:pStyle w:val="Contents5"/>
            <w:tabs>
              <w:tab w:val="clear" w:pos="7892"/>
              <w:tab w:val="right" w:pos="9026" w:leader="dot"/>
            </w:tabs>
            <w:rPr/>
          </w:pPr>
          <w:hyperlink w:anchor="__RefHeading___Toc508856_173825534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08858_1738255347">
            <w:r>
              <w:rPr>
                <w:webHidden/>
                <w:rStyle w:val="IndexLink"/>
                <w:rtl w:val="true"/>
              </w:rPr>
              <w:t>معذّریّة القطع</w:t>
            </w:r>
            <w:r>
              <w:rPr>
                <w:rStyle w:val="IndexLink"/>
                <w:rtl w:val="true"/>
              </w:rPr>
              <w:tab/>
            </w:r>
            <w:r>
              <w:rPr>
                <w:rStyle w:val="IndexLink"/>
              </w:rPr>
              <w:t>198</w:t>
            </w:r>
          </w:hyperlink>
        </w:p>
        <w:p>
          <w:pPr>
            <w:pStyle w:val="Contents5"/>
            <w:tabs>
              <w:tab w:val="clear" w:pos="7892"/>
              <w:tab w:val="right" w:pos="9026" w:leader="dot"/>
            </w:tabs>
            <w:rPr/>
          </w:pPr>
          <w:hyperlink w:anchor="__RefHeading___Toc508860_1738255347">
            <w:r>
              <w:rPr>
                <w:webHidden/>
                <w:rStyle w:val="IndexLink"/>
                <w:rtl w:val="true"/>
              </w:rPr>
              <w:t>التجرّی</w:t>
            </w:r>
            <w:r>
              <w:rPr>
                <w:rStyle w:val="IndexLink"/>
                <w:rtl w:val="true"/>
              </w:rPr>
              <w:tab/>
            </w:r>
            <w:r>
              <w:rPr>
                <w:rStyle w:val="IndexLink"/>
              </w:rPr>
              <w:t>199</w:t>
            </w:r>
          </w:hyperlink>
        </w:p>
        <w:p>
          <w:pPr>
            <w:pStyle w:val="Contents5"/>
            <w:tabs>
              <w:tab w:val="clear" w:pos="7892"/>
              <w:tab w:val="right" w:pos="9026" w:leader="dot"/>
            </w:tabs>
            <w:rPr/>
          </w:pPr>
          <w:hyperlink w:anchor="__RefHeading___Toc508862_1738255347">
            <w:r>
              <w:rPr>
                <w:webHidden/>
                <w:rStyle w:val="IndexLink"/>
                <w:rtl w:val="true"/>
              </w:rPr>
              <w:t>العلم الإجمالی</w:t>
            </w:r>
            <w:r>
              <w:rPr>
                <w:rStyle w:val="IndexLink"/>
                <w:rtl w:val="true"/>
              </w:rPr>
              <w:tab/>
            </w:r>
            <w:r>
              <w:rPr>
                <w:rStyle w:val="IndexLink"/>
              </w:rPr>
              <w:t>200</w:t>
            </w:r>
          </w:hyperlink>
        </w:p>
        <w:p>
          <w:pPr>
            <w:pStyle w:val="Contents5"/>
            <w:tabs>
              <w:tab w:val="clear" w:pos="7892"/>
              <w:tab w:val="right" w:pos="9026" w:leader="dot"/>
            </w:tabs>
            <w:rPr/>
          </w:pPr>
          <w:hyperlink w:anchor="__RefHeading___Toc508864_1738255347">
            <w:r>
              <w:rPr>
                <w:webHidden/>
                <w:rStyle w:val="IndexLink"/>
                <w:rtl w:val="true"/>
              </w:rPr>
              <w:t>القطع الطریقیّ و الموضوعی</w:t>
            </w:r>
            <w:r>
              <w:rPr>
                <w:rStyle w:val="IndexLink"/>
                <w:rtl w:val="true"/>
              </w:rPr>
              <w:tab/>
            </w:r>
            <w:r>
              <w:rPr>
                <w:rStyle w:val="IndexLink"/>
              </w:rPr>
              <w:t>201</w:t>
            </w:r>
          </w:hyperlink>
        </w:p>
        <w:p>
          <w:pPr>
            <w:pStyle w:val="Contents5"/>
            <w:tabs>
              <w:tab w:val="clear" w:pos="7892"/>
              <w:tab w:val="right" w:pos="9026" w:leader="dot"/>
            </w:tabs>
            <w:rPr/>
          </w:pPr>
          <w:hyperlink w:anchor="__RefHeading___Toc508866_1738255347">
            <w:r>
              <w:rPr>
                <w:webHidden/>
                <w:rStyle w:val="IndexLink"/>
                <w:rtl w:val="true"/>
              </w:rPr>
              <w:t>جواز الإسناد إلی المولی</w:t>
            </w:r>
            <w:r>
              <w:rPr>
                <w:rStyle w:val="IndexLink"/>
                <w:rtl w:val="true"/>
              </w:rPr>
              <w:tab/>
            </w:r>
            <w:r>
              <w:rPr>
                <w:rStyle w:val="IndexLink"/>
              </w:rPr>
              <w:t>202</w:t>
            </w:r>
          </w:hyperlink>
        </w:p>
        <w:p>
          <w:pPr>
            <w:pStyle w:val="Contents5"/>
            <w:tabs>
              <w:tab w:val="clear" w:pos="7892"/>
              <w:tab w:val="right" w:pos="9026" w:leader="dot"/>
            </w:tabs>
            <w:rPr/>
          </w:pPr>
          <w:hyperlink w:anchor="__RefHeading___Toc508868_1738255347">
            <w:r>
              <w:rPr>
                <w:webHidden/>
                <w:rStyle w:val="IndexLink"/>
                <w:rtl w:val="true"/>
              </w:rPr>
              <w:t>تلخیص و مقارنة</w:t>
            </w:r>
            <w:r>
              <w:rPr>
                <w:rStyle w:val="IndexLink"/>
                <w:rtl w:val="true"/>
              </w:rPr>
              <w:tab/>
            </w:r>
            <w:r>
              <w:rPr>
                <w:rStyle w:val="IndexLink"/>
              </w:rPr>
              <w:t>203</w:t>
            </w:r>
          </w:hyperlink>
        </w:p>
        <w:p>
          <w:pPr>
            <w:pStyle w:val="Contents3"/>
            <w:tabs>
              <w:tab w:val="clear" w:pos="8459"/>
              <w:tab w:val="right" w:pos="9026" w:leader="dot"/>
            </w:tabs>
            <w:rPr/>
          </w:pPr>
          <w:hyperlink w:anchor="__RefHeading___Toc508870_1738255347">
            <w:r>
              <w:rPr>
                <w:webHidden/>
                <w:rStyle w:val="IndexLink"/>
                <w:rtl w:val="true"/>
              </w:rPr>
              <w:t>الأدلّة</w:t>
            </w:r>
            <w:r>
              <w:rPr>
                <w:rStyle w:val="IndexLink"/>
                <w:rtl w:val="true"/>
              </w:rPr>
              <w:tab/>
            </w:r>
            <w:r>
              <w:rPr>
                <w:rStyle w:val="IndexLink"/>
              </w:rPr>
              <w:t>204</w:t>
            </w:r>
          </w:hyperlink>
        </w:p>
        <w:p>
          <w:pPr>
            <w:pStyle w:val="Contents4"/>
            <w:tabs>
              <w:tab w:val="clear" w:pos="8176"/>
              <w:tab w:val="right" w:pos="9026" w:leader="dot"/>
            </w:tabs>
            <w:rPr/>
          </w:pPr>
          <w:hyperlink w:anchor="__RefHeading___Toc508872_173825534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508874_1738255347">
            <w:r>
              <w:rPr>
                <w:webHidden/>
                <w:rStyle w:val="IndexLink"/>
                <w:rtl w:val="true"/>
              </w:rPr>
              <w:t>تحدید المنهج فی الأدلّة و الاصول</w:t>
            </w:r>
            <w:r>
              <w:rPr>
                <w:rStyle w:val="IndexLink"/>
                <w:rtl w:val="true"/>
              </w:rPr>
              <w:tab/>
            </w:r>
            <w:r>
              <w:rPr>
                <w:rStyle w:val="IndexLink"/>
              </w:rPr>
              <w:t>206</w:t>
            </w:r>
          </w:hyperlink>
        </w:p>
        <w:p>
          <w:pPr>
            <w:pStyle w:val="Contents5"/>
            <w:tabs>
              <w:tab w:val="clear" w:pos="7892"/>
              <w:tab w:val="right" w:pos="9026" w:leader="dot"/>
            </w:tabs>
            <w:rPr/>
          </w:pPr>
          <w:hyperlink w:anchor="__RefHeading___Toc508876_173825534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08878_1738255347">
            <w:r>
              <w:rPr>
                <w:webHidden/>
                <w:rStyle w:val="IndexLink"/>
                <w:rtl w:val="true"/>
              </w:rPr>
              <w:t>المنهج علی مسلک حقّ الطاعة</w:t>
            </w:r>
            <w:r>
              <w:rPr>
                <w:rStyle w:val="IndexLink"/>
                <w:rtl w:val="true"/>
              </w:rPr>
              <w:tab/>
            </w:r>
            <w:r>
              <w:rPr>
                <w:rStyle w:val="IndexLink"/>
              </w:rPr>
              <w:t>207</w:t>
            </w:r>
          </w:hyperlink>
        </w:p>
        <w:p>
          <w:pPr>
            <w:pStyle w:val="Contents5"/>
            <w:tabs>
              <w:tab w:val="clear" w:pos="7892"/>
              <w:tab w:val="right" w:pos="9026" w:leader="dot"/>
            </w:tabs>
            <w:rPr/>
          </w:pPr>
          <w:hyperlink w:anchor="__RefHeading___Toc508880_1738255347">
            <w:r>
              <w:rPr>
                <w:webHidden/>
                <w:rStyle w:val="IndexLink"/>
                <w:rtl w:val="true"/>
              </w:rPr>
              <w:t>فائدة المنجّزیّة و المعذّریّة الشرعیّة</w:t>
            </w:r>
            <w:r>
              <w:rPr>
                <w:rStyle w:val="IndexLink"/>
                <w:rtl w:val="true"/>
              </w:rPr>
              <w:tab/>
            </w:r>
            <w:r>
              <w:rPr>
                <w:rStyle w:val="IndexLink"/>
              </w:rPr>
              <w:t>208</w:t>
            </w:r>
          </w:hyperlink>
        </w:p>
        <w:p>
          <w:pPr>
            <w:pStyle w:val="Contents5"/>
            <w:tabs>
              <w:tab w:val="clear" w:pos="7892"/>
              <w:tab w:val="right" w:pos="9026" w:leader="dot"/>
            </w:tabs>
            <w:rPr/>
          </w:pPr>
          <w:hyperlink w:anchor="__RefHeading___Toc508882_1738255347">
            <w:r>
              <w:rPr>
                <w:webHidden/>
                <w:rStyle w:val="IndexLink"/>
                <w:rtl w:val="true"/>
              </w:rPr>
              <w:t>المنهج علی مسلک قبح العقاب بلا بیان</w:t>
            </w:r>
            <w:r>
              <w:rPr>
                <w:rStyle w:val="IndexLink"/>
                <w:rtl w:val="true"/>
              </w:rPr>
              <w:tab/>
            </w:r>
            <w:r>
              <w:rPr>
                <w:rStyle w:val="IndexLink"/>
              </w:rPr>
              <w:t>209</w:t>
            </w:r>
          </w:hyperlink>
        </w:p>
        <w:p>
          <w:pPr>
            <w:pStyle w:val="Contents4"/>
            <w:tabs>
              <w:tab w:val="clear" w:pos="8176"/>
              <w:tab w:val="right" w:pos="9026" w:leader="dot"/>
            </w:tabs>
            <w:rPr/>
          </w:pPr>
          <w:hyperlink w:anchor="__RefHeading___Toc508884_1738255347">
            <w:r>
              <w:rPr>
                <w:webHidden/>
                <w:rStyle w:val="IndexLink"/>
                <w:rtl w:val="true"/>
              </w:rPr>
              <w:t>الأدلّة المُحْرِزَة</w:t>
            </w:r>
            <w:r>
              <w:rPr>
                <w:rStyle w:val="IndexLink"/>
                <w:rtl w:val="true"/>
              </w:rPr>
              <w:tab/>
            </w:r>
            <w:r>
              <w:rPr>
                <w:rStyle w:val="IndexLink"/>
              </w:rPr>
              <w:t>210</w:t>
            </w:r>
          </w:hyperlink>
        </w:p>
        <w:p>
          <w:pPr>
            <w:pStyle w:val="Contents5"/>
            <w:tabs>
              <w:tab w:val="clear" w:pos="7892"/>
              <w:tab w:val="right" w:pos="9026" w:leader="dot"/>
            </w:tabs>
            <w:rPr/>
          </w:pPr>
          <w:hyperlink w:anchor="__RefHeading___Toc508886_173825534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508888_1738255347">
            <w:r>
              <w:rPr>
                <w:webHidden/>
                <w:rStyle w:val="IndexLink"/>
                <w:rtl w:val="true"/>
              </w:rPr>
              <w:t>[</w:t>
            </w:r>
            <w:r>
              <w:rPr>
                <w:rStyle w:val="IndexLink"/>
                <w:rtl w:val="true"/>
              </w:rPr>
              <w:t>تمهید</w:t>
            </w:r>
            <w:r>
              <w:rPr>
                <w:rStyle w:val="IndexLink"/>
                <w:rtl w:val="true"/>
              </w:rPr>
              <w:t>]</w:t>
              <w:tab/>
            </w:r>
            <w:r>
              <w:rPr>
                <w:rStyle w:val="IndexLink"/>
              </w:rPr>
              <w:t>212</w:t>
            </w:r>
          </w:hyperlink>
        </w:p>
        <w:p>
          <w:pPr>
            <w:pStyle w:val="Contents6"/>
            <w:tabs>
              <w:tab w:val="clear" w:pos="7609"/>
              <w:tab w:val="right" w:pos="9026" w:leader="dot"/>
            </w:tabs>
            <w:rPr/>
          </w:pPr>
          <w:hyperlink w:anchor="__RefHeading___Toc508890_1738255347">
            <w:r>
              <w:rPr>
                <w:webHidden/>
                <w:rStyle w:val="IndexLink"/>
                <w:rtl w:val="true"/>
              </w:rPr>
              <w:t>تقسیم البحث فی الأدلّة المحرزة</w:t>
            </w:r>
            <w:r>
              <w:rPr>
                <w:rStyle w:val="IndexLink"/>
                <w:rtl w:val="true"/>
              </w:rPr>
              <w:tab/>
            </w:r>
            <w:r>
              <w:rPr>
                <w:rStyle w:val="IndexLink"/>
              </w:rPr>
              <w:t>212</w:t>
            </w:r>
          </w:hyperlink>
        </w:p>
        <w:p>
          <w:pPr>
            <w:pStyle w:val="Contents6"/>
            <w:tabs>
              <w:tab w:val="clear" w:pos="7609"/>
              <w:tab w:val="right" w:pos="9026" w:leader="dot"/>
            </w:tabs>
            <w:rPr/>
          </w:pPr>
          <w:hyperlink w:anchor="__RefHeading___Toc508892_1738255347">
            <w:r>
              <w:rPr>
                <w:webHidden/>
                <w:rStyle w:val="IndexLink"/>
                <w:rtl w:val="true"/>
              </w:rPr>
              <w:t>الأصل عند الشکّ فی الحجّیّة</w:t>
            </w:r>
            <w:r>
              <w:rPr>
                <w:rStyle w:val="IndexLink"/>
                <w:rtl w:val="true"/>
              </w:rPr>
              <w:tab/>
            </w:r>
            <w:r>
              <w:rPr>
                <w:rStyle w:val="IndexLink"/>
              </w:rPr>
              <w:t>213</w:t>
            </w:r>
          </w:hyperlink>
        </w:p>
        <w:p>
          <w:pPr>
            <w:pStyle w:val="Contents6"/>
            <w:tabs>
              <w:tab w:val="clear" w:pos="7609"/>
              <w:tab w:val="right" w:pos="9026" w:leader="dot"/>
            </w:tabs>
            <w:rPr/>
          </w:pPr>
          <w:hyperlink w:anchor="__RefHeading___Toc508894_1738255347">
            <w:r>
              <w:rPr>
                <w:webHidden/>
                <w:rStyle w:val="IndexLink"/>
                <w:rtl w:val="true"/>
              </w:rPr>
              <w:t>مقدار ما یثبت بالأدلّة المحرزة</w:t>
            </w:r>
            <w:r>
              <w:rPr>
                <w:rStyle w:val="IndexLink"/>
                <w:rtl w:val="true"/>
              </w:rPr>
              <w:tab/>
            </w:r>
            <w:r>
              <w:rPr>
                <w:rStyle w:val="IndexLink"/>
              </w:rPr>
              <w:t>214</w:t>
            </w:r>
          </w:hyperlink>
        </w:p>
        <w:p>
          <w:pPr>
            <w:pStyle w:val="Contents6"/>
            <w:tabs>
              <w:tab w:val="clear" w:pos="7609"/>
              <w:tab w:val="right" w:pos="9026" w:leader="dot"/>
            </w:tabs>
            <w:rPr/>
          </w:pPr>
          <w:hyperlink w:anchor="__RefHeading___Toc508896_1738255347">
            <w:r>
              <w:rPr>
                <w:webHidden/>
                <w:rStyle w:val="IndexLink"/>
                <w:rtl w:val="true"/>
              </w:rPr>
              <w:t>تبعیّة الدلالة الالتزامیّة للمطابقیّة</w:t>
            </w:r>
            <w:r>
              <w:rPr>
                <w:rStyle w:val="IndexLink"/>
                <w:rtl w:val="true"/>
              </w:rPr>
              <w:tab/>
            </w:r>
            <w:r>
              <w:rPr>
                <w:rStyle w:val="IndexLink"/>
              </w:rPr>
              <w:t>216</w:t>
            </w:r>
          </w:hyperlink>
        </w:p>
        <w:p>
          <w:pPr>
            <w:pStyle w:val="Contents6"/>
            <w:tabs>
              <w:tab w:val="clear" w:pos="7609"/>
              <w:tab w:val="right" w:pos="9026" w:leader="dot"/>
            </w:tabs>
            <w:rPr/>
          </w:pPr>
          <w:hyperlink w:anchor="__RefHeading___Toc508898_1738255347">
            <w:r>
              <w:rPr>
                <w:webHidden/>
                <w:rStyle w:val="IndexLink"/>
                <w:rtl w:val="true"/>
              </w:rPr>
              <w:t>وفاءُ الدلیل بدور القطع الموضوعی</w:t>
            </w:r>
            <w:r>
              <w:rPr>
                <w:rStyle w:val="IndexLink"/>
                <w:rtl w:val="true"/>
              </w:rPr>
              <w:tab/>
            </w:r>
            <w:r>
              <w:rPr>
                <w:rStyle w:val="IndexLink"/>
              </w:rPr>
              <w:t>217</w:t>
            </w:r>
          </w:hyperlink>
        </w:p>
        <w:p>
          <w:pPr>
            <w:pStyle w:val="Contents6"/>
            <w:tabs>
              <w:tab w:val="clear" w:pos="7609"/>
              <w:tab w:val="right" w:pos="9026" w:leader="dot"/>
            </w:tabs>
            <w:rPr/>
          </w:pPr>
          <w:hyperlink w:anchor="__RefHeading___Toc508900_1738255347">
            <w:r>
              <w:rPr>
                <w:webHidden/>
                <w:rStyle w:val="IndexLink"/>
                <w:rtl w:val="true"/>
              </w:rPr>
              <w:t>إثبات الدلیل لجواز الإسناد</w:t>
            </w:r>
            <w:r>
              <w:rPr>
                <w:rStyle w:val="IndexLink"/>
                <w:rtl w:val="true"/>
              </w:rPr>
              <w:tab/>
            </w:r>
            <w:r>
              <w:rPr>
                <w:rStyle w:val="IndexLink"/>
              </w:rPr>
              <w:t>219</w:t>
            </w:r>
          </w:hyperlink>
        </w:p>
        <w:p>
          <w:pPr>
            <w:pStyle w:val="Contents5"/>
            <w:tabs>
              <w:tab w:val="clear" w:pos="7892"/>
              <w:tab w:val="right" w:pos="9026" w:leader="dot"/>
            </w:tabs>
            <w:rPr/>
          </w:pPr>
          <w:hyperlink w:anchor="__RefHeading___Toc508902_1738255347">
            <w:r>
              <w:rPr>
                <w:webHidden/>
                <w:rStyle w:val="IndexLink"/>
                <w:rtl w:val="true"/>
              </w:rPr>
              <w:t>الدلیل الشرعیّ</w:t>
            </w:r>
            <w:r>
              <w:rPr>
                <w:rStyle w:val="IndexLink"/>
                <w:rtl w:val="true"/>
              </w:rPr>
              <w:tab/>
            </w:r>
            <w:r>
              <w:rPr>
                <w:rStyle w:val="IndexLink"/>
              </w:rPr>
              <w:t>220</w:t>
            </w:r>
          </w:hyperlink>
        </w:p>
        <w:p>
          <w:pPr>
            <w:pStyle w:val="Contents6"/>
            <w:tabs>
              <w:tab w:val="clear" w:pos="7609"/>
              <w:tab w:val="right" w:pos="9026" w:leader="dot"/>
            </w:tabs>
            <w:rPr/>
          </w:pPr>
          <w:hyperlink w:anchor="__RefHeading___Toc508904_1738255347">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508906_1738255347">
            <w:r>
              <w:rPr>
                <w:webHidden/>
                <w:rStyle w:val="IndexLink"/>
                <w:rtl w:val="true"/>
              </w:rPr>
              <w:t>تحدید دلالات الدلیل الشرعی</w:t>
            </w:r>
            <w:r>
              <w:rPr>
                <w:rStyle w:val="IndexLink"/>
                <w:rtl w:val="true"/>
              </w:rPr>
              <w:tab/>
            </w:r>
            <w:r>
              <w:rPr>
                <w:rStyle w:val="IndexLink"/>
              </w:rPr>
              <w:t>222</w:t>
            </w:r>
          </w:hyperlink>
        </w:p>
        <w:p>
          <w:pPr>
            <w:pStyle w:val="Contents6"/>
            <w:tabs>
              <w:tab w:val="clear" w:pos="7609"/>
              <w:tab w:val="right" w:pos="9026" w:leader="dot"/>
            </w:tabs>
            <w:rPr/>
          </w:pPr>
          <w:hyperlink w:anchor="__RefHeading___Toc508908_1738255347">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08910_1738255347">
            <w:r>
              <w:rPr>
                <w:webHidden/>
                <w:rStyle w:val="IndexLink"/>
              </w:rPr>
              <w:t>1</w:t>
            </w:r>
            <w:r>
              <w:rPr>
                <w:rStyle w:val="IndexLink"/>
                <w:rtl w:val="true"/>
              </w:rPr>
              <w:t xml:space="preserve"> - </w:t>
            </w:r>
            <w:r>
              <w:rPr>
                <w:rStyle w:val="IndexLink"/>
                <w:rtl w:val="true"/>
              </w:rPr>
              <w:t>الدلیل الشرعیّ اللفظیّ</w:t>
            </w:r>
            <w:r>
              <w:rPr>
                <w:rStyle w:val="IndexLink"/>
                <w:rtl w:val="true"/>
              </w:rPr>
              <w:tab/>
            </w:r>
            <w:r>
              <w:rPr>
                <w:rStyle w:val="IndexLink"/>
              </w:rPr>
              <w:t>224</w:t>
            </w:r>
          </w:hyperlink>
        </w:p>
        <w:p>
          <w:pPr>
            <w:pStyle w:val="Contents6"/>
            <w:tabs>
              <w:tab w:val="clear" w:pos="7609"/>
              <w:tab w:val="right" w:pos="9026" w:leader="dot"/>
            </w:tabs>
            <w:rPr/>
          </w:pPr>
          <w:hyperlink w:anchor="__RefHeading___Toc508912_1738255347">
            <w:r>
              <w:rPr>
                <w:webHidden/>
                <w:rStyle w:val="IndexLink"/>
                <w:rtl w:val="true"/>
              </w:rPr>
              <w:t>تمهید</w:t>
            </w:r>
            <w:r>
              <w:rPr>
                <w:rStyle w:val="IndexLink"/>
                <w:rtl w:val="true"/>
              </w:rPr>
              <w:tab/>
            </w:r>
            <w:r>
              <w:rPr>
                <w:rStyle w:val="IndexLink"/>
              </w:rPr>
              <w:t>224</w:t>
            </w:r>
          </w:hyperlink>
        </w:p>
        <w:p>
          <w:pPr>
            <w:pStyle w:val="Contents6"/>
            <w:tabs>
              <w:tab w:val="clear" w:pos="7609"/>
              <w:tab w:val="right" w:pos="9026" w:leader="dot"/>
            </w:tabs>
            <w:rPr/>
          </w:pPr>
          <w:hyperlink w:anchor="__RefHeading___Toc508914_1738255347">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08916_1738255347">
            <w:r>
              <w:rPr>
                <w:webHidden/>
                <w:rStyle w:val="IndexLink"/>
                <w:rtl w:val="true"/>
              </w:rPr>
              <w:t>الظهور التصوّریّ و الظهور التصدیقی</w:t>
            </w:r>
            <w:r>
              <w:rPr>
                <w:rStyle w:val="IndexLink"/>
                <w:rtl w:val="true"/>
              </w:rPr>
              <w:tab/>
            </w:r>
            <w:r>
              <w:rPr>
                <w:rStyle w:val="IndexLink"/>
              </w:rPr>
              <w:t>224</w:t>
            </w:r>
          </w:hyperlink>
        </w:p>
        <w:p>
          <w:pPr>
            <w:pStyle w:val="Contents6"/>
            <w:tabs>
              <w:tab w:val="clear" w:pos="7609"/>
              <w:tab w:val="right" w:pos="9026" w:leader="dot"/>
            </w:tabs>
            <w:rPr/>
          </w:pPr>
          <w:hyperlink w:anchor="__RefHeading___Toc508918_1738255347">
            <w:r>
              <w:rPr>
                <w:webHidden/>
                <w:rStyle w:val="IndexLink"/>
                <w:rtl w:val="true"/>
              </w:rPr>
              <w:t>الوضع و علاقته بالدلالات المتقدّمة</w:t>
            </w:r>
            <w:r>
              <w:rPr>
                <w:rStyle w:val="IndexLink"/>
                <w:rtl w:val="true"/>
              </w:rPr>
              <w:tab/>
            </w:r>
            <w:r>
              <w:rPr>
                <w:rStyle w:val="IndexLink"/>
              </w:rPr>
              <w:t>225</w:t>
            </w:r>
          </w:hyperlink>
        </w:p>
        <w:p>
          <w:pPr>
            <w:pStyle w:val="Contents6"/>
            <w:tabs>
              <w:tab w:val="clear" w:pos="7609"/>
              <w:tab w:val="right" w:pos="9026" w:leader="dot"/>
            </w:tabs>
            <w:rPr/>
          </w:pPr>
          <w:hyperlink w:anchor="__RefHeading___Toc508920_1738255347">
            <w:r>
              <w:rPr>
                <w:webHidden/>
                <w:rStyle w:val="IndexLink"/>
                <w:rtl w:val="true"/>
              </w:rPr>
              <w:t>الوضع التعیینیّ و التعیّنی</w:t>
            </w:r>
            <w:r>
              <w:rPr>
                <w:rStyle w:val="IndexLink"/>
                <w:rtl w:val="true"/>
              </w:rPr>
              <w:tab/>
            </w:r>
            <w:r>
              <w:rPr>
                <w:rStyle w:val="IndexLink"/>
              </w:rPr>
              <w:t>228</w:t>
            </w:r>
          </w:hyperlink>
        </w:p>
        <w:p>
          <w:pPr>
            <w:pStyle w:val="Contents6"/>
            <w:tabs>
              <w:tab w:val="clear" w:pos="7609"/>
              <w:tab w:val="right" w:pos="9026" w:leader="dot"/>
            </w:tabs>
            <w:rPr/>
          </w:pPr>
          <w:hyperlink w:anchor="__RefHeading___Toc508922_1738255347">
            <w:r>
              <w:rPr>
                <w:webHidden/>
                <w:rStyle w:val="IndexLink"/>
                <w:rtl w:val="true"/>
              </w:rPr>
              <w:t>توقّف الوضع علی تصوّر المعنی</w:t>
            </w:r>
            <w:r>
              <w:rPr>
                <w:rStyle w:val="IndexLink"/>
                <w:rtl w:val="true"/>
              </w:rPr>
              <w:tab/>
            </w:r>
            <w:r>
              <w:rPr>
                <w:rStyle w:val="IndexLink"/>
              </w:rPr>
              <w:t>228</w:t>
            </w:r>
          </w:hyperlink>
        </w:p>
        <w:p>
          <w:pPr>
            <w:pStyle w:val="Contents6"/>
            <w:tabs>
              <w:tab w:val="clear" w:pos="7609"/>
              <w:tab w:val="right" w:pos="9026" w:leader="dot"/>
            </w:tabs>
            <w:rPr/>
          </w:pPr>
          <w:hyperlink w:anchor="__RefHeading___Toc508924_1738255347">
            <w:r>
              <w:rPr>
                <w:webHidden/>
                <w:rStyle w:val="IndexLink"/>
                <w:rtl w:val="true"/>
              </w:rPr>
              <w:t>المجاز</w:t>
            </w:r>
            <w:r>
              <w:rPr>
                <w:rStyle w:val="IndexLink"/>
                <w:rtl w:val="true"/>
              </w:rPr>
              <w:tab/>
            </w:r>
            <w:r>
              <w:rPr>
                <w:rStyle w:val="IndexLink"/>
              </w:rPr>
              <w:t>230</w:t>
            </w:r>
          </w:hyperlink>
        </w:p>
        <w:p>
          <w:pPr>
            <w:pStyle w:val="Contents6"/>
            <w:tabs>
              <w:tab w:val="clear" w:pos="7609"/>
              <w:tab w:val="right" w:pos="9026" w:leader="dot"/>
            </w:tabs>
            <w:rPr/>
          </w:pPr>
          <w:hyperlink w:anchor="__RefHeading___Toc508926_1738255347">
            <w:r>
              <w:rPr>
                <w:webHidden/>
                <w:rStyle w:val="IndexLink"/>
                <w:rtl w:val="true"/>
              </w:rPr>
              <w:t>علامات الحقیقة و المجاز</w:t>
            </w:r>
            <w:r>
              <w:rPr>
                <w:rStyle w:val="IndexLink"/>
                <w:rtl w:val="true"/>
              </w:rPr>
              <w:tab/>
            </w:r>
            <w:r>
              <w:rPr>
                <w:rStyle w:val="IndexLink"/>
              </w:rPr>
              <w:t>231</w:t>
            </w:r>
          </w:hyperlink>
        </w:p>
        <w:p>
          <w:pPr>
            <w:pStyle w:val="Contents6"/>
            <w:tabs>
              <w:tab w:val="clear" w:pos="7609"/>
              <w:tab w:val="right" w:pos="9026" w:leader="dot"/>
            </w:tabs>
            <w:rPr/>
          </w:pPr>
          <w:hyperlink w:anchor="__RefHeading___Toc508928_1738255347">
            <w:r>
              <w:rPr>
                <w:webHidden/>
                <w:rStyle w:val="IndexLink"/>
                <w:rtl w:val="true"/>
              </w:rPr>
              <w:t>تحویل المجاز إلی حقیقة</w:t>
            </w:r>
            <w:r>
              <w:rPr>
                <w:rStyle w:val="IndexLink"/>
                <w:rtl w:val="true"/>
              </w:rPr>
              <w:tab/>
            </w:r>
            <w:r>
              <w:rPr>
                <w:rStyle w:val="IndexLink"/>
              </w:rPr>
              <w:t>233</w:t>
            </w:r>
          </w:hyperlink>
        </w:p>
        <w:p>
          <w:pPr>
            <w:pStyle w:val="Contents6"/>
            <w:tabs>
              <w:tab w:val="clear" w:pos="7609"/>
              <w:tab w:val="right" w:pos="9026" w:leader="dot"/>
            </w:tabs>
            <w:rPr/>
          </w:pPr>
          <w:hyperlink w:anchor="__RefHeading___Toc508930_1738255347">
            <w:r>
              <w:rPr>
                <w:webHidden/>
                <w:rStyle w:val="IndexLink"/>
                <w:rtl w:val="true"/>
              </w:rPr>
              <w:t>استعمال اللفظ و إرادة الخاصّ</w:t>
            </w:r>
            <w:r>
              <w:rPr>
                <w:rStyle w:val="IndexLink"/>
                <w:rtl w:val="true"/>
              </w:rPr>
              <w:tab/>
            </w:r>
            <w:r>
              <w:rPr>
                <w:rStyle w:val="IndexLink"/>
              </w:rPr>
              <w:t>233</w:t>
            </w:r>
          </w:hyperlink>
        </w:p>
        <w:p>
          <w:pPr>
            <w:pStyle w:val="Contents6"/>
            <w:tabs>
              <w:tab w:val="clear" w:pos="7609"/>
              <w:tab w:val="right" w:pos="9026" w:leader="dot"/>
            </w:tabs>
            <w:rPr/>
          </w:pPr>
          <w:hyperlink w:anchor="__RefHeading___Toc508932_1738255347">
            <w:r>
              <w:rPr>
                <w:webHidden/>
                <w:rStyle w:val="IndexLink"/>
                <w:rtl w:val="true"/>
              </w:rPr>
              <w:t>الاشتراک و الترادف</w:t>
            </w:r>
            <w:r>
              <w:rPr>
                <w:rStyle w:val="IndexLink"/>
                <w:rtl w:val="true"/>
              </w:rPr>
              <w:tab/>
            </w:r>
            <w:r>
              <w:rPr>
                <w:rStyle w:val="IndexLink"/>
              </w:rPr>
              <w:t>234</w:t>
            </w:r>
          </w:hyperlink>
        </w:p>
        <w:p>
          <w:pPr>
            <w:pStyle w:val="Contents6"/>
            <w:tabs>
              <w:tab w:val="clear" w:pos="7609"/>
              <w:tab w:val="right" w:pos="9026" w:leader="dot"/>
            </w:tabs>
            <w:rPr/>
          </w:pPr>
          <w:hyperlink w:anchor="__RefHeading___Toc508934_1738255347">
            <w:r>
              <w:rPr>
                <w:webHidden/>
                <w:rStyle w:val="IndexLink"/>
                <w:rtl w:val="true"/>
              </w:rPr>
              <w:t>تصنیف اللغة</w:t>
            </w:r>
            <w:r>
              <w:rPr>
                <w:rStyle w:val="IndexLink"/>
                <w:rtl w:val="true"/>
              </w:rPr>
              <w:tab/>
            </w:r>
            <w:r>
              <w:rPr>
                <w:rStyle w:val="IndexLink"/>
              </w:rPr>
              <w:t>235</w:t>
            </w:r>
          </w:hyperlink>
        </w:p>
        <w:p>
          <w:pPr>
            <w:pStyle w:val="Contents6"/>
            <w:tabs>
              <w:tab w:val="clear" w:pos="7609"/>
              <w:tab w:val="right" w:pos="9026" w:leader="dot"/>
            </w:tabs>
            <w:rPr/>
          </w:pPr>
          <w:hyperlink w:anchor="__RefHeading___Toc508936_1738255347">
            <w:r>
              <w:rPr>
                <w:webHidden/>
                <w:rStyle w:val="IndexLink"/>
                <w:rtl w:val="true"/>
              </w:rPr>
              <w:t>المقارنة بین الحروف و الأسماء الموازیة لها</w:t>
            </w:r>
            <w:r>
              <w:rPr>
                <w:rStyle w:val="IndexLink"/>
                <w:rtl w:val="true"/>
              </w:rPr>
              <w:tab/>
            </w:r>
            <w:r>
              <w:rPr>
                <w:rStyle w:val="IndexLink"/>
              </w:rPr>
              <w:t>237</w:t>
            </w:r>
          </w:hyperlink>
        </w:p>
        <w:p>
          <w:pPr>
            <w:pStyle w:val="Contents6"/>
            <w:tabs>
              <w:tab w:val="clear" w:pos="7609"/>
              <w:tab w:val="right" w:pos="9026" w:leader="dot"/>
            </w:tabs>
            <w:rPr/>
          </w:pPr>
          <w:hyperlink w:anchor="__RefHeading___Toc508938_1738255347">
            <w:r>
              <w:rPr>
                <w:webHidden/>
                <w:rStyle w:val="IndexLink"/>
                <w:rtl w:val="true"/>
              </w:rPr>
              <w:t>تنوّع المدلول التصدیقیّ</w:t>
            </w:r>
            <w:r>
              <w:rPr>
                <w:rStyle w:val="IndexLink"/>
                <w:rtl w:val="true"/>
              </w:rPr>
              <w:tab/>
            </w:r>
            <w:r>
              <w:rPr>
                <w:rStyle w:val="IndexLink"/>
              </w:rPr>
              <w:t>238</w:t>
            </w:r>
          </w:hyperlink>
        </w:p>
        <w:p>
          <w:pPr>
            <w:pStyle w:val="Contents6"/>
            <w:tabs>
              <w:tab w:val="clear" w:pos="7609"/>
              <w:tab w:val="right" w:pos="9026" w:leader="dot"/>
            </w:tabs>
            <w:rPr/>
          </w:pPr>
          <w:hyperlink w:anchor="__RefHeading___Toc508940_1738255347">
            <w:r>
              <w:rPr>
                <w:webHidden/>
                <w:rStyle w:val="IndexLink"/>
                <w:rtl w:val="true"/>
              </w:rPr>
              <w:t>المقارنة بین الجمل التامّة و الناقصة</w:t>
            </w:r>
            <w:r>
              <w:rPr>
                <w:rStyle w:val="IndexLink"/>
                <w:rtl w:val="true"/>
              </w:rPr>
              <w:tab/>
            </w:r>
            <w:r>
              <w:rPr>
                <w:rStyle w:val="IndexLink"/>
              </w:rPr>
              <w:t>239</w:t>
            </w:r>
          </w:hyperlink>
        </w:p>
        <w:p>
          <w:pPr>
            <w:pStyle w:val="Contents6"/>
            <w:tabs>
              <w:tab w:val="clear" w:pos="7609"/>
              <w:tab w:val="right" w:pos="9026" w:leader="dot"/>
            </w:tabs>
            <w:rPr/>
          </w:pPr>
          <w:hyperlink w:anchor="__RefHeading___Toc508942_1738255347">
            <w:r>
              <w:rPr>
                <w:webHidden/>
                <w:rStyle w:val="IndexLink"/>
                <w:rtl w:val="true"/>
              </w:rPr>
              <w:t>الدلالات الخاصّة و المشترکة</w:t>
            </w:r>
            <w:r>
              <w:rPr>
                <w:rStyle w:val="IndexLink"/>
                <w:rtl w:val="true"/>
              </w:rPr>
              <w:tab/>
            </w:r>
            <w:r>
              <w:rPr>
                <w:rStyle w:val="IndexLink"/>
              </w:rPr>
              <w:t>240</w:t>
            </w:r>
          </w:hyperlink>
        </w:p>
        <w:p>
          <w:pPr>
            <w:pStyle w:val="Contents6"/>
            <w:tabs>
              <w:tab w:val="clear" w:pos="7609"/>
              <w:tab w:val="right" w:pos="9026" w:leader="dot"/>
            </w:tabs>
            <w:rPr/>
          </w:pPr>
          <w:hyperlink w:anchor="__RefHeading___Toc508944_1738255347">
            <w:r>
              <w:rPr>
                <w:webHidden/>
                <w:rStyle w:val="IndexLink"/>
                <w:rtl w:val="true"/>
              </w:rPr>
              <w:t>الأمرُ و النهی</w:t>
            </w:r>
            <w:r>
              <w:rPr>
                <w:rStyle w:val="IndexLink"/>
                <w:rtl w:val="true"/>
              </w:rPr>
              <w:tab/>
            </w:r>
            <w:r>
              <w:rPr>
                <w:rStyle w:val="IndexLink"/>
              </w:rPr>
              <w:t>241</w:t>
            </w:r>
          </w:hyperlink>
        </w:p>
        <w:p>
          <w:pPr>
            <w:pStyle w:val="Contents6"/>
            <w:tabs>
              <w:tab w:val="clear" w:pos="7609"/>
              <w:tab w:val="right" w:pos="9026" w:leader="dot"/>
            </w:tabs>
            <w:rPr/>
          </w:pPr>
          <w:hyperlink w:anchor="__RefHeading___Toc508946_1738255347">
            <w:r>
              <w:rPr>
                <w:webHidden/>
                <w:rStyle w:val="IndexLink"/>
                <w:rtl w:val="true"/>
              </w:rPr>
              <w:t>الأمر</w:t>
            </w:r>
            <w:r>
              <w:rPr>
                <w:rStyle w:val="IndexLink"/>
                <w:rtl w:val="true"/>
              </w:rPr>
              <w:tab/>
            </w:r>
            <w:r>
              <w:rPr>
                <w:rStyle w:val="IndexLink"/>
              </w:rPr>
              <w:t>241</w:t>
            </w:r>
          </w:hyperlink>
        </w:p>
        <w:p>
          <w:pPr>
            <w:pStyle w:val="Contents6"/>
            <w:tabs>
              <w:tab w:val="clear" w:pos="7609"/>
              <w:tab w:val="right" w:pos="9026" w:leader="dot"/>
            </w:tabs>
            <w:rPr/>
          </w:pPr>
          <w:hyperlink w:anchor="__RefHeading___Toc508948_1738255347">
            <w:r>
              <w:rPr>
                <w:webHidden/>
                <w:rStyle w:val="IndexLink"/>
                <w:rtl w:val="true"/>
              </w:rPr>
              <w:t>دلالات اخری للأمر</w:t>
            </w:r>
            <w:r>
              <w:rPr>
                <w:rStyle w:val="IndexLink"/>
                <w:rtl w:val="true"/>
              </w:rPr>
              <w:tab/>
            </w:r>
            <w:r>
              <w:rPr>
                <w:rStyle w:val="IndexLink"/>
              </w:rPr>
              <w:t>244</w:t>
            </w:r>
          </w:hyperlink>
        </w:p>
        <w:p>
          <w:pPr>
            <w:pStyle w:val="Contents6"/>
            <w:tabs>
              <w:tab w:val="clear" w:pos="7609"/>
              <w:tab w:val="right" w:pos="9026" w:leader="dot"/>
            </w:tabs>
            <w:rPr/>
          </w:pPr>
          <w:hyperlink w:anchor="__RefHeading___Toc508950_1738255347">
            <w:r>
              <w:rPr>
                <w:webHidden/>
                <w:rStyle w:val="IndexLink"/>
                <w:rtl w:val="true"/>
              </w:rPr>
              <w:t>النهی</w:t>
            </w:r>
            <w:r>
              <w:rPr>
                <w:rStyle w:val="IndexLink"/>
                <w:rtl w:val="true"/>
              </w:rPr>
              <w:tab/>
            </w:r>
            <w:r>
              <w:rPr>
                <w:rStyle w:val="IndexLink"/>
              </w:rPr>
              <w:t>245</w:t>
            </w:r>
          </w:hyperlink>
        </w:p>
        <w:p>
          <w:pPr>
            <w:pStyle w:val="Contents6"/>
            <w:tabs>
              <w:tab w:val="clear" w:pos="7609"/>
              <w:tab w:val="right" w:pos="9026" w:leader="dot"/>
            </w:tabs>
            <w:rPr/>
          </w:pPr>
          <w:hyperlink w:anchor="__RefHeading___Toc508952_1738255347">
            <w:r>
              <w:rPr>
                <w:webHidden/>
                <w:rStyle w:val="IndexLink"/>
                <w:rtl w:val="true"/>
              </w:rPr>
              <w:t>الاحتراز فی القُیود</w:t>
            </w:r>
            <w:r>
              <w:rPr>
                <w:rStyle w:val="IndexLink"/>
                <w:rtl w:val="true"/>
              </w:rPr>
              <w:tab/>
            </w:r>
            <w:r>
              <w:rPr>
                <w:rStyle w:val="IndexLink"/>
              </w:rPr>
              <w:t>247</w:t>
            </w:r>
          </w:hyperlink>
        </w:p>
        <w:p>
          <w:pPr>
            <w:pStyle w:val="Contents6"/>
            <w:tabs>
              <w:tab w:val="clear" w:pos="7609"/>
              <w:tab w:val="right" w:pos="9026" w:leader="dot"/>
            </w:tabs>
            <w:rPr/>
          </w:pPr>
          <w:hyperlink w:anchor="__RefHeading___Toc508954_1738255347">
            <w:r>
              <w:rPr>
                <w:webHidden/>
                <w:rStyle w:val="IndexLink"/>
                <w:rtl w:val="true"/>
              </w:rPr>
              <w:t>الإطلاق</w:t>
            </w:r>
            <w:r>
              <w:rPr>
                <w:rStyle w:val="IndexLink"/>
                <w:rtl w:val="true"/>
              </w:rPr>
              <w:tab/>
            </w:r>
            <w:r>
              <w:rPr>
                <w:rStyle w:val="IndexLink"/>
              </w:rPr>
              <w:t>249</w:t>
            </w:r>
          </w:hyperlink>
        </w:p>
        <w:p>
          <w:pPr>
            <w:pStyle w:val="Contents6"/>
            <w:tabs>
              <w:tab w:val="clear" w:pos="7609"/>
              <w:tab w:val="right" w:pos="9026" w:leader="dot"/>
            </w:tabs>
            <w:rPr/>
          </w:pPr>
          <w:hyperlink w:anchor="__RefHeading___Toc508956_173825534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508958_1738255347">
            <w:r>
              <w:rPr>
                <w:webHidden/>
                <w:rStyle w:val="IndexLink"/>
                <w:rtl w:val="true"/>
              </w:rPr>
              <w:t>[</w:t>
            </w:r>
            <w:r>
              <w:rPr>
                <w:rStyle w:val="IndexLink"/>
                <w:rtl w:val="true"/>
              </w:rPr>
              <w:t>قرینة الحکمة</w:t>
            </w:r>
            <w:r>
              <w:rPr>
                <w:rStyle w:val="IndexLink"/>
                <w:rtl w:val="true"/>
              </w:rPr>
              <w:t>]</w:t>
              <w:tab/>
            </w:r>
            <w:r>
              <w:rPr>
                <w:rStyle w:val="IndexLink"/>
              </w:rPr>
              <w:t>250</w:t>
            </w:r>
          </w:hyperlink>
        </w:p>
        <w:p>
          <w:pPr>
            <w:pStyle w:val="Contents6"/>
            <w:tabs>
              <w:tab w:val="clear" w:pos="7609"/>
              <w:tab w:val="right" w:pos="9026" w:leader="dot"/>
            </w:tabs>
            <w:rPr/>
          </w:pPr>
          <w:hyperlink w:anchor="__RefHeading___Toc508960_1738255347">
            <w:r>
              <w:rPr>
                <w:webHidden/>
                <w:rStyle w:val="IndexLink"/>
                <w:rtl w:val="true"/>
              </w:rPr>
              <w:t>الإطلاق فی المعانی الحرفیّة</w:t>
            </w:r>
            <w:r>
              <w:rPr>
                <w:rStyle w:val="IndexLink"/>
                <w:rtl w:val="true"/>
              </w:rPr>
              <w:tab/>
            </w:r>
            <w:r>
              <w:rPr>
                <w:rStyle w:val="IndexLink"/>
              </w:rPr>
              <w:t>253</w:t>
            </w:r>
          </w:hyperlink>
        </w:p>
        <w:p>
          <w:pPr>
            <w:pStyle w:val="Contents6"/>
            <w:tabs>
              <w:tab w:val="clear" w:pos="7609"/>
              <w:tab w:val="right" w:pos="9026" w:leader="dot"/>
            </w:tabs>
            <w:rPr/>
          </w:pPr>
          <w:hyperlink w:anchor="__RefHeading___Toc508962_1738255347">
            <w:r>
              <w:rPr>
                <w:webHidden/>
                <w:rStyle w:val="IndexLink"/>
                <w:rtl w:val="true"/>
              </w:rPr>
              <w:t>التقابل بین الإطلاق و التقیید</w:t>
            </w:r>
            <w:r>
              <w:rPr>
                <w:rStyle w:val="IndexLink"/>
                <w:rtl w:val="true"/>
              </w:rPr>
              <w:tab/>
            </w:r>
            <w:r>
              <w:rPr>
                <w:rStyle w:val="IndexLink"/>
              </w:rPr>
              <w:t>253</w:t>
            </w:r>
          </w:hyperlink>
        </w:p>
        <w:p>
          <w:pPr>
            <w:pStyle w:val="Contents6"/>
            <w:tabs>
              <w:tab w:val="clear" w:pos="7609"/>
              <w:tab w:val="right" w:pos="9026" w:leader="dot"/>
            </w:tabs>
            <w:rPr/>
          </w:pPr>
          <w:hyperlink w:anchor="__RefHeading___Toc508964_1738255347">
            <w:r>
              <w:rPr>
                <w:webHidden/>
                <w:rStyle w:val="IndexLink"/>
                <w:rtl w:val="true"/>
              </w:rPr>
              <w:t>الحالات المختلفة لاسم الجنس</w:t>
            </w:r>
            <w:r>
              <w:rPr>
                <w:rStyle w:val="IndexLink"/>
                <w:rtl w:val="true"/>
              </w:rPr>
              <w:tab/>
            </w:r>
            <w:r>
              <w:rPr>
                <w:rStyle w:val="IndexLink"/>
              </w:rPr>
              <w:t>254</w:t>
            </w:r>
          </w:hyperlink>
        </w:p>
        <w:p>
          <w:pPr>
            <w:pStyle w:val="Contents6"/>
            <w:tabs>
              <w:tab w:val="clear" w:pos="7609"/>
              <w:tab w:val="right" w:pos="9026" w:leader="dot"/>
            </w:tabs>
            <w:rPr/>
          </w:pPr>
          <w:hyperlink w:anchor="__RefHeading___Toc508966_1738255347">
            <w:r>
              <w:rPr>
                <w:webHidden/>
                <w:rStyle w:val="IndexLink"/>
                <w:rtl w:val="true"/>
              </w:rPr>
              <w:t>الانصراف</w:t>
            </w:r>
            <w:r>
              <w:rPr>
                <w:rStyle w:val="IndexLink"/>
                <w:rtl w:val="true"/>
              </w:rPr>
              <w:tab/>
            </w:r>
            <w:r>
              <w:rPr>
                <w:rStyle w:val="IndexLink"/>
              </w:rPr>
              <w:t>256</w:t>
            </w:r>
          </w:hyperlink>
        </w:p>
        <w:p>
          <w:pPr>
            <w:pStyle w:val="Contents6"/>
            <w:tabs>
              <w:tab w:val="clear" w:pos="7609"/>
              <w:tab w:val="right" w:pos="9026" w:leader="dot"/>
            </w:tabs>
            <w:rPr/>
          </w:pPr>
          <w:hyperlink w:anchor="__RefHeading___Toc508968_1738255347">
            <w:r>
              <w:rPr>
                <w:webHidden/>
                <w:rStyle w:val="IndexLink"/>
                <w:rtl w:val="true"/>
              </w:rPr>
              <w:t>الإطلاق المقامیّ</w:t>
            </w:r>
            <w:r>
              <w:rPr>
                <w:rStyle w:val="IndexLink"/>
                <w:rtl w:val="true"/>
              </w:rPr>
              <w:tab/>
            </w:r>
            <w:r>
              <w:rPr>
                <w:rStyle w:val="IndexLink"/>
              </w:rPr>
              <w:t>257</w:t>
            </w:r>
          </w:hyperlink>
        </w:p>
        <w:p>
          <w:pPr>
            <w:pStyle w:val="Contents6"/>
            <w:tabs>
              <w:tab w:val="clear" w:pos="7609"/>
              <w:tab w:val="right" w:pos="9026" w:leader="dot"/>
            </w:tabs>
            <w:rPr/>
          </w:pPr>
          <w:hyperlink w:anchor="__RefHeading___Toc508970_1738255347">
            <w:r>
              <w:rPr>
                <w:webHidden/>
                <w:rStyle w:val="IndexLink"/>
                <w:rtl w:val="true"/>
              </w:rPr>
              <w:t>بعض التطبیقات لقرینة الحکمة</w:t>
            </w:r>
            <w:r>
              <w:rPr>
                <w:rStyle w:val="IndexLink"/>
                <w:rtl w:val="true"/>
              </w:rPr>
              <w:tab/>
            </w:r>
            <w:r>
              <w:rPr>
                <w:rStyle w:val="IndexLink"/>
              </w:rPr>
              <w:t>258</w:t>
            </w:r>
          </w:hyperlink>
        </w:p>
        <w:p>
          <w:pPr>
            <w:pStyle w:val="Contents6"/>
            <w:tabs>
              <w:tab w:val="clear" w:pos="7609"/>
              <w:tab w:val="right" w:pos="9026" w:leader="dot"/>
            </w:tabs>
            <w:rPr/>
          </w:pPr>
          <w:hyperlink w:anchor="__RefHeading___Toc508972_1738255347">
            <w:r>
              <w:rPr>
                <w:webHidden/>
                <w:rStyle w:val="IndexLink"/>
                <w:rtl w:val="true"/>
              </w:rPr>
              <w:t>العموم</w:t>
            </w:r>
            <w:r>
              <w:rPr>
                <w:rStyle w:val="IndexLink"/>
                <w:rtl w:val="true"/>
              </w:rPr>
              <w:tab/>
            </w:r>
            <w:r>
              <w:rPr>
                <w:rStyle w:val="IndexLink"/>
              </w:rPr>
              <w:t>260</w:t>
            </w:r>
          </w:hyperlink>
        </w:p>
        <w:p>
          <w:pPr>
            <w:pStyle w:val="Contents6"/>
            <w:tabs>
              <w:tab w:val="clear" w:pos="7609"/>
              <w:tab w:val="right" w:pos="9026" w:leader="dot"/>
            </w:tabs>
            <w:rPr/>
          </w:pPr>
          <w:hyperlink w:anchor="__RefHeading___Toc508974_1738255347">
            <w:r>
              <w:rPr>
                <w:webHidden/>
                <w:rStyle w:val="IndexLink"/>
                <w:rtl w:val="true"/>
              </w:rPr>
              <w:t>تعریف العموم</w:t>
            </w:r>
            <w:r>
              <w:rPr>
                <w:rStyle w:val="IndexLink"/>
                <w:rtl w:val="true"/>
              </w:rPr>
              <w:tab/>
            </w:r>
            <w:r>
              <w:rPr>
                <w:rStyle w:val="IndexLink"/>
              </w:rPr>
              <w:t>260</w:t>
            </w:r>
          </w:hyperlink>
        </w:p>
        <w:p>
          <w:pPr>
            <w:pStyle w:val="Contents6"/>
            <w:tabs>
              <w:tab w:val="clear" w:pos="7609"/>
              <w:tab w:val="right" w:pos="9026" w:leader="dot"/>
            </w:tabs>
            <w:rPr/>
          </w:pPr>
          <w:hyperlink w:anchor="__RefHeading___Toc508976_1738255347">
            <w:r>
              <w:rPr>
                <w:webHidden/>
                <w:rStyle w:val="IndexLink"/>
                <w:rtl w:val="true"/>
              </w:rPr>
              <w:t>أدوات العموم و نحو دلالتها</w:t>
            </w:r>
            <w:r>
              <w:rPr>
                <w:rStyle w:val="IndexLink"/>
                <w:rtl w:val="true"/>
              </w:rPr>
              <w:tab/>
            </w:r>
            <w:r>
              <w:rPr>
                <w:rStyle w:val="IndexLink"/>
              </w:rPr>
              <w:t>260</w:t>
            </w:r>
          </w:hyperlink>
        </w:p>
        <w:p>
          <w:pPr>
            <w:pStyle w:val="Contents6"/>
            <w:tabs>
              <w:tab w:val="clear" w:pos="7609"/>
              <w:tab w:val="right" w:pos="9026" w:leader="dot"/>
            </w:tabs>
            <w:rPr/>
          </w:pPr>
          <w:hyperlink w:anchor="__RefHeading___Toc508978_1738255347">
            <w:r>
              <w:rPr>
                <w:webHidden/>
                <w:rStyle w:val="IndexLink"/>
                <w:rtl w:val="true"/>
              </w:rPr>
              <w:t>دلالة الجمع المعرَّف باللام</w:t>
            </w:r>
            <w:r>
              <w:rPr>
                <w:rStyle w:val="IndexLink"/>
                <w:rtl w:val="true"/>
              </w:rPr>
              <w:tab/>
            </w:r>
            <w:r>
              <w:rPr>
                <w:rStyle w:val="IndexLink"/>
              </w:rPr>
              <w:t>261</w:t>
            </w:r>
          </w:hyperlink>
        </w:p>
        <w:p>
          <w:pPr>
            <w:pStyle w:val="Contents6"/>
            <w:tabs>
              <w:tab w:val="clear" w:pos="7609"/>
              <w:tab w:val="right" w:pos="9026" w:leader="dot"/>
            </w:tabs>
            <w:rPr/>
          </w:pPr>
          <w:hyperlink w:anchor="__RefHeading___Toc508980_1738255347">
            <w:r>
              <w:rPr>
                <w:webHidden/>
                <w:rStyle w:val="IndexLink"/>
                <w:rtl w:val="true"/>
              </w:rPr>
              <w:t>المفاهیم</w:t>
            </w:r>
            <w:r>
              <w:rPr>
                <w:rStyle w:val="IndexLink"/>
                <w:rtl w:val="true"/>
              </w:rPr>
              <w:tab/>
            </w:r>
            <w:r>
              <w:rPr>
                <w:rStyle w:val="IndexLink"/>
              </w:rPr>
              <w:t>263</w:t>
            </w:r>
          </w:hyperlink>
        </w:p>
        <w:p>
          <w:pPr>
            <w:pStyle w:val="Contents6"/>
            <w:tabs>
              <w:tab w:val="clear" w:pos="7609"/>
              <w:tab w:val="right" w:pos="9026" w:leader="dot"/>
            </w:tabs>
            <w:rPr/>
          </w:pPr>
          <w:hyperlink w:anchor="__RefHeading___Toc508982_1738255347">
            <w:r>
              <w:rPr>
                <w:webHidden/>
                <w:rStyle w:val="IndexLink"/>
                <w:rtl w:val="true"/>
              </w:rPr>
              <w:t>تعریف المفهوم</w:t>
            </w:r>
            <w:r>
              <w:rPr>
                <w:rStyle w:val="IndexLink"/>
                <w:rtl w:val="true"/>
              </w:rPr>
              <w:tab/>
            </w:r>
            <w:r>
              <w:rPr>
                <w:rStyle w:val="IndexLink"/>
              </w:rPr>
              <w:t>263</w:t>
            </w:r>
          </w:hyperlink>
        </w:p>
        <w:p>
          <w:pPr>
            <w:pStyle w:val="Contents6"/>
            <w:tabs>
              <w:tab w:val="clear" w:pos="7609"/>
              <w:tab w:val="right" w:pos="9026" w:leader="dot"/>
            </w:tabs>
            <w:rPr/>
          </w:pPr>
          <w:hyperlink w:anchor="__RefHeading___Toc508984_1738255347">
            <w:r>
              <w:rPr>
                <w:webHidden/>
                <w:rStyle w:val="IndexLink"/>
                <w:rtl w:val="true"/>
              </w:rPr>
              <w:t>ضابط المفهوم</w:t>
            </w:r>
            <w:r>
              <w:rPr>
                <w:rStyle w:val="IndexLink"/>
                <w:rtl w:val="true"/>
              </w:rPr>
              <w:tab/>
            </w:r>
            <w:r>
              <w:rPr>
                <w:rStyle w:val="IndexLink"/>
              </w:rPr>
              <w:t>264</w:t>
            </w:r>
          </w:hyperlink>
        </w:p>
        <w:p>
          <w:pPr>
            <w:pStyle w:val="Contents6"/>
            <w:tabs>
              <w:tab w:val="clear" w:pos="7609"/>
              <w:tab w:val="right" w:pos="9026" w:leader="dot"/>
            </w:tabs>
            <w:rPr/>
          </w:pPr>
          <w:hyperlink w:anchor="__RefHeading___Toc508986_1738255347">
            <w:r>
              <w:rPr>
                <w:webHidden/>
                <w:rStyle w:val="IndexLink"/>
                <w:rtl w:val="true"/>
              </w:rPr>
              <w:t>مفهوم الشرط</w:t>
            </w:r>
            <w:r>
              <w:rPr>
                <w:rStyle w:val="IndexLink"/>
                <w:rtl w:val="true"/>
              </w:rPr>
              <w:tab/>
            </w:r>
            <w:r>
              <w:rPr>
                <w:rStyle w:val="IndexLink"/>
              </w:rPr>
              <w:t>265</w:t>
            </w:r>
          </w:hyperlink>
        </w:p>
        <w:p>
          <w:pPr>
            <w:pStyle w:val="Contents6"/>
            <w:tabs>
              <w:tab w:val="clear" w:pos="7609"/>
              <w:tab w:val="right" w:pos="9026" w:leader="dot"/>
            </w:tabs>
            <w:rPr/>
          </w:pPr>
          <w:hyperlink w:anchor="__RefHeading___Toc508988_1738255347">
            <w:r>
              <w:rPr>
                <w:webHidden/>
                <w:rStyle w:val="IndexLink"/>
                <w:rtl w:val="true"/>
              </w:rPr>
              <w:t>الشرط المسوق لتحقیق الموضوع</w:t>
            </w:r>
            <w:r>
              <w:rPr>
                <w:rStyle w:val="IndexLink"/>
                <w:rtl w:val="true"/>
              </w:rPr>
              <w:tab/>
            </w:r>
            <w:r>
              <w:rPr>
                <w:rStyle w:val="IndexLink"/>
              </w:rPr>
              <w:t>267</w:t>
            </w:r>
          </w:hyperlink>
        </w:p>
        <w:p>
          <w:pPr>
            <w:pStyle w:val="Contents6"/>
            <w:tabs>
              <w:tab w:val="clear" w:pos="7609"/>
              <w:tab w:val="right" w:pos="9026" w:leader="dot"/>
            </w:tabs>
            <w:rPr/>
          </w:pPr>
          <w:hyperlink w:anchor="__RefHeading___Toc508990_1738255347">
            <w:r>
              <w:rPr>
                <w:webHidden/>
                <w:rStyle w:val="IndexLink"/>
                <w:rtl w:val="true"/>
              </w:rPr>
              <w:t>مفهوم الوصف</w:t>
            </w:r>
            <w:r>
              <w:rPr>
                <w:rStyle w:val="IndexLink"/>
                <w:rtl w:val="true"/>
              </w:rPr>
              <w:tab/>
            </w:r>
            <w:r>
              <w:rPr>
                <w:rStyle w:val="IndexLink"/>
              </w:rPr>
              <w:t>267</w:t>
            </w:r>
          </w:hyperlink>
        </w:p>
        <w:p>
          <w:pPr>
            <w:pStyle w:val="Contents6"/>
            <w:tabs>
              <w:tab w:val="clear" w:pos="7609"/>
              <w:tab w:val="right" w:pos="9026" w:leader="dot"/>
            </w:tabs>
            <w:rPr/>
          </w:pPr>
          <w:hyperlink w:anchor="__RefHeading___Toc508992_1738255347">
            <w:r>
              <w:rPr>
                <w:webHidden/>
                <w:rStyle w:val="IndexLink"/>
                <w:rtl w:val="true"/>
              </w:rPr>
              <w:t>جمل الغایة و الاستثناء</w:t>
            </w:r>
            <w:r>
              <w:rPr>
                <w:rStyle w:val="IndexLink"/>
                <w:rtl w:val="true"/>
              </w:rPr>
              <w:tab/>
            </w:r>
            <w:r>
              <w:rPr>
                <w:rStyle w:val="IndexLink"/>
              </w:rPr>
              <w:t>269</w:t>
            </w:r>
          </w:hyperlink>
        </w:p>
        <w:p>
          <w:pPr>
            <w:pStyle w:val="Contents6"/>
            <w:tabs>
              <w:tab w:val="clear" w:pos="7609"/>
              <w:tab w:val="right" w:pos="9026" w:leader="dot"/>
            </w:tabs>
            <w:rPr/>
          </w:pPr>
          <w:hyperlink w:anchor="__RefHeading___Toc508994_1738255347">
            <w:r>
              <w:rPr>
                <w:webHidden/>
                <w:rStyle w:val="IndexLink"/>
                <w:rtl w:val="true"/>
              </w:rPr>
              <w:t>التطابق بین الدلالات</w:t>
            </w:r>
            <w:r>
              <w:rPr>
                <w:rStyle w:val="IndexLink"/>
                <w:rtl w:val="true"/>
              </w:rPr>
              <w:tab/>
            </w:r>
            <w:r>
              <w:rPr>
                <w:rStyle w:val="IndexLink"/>
              </w:rPr>
              <w:t>270</w:t>
            </w:r>
          </w:hyperlink>
        </w:p>
        <w:p>
          <w:pPr>
            <w:pStyle w:val="Contents6"/>
            <w:tabs>
              <w:tab w:val="clear" w:pos="7609"/>
              <w:tab w:val="right" w:pos="9026" w:leader="dot"/>
            </w:tabs>
            <w:rPr/>
          </w:pPr>
          <w:hyperlink w:anchor="__RefHeading___Toc508996_1738255347">
            <w:r>
              <w:rPr>
                <w:webHidden/>
                <w:rStyle w:val="IndexLink"/>
                <w:rtl w:val="true"/>
              </w:rPr>
              <w:t>مناسبات الحکم و الموضوع</w:t>
            </w:r>
            <w:r>
              <w:rPr>
                <w:rStyle w:val="IndexLink"/>
                <w:rtl w:val="true"/>
              </w:rPr>
              <w:tab/>
            </w:r>
            <w:r>
              <w:rPr>
                <w:rStyle w:val="IndexLink"/>
              </w:rPr>
              <w:t>272</w:t>
            </w:r>
          </w:hyperlink>
        </w:p>
        <w:p>
          <w:pPr>
            <w:pStyle w:val="Contents6"/>
            <w:tabs>
              <w:tab w:val="clear" w:pos="7609"/>
              <w:tab w:val="right" w:pos="9026" w:leader="dot"/>
            </w:tabs>
            <w:rPr/>
          </w:pPr>
          <w:hyperlink w:anchor="__RefHeading___Toc508998_1738255347">
            <w:r>
              <w:rPr>
                <w:webHidden/>
                <w:rStyle w:val="IndexLink"/>
                <w:rtl w:val="true"/>
              </w:rPr>
              <w:t>إثبات المِلاک بالدلیل</w:t>
            </w:r>
            <w:r>
              <w:rPr>
                <w:rStyle w:val="IndexLink"/>
                <w:rtl w:val="true"/>
              </w:rPr>
              <w:tab/>
            </w:r>
            <w:r>
              <w:rPr>
                <w:rStyle w:val="IndexLink"/>
              </w:rPr>
              <w:t>273</w:t>
            </w:r>
          </w:hyperlink>
        </w:p>
        <w:p>
          <w:pPr>
            <w:pStyle w:val="Contents6"/>
            <w:tabs>
              <w:tab w:val="clear" w:pos="7609"/>
              <w:tab w:val="right" w:pos="9026" w:leader="dot"/>
            </w:tabs>
            <w:rPr/>
          </w:pPr>
          <w:hyperlink w:anchor="__RefHeading___Toc509000_1738255347">
            <w:r>
              <w:rPr>
                <w:webHidden/>
                <w:rStyle w:val="IndexLink"/>
              </w:rPr>
              <w:t>2</w:t>
            </w:r>
            <w:r>
              <w:rPr>
                <w:rStyle w:val="IndexLink"/>
                <w:rtl w:val="true"/>
              </w:rPr>
              <w:t xml:space="preserve"> - </w:t>
            </w:r>
            <w:r>
              <w:rPr>
                <w:rStyle w:val="IndexLink"/>
                <w:rtl w:val="true"/>
              </w:rPr>
              <w:t>الدلیل الشرعیّ غیر اللفظیّ</w:t>
            </w:r>
            <w:r>
              <w:rPr>
                <w:rStyle w:val="IndexLink"/>
                <w:rtl w:val="true"/>
              </w:rPr>
              <w:tab/>
            </w:r>
            <w:r>
              <w:rPr>
                <w:rStyle w:val="IndexLink"/>
              </w:rPr>
              <w:t>276</w:t>
            </w:r>
          </w:hyperlink>
        </w:p>
        <w:p>
          <w:pPr>
            <w:pStyle w:val="Contents6"/>
            <w:tabs>
              <w:tab w:val="clear" w:pos="7609"/>
              <w:tab w:val="right" w:pos="9026" w:leader="dot"/>
            </w:tabs>
            <w:rPr/>
          </w:pPr>
          <w:hyperlink w:anchor="__RefHeading___Toc509002_173825534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509004_1738255347">
            <w:r>
              <w:rPr>
                <w:webHidden/>
                <w:rStyle w:val="IndexLink"/>
                <w:rtl w:val="true"/>
              </w:rPr>
              <w:t>دلالة الفعل</w:t>
            </w:r>
            <w:r>
              <w:rPr>
                <w:rStyle w:val="IndexLink"/>
                <w:rtl w:val="true"/>
              </w:rPr>
              <w:tab/>
            </w:r>
            <w:r>
              <w:rPr>
                <w:rStyle w:val="IndexLink"/>
              </w:rPr>
              <w:t>276</w:t>
            </w:r>
          </w:hyperlink>
        </w:p>
        <w:p>
          <w:pPr>
            <w:pStyle w:val="Contents6"/>
            <w:tabs>
              <w:tab w:val="clear" w:pos="7609"/>
              <w:tab w:val="right" w:pos="9026" w:leader="dot"/>
            </w:tabs>
            <w:rPr/>
          </w:pPr>
          <w:hyperlink w:anchor="__RefHeading___Toc509006_1738255347">
            <w:r>
              <w:rPr>
                <w:webHidden/>
                <w:rStyle w:val="IndexLink"/>
                <w:rtl w:val="true"/>
              </w:rPr>
              <w:t>دلالة السکوت و التقریر</w:t>
            </w:r>
            <w:r>
              <w:rPr>
                <w:rStyle w:val="IndexLink"/>
                <w:rtl w:val="true"/>
              </w:rPr>
              <w:tab/>
            </w:r>
            <w:r>
              <w:rPr>
                <w:rStyle w:val="IndexLink"/>
              </w:rPr>
              <w:t>278</w:t>
            </w:r>
          </w:hyperlink>
        </w:p>
        <w:p>
          <w:pPr>
            <w:pStyle w:val="Contents6"/>
            <w:tabs>
              <w:tab w:val="clear" w:pos="7609"/>
              <w:tab w:val="right" w:pos="9026" w:leader="dot"/>
            </w:tabs>
            <w:rPr/>
          </w:pPr>
          <w:hyperlink w:anchor="__RefHeading___Toc509008_1738255347">
            <w:r>
              <w:rPr>
                <w:webHidden/>
                <w:rStyle w:val="IndexLink"/>
                <w:rtl w:val="true"/>
              </w:rPr>
              <w:t>السیرة</w:t>
            </w:r>
            <w:r>
              <w:rPr>
                <w:rStyle w:val="IndexLink"/>
                <w:rtl w:val="true"/>
              </w:rPr>
              <w:tab/>
            </w:r>
            <w:r>
              <w:rPr>
                <w:rStyle w:val="IndexLink"/>
              </w:rPr>
              <w:t>279</w:t>
            </w:r>
          </w:hyperlink>
        </w:p>
        <w:p>
          <w:pPr>
            <w:pStyle w:val="Contents6"/>
            <w:tabs>
              <w:tab w:val="clear" w:pos="7609"/>
              <w:tab w:val="right" w:pos="9026" w:leader="dot"/>
            </w:tabs>
            <w:rPr/>
          </w:pPr>
          <w:hyperlink w:anchor="__RefHeading___Toc509010_1738255347">
            <w:r>
              <w:rPr>
                <w:webHidden/>
                <w:rStyle w:val="IndexLink"/>
                <w:rtl w:val="true"/>
              </w:rPr>
              <w:t>إثباتُ صغری الدلیل الشرعی</w:t>
            </w:r>
            <w:r>
              <w:rPr>
                <w:rStyle w:val="IndexLink"/>
                <w:rtl w:val="true"/>
              </w:rPr>
              <w:tab/>
            </w:r>
            <w:r>
              <w:rPr>
                <w:rStyle w:val="IndexLink"/>
              </w:rPr>
              <w:t>282</w:t>
            </w:r>
          </w:hyperlink>
        </w:p>
        <w:p>
          <w:pPr>
            <w:pStyle w:val="Contents6"/>
            <w:tabs>
              <w:tab w:val="clear" w:pos="7609"/>
              <w:tab w:val="right" w:pos="9026" w:leader="dot"/>
            </w:tabs>
            <w:rPr/>
          </w:pPr>
          <w:hyperlink w:anchor="__RefHeading___Toc509012_173825534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509014_1738255347">
            <w:r>
              <w:rPr>
                <w:webHidden/>
                <w:rStyle w:val="IndexLink"/>
                <w:rtl w:val="true"/>
              </w:rPr>
              <w:t>تمهید</w:t>
            </w:r>
            <w:r>
              <w:rPr>
                <w:rStyle w:val="IndexLink"/>
                <w:rtl w:val="true"/>
              </w:rPr>
              <w:tab/>
            </w:r>
            <w:r>
              <w:rPr>
                <w:rStyle w:val="IndexLink"/>
              </w:rPr>
              <w:t>283</w:t>
            </w:r>
          </w:hyperlink>
        </w:p>
        <w:p>
          <w:pPr>
            <w:pStyle w:val="Contents6"/>
            <w:tabs>
              <w:tab w:val="clear" w:pos="7609"/>
              <w:tab w:val="right" w:pos="9026" w:leader="dot"/>
            </w:tabs>
            <w:rPr/>
          </w:pPr>
          <w:hyperlink w:anchor="__RefHeading___Toc509016_1738255347">
            <w:r>
              <w:rPr>
                <w:webHidden/>
                <w:rStyle w:val="IndexLink"/>
              </w:rPr>
              <w:t>1</w:t>
            </w:r>
            <w:r>
              <w:rPr>
                <w:rStyle w:val="IndexLink"/>
                <w:rtl w:val="true"/>
              </w:rPr>
              <w:t xml:space="preserve"> - </w:t>
            </w:r>
            <w:r>
              <w:rPr>
                <w:rStyle w:val="IndexLink"/>
                <w:rtl w:val="true"/>
              </w:rPr>
              <w:t>وسائل الإثبات الوجدانی</w:t>
            </w:r>
            <w:r>
              <w:rPr>
                <w:rStyle w:val="IndexLink"/>
                <w:rtl w:val="true"/>
              </w:rPr>
              <w:tab/>
            </w:r>
            <w:r>
              <w:rPr>
                <w:rStyle w:val="IndexLink"/>
              </w:rPr>
              <w:t>285</w:t>
            </w:r>
          </w:hyperlink>
        </w:p>
        <w:p>
          <w:pPr>
            <w:pStyle w:val="Contents6"/>
            <w:tabs>
              <w:tab w:val="clear" w:pos="7609"/>
              <w:tab w:val="right" w:pos="9026" w:leader="dot"/>
            </w:tabs>
            <w:rPr/>
          </w:pPr>
          <w:hyperlink w:anchor="__RefHeading___Toc509018_1738255347">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509020_1738255347">
            <w:r>
              <w:rPr>
                <w:webHidden/>
                <w:rStyle w:val="IndexLink"/>
                <w:rtl w:val="true"/>
              </w:rPr>
              <w:t>الخبر المتواتر</w:t>
            </w:r>
            <w:r>
              <w:rPr>
                <w:rStyle w:val="IndexLink"/>
                <w:rtl w:val="true"/>
              </w:rPr>
              <w:tab/>
            </w:r>
            <w:r>
              <w:rPr>
                <w:rStyle w:val="IndexLink"/>
              </w:rPr>
              <w:t>285</w:t>
            </w:r>
          </w:hyperlink>
        </w:p>
        <w:p>
          <w:pPr>
            <w:pStyle w:val="Contents6"/>
            <w:tabs>
              <w:tab w:val="clear" w:pos="7609"/>
              <w:tab w:val="right" w:pos="9026" w:leader="dot"/>
            </w:tabs>
            <w:rPr/>
          </w:pPr>
          <w:hyperlink w:anchor="__RefHeading___Toc509022_1738255347">
            <w:r>
              <w:rPr>
                <w:webHidden/>
                <w:rStyle w:val="IndexLink"/>
                <w:rtl w:val="true"/>
              </w:rPr>
              <w:t>الإجماع</w:t>
            </w:r>
            <w:r>
              <w:rPr>
                <w:rStyle w:val="IndexLink"/>
                <w:rtl w:val="true"/>
              </w:rPr>
              <w:tab/>
            </w:r>
            <w:r>
              <w:rPr>
                <w:rStyle w:val="IndexLink"/>
              </w:rPr>
              <w:t>287</w:t>
            </w:r>
          </w:hyperlink>
        </w:p>
        <w:p>
          <w:pPr>
            <w:pStyle w:val="Contents6"/>
            <w:tabs>
              <w:tab w:val="clear" w:pos="7609"/>
              <w:tab w:val="right" w:pos="9026" w:leader="dot"/>
            </w:tabs>
            <w:rPr/>
          </w:pPr>
          <w:hyperlink w:anchor="__RefHeading___Toc509024_1738255347">
            <w:r>
              <w:rPr>
                <w:webHidden/>
                <w:rStyle w:val="IndexLink"/>
                <w:rtl w:val="true"/>
              </w:rPr>
              <w:t>سیرة المتشرّعة</w:t>
            </w:r>
            <w:r>
              <w:rPr>
                <w:rStyle w:val="IndexLink"/>
                <w:rtl w:val="true"/>
              </w:rPr>
              <w:tab/>
            </w:r>
            <w:r>
              <w:rPr>
                <w:rStyle w:val="IndexLink"/>
              </w:rPr>
              <w:t>290</w:t>
            </w:r>
          </w:hyperlink>
        </w:p>
        <w:p>
          <w:pPr>
            <w:pStyle w:val="Contents6"/>
            <w:tabs>
              <w:tab w:val="clear" w:pos="7609"/>
              <w:tab w:val="right" w:pos="9026" w:leader="dot"/>
            </w:tabs>
            <w:rPr/>
          </w:pPr>
          <w:hyperlink w:anchor="__RefHeading___Toc509026_1738255347">
            <w:r>
              <w:rPr>
                <w:webHidden/>
                <w:rStyle w:val="IndexLink"/>
                <w:rtl w:val="true"/>
              </w:rPr>
              <w:t>الإحراز الوجدانیّ للدلیل الشرعیّ غیر اللفظیّ</w:t>
            </w:r>
            <w:r>
              <w:rPr>
                <w:rStyle w:val="IndexLink"/>
                <w:rtl w:val="true"/>
              </w:rPr>
              <w:tab/>
            </w:r>
            <w:r>
              <w:rPr>
                <w:rStyle w:val="IndexLink"/>
              </w:rPr>
              <w:t>291</w:t>
            </w:r>
          </w:hyperlink>
        </w:p>
        <w:p>
          <w:pPr>
            <w:pStyle w:val="Contents6"/>
            <w:tabs>
              <w:tab w:val="clear" w:pos="7609"/>
              <w:tab w:val="right" w:pos="9026" w:leader="dot"/>
            </w:tabs>
            <w:rPr/>
          </w:pPr>
          <w:hyperlink w:anchor="__RefHeading___Toc509028_1738255347">
            <w:r>
              <w:rPr>
                <w:webHidden/>
                <w:rStyle w:val="IndexLink"/>
                <w:rtl w:val="true"/>
              </w:rPr>
              <w:t>[</w:t>
            </w:r>
            <w:r>
              <w:rPr>
                <w:rStyle w:val="IndexLink"/>
              </w:rPr>
              <w:t>1</w:t>
            </w:r>
            <w:r>
              <w:rPr>
                <w:rStyle w:val="IndexLink"/>
                <w:rtl w:val="true"/>
              </w:rPr>
              <w:t xml:space="preserve"> - </w:t>
            </w:r>
            <w:r>
              <w:rPr>
                <w:rStyle w:val="IndexLink"/>
                <w:rtl w:val="true"/>
              </w:rPr>
              <w:t xml:space="preserve">السیرة المعاصرة للمعصومین </w:t>
            </w:r>
            <w:r>
              <w:rPr>
                <w:rStyle w:val="IndexLink"/>
                <w:rtl w:val="true"/>
              </w:rPr>
              <w:t>:]</w:t>
              <w:tab/>
            </w:r>
            <w:r>
              <w:rPr>
                <w:rStyle w:val="IndexLink"/>
              </w:rPr>
              <w:t>292</w:t>
            </w:r>
          </w:hyperlink>
        </w:p>
        <w:p>
          <w:pPr>
            <w:pStyle w:val="Contents6"/>
            <w:tabs>
              <w:tab w:val="clear" w:pos="7609"/>
              <w:tab w:val="right" w:pos="9026" w:leader="dot"/>
            </w:tabs>
            <w:rPr/>
          </w:pPr>
          <w:hyperlink w:anchor="__RefHeading___Toc509030_1738255347">
            <w:r>
              <w:rPr>
                <w:webHidden/>
                <w:rStyle w:val="IndexLink"/>
                <w:rtl w:val="true"/>
              </w:rPr>
              <w:t>[</w:t>
            </w:r>
            <w:r>
              <w:rPr>
                <w:rStyle w:val="IndexLink"/>
              </w:rPr>
              <w:t>2</w:t>
            </w:r>
            <w:r>
              <w:rPr>
                <w:rStyle w:val="IndexLink"/>
                <w:rtl w:val="true"/>
              </w:rPr>
              <w:t xml:space="preserve"> - </w:t>
            </w:r>
            <w:r>
              <w:rPr>
                <w:rStyle w:val="IndexLink"/>
                <w:rtl w:val="true"/>
              </w:rPr>
              <w:t>سکوت المعصوم</w:t>
            </w:r>
            <w:r>
              <w:rPr>
                <w:rStyle w:val="IndexLink"/>
                <w:rtl w:val="true"/>
              </w:rPr>
              <w:t>]</w:t>
              <w:tab/>
            </w:r>
            <w:r>
              <w:rPr>
                <w:rStyle w:val="IndexLink"/>
              </w:rPr>
              <w:t>295</w:t>
            </w:r>
          </w:hyperlink>
        </w:p>
        <w:p>
          <w:pPr>
            <w:pStyle w:val="Contents6"/>
            <w:tabs>
              <w:tab w:val="clear" w:pos="7609"/>
              <w:tab w:val="right" w:pos="9026" w:leader="dot"/>
            </w:tabs>
            <w:rPr/>
          </w:pPr>
          <w:hyperlink w:anchor="__RefHeading___Toc509032_1738255347">
            <w:r>
              <w:rPr>
                <w:webHidden/>
                <w:rStyle w:val="IndexLink"/>
                <w:rtl w:val="true"/>
              </w:rPr>
              <w:t>درجة الوثوق فی وسائل الإحراز الوجدانی</w:t>
            </w:r>
            <w:r>
              <w:rPr>
                <w:rStyle w:val="IndexLink"/>
                <w:rtl w:val="true"/>
              </w:rPr>
              <w:tab/>
            </w:r>
            <w:r>
              <w:rPr>
                <w:rStyle w:val="IndexLink"/>
              </w:rPr>
              <w:t>296</w:t>
            </w:r>
          </w:hyperlink>
        </w:p>
        <w:p>
          <w:pPr>
            <w:pStyle w:val="Contents6"/>
            <w:tabs>
              <w:tab w:val="clear" w:pos="7609"/>
              <w:tab w:val="right" w:pos="9026" w:leader="dot"/>
            </w:tabs>
            <w:rPr/>
          </w:pPr>
          <w:hyperlink w:anchor="__RefHeading___Toc509034_1738255347">
            <w:r>
              <w:rPr>
                <w:webHidden/>
                <w:rStyle w:val="IndexLink"/>
              </w:rPr>
              <w:t>2</w:t>
            </w:r>
            <w:r>
              <w:rPr>
                <w:rStyle w:val="IndexLink"/>
                <w:rtl w:val="true"/>
              </w:rPr>
              <w:t xml:space="preserve"> - </w:t>
            </w:r>
            <w:r>
              <w:rPr>
                <w:rStyle w:val="IndexLink"/>
                <w:rtl w:val="true"/>
              </w:rPr>
              <w:t>وسائل الإثبات التعبّدی</w:t>
            </w:r>
            <w:r>
              <w:rPr>
                <w:rStyle w:val="IndexLink"/>
                <w:rtl w:val="true"/>
              </w:rPr>
              <w:tab/>
            </w:r>
            <w:r>
              <w:rPr>
                <w:rStyle w:val="IndexLink"/>
              </w:rPr>
              <w:t>297</w:t>
            </w:r>
          </w:hyperlink>
        </w:p>
        <w:p>
          <w:pPr>
            <w:pStyle w:val="Contents6"/>
            <w:tabs>
              <w:tab w:val="clear" w:pos="7609"/>
              <w:tab w:val="right" w:pos="9026" w:leader="dot"/>
            </w:tabs>
            <w:rPr/>
          </w:pPr>
          <w:hyperlink w:anchor="__RefHeading___Toc509036_1738255347">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509038_1738255347">
            <w:r>
              <w:rPr>
                <w:webHidden/>
                <w:rStyle w:val="IndexLink"/>
                <w:rtl w:val="true"/>
              </w:rPr>
              <w:t>أدلّة حجّیّة خبر الواحد</w:t>
            </w:r>
            <w:r>
              <w:rPr>
                <w:rStyle w:val="IndexLink"/>
                <w:rtl w:val="true"/>
              </w:rPr>
              <w:tab/>
            </w:r>
            <w:r>
              <w:rPr>
                <w:rStyle w:val="IndexLink"/>
              </w:rPr>
              <w:t>297</w:t>
            </w:r>
          </w:hyperlink>
        </w:p>
        <w:p>
          <w:pPr>
            <w:pStyle w:val="Contents6"/>
            <w:tabs>
              <w:tab w:val="clear" w:pos="7609"/>
              <w:tab w:val="right" w:pos="9026" w:leader="dot"/>
            </w:tabs>
            <w:rPr/>
          </w:pPr>
          <w:hyperlink w:anchor="__RefHeading___Toc509040_1738255347">
            <w:r>
              <w:rPr>
                <w:webHidden/>
                <w:rStyle w:val="IndexLink"/>
                <w:rtl w:val="true"/>
              </w:rPr>
              <w:t>أدلّة نفی الحجّیّة</w:t>
            </w:r>
            <w:r>
              <w:rPr>
                <w:rStyle w:val="IndexLink"/>
                <w:rtl w:val="true"/>
              </w:rPr>
              <w:tab/>
            </w:r>
            <w:r>
              <w:rPr>
                <w:rStyle w:val="IndexLink"/>
              </w:rPr>
              <w:t>304</w:t>
            </w:r>
          </w:hyperlink>
        </w:p>
        <w:p>
          <w:pPr>
            <w:pStyle w:val="Contents6"/>
            <w:tabs>
              <w:tab w:val="clear" w:pos="7609"/>
              <w:tab w:val="right" w:pos="9026" w:leader="dot"/>
            </w:tabs>
            <w:rPr/>
          </w:pPr>
          <w:hyperlink w:anchor="__RefHeading___Toc509042_1738255347">
            <w:r>
              <w:rPr>
                <w:webHidden/>
                <w:rStyle w:val="IndexLink"/>
                <w:rtl w:val="true"/>
              </w:rPr>
              <w:t>تحدید دائرة الحجّیّة</w:t>
            </w:r>
            <w:r>
              <w:rPr>
                <w:rStyle w:val="IndexLink"/>
                <w:rtl w:val="true"/>
              </w:rPr>
              <w:tab/>
            </w:r>
            <w:r>
              <w:rPr>
                <w:rStyle w:val="IndexLink"/>
              </w:rPr>
              <w:t>305</w:t>
            </w:r>
          </w:hyperlink>
        </w:p>
        <w:p>
          <w:pPr>
            <w:pStyle w:val="Contents6"/>
            <w:tabs>
              <w:tab w:val="clear" w:pos="7609"/>
              <w:tab w:val="right" w:pos="9026" w:leader="dot"/>
            </w:tabs>
            <w:rPr/>
          </w:pPr>
          <w:hyperlink w:anchor="__RefHeading___Toc509044_1738255347">
            <w:r>
              <w:rPr>
                <w:webHidden/>
                <w:rStyle w:val="IndexLink"/>
                <w:rtl w:val="true"/>
              </w:rPr>
              <w:t>قاعدة التسامح فی أدلّة السنن</w:t>
            </w:r>
            <w:r>
              <w:rPr>
                <w:rStyle w:val="IndexLink"/>
                <w:rtl w:val="true"/>
              </w:rPr>
              <w:tab/>
            </w:r>
            <w:r>
              <w:rPr>
                <w:rStyle w:val="IndexLink"/>
              </w:rPr>
              <w:t>306</w:t>
            </w:r>
          </w:hyperlink>
        </w:p>
        <w:p>
          <w:pPr>
            <w:pStyle w:val="Contents6"/>
            <w:tabs>
              <w:tab w:val="clear" w:pos="7609"/>
              <w:tab w:val="right" w:pos="9026" w:leader="dot"/>
            </w:tabs>
            <w:rPr/>
          </w:pPr>
          <w:hyperlink w:anchor="__RefHeading___Toc509046_1738255347">
            <w:r>
              <w:rPr>
                <w:webHidden/>
                <w:rStyle w:val="IndexLink"/>
                <w:rtl w:val="true"/>
              </w:rPr>
              <w:t>إثباتُ حجیة الدلالة فی الدلیل الشرعی</w:t>
            </w:r>
            <w:r>
              <w:rPr>
                <w:rStyle w:val="IndexLink"/>
                <w:rtl w:val="true"/>
              </w:rPr>
              <w:tab/>
            </w:r>
            <w:r>
              <w:rPr>
                <w:rStyle w:val="IndexLink"/>
              </w:rPr>
              <w:t>308</w:t>
            </w:r>
          </w:hyperlink>
        </w:p>
        <w:p>
          <w:pPr>
            <w:pStyle w:val="Contents6"/>
            <w:tabs>
              <w:tab w:val="clear" w:pos="7609"/>
              <w:tab w:val="right" w:pos="9026" w:leader="dot"/>
            </w:tabs>
            <w:rPr/>
          </w:pPr>
          <w:hyperlink w:anchor="__RefHeading___Toc509048_173825534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509050_1738255347">
            <w:r>
              <w:rPr>
                <w:webHidden/>
                <w:rStyle w:val="IndexLink"/>
                <w:rtl w:val="true"/>
              </w:rPr>
              <w:t>تمهید</w:t>
            </w:r>
            <w:r>
              <w:rPr>
                <w:rStyle w:val="IndexLink"/>
                <w:rtl w:val="true"/>
              </w:rPr>
              <w:tab/>
            </w:r>
            <w:r>
              <w:rPr>
                <w:rStyle w:val="IndexLink"/>
              </w:rPr>
              <w:t>310</w:t>
            </w:r>
          </w:hyperlink>
        </w:p>
        <w:p>
          <w:pPr>
            <w:pStyle w:val="Contents6"/>
            <w:tabs>
              <w:tab w:val="clear" w:pos="7609"/>
              <w:tab w:val="right" w:pos="9026" w:leader="dot"/>
            </w:tabs>
            <w:rPr/>
          </w:pPr>
          <w:hyperlink w:anchor="__RefHeading___Toc509052_173825534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09054_1738255347">
            <w:r>
              <w:rPr>
                <w:webHidden/>
                <w:rStyle w:val="IndexLink"/>
                <w:rtl w:val="true"/>
              </w:rPr>
              <w:t>الاستدلال علی حجّیّة الظهور</w:t>
            </w:r>
            <w:r>
              <w:rPr>
                <w:rStyle w:val="IndexLink"/>
                <w:rtl w:val="true"/>
              </w:rPr>
              <w:tab/>
            </w:r>
            <w:r>
              <w:rPr>
                <w:rStyle w:val="IndexLink"/>
              </w:rPr>
              <w:t>311</w:t>
            </w:r>
          </w:hyperlink>
        </w:p>
        <w:p>
          <w:pPr>
            <w:pStyle w:val="Contents6"/>
            <w:tabs>
              <w:tab w:val="clear" w:pos="7609"/>
              <w:tab w:val="right" w:pos="9026" w:leader="dot"/>
            </w:tabs>
            <w:rPr/>
          </w:pPr>
          <w:hyperlink w:anchor="__RefHeading___Toc509056_1738255347">
            <w:r>
              <w:rPr>
                <w:webHidden/>
                <w:rStyle w:val="IndexLink"/>
                <w:rtl w:val="true"/>
              </w:rPr>
              <w:t>موضوع الحجّیة</w:t>
            </w:r>
            <w:r>
              <w:rPr>
                <w:rStyle w:val="IndexLink"/>
                <w:rtl w:val="true"/>
              </w:rPr>
              <w:tab/>
            </w:r>
            <w:r>
              <w:rPr>
                <w:rStyle w:val="IndexLink"/>
              </w:rPr>
              <w:t>312</w:t>
            </w:r>
          </w:hyperlink>
        </w:p>
        <w:p>
          <w:pPr>
            <w:pStyle w:val="Contents6"/>
            <w:tabs>
              <w:tab w:val="clear" w:pos="7609"/>
              <w:tab w:val="right" w:pos="9026" w:leader="dot"/>
            </w:tabs>
            <w:rPr/>
          </w:pPr>
          <w:hyperlink w:anchor="__RefHeading___Toc509058_1738255347">
            <w:r>
              <w:rPr>
                <w:webHidden/>
                <w:rStyle w:val="IndexLink"/>
                <w:rtl w:val="true"/>
              </w:rPr>
              <w:t>ظواهر الکتاب الکریم</w:t>
            </w:r>
            <w:r>
              <w:rPr>
                <w:rStyle w:val="IndexLink"/>
                <w:rtl w:val="true"/>
              </w:rPr>
              <w:tab/>
            </w:r>
            <w:r>
              <w:rPr>
                <w:rStyle w:val="IndexLink"/>
              </w:rPr>
              <w:t>314</w:t>
            </w:r>
          </w:hyperlink>
        </w:p>
        <w:p>
          <w:pPr>
            <w:pStyle w:val="Contents5"/>
            <w:tabs>
              <w:tab w:val="clear" w:pos="7892"/>
              <w:tab w:val="right" w:pos="9026" w:leader="dot"/>
            </w:tabs>
            <w:rPr/>
          </w:pPr>
          <w:hyperlink w:anchor="__RefHeading___Toc509060_1738255347">
            <w:r>
              <w:rPr>
                <w:webHidden/>
                <w:rStyle w:val="IndexLink"/>
                <w:rtl w:val="true"/>
              </w:rPr>
              <w:t>الدلیل العقلی</w:t>
            </w:r>
            <w:r>
              <w:rPr>
                <w:rStyle w:val="IndexLink"/>
                <w:rtl w:val="true"/>
              </w:rPr>
              <w:tab/>
            </w:r>
            <w:r>
              <w:rPr>
                <w:rStyle w:val="IndexLink"/>
              </w:rPr>
              <w:t>320</w:t>
            </w:r>
          </w:hyperlink>
        </w:p>
        <w:p>
          <w:pPr>
            <w:pStyle w:val="Contents6"/>
            <w:tabs>
              <w:tab w:val="clear" w:pos="7609"/>
              <w:tab w:val="right" w:pos="9026" w:leader="dot"/>
            </w:tabs>
            <w:rPr/>
          </w:pPr>
          <w:hyperlink w:anchor="__RefHeading___Toc509062_1738255347">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09064_1738255347">
            <w:r>
              <w:rPr>
                <w:webHidden/>
                <w:rStyle w:val="IndexLink"/>
                <w:rtl w:val="true"/>
              </w:rPr>
              <w:t>تمهید</w:t>
            </w:r>
            <w:r>
              <w:rPr>
                <w:rStyle w:val="IndexLink"/>
                <w:rtl w:val="true"/>
              </w:rPr>
              <w:tab/>
            </w:r>
            <w:r>
              <w:rPr>
                <w:rStyle w:val="IndexLink"/>
              </w:rPr>
              <w:t>322</w:t>
            </w:r>
          </w:hyperlink>
        </w:p>
        <w:p>
          <w:pPr>
            <w:pStyle w:val="Contents6"/>
            <w:tabs>
              <w:tab w:val="clear" w:pos="7609"/>
              <w:tab w:val="right" w:pos="9026" w:leader="dot"/>
            </w:tabs>
            <w:rPr/>
          </w:pPr>
          <w:hyperlink w:anchor="__RefHeading___Toc509066_1738255347">
            <w:r>
              <w:rPr>
                <w:webHidden/>
                <w:rStyle w:val="IndexLink"/>
              </w:rPr>
              <w:t>1</w:t>
            </w:r>
            <w:r>
              <w:rPr>
                <w:rStyle w:val="IndexLink"/>
                <w:rtl w:val="true"/>
              </w:rPr>
              <w:t xml:space="preserve"> - </w:t>
            </w:r>
            <w:r>
              <w:rPr>
                <w:rStyle w:val="IndexLink"/>
                <w:rtl w:val="true"/>
              </w:rPr>
              <w:t>إثبات القضایا العقلیة</w:t>
            </w:r>
            <w:r>
              <w:rPr>
                <w:rStyle w:val="IndexLink"/>
                <w:rtl w:val="true"/>
              </w:rPr>
              <w:tab/>
            </w:r>
            <w:r>
              <w:rPr>
                <w:rStyle w:val="IndexLink"/>
              </w:rPr>
              <w:t>324</w:t>
            </w:r>
          </w:hyperlink>
        </w:p>
        <w:p>
          <w:pPr>
            <w:pStyle w:val="Contents6"/>
            <w:tabs>
              <w:tab w:val="clear" w:pos="7609"/>
              <w:tab w:val="right" w:pos="9026" w:leader="dot"/>
            </w:tabs>
            <w:rPr/>
          </w:pPr>
          <w:hyperlink w:anchor="__RefHeading___Toc509068_1738255347">
            <w:r>
              <w:rPr>
                <w:webHidden/>
                <w:rStyle w:val="IndexLink"/>
                <w:rtl w:val="true"/>
              </w:rPr>
              <w:t>تقسیمات للقضایا العقلیّة</w:t>
            </w:r>
            <w:r>
              <w:rPr>
                <w:rStyle w:val="IndexLink"/>
                <w:rtl w:val="true"/>
              </w:rPr>
              <w:tab/>
            </w:r>
            <w:r>
              <w:rPr>
                <w:rStyle w:val="IndexLink"/>
              </w:rPr>
              <w:t>324</w:t>
            </w:r>
          </w:hyperlink>
        </w:p>
        <w:p>
          <w:pPr>
            <w:pStyle w:val="Contents6"/>
            <w:tabs>
              <w:tab w:val="clear" w:pos="7609"/>
              <w:tab w:val="right" w:pos="9026" w:leader="dot"/>
            </w:tabs>
            <w:rPr/>
          </w:pPr>
          <w:hyperlink w:anchor="__RefHeading___Toc509070_1738255347">
            <w:r>
              <w:rPr>
                <w:webHidden/>
                <w:rStyle w:val="IndexLink"/>
                <w:rtl w:val="true"/>
              </w:rPr>
              <w:t>قاعدة استحالة التکلیف بغیر المقدور</w:t>
            </w:r>
            <w:r>
              <w:rPr>
                <w:rStyle w:val="IndexLink"/>
                <w:rtl w:val="true"/>
              </w:rPr>
              <w:tab/>
            </w:r>
            <w:r>
              <w:rPr>
                <w:rStyle w:val="IndexLink"/>
              </w:rPr>
              <w:t>326</w:t>
            </w:r>
          </w:hyperlink>
        </w:p>
        <w:p>
          <w:pPr>
            <w:pStyle w:val="Contents6"/>
            <w:tabs>
              <w:tab w:val="clear" w:pos="7609"/>
              <w:tab w:val="right" w:pos="9026" w:leader="dot"/>
            </w:tabs>
            <w:rPr/>
          </w:pPr>
          <w:hyperlink w:anchor="__RefHeading___Toc509072_1738255347">
            <w:r>
              <w:rPr>
                <w:webHidden/>
                <w:rStyle w:val="IndexLink"/>
                <w:rtl w:val="true"/>
              </w:rPr>
              <w:t>قاعدة إمکان التکلیفِ المشروط</w:t>
            </w:r>
            <w:r>
              <w:rPr>
                <w:rStyle w:val="IndexLink"/>
                <w:rtl w:val="true"/>
              </w:rPr>
              <w:tab/>
            </w:r>
            <w:r>
              <w:rPr>
                <w:rStyle w:val="IndexLink"/>
              </w:rPr>
              <w:t>329</w:t>
            </w:r>
          </w:hyperlink>
        </w:p>
        <w:p>
          <w:pPr>
            <w:pStyle w:val="Contents6"/>
            <w:tabs>
              <w:tab w:val="clear" w:pos="7609"/>
              <w:tab w:val="right" w:pos="9026" w:leader="dot"/>
            </w:tabs>
            <w:rPr/>
          </w:pPr>
          <w:hyperlink w:anchor="__RefHeading___Toc509074_1738255347">
            <w:r>
              <w:rPr>
                <w:webHidden/>
                <w:rStyle w:val="IndexLink"/>
                <w:rtl w:val="true"/>
              </w:rPr>
              <w:t>قاعدة تنوّع القیود وأحکامُها</w:t>
            </w:r>
            <w:r>
              <w:rPr>
                <w:rStyle w:val="IndexLink"/>
                <w:rtl w:val="true"/>
              </w:rPr>
              <w:tab/>
            </w:r>
            <w:r>
              <w:rPr>
                <w:rStyle w:val="IndexLink"/>
              </w:rPr>
              <w:t>331</w:t>
            </w:r>
          </w:hyperlink>
        </w:p>
        <w:p>
          <w:pPr>
            <w:pStyle w:val="Contents6"/>
            <w:tabs>
              <w:tab w:val="clear" w:pos="7609"/>
              <w:tab w:val="right" w:pos="9026" w:leader="dot"/>
            </w:tabs>
            <w:rPr/>
          </w:pPr>
          <w:hyperlink w:anchor="__RefHeading___Toc509076_1738255347">
            <w:r>
              <w:rPr>
                <w:webHidden/>
                <w:rStyle w:val="IndexLink"/>
                <w:rtl w:val="true"/>
              </w:rPr>
              <w:t>تنوّع القیود</w:t>
            </w:r>
            <w:r>
              <w:rPr>
                <w:rStyle w:val="IndexLink"/>
                <w:rtl w:val="true"/>
              </w:rPr>
              <w:tab/>
            </w:r>
            <w:r>
              <w:rPr>
                <w:rStyle w:val="IndexLink"/>
              </w:rPr>
              <w:t>331</w:t>
            </w:r>
          </w:hyperlink>
        </w:p>
        <w:p>
          <w:pPr>
            <w:pStyle w:val="Contents6"/>
            <w:tabs>
              <w:tab w:val="clear" w:pos="7609"/>
              <w:tab w:val="right" w:pos="9026" w:leader="dot"/>
            </w:tabs>
            <w:rPr/>
          </w:pPr>
          <w:hyperlink w:anchor="__RefHeading___Toc509078_1738255347">
            <w:r>
              <w:rPr>
                <w:webHidden/>
                <w:rStyle w:val="IndexLink"/>
                <w:rtl w:val="true"/>
              </w:rPr>
              <w:t>أحکام القیود المتنوّعة</w:t>
            </w:r>
            <w:r>
              <w:rPr>
                <w:rStyle w:val="IndexLink"/>
                <w:rtl w:val="true"/>
              </w:rPr>
              <w:tab/>
            </w:r>
            <w:r>
              <w:rPr>
                <w:rStyle w:val="IndexLink"/>
              </w:rPr>
              <w:t>332</w:t>
            </w:r>
          </w:hyperlink>
        </w:p>
        <w:p>
          <w:pPr>
            <w:pStyle w:val="Contents6"/>
            <w:tabs>
              <w:tab w:val="clear" w:pos="7609"/>
              <w:tab w:val="right" w:pos="9026" w:leader="dot"/>
            </w:tabs>
            <w:rPr/>
          </w:pPr>
          <w:hyperlink w:anchor="__RefHeading___Toc509080_1738255347">
            <w:r>
              <w:rPr>
                <w:webHidden/>
                <w:rStyle w:val="IndexLink"/>
                <w:rtl w:val="true"/>
              </w:rPr>
              <w:t>قیود الواجب علی قسمین</w:t>
            </w:r>
            <w:r>
              <w:rPr>
                <w:rStyle w:val="IndexLink"/>
                <w:rtl w:val="true"/>
              </w:rPr>
              <w:tab/>
            </w:r>
            <w:r>
              <w:rPr>
                <w:rStyle w:val="IndexLink"/>
              </w:rPr>
              <w:t>334</w:t>
            </w:r>
          </w:hyperlink>
        </w:p>
        <w:p>
          <w:pPr>
            <w:pStyle w:val="Contents6"/>
            <w:tabs>
              <w:tab w:val="clear" w:pos="7609"/>
              <w:tab w:val="right" w:pos="9026" w:leader="dot"/>
            </w:tabs>
            <w:rPr/>
          </w:pPr>
          <w:hyperlink w:anchor="__RefHeading___Toc509082_1738255347">
            <w:r>
              <w:rPr>
                <w:webHidden/>
                <w:rStyle w:val="IndexLink"/>
                <w:rtl w:val="true"/>
              </w:rPr>
              <w:t>المسؤولیة قبل الوجوب</w:t>
            </w:r>
            <w:r>
              <w:rPr>
                <w:rStyle w:val="IndexLink"/>
                <w:rtl w:val="true"/>
              </w:rPr>
              <w:tab/>
            </w:r>
            <w:r>
              <w:rPr>
                <w:rStyle w:val="IndexLink"/>
              </w:rPr>
              <w:t>335</w:t>
            </w:r>
          </w:hyperlink>
        </w:p>
        <w:p>
          <w:pPr>
            <w:pStyle w:val="Contents6"/>
            <w:tabs>
              <w:tab w:val="clear" w:pos="7609"/>
              <w:tab w:val="right" w:pos="9026" w:leader="dot"/>
            </w:tabs>
            <w:rPr/>
          </w:pPr>
          <w:hyperlink w:anchor="__RefHeading___Toc509084_1738255347">
            <w:r>
              <w:rPr>
                <w:webHidden/>
                <w:rStyle w:val="IndexLink"/>
                <w:rtl w:val="true"/>
              </w:rPr>
              <w:t>القیود المتأخّرة زماناً عن المقیّد</w:t>
            </w:r>
            <w:r>
              <w:rPr>
                <w:rStyle w:val="IndexLink"/>
                <w:rtl w:val="true"/>
              </w:rPr>
              <w:tab/>
            </w:r>
            <w:r>
              <w:rPr>
                <w:rStyle w:val="IndexLink"/>
              </w:rPr>
              <w:t>337</w:t>
            </w:r>
          </w:hyperlink>
        </w:p>
        <w:p>
          <w:pPr>
            <w:pStyle w:val="Contents6"/>
            <w:tabs>
              <w:tab w:val="clear" w:pos="7609"/>
              <w:tab w:val="right" w:pos="9026" w:leader="dot"/>
            </w:tabs>
            <w:rPr/>
          </w:pPr>
          <w:hyperlink w:anchor="__RefHeading___Toc509086_1738255347">
            <w:r>
              <w:rPr>
                <w:webHidden/>
                <w:rStyle w:val="IndexLink"/>
                <w:rtl w:val="true"/>
              </w:rPr>
              <w:t>زمان الوجوبِ والواجب</w:t>
            </w:r>
            <w:r>
              <w:rPr>
                <w:rStyle w:val="IndexLink"/>
                <w:rtl w:val="true"/>
              </w:rPr>
              <w:tab/>
            </w:r>
            <w:r>
              <w:rPr>
                <w:rStyle w:val="IndexLink"/>
              </w:rPr>
              <w:t>339</w:t>
            </w:r>
          </w:hyperlink>
        </w:p>
        <w:p>
          <w:pPr>
            <w:pStyle w:val="Contents6"/>
            <w:tabs>
              <w:tab w:val="clear" w:pos="7609"/>
              <w:tab w:val="right" w:pos="9026" w:leader="dot"/>
            </w:tabs>
            <w:rPr/>
          </w:pPr>
          <w:hyperlink w:anchor="__RefHeading___Toc509088_1738255347">
            <w:r>
              <w:rPr>
                <w:webHidden/>
                <w:rStyle w:val="IndexLink"/>
                <w:rtl w:val="true"/>
              </w:rPr>
              <w:t>متی یجوز عقلاً التعجیز؟</w:t>
            </w:r>
            <w:r>
              <w:rPr>
                <w:rStyle w:val="IndexLink"/>
                <w:rtl w:val="true"/>
              </w:rPr>
              <w:tab/>
            </w:r>
            <w:r>
              <w:rPr>
                <w:rStyle w:val="IndexLink"/>
              </w:rPr>
              <w:t>341</w:t>
            </w:r>
          </w:hyperlink>
        </w:p>
        <w:p>
          <w:pPr>
            <w:pStyle w:val="Contents6"/>
            <w:tabs>
              <w:tab w:val="clear" w:pos="7609"/>
              <w:tab w:val="right" w:pos="9026" w:leader="dot"/>
            </w:tabs>
            <w:rPr/>
          </w:pPr>
          <w:hyperlink w:anchor="__RefHeading___Toc509090_1738255347">
            <w:r>
              <w:rPr>
                <w:webHidden/>
                <w:rStyle w:val="IndexLink"/>
                <w:rtl w:val="true"/>
              </w:rPr>
              <w:t>أخْذ العِلم بالحکم فی موضوع الحکم</w:t>
            </w:r>
            <w:r>
              <w:rPr>
                <w:rStyle w:val="IndexLink"/>
                <w:rtl w:val="true"/>
              </w:rPr>
              <w:tab/>
            </w:r>
            <w:r>
              <w:rPr>
                <w:rStyle w:val="IndexLink"/>
              </w:rPr>
              <w:t>342</w:t>
            </w:r>
          </w:hyperlink>
        </w:p>
        <w:p>
          <w:pPr>
            <w:pStyle w:val="Contents6"/>
            <w:tabs>
              <w:tab w:val="clear" w:pos="7609"/>
              <w:tab w:val="right" w:pos="9026" w:leader="dot"/>
            </w:tabs>
            <w:rPr/>
          </w:pPr>
          <w:hyperlink w:anchor="__RefHeading___Toc509092_1738255347">
            <w:r>
              <w:rPr>
                <w:webHidden/>
                <w:rStyle w:val="IndexLink"/>
                <w:rtl w:val="true"/>
              </w:rPr>
              <w:t>استحالة اختصاص الحکم بالعالم به</w:t>
            </w:r>
            <w:r>
              <w:rPr>
                <w:rStyle w:val="IndexLink"/>
                <w:rtl w:val="true"/>
              </w:rPr>
              <w:tab/>
            </w:r>
            <w:r>
              <w:rPr>
                <w:rStyle w:val="IndexLink"/>
              </w:rPr>
              <w:t>342</w:t>
            </w:r>
          </w:hyperlink>
        </w:p>
        <w:p>
          <w:pPr>
            <w:pStyle w:val="Contents6"/>
            <w:tabs>
              <w:tab w:val="clear" w:pos="7609"/>
              <w:tab w:val="right" w:pos="9026" w:leader="dot"/>
            </w:tabs>
            <w:rPr/>
          </w:pPr>
          <w:hyperlink w:anchor="__RefHeading___Toc509094_1738255347">
            <w:r>
              <w:rPr>
                <w:webHidden/>
                <w:rStyle w:val="IndexLink"/>
                <w:rtl w:val="true"/>
              </w:rPr>
              <w:t>أخذ العلم بحکمٍ فی موضوع حکمٍ آخر</w:t>
            </w:r>
            <w:r>
              <w:rPr>
                <w:rStyle w:val="IndexLink"/>
                <w:rtl w:val="true"/>
              </w:rPr>
              <w:tab/>
            </w:r>
            <w:r>
              <w:rPr>
                <w:rStyle w:val="IndexLink"/>
              </w:rPr>
              <w:t>343</w:t>
            </w:r>
          </w:hyperlink>
        </w:p>
        <w:p>
          <w:pPr>
            <w:pStyle w:val="Contents6"/>
            <w:tabs>
              <w:tab w:val="clear" w:pos="7609"/>
              <w:tab w:val="right" w:pos="9026" w:leader="dot"/>
            </w:tabs>
            <w:rPr/>
          </w:pPr>
          <w:hyperlink w:anchor="__RefHeading___Toc509096_1738255347">
            <w:r>
              <w:rPr>
                <w:webHidden/>
                <w:rStyle w:val="IndexLink"/>
                <w:rtl w:val="true"/>
              </w:rPr>
              <w:t>أخذ قصدِ امتثال الأمر فی متعلّقه</w:t>
            </w:r>
            <w:r>
              <w:rPr>
                <w:rStyle w:val="IndexLink"/>
                <w:rtl w:val="true"/>
              </w:rPr>
              <w:tab/>
            </w:r>
            <w:r>
              <w:rPr>
                <w:rStyle w:val="IndexLink"/>
              </w:rPr>
              <w:t>344</w:t>
            </w:r>
          </w:hyperlink>
        </w:p>
        <w:p>
          <w:pPr>
            <w:pStyle w:val="Contents6"/>
            <w:tabs>
              <w:tab w:val="clear" w:pos="7609"/>
              <w:tab w:val="right" w:pos="9026" w:leader="dot"/>
            </w:tabs>
            <w:rPr/>
          </w:pPr>
          <w:hyperlink w:anchor="__RefHeading___Toc509098_1738255347">
            <w:r>
              <w:rPr>
                <w:webHidden/>
                <w:rStyle w:val="IndexLink"/>
                <w:rtl w:val="true"/>
              </w:rPr>
              <w:t>اشتراط التکلیفِ بالقدرة بمعنیً آخر</w:t>
            </w:r>
            <w:r>
              <w:rPr>
                <w:rStyle w:val="IndexLink"/>
                <w:rtl w:val="true"/>
              </w:rPr>
              <w:tab/>
            </w:r>
            <w:r>
              <w:rPr>
                <w:rStyle w:val="IndexLink"/>
              </w:rPr>
              <w:t>346</w:t>
            </w:r>
          </w:hyperlink>
        </w:p>
        <w:p>
          <w:pPr>
            <w:pStyle w:val="Contents6"/>
            <w:tabs>
              <w:tab w:val="clear" w:pos="7609"/>
              <w:tab w:val="right" w:pos="9026" w:leader="dot"/>
            </w:tabs>
            <w:rPr/>
          </w:pPr>
          <w:hyperlink w:anchor="__RefHeading___Toc509100_1738255347">
            <w:r>
              <w:rPr>
                <w:webHidden/>
                <w:rStyle w:val="IndexLink"/>
                <w:rtl w:val="true"/>
              </w:rPr>
              <w:t>التخییر و الکفائیّة فی الواجب</w:t>
            </w:r>
            <w:r>
              <w:rPr>
                <w:rStyle w:val="IndexLink"/>
                <w:rtl w:val="true"/>
              </w:rPr>
              <w:tab/>
            </w:r>
            <w:r>
              <w:rPr>
                <w:rStyle w:val="IndexLink"/>
              </w:rPr>
              <w:t>348</w:t>
            </w:r>
          </w:hyperlink>
        </w:p>
        <w:p>
          <w:pPr>
            <w:pStyle w:val="Contents6"/>
            <w:tabs>
              <w:tab w:val="clear" w:pos="7609"/>
              <w:tab w:val="right" w:pos="9026" w:leader="dot"/>
            </w:tabs>
            <w:rPr/>
          </w:pPr>
          <w:hyperlink w:anchor="__RefHeading___Toc509102_173825534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509104_1738255347">
            <w:r>
              <w:rPr>
                <w:webHidden/>
                <w:rStyle w:val="IndexLink"/>
                <w:rtl w:val="true"/>
              </w:rPr>
              <w:t>التخییر الشرعیّ فی الواجب</w:t>
            </w:r>
            <w:r>
              <w:rPr>
                <w:rStyle w:val="IndexLink"/>
                <w:rtl w:val="true"/>
              </w:rPr>
              <w:tab/>
            </w:r>
            <w:r>
              <w:rPr>
                <w:rStyle w:val="IndexLink"/>
              </w:rPr>
              <w:t>348</w:t>
            </w:r>
          </w:hyperlink>
        </w:p>
        <w:p>
          <w:pPr>
            <w:pStyle w:val="Contents6"/>
            <w:tabs>
              <w:tab w:val="clear" w:pos="7609"/>
              <w:tab w:val="right" w:pos="9026" w:leader="dot"/>
            </w:tabs>
            <w:rPr/>
          </w:pPr>
          <w:hyperlink w:anchor="__RefHeading___Toc509106_1738255347">
            <w:r>
              <w:rPr>
                <w:webHidden/>
                <w:rStyle w:val="IndexLink"/>
                <w:rtl w:val="true"/>
              </w:rPr>
              <w:t>التخییر العقلیّ فی الواجب</w:t>
            </w:r>
            <w:r>
              <w:rPr>
                <w:rStyle w:val="IndexLink"/>
                <w:rtl w:val="true"/>
              </w:rPr>
              <w:tab/>
            </w:r>
            <w:r>
              <w:rPr>
                <w:rStyle w:val="IndexLink"/>
              </w:rPr>
              <w:t>350</w:t>
            </w:r>
          </w:hyperlink>
        </w:p>
        <w:p>
          <w:pPr>
            <w:pStyle w:val="Contents6"/>
            <w:tabs>
              <w:tab w:val="clear" w:pos="7609"/>
              <w:tab w:val="right" w:pos="9026" w:leader="dot"/>
            </w:tabs>
            <w:rPr/>
          </w:pPr>
          <w:hyperlink w:anchor="__RefHeading___Toc509108_1738255347">
            <w:r>
              <w:rPr>
                <w:webHidden/>
                <w:rStyle w:val="IndexLink"/>
                <w:rtl w:val="true"/>
              </w:rPr>
              <w:t>امتناع اجتماعِ الأمرِ والنهی</w:t>
            </w:r>
            <w:r>
              <w:rPr>
                <w:rStyle w:val="IndexLink"/>
                <w:rtl w:val="true"/>
              </w:rPr>
              <w:tab/>
            </w:r>
            <w:r>
              <w:rPr>
                <w:rStyle w:val="IndexLink"/>
              </w:rPr>
              <w:t>352</w:t>
            </w:r>
          </w:hyperlink>
        </w:p>
        <w:p>
          <w:pPr>
            <w:pStyle w:val="Contents6"/>
            <w:tabs>
              <w:tab w:val="clear" w:pos="7609"/>
              <w:tab w:val="right" w:pos="9026" w:leader="dot"/>
            </w:tabs>
            <w:rPr/>
          </w:pPr>
          <w:hyperlink w:anchor="__RefHeading___Toc509110_1738255347">
            <w:r>
              <w:rPr>
                <w:webHidden/>
                <w:rStyle w:val="IndexLink"/>
                <w:rtl w:val="true"/>
              </w:rPr>
              <w:t>الوجوب الغیریّ لمقدّماتِ الواجب</w:t>
            </w:r>
            <w:r>
              <w:rPr>
                <w:rStyle w:val="IndexLink"/>
                <w:rtl w:val="true"/>
              </w:rPr>
              <w:tab/>
            </w:r>
            <w:r>
              <w:rPr>
                <w:rStyle w:val="IndexLink"/>
              </w:rPr>
              <w:t>355</w:t>
            </w:r>
          </w:hyperlink>
        </w:p>
        <w:p>
          <w:pPr>
            <w:pStyle w:val="Contents6"/>
            <w:tabs>
              <w:tab w:val="clear" w:pos="7609"/>
              <w:tab w:val="right" w:pos="9026" w:leader="dot"/>
            </w:tabs>
            <w:rPr/>
          </w:pPr>
          <w:hyperlink w:anchor="__RefHeading___Toc509112_1738255347">
            <w:r>
              <w:rPr>
                <w:webHidden/>
                <w:rStyle w:val="IndexLink"/>
                <w:rtl w:val="true"/>
              </w:rPr>
              <w:t>اقتضاء وجوبِ الشیء لحرمة ضدّه</w:t>
            </w:r>
            <w:r>
              <w:rPr>
                <w:rStyle w:val="IndexLink"/>
                <w:rtl w:val="true"/>
              </w:rPr>
              <w:tab/>
            </w:r>
            <w:r>
              <w:rPr>
                <w:rStyle w:val="IndexLink"/>
              </w:rPr>
              <w:t>358</w:t>
            </w:r>
          </w:hyperlink>
        </w:p>
        <w:p>
          <w:pPr>
            <w:pStyle w:val="Contents6"/>
            <w:tabs>
              <w:tab w:val="clear" w:pos="7609"/>
              <w:tab w:val="right" w:pos="9026" w:leader="dot"/>
            </w:tabs>
            <w:rPr/>
          </w:pPr>
          <w:hyperlink w:anchor="__RefHeading___Toc509114_1738255347">
            <w:r>
              <w:rPr>
                <w:webHidden/>
                <w:rStyle w:val="IndexLink"/>
                <w:rtl w:val="true"/>
              </w:rPr>
              <w:t>اقتِضاء الحرمة للبطلان</w:t>
            </w:r>
            <w:r>
              <w:rPr>
                <w:rStyle w:val="IndexLink"/>
                <w:rtl w:val="true"/>
              </w:rPr>
              <w:tab/>
            </w:r>
            <w:r>
              <w:rPr>
                <w:rStyle w:val="IndexLink"/>
              </w:rPr>
              <w:t>361</w:t>
            </w:r>
          </w:hyperlink>
        </w:p>
        <w:p>
          <w:pPr>
            <w:pStyle w:val="Contents6"/>
            <w:tabs>
              <w:tab w:val="clear" w:pos="7609"/>
              <w:tab w:val="right" w:pos="9026" w:leader="dot"/>
            </w:tabs>
            <w:rPr/>
          </w:pPr>
          <w:hyperlink w:anchor="__RefHeading___Toc509116_1738255347">
            <w:r>
              <w:rPr>
                <w:webHidden/>
                <w:rStyle w:val="IndexLink"/>
                <w:rtl w:val="true"/>
              </w:rPr>
              <w:t>مُسقِطات الحکم</w:t>
            </w:r>
            <w:r>
              <w:rPr>
                <w:rStyle w:val="IndexLink"/>
                <w:rtl w:val="true"/>
              </w:rPr>
              <w:tab/>
            </w:r>
            <w:r>
              <w:rPr>
                <w:rStyle w:val="IndexLink"/>
              </w:rPr>
              <w:t>363</w:t>
            </w:r>
          </w:hyperlink>
        </w:p>
        <w:p>
          <w:pPr>
            <w:pStyle w:val="Contents6"/>
            <w:tabs>
              <w:tab w:val="clear" w:pos="7609"/>
              <w:tab w:val="right" w:pos="9026" w:leader="dot"/>
            </w:tabs>
            <w:rPr/>
          </w:pPr>
          <w:hyperlink w:anchor="__RefHeading___Toc509118_1738255347">
            <w:r>
              <w:rPr>
                <w:webHidden/>
                <w:rStyle w:val="IndexLink"/>
                <w:rtl w:val="true"/>
              </w:rPr>
              <w:t>إمکانُ النَسخِ وتصویرُه</w:t>
            </w:r>
            <w:r>
              <w:rPr>
                <w:rStyle w:val="IndexLink"/>
                <w:rtl w:val="true"/>
              </w:rPr>
              <w:tab/>
            </w:r>
            <w:r>
              <w:rPr>
                <w:rStyle w:val="IndexLink"/>
              </w:rPr>
              <w:t>365</w:t>
            </w:r>
          </w:hyperlink>
        </w:p>
        <w:p>
          <w:pPr>
            <w:pStyle w:val="Contents6"/>
            <w:tabs>
              <w:tab w:val="clear" w:pos="7609"/>
              <w:tab w:val="right" w:pos="9026" w:leader="dot"/>
            </w:tabs>
            <w:rPr/>
          </w:pPr>
          <w:hyperlink w:anchor="__RefHeading___Toc509120_1738255347">
            <w:r>
              <w:rPr>
                <w:webHidden/>
                <w:rStyle w:val="IndexLink"/>
                <w:rtl w:val="true"/>
              </w:rPr>
              <w:t>الملازَمة بین الحُسنِ و القبح ، و الأمرِ و النهی</w:t>
            </w:r>
            <w:r>
              <w:rPr>
                <w:rStyle w:val="IndexLink"/>
                <w:rtl w:val="true"/>
              </w:rPr>
              <w:tab/>
            </w:r>
            <w:r>
              <w:rPr>
                <w:rStyle w:val="IndexLink"/>
              </w:rPr>
              <w:t>367</w:t>
            </w:r>
          </w:hyperlink>
        </w:p>
        <w:p>
          <w:pPr>
            <w:pStyle w:val="Contents6"/>
            <w:tabs>
              <w:tab w:val="clear" w:pos="7609"/>
              <w:tab w:val="right" w:pos="9026" w:leader="dot"/>
            </w:tabs>
            <w:rPr/>
          </w:pPr>
          <w:hyperlink w:anchor="__RefHeading___Toc509122_1738255347">
            <w:r>
              <w:rPr>
                <w:webHidden/>
                <w:rStyle w:val="IndexLink"/>
                <w:rtl w:val="true"/>
              </w:rPr>
              <w:t>الاستقراء والقیاس</w:t>
            </w:r>
            <w:r>
              <w:rPr>
                <w:rStyle w:val="IndexLink"/>
                <w:rtl w:val="true"/>
              </w:rPr>
              <w:tab/>
            </w:r>
            <w:r>
              <w:rPr>
                <w:rStyle w:val="IndexLink"/>
              </w:rPr>
              <w:t>369</w:t>
            </w:r>
          </w:hyperlink>
        </w:p>
        <w:p>
          <w:pPr>
            <w:pStyle w:val="Contents6"/>
            <w:tabs>
              <w:tab w:val="clear" w:pos="7609"/>
              <w:tab w:val="right" w:pos="9026" w:leader="dot"/>
            </w:tabs>
            <w:rPr/>
          </w:pPr>
          <w:hyperlink w:anchor="__RefHeading___Toc509124_1738255347">
            <w:r>
              <w:rPr>
                <w:webHidden/>
                <w:rStyle w:val="IndexLink"/>
              </w:rPr>
              <w:t>2</w:t>
            </w:r>
            <w:r>
              <w:rPr>
                <w:rStyle w:val="IndexLink"/>
                <w:rtl w:val="true"/>
              </w:rPr>
              <w:t xml:space="preserve"> - </w:t>
            </w:r>
            <w:r>
              <w:rPr>
                <w:rStyle w:val="IndexLink"/>
                <w:rtl w:val="true"/>
              </w:rPr>
              <w:t>حجّیة الدلیل العقلی</w:t>
            </w:r>
            <w:r>
              <w:rPr>
                <w:rStyle w:val="IndexLink"/>
                <w:rtl w:val="true"/>
              </w:rPr>
              <w:tab/>
            </w:r>
            <w:r>
              <w:rPr>
                <w:rStyle w:val="IndexLink"/>
              </w:rPr>
              <w:t>370</w:t>
            </w:r>
          </w:hyperlink>
        </w:p>
        <w:p>
          <w:pPr>
            <w:pStyle w:val="Contents4"/>
            <w:tabs>
              <w:tab w:val="clear" w:pos="8176"/>
              <w:tab w:val="right" w:pos="9026" w:leader="dot"/>
            </w:tabs>
            <w:rPr/>
          </w:pPr>
          <w:hyperlink w:anchor="__RefHeading___Toc509126_1738255347">
            <w:r>
              <w:rPr>
                <w:webHidden/>
                <w:rStyle w:val="IndexLink"/>
                <w:rtl w:val="true"/>
              </w:rPr>
              <w:t>الاصول العملیّة</w:t>
            </w:r>
            <w:r>
              <w:rPr>
                <w:rStyle w:val="IndexLink"/>
                <w:rtl w:val="true"/>
              </w:rPr>
              <w:tab/>
            </w:r>
            <w:r>
              <w:rPr>
                <w:rStyle w:val="IndexLink"/>
              </w:rPr>
              <w:t>372</w:t>
            </w:r>
          </w:hyperlink>
        </w:p>
        <w:p>
          <w:pPr>
            <w:pStyle w:val="Contents5"/>
            <w:tabs>
              <w:tab w:val="clear" w:pos="7892"/>
              <w:tab w:val="right" w:pos="9026" w:leader="dot"/>
            </w:tabs>
            <w:rPr/>
          </w:pPr>
          <w:hyperlink w:anchor="__RefHeading___Toc509128_173825534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509130_1738255347">
            <w:r>
              <w:rPr>
                <w:webHidden/>
                <w:rStyle w:val="IndexLink"/>
              </w:rPr>
              <w:t>1</w:t>
            </w:r>
            <w:r>
              <w:rPr>
                <w:rStyle w:val="IndexLink"/>
                <w:rtl w:val="true"/>
              </w:rPr>
              <w:t xml:space="preserve"> - </w:t>
            </w:r>
            <w:r>
              <w:rPr>
                <w:rStyle w:val="IndexLink"/>
                <w:rtl w:val="true"/>
              </w:rPr>
              <w:t>القاعدة العملیّة فی حالةِ الشکّ</w:t>
            </w:r>
            <w:r>
              <w:rPr>
                <w:rStyle w:val="IndexLink"/>
                <w:rtl w:val="true"/>
              </w:rPr>
              <w:tab/>
            </w:r>
            <w:r>
              <w:rPr>
                <w:rStyle w:val="IndexLink"/>
              </w:rPr>
              <w:t>374</w:t>
            </w:r>
          </w:hyperlink>
        </w:p>
        <w:p>
          <w:pPr>
            <w:pStyle w:val="Contents6"/>
            <w:tabs>
              <w:tab w:val="clear" w:pos="7609"/>
              <w:tab w:val="right" w:pos="9026" w:leader="dot"/>
            </w:tabs>
            <w:rPr/>
          </w:pPr>
          <w:hyperlink w:anchor="__RefHeading___Toc509132_173825534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509134_1738255347">
            <w:r>
              <w:rPr>
                <w:webHidden/>
                <w:rStyle w:val="IndexLink"/>
                <w:rtl w:val="true"/>
              </w:rPr>
              <w:t>القاعدة العملیّة الأوّلیّة فی حالة الشکّ</w:t>
            </w:r>
            <w:r>
              <w:rPr>
                <w:rStyle w:val="IndexLink"/>
                <w:rtl w:val="true"/>
              </w:rPr>
              <w:tab/>
            </w:r>
            <w:r>
              <w:rPr>
                <w:rStyle w:val="IndexLink"/>
              </w:rPr>
              <w:t>375</w:t>
            </w:r>
          </w:hyperlink>
        </w:p>
        <w:p>
          <w:pPr>
            <w:pStyle w:val="Contents6"/>
            <w:tabs>
              <w:tab w:val="clear" w:pos="7609"/>
              <w:tab w:val="right" w:pos="9026" w:leader="dot"/>
            </w:tabs>
            <w:rPr/>
          </w:pPr>
          <w:hyperlink w:anchor="__RefHeading___Toc509136_1738255347">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509138_1738255347">
            <w:r>
              <w:rPr>
                <w:webHidden/>
                <w:rStyle w:val="IndexLink"/>
                <w:rtl w:val="true"/>
              </w:rPr>
              <w:t>[</w:t>
            </w:r>
            <w:r>
              <w:rPr>
                <w:rStyle w:val="IndexLink"/>
                <w:rtl w:val="true"/>
              </w:rPr>
              <w:t>الاستدلال علی قبح العقاب بلا بیان</w:t>
            </w:r>
            <w:r>
              <w:rPr>
                <w:rStyle w:val="IndexLink"/>
                <w:rtl w:val="true"/>
              </w:rPr>
              <w:t>]</w:t>
              <w:tab/>
            </w:r>
            <w:r>
              <w:rPr>
                <w:rStyle w:val="IndexLink"/>
              </w:rPr>
              <w:t>375</w:t>
            </w:r>
          </w:hyperlink>
        </w:p>
        <w:p>
          <w:pPr>
            <w:pStyle w:val="Contents6"/>
            <w:tabs>
              <w:tab w:val="clear" w:pos="7609"/>
              <w:tab w:val="right" w:pos="9026" w:leader="dot"/>
            </w:tabs>
            <w:rPr/>
          </w:pPr>
          <w:hyperlink w:anchor="__RefHeading___Toc509140_1738255347">
            <w:r>
              <w:rPr>
                <w:webHidden/>
                <w:rStyle w:val="IndexLink"/>
                <w:rtl w:val="true"/>
              </w:rPr>
              <w:t>القاعدة العملیّة الثانویّة فی حالةِ الشکّ</w:t>
            </w:r>
            <w:r>
              <w:rPr>
                <w:rStyle w:val="IndexLink"/>
                <w:rtl w:val="true"/>
              </w:rPr>
              <w:tab/>
            </w:r>
            <w:r>
              <w:rPr>
                <w:rStyle w:val="IndexLink"/>
              </w:rPr>
              <w:t>377</w:t>
            </w:r>
          </w:hyperlink>
        </w:p>
        <w:p>
          <w:pPr>
            <w:pStyle w:val="Contents6"/>
            <w:tabs>
              <w:tab w:val="clear" w:pos="7609"/>
              <w:tab w:val="right" w:pos="9026" w:leader="dot"/>
            </w:tabs>
            <w:rPr/>
          </w:pPr>
          <w:hyperlink w:anchor="__RefHeading___Toc509142_1738255347">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509144_1738255347">
            <w:r>
              <w:rPr>
                <w:webHidden/>
                <w:rStyle w:val="IndexLink"/>
                <w:rtl w:val="true"/>
              </w:rPr>
              <w:t>[</w:t>
            </w:r>
            <w:r>
              <w:rPr>
                <w:rStyle w:val="IndexLink"/>
                <w:rtl w:val="true"/>
              </w:rPr>
              <w:t>أدلّة البراءة الشرعیّة</w:t>
            </w:r>
            <w:r>
              <w:rPr>
                <w:rStyle w:val="IndexLink"/>
                <w:rtl w:val="true"/>
              </w:rPr>
              <w:t>]</w:t>
              <w:tab/>
            </w:r>
            <w:r>
              <w:rPr>
                <w:rStyle w:val="IndexLink"/>
              </w:rPr>
              <w:t>377</w:t>
            </w:r>
          </w:hyperlink>
        </w:p>
        <w:p>
          <w:pPr>
            <w:pStyle w:val="Contents6"/>
            <w:tabs>
              <w:tab w:val="clear" w:pos="7609"/>
              <w:tab w:val="right" w:pos="9026" w:leader="dot"/>
            </w:tabs>
            <w:rPr/>
          </w:pPr>
          <w:hyperlink w:anchor="__RefHeading___Toc509146_1738255347">
            <w:r>
              <w:rPr>
                <w:webHidden/>
                <w:rStyle w:val="IndexLink"/>
                <w:rtl w:val="true"/>
              </w:rPr>
              <w:t>الاعتراضات علی أدلّة البراءة</w:t>
            </w:r>
            <w:r>
              <w:rPr>
                <w:rStyle w:val="IndexLink"/>
                <w:rtl w:val="true"/>
              </w:rPr>
              <w:tab/>
            </w:r>
            <w:r>
              <w:rPr>
                <w:rStyle w:val="IndexLink"/>
              </w:rPr>
              <w:t>387</w:t>
            </w:r>
          </w:hyperlink>
        </w:p>
        <w:p>
          <w:pPr>
            <w:pStyle w:val="Contents6"/>
            <w:tabs>
              <w:tab w:val="clear" w:pos="7609"/>
              <w:tab w:val="right" w:pos="9026" w:leader="dot"/>
            </w:tabs>
            <w:rPr/>
          </w:pPr>
          <w:hyperlink w:anchor="__RefHeading___Toc509148_1738255347">
            <w:r>
              <w:rPr>
                <w:webHidden/>
                <w:rStyle w:val="IndexLink"/>
                <w:rtl w:val="true"/>
              </w:rPr>
              <w:t>تحدید مفادِ البراءة</w:t>
            </w:r>
            <w:r>
              <w:rPr>
                <w:rStyle w:val="IndexLink"/>
                <w:rtl w:val="true"/>
              </w:rPr>
              <w:tab/>
            </w:r>
            <w:r>
              <w:rPr>
                <w:rStyle w:val="IndexLink"/>
              </w:rPr>
              <w:t>393</w:t>
            </w:r>
          </w:hyperlink>
        </w:p>
        <w:p>
          <w:pPr>
            <w:pStyle w:val="Contents6"/>
            <w:tabs>
              <w:tab w:val="clear" w:pos="7609"/>
              <w:tab w:val="right" w:pos="9026" w:leader="dot"/>
            </w:tabs>
            <w:rPr/>
          </w:pPr>
          <w:hyperlink w:anchor="__RefHeading___Toc509150_1738255347">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509152_1738255347">
            <w:r>
              <w:rPr>
                <w:webHidden/>
                <w:rStyle w:val="IndexLink"/>
                <w:rtl w:val="true"/>
              </w:rPr>
              <w:t>البراءة مشروطة بالفحص</w:t>
            </w:r>
            <w:r>
              <w:rPr>
                <w:rStyle w:val="IndexLink"/>
                <w:rtl w:val="true"/>
              </w:rPr>
              <w:tab/>
            </w:r>
            <w:r>
              <w:rPr>
                <w:rStyle w:val="IndexLink"/>
              </w:rPr>
              <w:t>393</w:t>
            </w:r>
          </w:hyperlink>
        </w:p>
        <w:p>
          <w:pPr>
            <w:pStyle w:val="Contents6"/>
            <w:tabs>
              <w:tab w:val="clear" w:pos="7609"/>
              <w:tab w:val="right" w:pos="9026" w:leader="dot"/>
            </w:tabs>
            <w:rPr/>
          </w:pPr>
          <w:hyperlink w:anchor="__RefHeading___Toc509154_1738255347">
            <w:r>
              <w:rPr>
                <w:webHidden/>
                <w:rStyle w:val="IndexLink"/>
                <w:rtl w:val="true"/>
              </w:rPr>
              <w:t>التمییز بین الشکّ فی التکلیف و الشکّ فی المکلَّف به</w:t>
            </w:r>
            <w:r>
              <w:rPr>
                <w:rStyle w:val="IndexLink"/>
                <w:rtl w:val="true"/>
              </w:rPr>
              <w:tab/>
            </w:r>
            <w:r>
              <w:rPr>
                <w:rStyle w:val="IndexLink"/>
              </w:rPr>
              <w:t>394</w:t>
            </w:r>
          </w:hyperlink>
        </w:p>
        <w:p>
          <w:pPr>
            <w:pStyle w:val="Contents6"/>
            <w:tabs>
              <w:tab w:val="clear" w:pos="7609"/>
              <w:tab w:val="right" w:pos="9026" w:leader="dot"/>
            </w:tabs>
            <w:rPr/>
          </w:pPr>
          <w:hyperlink w:anchor="__RefHeading___Toc509156_1738255347">
            <w:r>
              <w:rPr>
                <w:webHidden/>
                <w:rStyle w:val="IndexLink"/>
                <w:rtl w:val="true"/>
              </w:rPr>
              <w:t>البراءة عن الاستحباب</w:t>
            </w:r>
            <w:r>
              <w:rPr>
                <w:rStyle w:val="IndexLink"/>
                <w:rtl w:val="true"/>
              </w:rPr>
              <w:tab/>
            </w:r>
            <w:r>
              <w:rPr>
                <w:rStyle w:val="IndexLink"/>
              </w:rPr>
              <w:t>397</w:t>
            </w:r>
          </w:hyperlink>
        </w:p>
        <w:p>
          <w:pPr>
            <w:pStyle w:val="Contents5"/>
            <w:tabs>
              <w:tab w:val="clear" w:pos="7892"/>
              <w:tab w:val="right" w:pos="9026" w:leader="dot"/>
            </w:tabs>
            <w:rPr/>
          </w:pPr>
          <w:hyperlink w:anchor="__RefHeading___Toc509158_1738255347">
            <w:r>
              <w:rPr>
                <w:webHidden/>
                <w:rStyle w:val="IndexLink"/>
              </w:rPr>
              <w:t>2</w:t>
            </w:r>
            <w:r>
              <w:rPr>
                <w:rStyle w:val="IndexLink"/>
                <w:rtl w:val="true"/>
              </w:rPr>
              <w:t xml:space="preserve"> - </w:t>
            </w:r>
            <w:r>
              <w:rPr>
                <w:rStyle w:val="IndexLink"/>
                <w:rtl w:val="true"/>
              </w:rPr>
              <w:t>قاعدة منجّزیة العلم الإجمالی</w:t>
            </w:r>
            <w:r>
              <w:rPr>
                <w:rStyle w:val="IndexLink"/>
                <w:rtl w:val="true"/>
              </w:rPr>
              <w:tab/>
            </w:r>
            <w:r>
              <w:rPr>
                <w:rStyle w:val="IndexLink"/>
              </w:rPr>
              <w:t>398</w:t>
            </w:r>
          </w:hyperlink>
        </w:p>
        <w:p>
          <w:pPr>
            <w:pStyle w:val="Contents6"/>
            <w:tabs>
              <w:tab w:val="clear" w:pos="7609"/>
              <w:tab w:val="right" w:pos="9026" w:leader="dot"/>
            </w:tabs>
            <w:rPr/>
          </w:pPr>
          <w:hyperlink w:anchor="__RefHeading___Toc509160_173825534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509162_1738255347">
            <w:r>
              <w:rPr>
                <w:webHidden/>
                <w:rStyle w:val="IndexLink"/>
                <w:rtl w:val="true"/>
              </w:rPr>
              <w:t>منجّزیّة العلم الإجمالیّ عقلاً</w:t>
            </w:r>
            <w:r>
              <w:rPr>
                <w:rStyle w:val="IndexLink"/>
                <w:rtl w:val="true"/>
              </w:rPr>
              <w:tab/>
            </w:r>
            <w:r>
              <w:rPr>
                <w:rStyle w:val="IndexLink"/>
              </w:rPr>
              <w:t>398</w:t>
            </w:r>
          </w:hyperlink>
        </w:p>
        <w:p>
          <w:pPr>
            <w:pStyle w:val="Contents6"/>
            <w:tabs>
              <w:tab w:val="clear" w:pos="7609"/>
              <w:tab w:val="right" w:pos="9026" w:leader="dot"/>
            </w:tabs>
            <w:rPr/>
          </w:pPr>
          <w:hyperlink w:anchor="__RefHeading___Toc509164_1738255347">
            <w:r>
              <w:rPr>
                <w:webHidden/>
                <w:rStyle w:val="IndexLink"/>
                <w:rtl w:val="true"/>
              </w:rPr>
              <w:t>جریان الاصول فی أطراف العلم الإجمالی</w:t>
            </w:r>
            <w:r>
              <w:rPr>
                <w:rStyle w:val="IndexLink"/>
                <w:rtl w:val="true"/>
              </w:rPr>
              <w:tab/>
            </w:r>
            <w:r>
              <w:rPr>
                <w:rStyle w:val="IndexLink"/>
              </w:rPr>
              <w:t>400</w:t>
            </w:r>
          </w:hyperlink>
        </w:p>
        <w:p>
          <w:pPr>
            <w:pStyle w:val="Contents6"/>
            <w:tabs>
              <w:tab w:val="clear" w:pos="7609"/>
              <w:tab w:val="right" w:pos="9026" w:leader="dot"/>
            </w:tabs>
            <w:rPr/>
          </w:pPr>
          <w:hyperlink w:anchor="__RefHeading___Toc509166_1738255347">
            <w:r>
              <w:rPr>
                <w:webHidden/>
                <w:rStyle w:val="IndexLink"/>
                <w:rtl w:val="true"/>
              </w:rPr>
              <w:t>تحدید أرکان هذه القاعدة</w:t>
            </w:r>
            <w:r>
              <w:rPr>
                <w:rStyle w:val="IndexLink"/>
                <w:rtl w:val="true"/>
              </w:rPr>
              <w:tab/>
            </w:r>
            <w:r>
              <w:rPr>
                <w:rStyle w:val="IndexLink"/>
              </w:rPr>
              <w:t>403</w:t>
            </w:r>
          </w:hyperlink>
        </w:p>
        <w:p>
          <w:pPr>
            <w:pStyle w:val="Contents5"/>
            <w:tabs>
              <w:tab w:val="clear" w:pos="7892"/>
              <w:tab w:val="right" w:pos="9026" w:leader="dot"/>
            </w:tabs>
            <w:rPr/>
          </w:pPr>
          <w:hyperlink w:anchor="__RefHeading___Toc509168_1738255347">
            <w:r>
              <w:rPr>
                <w:webHidden/>
                <w:rStyle w:val="IndexLink"/>
                <w:rtl w:val="true"/>
              </w:rPr>
              <w:t>[</w:t>
            </w:r>
            <w:r>
              <w:rPr>
                <w:rStyle w:val="IndexLink"/>
                <w:rtl w:val="true"/>
              </w:rPr>
              <w:t>دوران الأمر بین الأقل والأکثر</w:t>
            </w:r>
            <w:r>
              <w:rPr>
                <w:rStyle w:val="IndexLink"/>
                <w:rtl w:val="true"/>
              </w:rPr>
              <w:t>]</w:t>
              <w:tab/>
            </w:r>
            <w:r>
              <w:rPr>
                <w:rStyle w:val="IndexLink"/>
              </w:rPr>
              <w:t>408</w:t>
            </w:r>
          </w:hyperlink>
        </w:p>
        <w:p>
          <w:pPr>
            <w:pStyle w:val="Contents6"/>
            <w:tabs>
              <w:tab w:val="clear" w:pos="7609"/>
              <w:tab w:val="right" w:pos="9026" w:leader="dot"/>
            </w:tabs>
            <w:rPr/>
          </w:pPr>
          <w:hyperlink w:anchor="__RefHeading___Toc509170_1738255347">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509172_1738255347">
            <w:r>
              <w:rPr>
                <w:webHidden/>
                <w:rStyle w:val="IndexLink"/>
                <w:rtl w:val="true"/>
              </w:rPr>
              <w:t>حالة تردّد أجزاء الواجب بین الأقلّ و الأکثر</w:t>
            </w:r>
            <w:r>
              <w:rPr>
                <w:rStyle w:val="IndexLink"/>
                <w:rtl w:val="true"/>
              </w:rPr>
              <w:tab/>
            </w:r>
            <w:r>
              <w:rPr>
                <w:rStyle w:val="IndexLink"/>
              </w:rPr>
              <w:t>408</w:t>
            </w:r>
          </w:hyperlink>
        </w:p>
        <w:p>
          <w:pPr>
            <w:pStyle w:val="Contents6"/>
            <w:tabs>
              <w:tab w:val="clear" w:pos="7609"/>
              <w:tab w:val="right" w:pos="9026" w:leader="dot"/>
            </w:tabs>
            <w:rPr/>
          </w:pPr>
          <w:hyperlink w:anchor="__RefHeading___Toc509174_1738255347">
            <w:r>
              <w:rPr>
                <w:webHidden/>
                <w:rStyle w:val="IndexLink"/>
                <w:rtl w:val="true"/>
              </w:rPr>
              <w:t>[</w:t>
            </w:r>
            <w:r>
              <w:rPr>
                <w:rStyle w:val="IndexLink"/>
                <w:rtl w:val="true"/>
              </w:rPr>
              <w:t xml:space="preserve">حالة الشکّ فی إطلاق الجزئیّة </w:t>
            </w:r>
            <w:r>
              <w:rPr>
                <w:rStyle w:val="IndexLink"/>
                <w:rtl w:val="true"/>
              </w:rPr>
              <w:t>:]</w:t>
              <w:tab/>
            </w:r>
            <w:r>
              <w:rPr>
                <w:rStyle w:val="IndexLink"/>
              </w:rPr>
              <w:t>410</w:t>
            </w:r>
          </w:hyperlink>
        </w:p>
        <w:p>
          <w:pPr>
            <w:pStyle w:val="Contents6"/>
            <w:tabs>
              <w:tab w:val="clear" w:pos="7609"/>
              <w:tab w:val="right" w:pos="9026" w:leader="dot"/>
            </w:tabs>
            <w:rPr/>
          </w:pPr>
          <w:hyperlink w:anchor="__RefHeading___Toc509176_1738255347">
            <w:r>
              <w:rPr>
                <w:webHidden/>
                <w:rStyle w:val="IndexLink"/>
                <w:rtl w:val="true"/>
              </w:rPr>
              <w:t>حالة احتمال الشرطیّة</w:t>
            </w:r>
            <w:r>
              <w:rPr>
                <w:rStyle w:val="IndexLink"/>
                <w:rtl w:val="true"/>
              </w:rPr>
              <w:tab/>
            </w:r>
            <w:r>
              <w:rPr>
                <w:rStyle w:val="IndexLink"/>
              </w:rPr>
              <w:t>411</w:t>
            </w:r>
          </w:hyperlink>
        </w:p>
        <w:p>
          <w:pPr>
            <w:pStyle w:val="Contents6"/>
            <w:tabs>
              <w:tab w:val="clear" w:pos="7609"/>
              <w:tab w:val="right" w:pos="9026" w:leader="dot"/>
            </w:tabs>
            <w:rPr/>
          </w:pPr>
          <w:hyperlink w:anchor="__RefHeading___Toc509178_1738255347">
            <w:r>
              <w:rPr>
                <w:webHidden/>
                <w:rStyle w:val="IndexLink"/>
                <w:rtl w:val="true"/>
              </w:rPr>
              <w:t>حالات دوران الواجب بین التعیین و التخییر</w:t>
            </w:r>
            <w:r>
              <w:rPr>
                <w:rStyle w:val="IndexLink"/>
                <w:rtl w:val="true"/>
              </w:rPr>
              <w:tab/>
            </w:r>
            <w:r>
              <w:rPr>
                <w:rStyle w:val="IndexLink"/>
              </w:rPr>
              <w:t>412</w:t>
            </w:r>
          </w:hyperlink>
        </w:p>
        <w:p>
          <w:pPr>
            <w:pStyle w:val="Contents5"/>
            <w:tabs>
              <w:tab w:val="clear" w:pos="7892"/>
              <w:tab w:val="right" w:pos="9026" w:leader="dot"/>
            </w:tabs>
            <w:rPr/>
          </w:pPr>
          <w:hyperlink w:anchor="__RefHeading___Toc509180_1738255347">
            <w:r>
              <w:rPr>
                <w:webHidden/>
                <w:rStyle w:val="IndexLink"/>
              </w:rPr>
              <w:t>3</w:t>
            </w:r>
            <w:r>
              <w:rPr>
                <w:rStyle w:val="IndexLink"/>
                <w:rtl w:val="true"/>
              </w:rPr>
              <w:t xml:space="preserve"> - </w:t>
            </w:r>
            <w:r>
              <w:rPr>
                <w:rStyle w:val="IndexLink"/>
                <w:rtl w:val="true"/>
              </w:rPr>
              <w:t>الاستصحاب</w:t>
            </w:r>
            <w:r>
              <w:rPr>
                <w:rStyle w:val="IndexLink"/>
                <w:rtl w:val="true"/>
              </w:rPr>
              <w:tab/>
            </w:r>
            <w:r>
              <w:rPr>
                <w:rStyle w:val="IndexLink"/>
              </w:rPr>
              <w:t>414</w:t>
            </w:r>
          </w:hyperlink>
        </w:p>
        <w:p>
          <w:pPr>
            <w:pStyle w:val="Contents6"/>
            <w:tabs>
              <w:tab w:val="clear" w:pos="7609"/>
              <w:tab w:val="right" w:pos="9026" w:leader="dot"/>
            </w:tabs>
            <w:rPr/>
          </w:pPr>
          <w:hyperlink w:anchor="__RefHeading___Toc509182_1738255347">
            <w:r>
              <w:rPr>
                <w:webHidden/>
                <w:rStyle w:val="IndexLink"/>
                <w:rtl w:val="true"/>
              </w:rPr>
              <w:t>تعریف الاستصحاب</w:t>
            </w:r>
            <w:r>
              <w:rPr>
                <w:rStyle w:val="IndexLink"/>
                <w:rtl w:val="true"/>
              </w:rPr>
              <w:tab/>
            </w:r>
            <w:r>
              <w:rPr>
                <w:rStyle w:val="IndexLink"/>
              </w:rPr>
              <w:t>414</w:t>
            </w:r>
          </w:hyperlink>
        </w:p>
        <w:p>
          <w:pPr>
            <w:pStyle w:val="Contents6"/>
            <w:tabs>
              <w:tab w:val="clear" w:pos="7609"/>
              <w:tab w:val="right" w:pos="9026" w:leader="dot"/>
            </w:tabs>
            <w:rPr/>
          </w:pPr>
          <w:hyperlink w:anchor="__RefHeading___Toc509184_1738255347">
            <w:r>
              <w:rPr>
                <w:webHidden/>
                <w:rStyle w:val="IndexLink"/>
                <w:rtl w:val="true"/>
              </w:rPr>
              <w:t>التمییز بین الاستصحاب و غیره</w:t>
            </w:r>
            <w:r>
              <w:rPr>
                <w:rStyle w:val="IndexLink"/>
                <w:rtl w:val="true"/>
              </w:rPr>
              <w:tab/>
            </w:r>
            <w:r>
              <w:rPr>
                <w:rStyle w:val="IndexLink"/>
              </w:rPr>
              <w:t>416</w:t>
            </w:r>
          </w:hyperlink>
        </w:p>
        <w:p>
          <w:pPr>
            <w:pStyle w:val="Contents6"/>
            <w:tabs>
              <w:tab w:val="clear" w:pos="7609"/>
              <w:tab w:val="right" w:pos="9026" w:leader="dot"/>
            </w:tabs>
            <w:rPr/>
          </w:pPr>
          <w:hyperlink w:anchor="__RefHeading___Toc509186_1738255347">
            <w:r>
              <w:rPr>
                <w:webHidden/>
                <w:rStyle w:val="IndexLink"/>
              </w:rPr>
              <w:t>1</w:t>
            </w:r>
            <w:r>
              <w:rPr>
                <w:rStyle w:val="IndexLink"/>
                <w:rtl w:val="true"/>
              </w:rPr>
              <w:t xml:space="preserve"> - </w:t>
            </w:r>
            <w:r>
              <w:rPr>
                <w:rStyle w:val="IndexLink"/>
                <w:rtl w:val="true"/>
              </w:rPr>
              <w:t>أدلّة الاستصحاب</w:t>
            </w:r>
            <w:r>
              <w:rPr>
                <w:rStyle w:val="IndexLink"/>
                <w:rtl w:val="true"/>
              </w:rPr>
              <w:tab/>
            </w:r>
            <w:r>
              <w:rPr>
                <w:rStyle w:val="IndexLink"/>
              </w:rPr>
              <w:t>418</w:t>
            </w:r>
          </w:hyperlink>
        </w:p>
        <w:p>
          <w:pPr>
            <w:pStyle w:val="Contents6"/>
            <w:tabs>
              <w:tab w:val="clear" w:pos="7609"/>
              <w:tab w:val="right" w:pos="9026" w:leader="dot"/>
            </w:tabs>
            <w:rPr/>
          </w:pPr>
          <w:hyperlink w:anchor="__RefHeading___Toc509188_1738255347">
            <w:r>
              <w:rPr>
                <w:webHidden/>
                <w:rStyle w:val="IndexLink"/>
              </w:rPr>
              <w:t>2</w:t>
            </w:r>
            <w:r>
              <w:rPr>
                <w:rStyle w:val="IndexLink"/>
                <w:rtl w:val="true"/>
              </w:rPr>
              <w:t xml:space="preserve"> - </w:t>
            </w:r>
            <w:r>
              <w:rPr>
                <w:rStyle w:val="IndexLink"/>
                <w:rtl w:val="true"/>
              </w:rPr>
              <w:t>أرکان الاستصحاب</w:t>
            </w:r>
            <w:r>
              <w:rPr>
                <w:rStyle w:val="IndexLink"/>
                <w:rtl w:val="true"/>
              </w:rPr>
              <w:tab/>
            </w:r>
            <w:r>
              <w:rPr>
                <w:rStyle w:val="IndexLink"/>
              </w:rPr>
              <w:t>425</w:t>
            </w:r>
          </w:hyperlink>
        </w:p>
        <w:p>
          <w:pPr>
            <w:pStyle w:val="Contents6"/>
            <w:tabs>
              <w:tab w:val="clear" w:pos="7609"/>
              <w:tab w:val="right" w:pos="9026" w:leader="dot"/>
            </w:tabs>
            <w:rPr/>
          </w:pPr>
          <w:hyperlink w:anchor="__RefHeading___Toc509190_1738255347">
            <w:r>
              <w:rPr>
                <w:webHidden/>
                <w:rStyle w:val="IndexLink"/>
              </w:rPr>
              <w:t>3</w:t>
            </w:r>
            <w:r>
              <w:rPr>
                <w:rStyle w:val="IndexLink"/>
                <w:rtl w:val="true"/>
              </w:rPr>
              <w:t xml:space="preserve"> - </w:t>
            </w:r>
            <w:r>
              <w:rPr>
                <w:rStyle w:val="IndexLink"/>
                <w:rtl w:val="true"/>
              </w:rPr>
              <w:t>مقدار ما یثبت بالاستصحاب</w:t>
            </w:r>
            <w:r>
              <w:rPr>
                <w:rStyle w:val="IndexLink"/>
                <w:rtl w:val="true"/>
              </w:rPr>
              <w:tab/>
            </w:r>
            <w:r>
              <w:rPr>
                <w:rStyle w:val="IndexLink"/>
              </w:rPr>
              <w:t>432</w:t>
            </w:r>
          </w:hyperlink>
        </w:p>
        <w:p>
          <w:pPr>
            <w:pStyle w:val="Contents6"/>
            <w:tabs>
              <w:tab w:val="clear" w:pos="7609"/>
              <w:tab w:val="right" w:pos="9026" w:leader="dot"/>
            </w:tabs>
            <w:rPr/>
          </w:pPr>
          <w:hyperlink w:anchor="__RefHeading___Toc509192_1738255347">
            <w:r>
              <w:rPr>
                <w:webHidden/>
                <w:rStyle w:val="IndexLink"/>
              </w:rPr>
              <w:t>4</w:t>
            </w:r>
            <w:r>
              <w:rPr>
                <w:rStyle w:val="IndexLink"/>
                <w:rtl w:val="true"/>
              </w:rPr>
              <w:t xml:space="preserve"> - </w:t>
            </w:r>
            <w:r>
              <w:rPr>
                <w:rStyle w:val="IndexLink"/>
                <w:rtl w:val="true"/>
              </w:rPr>
              <w:t>عموم جریان الاستصحاب</w:t>
            </w:r>
            <w:r>
              <w:rPr>
                <w:rStyle w:val="IndexLink"/>
                <w:rtl w:val="true"/>
              </w:rPr>
              <w:tab/>
            </w:r>
            <w:r>
              <w:rPr>
                <w:rStyle w:val="IndexLink"/>
              </w:rPr>
              <w:t>434</w:t>
            </w:r>
          </w:hyperlink>
        </w:p>
        <w:p>
          <w:pPr>
            <w:pStyle w:val="Contents6"/>
            <w:tabs>
              <w:tab w:val="clear" w:pos="7609"/>
              <w:tab w:val="right" w:pos="9026" w:leader="dot"/>
            </w:tabs>
            <w:rPr/>
          </w:pPr>
          <w:hyperlink w:anchor="__RefHeading___Toc509194_1738255347">
            <w:r>
              <w:rPr>
                <w:webHidden/>
                <w:rStyle w:val="IndexLink"/>
              </w:rPr>
              <w:t>5</w:t>
            </w:r>
            <w:r>
              <w:rPr>
                <w:rStyle w:val="IndexLink"/>
                <w:rtl w:val="true"/>
              </w:rPr>
              <w:t xml:space="preserve"> - </w:t>
            </w:r>
            <w:r>
              <w:rPr>
                <w:rStyle w:val="IndexLink"/>
                <w:rtl w:val="true"/>
              </w:rPr>
              <w:t>تطبیقات</w:t>
            </w:r>
            <w:r>
              <w:rPr>
                <w:rStyle w:val="IndexLink"/>
                <w:rtl w:val="true"/>
              </w:rPr>
              <w:tab/>
            </w:r>
            <w:r>
              <w:rPr>
                <w:rStyle w:val="IndexLink"/>
              </w:rPr>
              <w:t>437</w:t>
            </w:r>
          </w:hyperlink>
        </w:p>
        <w:p>
          <w:pPr>
            <w:pStyle w:val="Contents6"/>
            <w:tabs>
              <w:tab w:val="clear" w:pos="7609"/>
              <w:tab w:val="right" w:pos="9026" w:leader="dot"/>
            </w:tabs>
            <w:rPr/>
          </w:pPr>
          <w:hyperlink w:anchor="__RefHeading___Toc509196_1738255347">
            <w:r>
              <w:rPr>
                <w:webHidden/>
                <w:rStyle w:val="IndexLink"/>
              </w:rPr>
              <w:t>1</w:t>
            </w:r>
            <w:r>
              <w:rPr>
                <w:rStyle w:val="IndexLink"/>
                <w:rtl w:val="true"/>
              </w:rPr>
              <w:t xml:space="preserve"> - </w:t>
            </w:r>
            <w:r>
              <w:rPr>
                <w:rStyle w:val="IndexLink"/>
                <w:rtl w:val="true"/>
              </w:rPr>
              <w:t>استصحاب الحکم المعلّق</w:t>
            </w:r>
            <w:r>
              <w:rPr>
                <w:rStyle w:val="IndexLink"/>
                <w:rtl w:val="true"/>
              </w:rPr>
              <w:tab/>
            </w:r>
            <w:r>
              <w:rPr>
                <w:rStyle w:val="IndexLink"/>
              </w:rPr>
              <w:t>437</w:t>
            </w:r>
          </w:hyperlink>
        </w:p>
        <w:p>
          <w:pPr>
            <w:pStyle w:val="Contents6"/>
            <w:tabs>
              <w:tab w:val="clear" w:pos="7609"/>
              <w:tab w:val="right" w:pos="9026" w:leader="dot"/>
            </w:tabs>
            <w:rPr/>
          </w:pPr>
          <w:hyperlink w:anchor="__RefHeading___Toc509198_1738255347">
            <w:r>
              <w:rPr>
                <w:webHidden/>
                <w:rStyle w:val="IndexLink"/>
              </w:rPr>
              <w:t>2</w:t>
            </w:r>
            <w:r>
              <w:rPr>
                <w:rStyle w:val="IndexLink"/>
                <w:rtl w:val="true"/>
              </w:rPr>
              <w:t xml:space="preserve"> - </w:t>
            </w:r>
            <w:r>
              <w:rPr>
                <w:rStyle w:val="IndexLink"/>
                <w:rtl w:val="true"/>
              </w:rPr>
              <w:t>استصحاب التدریجیّات</w:t>
            </w:r>
            <w:r>
              <w:rPr>
                <w:rStyle w:val="IndexLink"/>
                <w:rtl w:val="true"/>
              </w:rPr>
              <w:tab/>
            </w:r>
            <w:r>
              <w:rPr>
                <w:rStyle w:val="IndexLink"/>
              </w:rPr>
              <w:t>438</w:t>
            </w:r>
          </w:hyperlink>
        </w:p>
        <w:p>
          <w:pPr>
            <w:pStyle w:val="Contents6"/>
            <w:tabs>
              <w:tab w:val="clear" w:pos="7609"/>
              <w:tab w:val="right" w:pos="9026" w:leader="dot"/>
            </w:tabs>
            <w:rPr/>
          </w:pPr>
          <w:hyperlink w:anchor="__RefHeading___Toc509200_1738255347">
            <w:r>
              <w:rPr>
                <w:webHidden/>
                <w:rStyle w:val="IndexLink"/>
              </w:rPr>
              <w:t>3</w:t>
            </w:r>
            <w:r>
              <w:rPr>
                <w:rStyle w:val="IndexLink"/>
                <w:rtl w:val="true"/>
              </w:rPr>
              <w:t xml:space="preserve"> - </w:t>
            </w:r>
            <w:r>
              <w:rPr>
                <w:rStyle w:val="IndexLink"/>
                <w:rtl w:val="true"/>
              </w:rPr>
              <w:t>استصحاب الکلّی</w:t>
            </w:r>
            <w:r>
              <w:rPr>
                <w:rStyle w:val="IndexLink"/>
                <w:rtl w:val="true"/>
              </w:rPr>
              <w:tab/>
            </w:r>
            <w:r>
              <w:rPr>
                <w:rStyle w:val="IndexLink"/>
              </w:rPr>
              <w:t>439</w:t>
            </w:r>
          </w:hyperlink>
        </w:p>
        <w:p>
          <w:pPr>
            <w:pStyle w:val="Contents6"/>
            <w:tabs>
              <w:tab w:val="clear" w:pos="7609"/>
              <w:tab w:val="right" w:pos="9026" w:leader="dot"/>
            </w:tabs>
            <w:rPr/>
          </w:pPr>
          <w:hyperlink w:anchor="__RefHeading___Toc509202_1738255347">
            <w:r>
              <w:rPr>
                <w:webHidden/>
                <w:rStyle w:val="IndexLink"/>
              </w:rPr>
              <w:t>4</w:t>
            </w:r>
            <w:r>
              <w:rPr>
                <w:rStyle w:val="IndexLink"/>
                <w:rtl w:val="true"/>
              </w:rPr>
              <w:t xml:space="preserve"> - </w:t>
            </w:r>
            <w:r>
              <w:rPr>
                <w:rStyle w:val="IndexLink"/>
                <w:rtl w:val="true"/>
              </w:rPr>
              <w:t>الاستصحاب فی حالات الشکّ فی التقدّم و التأخّر</w:t>
            </w:r>
            <w:r>
              <w:rPr>
                <w:rStyle w:val="IndexLink"/>
                <w:rtl w:val="true"/>
              </w:rPr>
              <w:tab/>
            </w:r>
            <w:r>
              <w:rPr>
                <w:rStyle w:val="IndexLink"/>
              </w:rPr>
              <w:t>440</w:t>
            </w:r>
          </w:hyperlink>
        </w:p>
        <w:p>
          <w:pPr>
            <w:pStyle w:val="Contents6"/>
            <w:tabs>
              <w:tab w:val="clear" w:pos="7609"/>
              <w:tab w:val="right" w:pos="9026" w:leader="dot"/>
            </w:tabs>
            <w:rPr/>
          </w:pPr>
          <w:hyperlink w:anchor="__RefHeading___Toc509204_1738255347">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509206_1738255347">
            <w:r>
              <w:rPr>
                <w:webHidden/>
                <w:rStyle w:val="IndexLink"/>
                <w:rtl w:val="true"/>
              </w:rPr>
              <w:t>[</w:t>
            </w:r>
            <w:r>
              <w:rPr>
                <w:rStyle w:val="IndexLink"/>
                <w:rtl w:val="true"/>
              </w:rPr>
              <w:t xml:space="preserve">حالة مجهولَی التأریخ </w:t>
            </w:r>
            <w:r>
              <w:rPr>
                <w:rStyle w:val="IndexLink"/>
                <w:rtl w:val="true"/>
              </w:rPr>
              <w:t>:]</w:t>
              <w:tab/>
            </w:r>
            <w:r>
              <w:rPr>
                <w:rStyle w:val="IndexLink"/>
              </w:rPr>
              <w:t>442</w:t>
            </w:r>
          </w:hyperlink>
        </w:p>
        <w:p>
          <w:pPr>
            <w:pStyle w:val="Contents6"/>
            <w:tabs>
              <w:tab w:val="clear" w:pos="7609"/>
              <w:tab w:val="right" w:pos="9026" w:leader="dot"/>
            </w:tabs>
            <w:rPr/>
          </w:pPr>
          <w:hyperlink w:anchor="__RefHeading___Toc509208_1738255347">
            <w:r>
              <w:rPr>
                <w:webHidden/>
                <w:rStyle w:val="IndexLink"/>
                <w:rtl w:val="true"/>
              </w:rPr>
              <w:t>[</w:t>
            </w:r>
            <w:r>
              <w:rPr>
                <w:rStyle w:val="IndexLink"/>
                <w:rtl w:val="true"/>
              </w:rPr>
              <w:t xml:space="preserve">توارد الحالتین </w:t>
            </w:r>
            <w:r>
              <w:rPr>
                <w:rStyle w:val="IndexLink"/>
                <w:rtl w:val="true"/>
              </w:rPr>
              <w:t>:]</w:t>
              <w:tab/>
            </w:r>
            <w:r>
              <w:rPr>
                <w:rStyle w:val="IndexLink"/>
              </w:rPr>
              <w:t>444</w:t>
            </w:r>
          </w:hyperlink>
        </w:p>
        <w:p>
          <w:pPr>
            <w:pStyle w:val="Contents6"/>
            <w:tabs>
              <w:tab w:val="clear" w:pos="7609"/>
              <w:tab w:val="right" w:pos="9026" w:leader="dot"/>
            </w:tabs>
            <w:rPr/>
          </w:pPr>
          <w:hyperlink w:anchor="__RefHeading___Toc509210_1738255347">
            <w:r>
              <w:rPr>
                <w:webHidden/>
                <w:rStyle w:val="IndexLink"/>
              </w:rPr>
              <w:t>5</w:t>
            </w:r>
            <w:r>
              <w:rPr>
                <w:rStyle w:val="IndexLink"/>
                <w:rtl w:val="true"/>
              </w:rPr>
              <w:t xml:space="preserve"> - </w:t>
            </w:r>
            <w:r>
              <w:rPr>
                <w:rStyle w:val="IndexLink"/>
                <w:rtl w:val="true"/>
              </w:rPr>
              <w:t>الاستصحاب فی حالات الشکّ السببیّ و المسبّبی</w:t>
            </w:r>
            <w:r>
              <w:rPr>
                <w:rStyle w:val="IndexLink"/>
                <w:rtl w:val="true"/>
              </w:rPr>
              <w:tab/>
            </w:r>
            <w:r>
              <w:rPr>
                <w:rStyle w:val="IndexLink"/>
              </w:rPr>
              <w:t>444</w:t>
            </w:r>
          </w:hyperlink>
        </w:p>
        <w:p>
          <w:pPr>
            <w:pStyle w:val="Contents3"/>
            <w:tabs>
              <w:tab w:val="clear" w:pos="8459"/>
              <w:tab w:val="right" w:pos="9026" w:leader="dot"/>
            </w:tabs>
            <w:rPr/>
          </w:pPr>
          <w:hyperlink w:anchor="__RefHeading___Toc509212_1738255347">
            <w:r>
              <w:rPr>
                <w:webHidden/>
                <w:rStyle w:val="IndexLink"/>
                <w:rtl w:val="true"/>
              </w:rPr>
              <w:t>تعارض الأدلّة</w:t>
            </w:r>
            <w:r>
              <w:rPr>
                <w:rStyle w:val="IndexLink"/>
                <w:rtl w:val="true"/>
              </w:rPr>
              <w:tab/>
            </w:r>
            <w:r>
              <w:rPr>
                <w:rStyle w:val="IndexLink"/>
              </w:rPr>
              <w:t>448</w:t>
            </w:r>
          </w:hyperlink>
        </w:p>
        <w:p>
          <w:pPr>
            <w:pStyle w:val="Contents4"/>
            <w:tabs>
              <w:tab w:val="clear" w:pos="8176"/>
              <w:tab w:val="right" w:pos="9026" w:leader="dot"/>
            </w:tabs>
            <w:rPr/>
          </w:pPr>
          <w:hyperlink w:anchor="__RefHeading___Toc509214_173825534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509216_1738255347">
            <w:r>
              <w:rPr>
                <w:webHidden/>
                <w:rStyle w:val="IndexLink"/>
              </w:rPr>
              <w:t>1</w:t>
            </w:r>
            <w:r>
              <w:rPr>
                <w:rStyle w:val="IndexLink"/>
                <w:rtl w:val="true"/>
              </w:rPr>
              <w:t xml:space="preserve"> - </w:t>
            </w:r>
            <w:r>
              <w:rPr>
                <w:rStyle w:val="IndexLink"/>
                <w:rtl w:val="true"/>
              </w:rPr>
              <w:t>التعارض بین الأدّلةِ المحرزة</w:t>
            </w:r>
            <w:r>
              <w:rPr>
                <w:rStyle w:val="IndexLink"/>
                <w:rtl w:val="true"/>
              </w:rPr>
              <w:tab/>
            </w:r>
            <w:r>
              <w:rPr>
                <w:rStyle w:val="IndexLink"/>
              </w:rPr>
              <w:t>451</w:t>
            </w:r>
          </w:hyperlink>
        </w:p>
        <w:p>
          <w:pPr>
            <w:pStyle w:val="Contents5"/>
            <w:tabs>
              <w:tab w:val="clear" w:pos="7892"/>
              <w:tab w:val="right" w:pos="9026" w:leader="dot"/>
            </w:tabs>
            <w:rPr/>
          </w:pPr>
          <w:hyperlink w:anchor="__RefHeading___Toc509218_173825534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509220_1738255347">
            <w:r>
              <w:rPr>
                <w:webHidden/>
                <w:rStyle w:val="IndexLink"/>
                <w:rtl w:val="true"/>
              </w:rPr>
              <w:t xml:space="preserve">الحکم الأوّل </w:t>
            </w:r>
            <w:r>
              <w:rPr>
                <w:rStyle w:val="IndexLink"/>
                <w:rtl w:val="true"/>
              </w:rPr>
              <w:t xml:space="preserve">: </w:t>
            </w:r>
            <w:r>
              <w:rPr>
                <w:rStyle w:val="IndexLink"/>
                <w:rtl w:val="true"/>
              </w:rPr>
              <w:t>قاعدة الجمع العُرفی</w:t>
            </w:r>
            <w:r>
              <w:rPr>
                <w:rStyle w:val="IndexLink"/>
                <w:rtl w:val="true"/>
              </w:rPr>
              <w:tab/>
            </w:r>
            <w:r>
              <w:rPr>
                <w:rStyle w:val="IndexLink"/>
              </w:rPr>
              <w:t>454</w:t>
            </w:r>
          </w:hyperlink>
        </w:p>
        <w:p>
          <w:pPr>
            <w:pStyle w:val="Contents5"/>
            <w:tabs>
              <w:tab w:val="clear" w:pos="7892"/>
              <w:tab w:val="right" w:pos="9026" w:leader="dot"/>
            </w:tabs>
            <w:rPr/>
          </w:pPr>
          <w:hyperlink w:anchor="__RefHeading___Toc509222_1738255347">
            <w:r>
              <w:rPr>
                <w:webHidden/>
                <w:rStyle w:val="IndexLink"/>
                <w:rtl w:val="true"/>
              </w:rPr>
              <w:t xml:space="preserve">الحکم الثانی </w:t>
            </w:r>
            <w:r>
              <w:rPr>
                <w:rStyle w:val="IndexLink"/>
                <w:rtl w:val="true"/>
              </w:rPr>
              <w:t xml:space="preserve">: </w:t>
            </w:r>
            <w:r>
              <w:rPr>
                <w:rStyle w:val="IndexLink"/>
                <w:rtl w:val="true"/>
              </w:rPr>
              <w:t>قاعدة تساقط المتعارضَین</w:t>
            </w:r>
            <w:r>
              <w:rPr>
                <w:rStyle w:val="IndexLink"/>
                <w:rtl w:val="true"/>
              </w:rPr>
              <w:tab/>
            </w:r>
            <w:r>
              <w:rPr>
                <w:rStyle w:val="IndexLink"/>
              </w:rPr>
              <w:t>457</w:t>
            </w:r>
          </w:hyperlink>
        </w:p>
        <w:p>
          <w:pPr>
            <w:pStyle w:val="Contents5"/>
            <w:tabs>
              <w:tab w:val="clear" w:pos="7892"/>
              <w:tab w:val="right" w:pos="9026" w:leader="dot"/>
            </w:tabs>
            <w:rPr/>
          </w:pPr>
          <w:hyperlink w:anchor="__RefHeading___Toc509224_1738255347">
            <w:r>
              <w:rPr>
                <w:webHidden/>
                <w:rStyle w:val="IndexLink"/>
                <w:rtl w:val="true"/>
              </w:rPr>
              <w:t xml:space="preserve">الحکم الثالث </w:t>
            </w:r>
            <w:r>
              <w:rPr>
                <w:rStyle w:val="IndexLink"/>
                <w:rtl w:val="true"/>
              </w:rPr>
              <w:t xml:space="preserve">: </w:t>
            </w:r>
            <w:r>
              <w:rPr>
                <w:rStyle w:val="IndexLink"/>
                <w:rtl w:val="true"/>
              </w:rPr>
              <w:t>قاعدة الترجیح للروایات الخاصّة</w:t>
            </w:r>
            <w:r>
              <w:rPr>
                <w:rStyle w:val="IndexLink"/>
                <w:rtl w:val="true"/>
              </w:rPr>
              <w:tab/>
            </w:r>
            <w:r>
              <w:rPr>
                <w:rStyle w:val="IndexLink"/>
              </w:rPr>
              <w:t>460</w:t>
            </w:r>
          </w:hyperlink>
        </w:p>
        <w:p>
          <w:pPr>
            <w:pStyle w:val="Contents5"/>
            <w:tabs>
              <w:tab w:val="clear" w:pos="7892"/>
              <w:tab w:val="right" w:pos="9026" w:leader="dot"/>
            </w:tabs>
            <w:rPr/>
          </w:pPr>
          <w:hyperlink w:anchor="__RefHeading___Toc509226_1738255347">
            <w:r>
              <w:rPr>
                <w:webHidden/>
                <w:rStyle w:val="IndexLink"/>
                <w:rtl w:val="true"/>
              </w:rPr>
              <w:t xml:space="preserve">الحکم الرابع </w:t>
            </w:r>
            <w:r>
              <w:rPr>
                <w:rStyle w:val="IndexLink"/>
                <w:rtl w:val="true"/>
              </w:rPr>
              <w:t xml:space="preserve">: </w:t>
            </w:r>
            <w:r>
              <w:rPr>
                <w:rStyle w:val="IndexLink"/>
                <w:rtl w:val="true"/>
              </w:rPr>
              <w:t>قاعدة التخییر للروایات الخاصّة</w:t>
            </w:r>
            <w:r>
              <w:rPr>
                <w:rStyle w:val="IndexLink"/>
                <w:rtl w:val="true"/>
              </w:rPr>
              <w:tab/>
            </w:r>
            <w:r>
              <w:rPr>
                <w:rStyle w:val="IndexLink"/>
              </w:rPr>
              <w:t>462</w:t>
            </w:r>
          </w:hyperlink>
        </w:p>
        <w:p>
          <w:pPr>
            <w:pStyle w:val="Contents4"/>
            <w:tabs>
              <w:tab w:val="clear" w:pos="8176"/>
              <w:tab w:val="right" w:pos="9026" w:leader="dot"/>
            </w:tabs>
            <w:rPr/>
          </w:pPr>
          <w:hyperlink w:anchor="__RefHeading___Toc509228_1738255347">
            <w:r>
              <w:rPr>
                <w:webHidden/>
                <w:rStyle w:val="IndexLink"/>
              </w:rPr>
              <w:t>2</w:t>
            </w:r>
            <w:r>
              <w:rPr>
                <w:rStyle w:val="IndexLink"/>
                <w:rtl w:val="true"/>
              </w:rPr>
              <w:t xml:space="preserve"> - </w:t>
            </w:r>
            <w:r>
              <w:rPr>
                <w:rStyle w:val="IndexLink"/>
                <w:rtl w:val="true"/>
              </w:rPr>
              <w:t>التعارض بین الاصول العملیّة</w:t>
            </w:r>
            <w:r>
              <w:rPr>
                <w:rStyle w:val="IndexLink"/>
                <w:rtl w:val="true"/>
              </w:rPr>
              <w:tab/>
            </w:r>
            <w:r>
              <w:rPr>
                <w:rStyle w:val="IndexLink"/>
              </w:rPr>
              <w:t>464</w:t>
            </w:r>
          </w:hyperlink>
        </w:p>
        <w:p>
          <w:pPr>
            <w:pStyle w:val="Contents4"/>
            <w:tabs>
              <w:tab w:val="clear" w:pos="8176"/>
              <w:tab w:val="right" w:pos="9026" w:leader="dot"/>
            </w:tabs>
            <w:rPr/>
          </w:pPr>
          <w:hyperlink w:anchor="__RefHeading___Toc509230_1738255347">
            <w:r>
              <w:rPr>
                <w:webHidden/>
                <w:rStyle w:val="IndexLink"/>
              </w:rPr>
              <w:t>3</w:t>
            </w:r>
            <w:r>
              <w:rPr>
                <w:rStyle w:val="IndexLink"/>
                <w:rtl w:val="true"/>
              </w:rPr>
              <w:t xml:space="preserve"> - </w:t>
            </w:r>
            <w:r>
              <w:rPr>
                <w:rStyle w:val="IndexLink"/>
                <w:rtl w:val="true"/>
              </w:rPr>
              <w:t>التعارض بین الأدّلة المحرزة والاصول العملیّة</w:t>
            </w:r>
            <w:r>
              <w:rPr>
                <w:rStyle w:val="IndexLink"/>
                <w:rtl w:val="true"/>
              </w:rPr>
              <w:tab/>
            </w:r>
            <w:r>
              <w:rPr>
                <w:rStyle w:val="IndexLink"/>
              </w:rPr>
              <w:t>465</w:t>
            </w:r>
          </w:hyperlink>
        </w:p>
        <w:p>
          <w:pPr>
            <w:pStyle w:val="Contents2"/>
            <w:tabs>
              <w:tab w:val="clear" w:pos="8743"/>
              <w:tab w:val="right" w:pos="9026" w:leader="dot"/>
            </w:tabs>
            <w:rPr/>
          </w:pPr>
          <w:hyperlink w:anchor="__RefHeading___Toc509232_1738255347">
            <w:r>
              <w:rPr>
                <w:webHidden/>
                <w:rStyle w:val="IndexLink"/>
                <w:rtl w:val="true"/>
              </w:rPr>
              <w:t>فهرس الموضوعات</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5_144378"/>
      <w:bookmarkStart w:id="1" w:name="pg14075_144378"/>
      <w:bookmarkEnd w:id="1"/>
    </w:p>
    <w:p>
      <w:pPr>
        <w:pStyle w:val="Heading2"/>
        <w:numPr>
          <w:ilvl w:val="1"/>
          <w:numId w:val="1"/>
        </w:numPr>
        <w:rPr/>
      </w:pPr>
      <w:bookmarkStart w:id="2" w:name="pg14075_144378"/>
      <w:bookmarkStart w:id="3" w:name="__RefHeading___Toc508616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سیدمحمدباقر،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السیدمحمدباقر الصدر ؛ اعداد و تحقیق لجنةالتحقیق‌التابعة للموتمرالعالمی للامام‌الشهید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دارالصدر،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۳۱۲۴۹۰۸</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فقیه و اصولی متفکر آیت‌الله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شیوه ای نو و ابتکاری خاص برای تدریس در دوره سطح و سطح عالی حوزه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اتقان علمی خوبی برخوردار است و در عین حال به لحاظ روشی جزء روشمندترین کتاب‌هایی است که در حوزه علمیه در رابطه با علم اصول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 مشتمل بر سه حلقه است که حلقه اول و دوم در جلد اول و حلقه سوم در جلد دوم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حلقات مشتمل بر فصول و بخشهای متعددی است که به لحاظ ساختار شبیه هم است اما به لحاظ تفصیل و عمق مطالب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حلقه اول برای مبتدئین، حلقه دوم برای سطح متوسط و حلقه سوم برای سطح عالی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مطالب اصولی که در این مدت طلبه به آموزش آن مشغول است به طور مرتب و زنجیروار برای او یادآوری می‌شود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618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75_144384"/>
      <w:bookmarkStart w:id="8" w:name="pg14075_144384"/>
      <w:bookmarkEnd w:id="8"/>
    </w:p>
    <w:p>
      <w:pPr>
        <w:pStyle w:val="Heading2"/>
        <w:numPr>
          <w:ilvl w:val="1"/>
          <w:numId w:val="1"/>
        </w:numPr>
        <w:rPr/>
      </w:pPr>
      <w:bookmarkStart w:id="9" w:name="pg14075_144384"/>
      <w:bookmarkStart w:id="10" w:name="__RefHeading___Toc508620_1738255347"/>
      <w:bookmarkStart w:id="11" w:name="_Toc3"/>
      <w:bookmarkEnd w:id="9"/>
      <w:bookmarkEnd w:id="10"/>
      <w:r>
        <w:rPr>
          <w:rtl w:val="true"/>
        </w:rPr>
        <w:t>کلمة المؤتمر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منتصف القرن العشرین ، وبعد لیل طویل نشر أجنحته السوداء علی سماء الامة الإسلامیة لعدة قرون ، فلفّها فی ظلام حالک من التخلّف والانحطاط والجمود ، بدأت بشائر الحیاة الجدیدة تلوح فی افق الامّة ، وانطلق الکیان الإسلامی العملاق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بات یرزح تحت قیود المستکبرین والظالمین مدی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یستعید قواه حتی انتصب حیّاً فاعلاً قویّاً شامخاً بانتصار الثورة الإسلامیّة فی إیران تحت قیادة الإمام الخمینی قدس‌سره یقضّ مضاجع المستکبرین ، ویبدّد أحلام الطامعین والمستعمرین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أضحت الامّة الإسلامیّة مدینة فی حیاتها الجدیدة علی مستوی التطبیق للإمام الخمینی قدس‌سره فهی بدون شک مدینة فی حیاتها الجدیدة علی المستوی الفکری والنظری للإمام الشهید الصدر قدس‌سره ، فقد کان المنظّر الرائد بلا منازع للنهضة الجدیدة ؛ إذ استطاع من خلال کتاباته وأفکاره التی تمیّزت بالجدة والإبداع من جهة ، والعمق والشمول من جهة اخری ، أن یمهّد السبیل للُامّة ویشقّ لها الطریق نحو نهضة فکریة إسلامیّة شاملة ، وسط رکام هائل من التیّارات الفکریة المستوردة التی تنافست فی الهیمنة علی مصادر القرار الفکری والثقافی فی المجتمعات الإسلامیّة ، وتزاحمت للسیطرة علی عقول مفکّریها وقلوب أبنائها المثقّفین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استطاع الإمام الشهید السیّد محمّد باقر الصدر قدس‌سره بکفاءةٍ عدیمة النظیر أن ینازل بفکره الإسلامی البدیع عمالقة الحضارة المادیّة الحدیثة ونوابغها الفکریّین ، وأن یکشف للعقول المتحرّرة عن قیود التبعیّة الفکریّة والتقلید الأعمی ، </w:t>
      </w:r>
    </w:p>
    <w:p>
      <w:pPr>
        <w:pStyle w:val="BookText"/>
        <w:rPr/>
      </w:pPr>
      <w:r>
        <w:rPr>
          <w:rFonts w:ascii="IRNazanin" w:hAnsi="IRNazanin" w:eastAsia="IRNazanin"/>
          <w:color w:val="111111"/>
          <w:sz w:val="28"/>
          <w:sz w:val="28"/>
          <w:szCs w:val="28"/>
          <w:rtl w:val="true"/>
          <w:lang w:bidi="fa-IR"/>
        </w:rPr>
        <w:t>زیف الفکر الإلحادی ، وخواء الحضارة المادیّة فی اسسها العقائدیّة ودعائمها النظریّة ، وأن یثبت فاعلیّة الفکر الإسلامی وقدرته العدیمة النظیر علی حلّ مشاکل المجتمع الإنسانی المعاصر ، والاضطلاع بمهمّة إدارة الحیاة الجدیدة بما یضمن للبشریّة السعادة والعدل والخیر والرفاه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الإبداع الفکری الذی حقّقته مدرسة الإمام الشهید الصدر ، لم ینحصر فی إطار معیّن ، فقد طال الفکر الإسلامی فی مجاله العام ، وفی مجالاته الاختصاصیّة الحدیثة کالاقتصاد الإسلامی والفلسفة المقارنة والمنطق الجدید ، وشمل الفکر الإسلامی الکلاسیکی أیضاً ، کالفقه والاصول والفلسفة والمنطق والکلام والتفسیر والتاریخ ، فأحدث فی کل فرع من هذه الفروع ثورةً فکریّة نقلت البحث العلمی فیه إلی مرحلة جدیدة متمیّزة سواء فی المنهج أو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مضیّ عقدین علی استشهاد الإمام الصدر ، ما زالت مراکز العلم ومعاهد البحث والتحقیق تستلهم فکره وعلمه ، وما زالت الساحة الفکریّة تشعر بأمسّ الحاجة إلی آثاره العلمیّة وإبداعاته فی مختلف مجالات البحث والتحقیق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فی طلیعة أعمال المؤتمر العالمی للإمام الشهید الصدر إحیاء تراثه العلمی والفکری بشکل یتناسب مع شأن هذا التراث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وتدور هذه المهمّة الخطیرة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الکمّ الکبیر من التراث المطبوع للشهید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إلی ما تیسّر من اللغات الحیّة بدقّة وأمانة عالیتین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تحقیقه للتوصّل إلی النصّ الأصلی للمؤلّف منزّهاً من الأخطاء التی وقعت فیه بأنواعها من التصرّف والتلاعب والسقط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کثرة الطبعات وعدم دقّة المتصدّین لها وأمانتهم ، ثمّ طبعه من جدید بمواصفات راقیة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إلی أنّ الترکة الفکریة الزاخرة للسیّد الشهید الصدر قدس‌سره شملت العلوم والاختصاصات المتنوّعة للمعارف الإسلامیّة وبمختلف المستویات الفکریّة ، لذلک أوکل المؤتمر العالمی للشهید الصدر مهمّة التحقیق فیها إلی لجنة علمیة تحت </w:t>
      </w:r>
    </w:p>
    <w:p>
      <w:pPr>
        <w:pStyle w:val="BookText"/>
        <w:rPr/>
      </w:pPr>
      <w:r>
        <w:rPr>
          <w:rFonts w:ascii="IRNazanin" w:hAnsi="IRNazanin" w:eastAsia="IRNazanin"/>
          <w:color w:val="111111"/>
          <w:sz w:val="28"/>
          <w:sz w:val="28"/>
          <w:szCs w:val="28"/>
          <w:rtl w:val="true"/>
          <w:lang w:bidi="fa-IR"/>
        </w:rPr>
        <w:t xml:space="preserve">إشراف علماء متخصّصین فی شتّی فروع الفکر الإسلامی من تلامذته وغیرهم ، وقد وُفّقت اللجنة فی عرض هذا التراث بمستوی رفیع من الاتقان والأمانة العلمیّة ، ولخّصت منهجیّة عملها بالخطوات التالیة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 والطبعات المختلفة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الأخطاء الساریة من الطبعات الاولی أو المستجدة فی الطبعات اللاحقة ، ومعالجة موارد السقط والتصرّف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النصوص وتقویمها دون أدنی تغییر فی الاسلوب والمحتوی ، أمّا الموارد النادرة التی تستدعی إضافة کلمة أو أکثر لاستقامة المعنی فیوضع المضاف بین معقوفتین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العناوین السابقة ، وإضافة عناوین اخری بین معقوفتین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المصادر التی استند إلیها السیّد الشهید بتسجیل أقربها إلی مرامه وأکثرها مطابقة مع النصّ ؛ ذلک لأنّ المؤلّف یستخدم النقل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من کتبه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علی ما اختزنته ذاکرته من معلومات أو علی نوع من التلفیق بین مطالب عدیدة فی مواضع متفرّقة من المصدر المنقول عنه ، وربما یکون بعض المصادر مترجماً وله عدة ترجمات ؛ ولهذا تُعدّ هذه المرحلة من أشقّ المراحل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بعض الملاحظات فی الهامش للتنبیه علی اختلاف النسخ أو تصحیح النصّ أو غیر ذلک ، وتُختم هوامش السیّد الشهید بعبارة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تمییزاً لها عن هوامش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وکقاعدة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استثناءات فی بعض المؤلّفات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الابتعاد عن وضع الهوامش التی تتولّی عرض مطالب إضافیّة أو شرح وبیان فکرةٍ مّا أو تقییمها ودعمها بالأدلّة أو نقدها وردّها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تزوید کلّ کتاب بفهرس موضوعاته ، وإلحاق بعض المؤلفات بثبت خاص لفهرس المصادر الواردة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بسطت الجهود التحقیقیّة ذراعیها علی کلّ ما أمکن العثور علیه من نتاجات هذا العالم الجلیل ، فشملت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 وما جاد به قلمه مقدمةً أو خاتمةً لکتب غیره ثم طُبع مستقلاًّ فی مرحلة متأخرة ، ومقالاته المنشورة فی مجلاّت فکریّة وثقافیّة مختلفة ، ومحاضراته ودروسه فی موضوعات شتّی ، وتعلیقاته علی بعض الکتب الفقهیّة ، ونتاجاته المتفرّقة الاخری ، ثمّ نُظّمت بطریقة فنیّة واعید طبعها فی مجلّدات أنیقة متناسقة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الکتب التی شملته الجهود التحقیقیّة المذکورة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أعدّه السیّد الشهید قدس‌سره منهجاً دراسیّاً مبتکراً لطلبة العلوم الدینیّة فی مجال علم اصول الفقه ، وقد تدرّج فی بیان مسائل هذا العلم فی ثلاث حلقات متناسقة من حیث المنهج والاسلوب بادئاً فی کلّ واحدة منها بتعریف علم الاصول ومنتهیاً ببحث التعارض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امتاز تحقیق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ذکرناه من الجهود العامّة التی بذلت فی جمیع کتب وآثار المؤلف الشهید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بمقابلة دقیقة للقسم الأخیر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الحلقة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حصلنا علیه من النسخة المخطوطة التی اعتمد علیها السید المؤلف قدس‌سره فی 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یفوتنا أن نشید بالموقف النبیل لورثة السیّد الشهید کافّة سیّما نجله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الحجّة السیّد جعفر الصدر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دعم المؤتمر وإعطائهم الإذن الخاصّ فی نشر وإحیاء التراث العلمی للشهید الصدر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نری لزاماً علینا أن نتقدّم بالشکر الجزیل إلی اللجنة المشرفة علی تحقیق تراث الإمام الشهید ، والعلماء والباحثین کافّة الذین ساهموا فی إعداد هذا التراث وعرضه بالاسلوب العلمی اللائق ، سائلین المولی عزّ وجلّ أن یتقبّل جهدهم ، وأن یمنّ علیهم وعلینا جمیعاً بالأجر والثواب ،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العالمی للإمام الشهید الصدر قدس‌سره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أمانة الهیئة العلمیّة </w:t>
      </w:r>
      <w:bookmarkStart w:id="12" w:name="pg14075_144388"/>
    </w:p>
    <w:p>
      <w:pPr>
        <w:pStyle w:val="BookText"/>
        <w:rPr/>
      </w:pPr>
      <w:bookmarkEnd w:id="12"/>
      <w:r>
        <w:rPr>
          <w:rFonts w:ascii="IRNazanin" w:hAnsi="IRNazanin" w:eastAsia="IRNazanin"/>
          <w:color w:val="111111"/>
          <w:sz w:val="28"/>
          <w:sz w:val="28"/>
          <w:szCs w:val="28"/>
          <w:rtl w:val="true"/>
          <w:lang w:bidi="fa-IR"/>
        </w:rPr>
        <w:t>دروس فی علم الاصول</w:t>
      </w:r>
    </w:p>
    <w:p>
      <w:pPr>
        <w:pStyle w:val="Heading2"/>
        <w:numPr>
          <w:ilvl w:val="1"/>
          <w:numId w:val="1"/>
        </w:numPr>
        <w:rPr/>
      </w:pPr>
      <w:bookmarkStart w:id="13" w:name="__RefHeading___Toc508622_1738255347"/>
      <w:bookmarkStart w:id="14" w:name="_Toc4"/>
      <w:bookmarkEnd w:id="13"/>
      <w:r>
        <w:rPr>
          <w:rtl w:val="true"/>
        </w:rPr>
        <w:t>الحلقة الاولی</w:t>
      </w:r>
      <w:bookmarkEnd w:id="14"/>
    </w:p>
    <w:p>
      <w:pPr>
        <w:pStyle w:val="Heading3"/>
        <w:numPr>
          <w:ilvl w:val="2"/>
          <w:numId w:val="1"/>
        </w:numPr>
        <w:rPr/>
      </w:pPr>
      <w:bookmarkStart w:id="15" w:name="__RefHeading___Toc508624_1738255347"/>
      <w:bookmarkStart w:id="16" w:name="_Toc5"/>
      <w:bookmarkEnd w:id="15"/>
      <w:r>
        <w:rPr>
          <w:rtl w:val="true"/>
        </w:rPr>
        <w:t>اشارة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دراسیّ فی علم اصول الفقه اعدّ للمبتدئین فی دراسة هذا العلم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075_144390"/>
      <w:bookmarkStart w:id="18" w:name="pg14075_144390"/>
      <w:bookmarkEnd w:id="18"/>
    </w:p>
    <w:p>
      <w:pPr>
        <w:pStyle w:val="Heading3"/>
        <w:numPr>
          <w:ilvl w:val="2"/>
          <w:numId w:val="1"/>
        </w:numPr>
        <w:rPr/>
      </w:pPr>
      <w:bookmarkStart w:id="19" w:name="pg14075_144390"/>
      <w:bookmarkStart w:id="20" w:name="__RefHeading___Toc508626_1738255347"/>
      <w:bookmarkStart w:id="21" w:name="_Toc6"/>
      <w:bookmarkEnd w:id="19"/>
      <w:bookmarkEnd w:id="20"/>
      <w:r>
        <w:rPr>
          <w:rtl w:val="true"/>
        </w:rPr>
        <w:t>إهداء</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إلهی وربی ، یا علیماً بضرّی وفاقتی ، یا موضع أملی ومنتهی رغبتی ، بعینک أی ربّ وتقرّباً إلیک بذلت هذا الجهد المتواضع فی کتابة الحلقات الثلاث لتکون عوناً للسائرین فی طریق دراسة شریعتک والمتفقّهین فی دینک ، فإن وسعته برحمتک وقبولک وأنت الذی وسعت رحمتک کلّ شیء فإنّی أتوسّل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من دعاه داعٍ وأفضل من رجاه 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توصل ثواب ذلک هدیّة منّی إلی ولدی البارّ وابنی العزیز السید عبدالغنی الأردبیلی </w:t>
      </w:r>
      <w:r>
        <w:rPr>
          <w:rStyle w:val="FootnoteAnchor"/>
          <w:rtl w:val="true"/>
        </w:rPr>
        <w:footnoteReference w:id="2"/>
      </w:r>
      <w:r>
        <w:rPr>
          <w:rFonts w:ascii="IRNazanin" w:hAnsi="IRNazanin" w:eastAsia="IRNazanin"/>
          <w:color w:val="111111"/>
          <w:sz w:val="28"/>
          <w:sz w:val="28"/>
          <w:szCs w:val="28"/>
          <w:rtl w:val="true"/>
          <w:lang w:bidi="fa-IR"/>
        </w:rPr>
        <w:t xml:space="preserve">الذی فجعت به وأنا علی وشک الانتهاء من کتابة هذه الحلقات ، فلقد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البلیغ فی حثّی علی کتابتها وإخراجها فی أسرع وقت ، وکانت نفسه الکبیرة وشبابه الطاهر الذی لم یعرف مللاً ولا کللاً فی خدمة الله والحق الطاقة التی أمدّتنی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فی شبه شیخوخة </w:t>
      </w:r>
    </w:p>
    <w:p>
      <w:pPr>
        <w:pStyle w:val="BookText"/>
        <w:rPr/>
      </w:pPr>
      <w:r>
        <w:rPr>
          <w:rFonts w:ascii="IRNazanin" w:hAnsi="IRNazanin" w:eastAsia="IRNazanin"/>
          <w:color w:val="111111"/>
          <w:sz w:val="28"/>
          <w:sz w:val="28"/>
          <w:szCs w:val="28"/>
          <w:rtl w:val="true"/>
          <w:lang w:bidi="fa-IR"/>
        </w:rPr>
        <w:t xml:space="preserve">متهدّمة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بالعزیمة علی أن أُنجز جلّ هذه الحلقات فی شهرین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یحثّنی باستمرار علی الإسراع لکی یدشّن تدریسها فی حوزته الفتیّة التی أنشأها بنفسه وغذّاها من روحه من مواطن آبائه الکرام ، وخطّط لکی تکون حوزة نموذجیّة فی دراستها وکلّ جوانبها الخلقیّة والروحیّة ، ولکنّک یا ربّ دعوته فجأة إلیک ، فاستجاب طائعاً ووالله ما عرفته خلال العشرین عاماً التی تتلمذ فیها علیّ وترعرع إلی جنبی إلاّسریعاً إلی إجابتک ، نشطاً فی طاعتک ، لایتردّد ولا یلین ، لا یتوقّف ولا یتلکّأ ، ووالله ما رأیته طیلة هذه المدّة غضب لنفسه ، وما أکثر ما رأیته یغضب لک وینسی ذاته من أجلک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 إنّی إذا کنت قد عجزت عن مکافأة هذا الولد البارّ الذی کان بالنسبة لی وبالنسبة إلی أبیه معاً مثالاً فریداً للولد المخلص الذی لا یتردّد فی الطاعة والتضحیة والفداء ، وإذا کنت قد فجعت به وأنا فی قمّة الاعتزاز به وبما تجسّدت فیه من عناصر النبل والشهامة والوفاء والایثار وما تکاملت فیه من خصال التقوی والفضل والایمان ، وإذا کان القدر الذی لا رادّ له قد أطفأ فی لحظة أملی فی أن أمتدّ بعد وفاتی وأعیش فی قلوب بارّة کقلبه وفی حیاة نابضة بالخیر کحیاته ، فإنّی أتوسّل إلیک یا ربی بعد حمدک فی کل یسر وعسر أن تتلقّاه بعظیم لطفک وتحشره مع الصدّیقین من عبادک الصالحین وحسن اولئک رفیقاً ، وأن لاتحرمه من قربی ولا تحرمنی من رؤیته بعد وفاته ووفاتی بعد أن حرمت من ذلک فی حیاته ، وأرجو أن لایکون انتظاری طویلاً للاجتماع به فی مستقرّ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bookmarkStart w:id="22" w:name="pg14075_144392"/>
    </w:p>
    <w:p>
      <w:pPr>
        <w:pStyle w:val="Heading3"/>
        <w:numPr>
          <w:ilvl w:val="2"/>
          <w:numId w:val="1"/>
        </w:numPr>
        <w:rPr/>
      </w:pPr>
      <w:bookmarkStart w:id="23" w:name="__RefHeading___Toc508628_1738255347"/>
      <w:bookmarkStart w:id="24" w:name="_Toc7"/>
      <w:bookmarkEnd w:id="22"/>
      <w:bookmarkEnd w:id="23"/>
      <w:r>
        <w:rPr>
          <w:rtl w:val="true"/>
        </w:rPr>
        <w:t xml:space="preserve">مقدّمة </w:t>
      </w:r>
      <w:r>
        <w:rPr>
          <w:rtl w:val="true"/>
        </w:rPr>
        <w:t>[</w:t>
      </w:r>
      <w:r>
        <w:rPr>
          <w:rtl w:val="true"/>
        </w:rPr>
        <w:t>للحلقات الثلاث</w:t>
      </w:r>
      <w:r>
        <w:rPr>
          <w:rtl w:val="true"/>
        </w:rPr>
        <w:t>]</w:t>
      </w:r>
      <w:bookmarkEnd w:id="24"/>
    </w:p>
    <w:p>
      <w:pPr>
        <w:pStyle w:val="Heading4"/>
        <w:numPr>
          <w:ilvl w:val="3"/>
          <w:numId w:val="1"/>
        </w:numPr>
        <w:rPr/>
      </w:pPr>
      <w:bookmarkStart w:id="25" w:name="__RefHeading___Toc508630_1738255347"/>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مناهج الحوزة العلمیّة فی دراسة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مبرّرات استبدال الکتب الدراسیّة فی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محاولات للاستبدال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الخصائص الملحوظة فی هذه الحلقات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إرشادات فی مجال دراسة هذا الکتاب</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4075_144394"/>
      <w:bookmarkStart w:id="28" w:name="pg14075_144394"/>
      <w:bookmarkEnd w:id="28"/>
    </w:p>
    <w:p>
      <w:pPr>
        <w:pStyle w:val="BookText"/>
        <w:rPr/>
      </w:pPr>
      <w:bookmarkStart w:id="29" w:name="pg14075_144394"/>
      <w:bookmarkEnd w:id="29"/>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3"/>
      </w:r>
    </w:p>
    <w:p>
      <w:pPr>
        <w:pStyle w:val="Heading4"/>
        <w:numPr>
          <w:ilvl w:val="3"/>
          <w:numId w:val="1"/>
        </w:numPr>
        <w:rPr/>
      </w:pPr>
      <w:bookmarkStart w:id="30" w:name="__RefHeading___Toc508632_1738255347"/>
      <w:bookmarkStart w:id="31" w:name="_Toc9"/>
      <w:bookmarkEnd w:id="30"/>
      <w:r>
        <w:rPr>
          <w:rtl w:val="true"/>
        </w:rPr>
        <w:t>[</w:t>
      </w:r>
      <w:r>
        <w:rPr>
          <w:rtl w:val="true"/>
        </w:rPr>
        <w:t>مناهج الحوزة العلمیّة فی دراسة هذا العلم</w:t>
      </w:r>
      <w:r>
        <w:rPr>
          <w:rtl w:val="true"/>
        </w:rPr>
        <w:t>]</w:t>
      </w:r>
      <w:bookmarkEnd w:id="31"/>
    </w:p>
    <w:p>
      <w:pPr>
        <w:pStyle w:val="BookText"/>
        <w:rPr/>
      </w:pPr>
      <w:r>
        <w:rPr>
          <w:rFonts w:ascii="IRNazanin" w:hAnsi="IRNazanin" w:eastAsia="IRNazanin"/>
          <w:color w:val="111111"/>
          <w:sz w:val="28"/>
          <w:sz w:val="28"/>
          <w:szCs w:val="28"/>
          <w:rtl w:val="true"/>
          <w:lang w:bidi="fa-IR"/>
        </w:rPr>
        <w:t>والحمد لله ربِّ العالمین ،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الدراسات العلمیّة لعلم اصول الفقه تمرّ فی مناهج الحوزة عادةً بمرحلتین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تمهیدیّة ، وهی ما تسمّی بمرحلة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 المرحلة العالیة ، وهی ما تسمّی بمرحلة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وتتّخذ هذه الدراسة فی مرحلتها التمهیدیّة اسلوب البحث فی کتبٍ معیّنةٍ مؤلَّفةٍ فی ذلک العلم ؛ یدرسها الطالب علی ید الأساتذة الأکفّاء ؛ لیتهیّأ من خلال ذلک لحضور أبحاث الخارج</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جری العرف العامّ فی حوزاتنا جمیعاً علی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دراسیّةً للمرحلة المذکورة ، وهذا عرف جرت علیه مناهج الحوزة منذ أکثر من نصف قرن ، ولم یطرأ تغییر ملحوظ باستثناء تضاؤل 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هذه الکتب </w:t>
      </w:r>
    </w:p>
    <w:p>
      <w:pPr>
        <w:pStyle w:val="BookText"/>
        <w:rPr/>
      </w:pPr>
      <w:r>
        <w:rPr>
          <w:rFonts w:ascii="IRNazanin" w:hAnsi="IRNazanin" w:eastAsia="IRNazanin"/>
          <w:color w:val="111111"/>
          <w:sz w:val="28"/>
          <w:sz w:val="28"/>
          <w:szCs w:val="28"/>
          <w:rtl w:val="true"/>
          <w:lang w:bidi="fa-IR"/>
        </w:rPr>
        <w:t xml:space="preserve">الأربعة ککتابٍ دراسیٍّ بالتدریج ، وانصراف عددٍ کبیرٍ من الطلبة فی الفترة الأخیرة عن دراسته ، واستبداله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کحلقةٍ وسیطةٍ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الکتب الأربعة المتقدّمة الذکر لها مقامها العلمی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حسب مراحلها التأریخیة کتباً تجدیدیةً ساهمت إلی درجةٍ کبیرةٍ فی تطویر الفکر العلمیّ الاصولیّ علی اختلاف درجاتها فی هذه المساهمة ، وقد یکون اختیار هذه الکتب الأربعة کتباً دراسیةً نتیجة عاملٍ مشترک ، وهو ما أثاره کلّ واحدٍ منها عند صدوره من شعورٍ عمیقٍ لدی العلماء بأهمّیته العلمیة ، وما اشتمل علیه من أفکارٍ ونکات ، هذا ، إضافةً إلی ما تمیَّزت به بعض تلک الکتب من إیجازٍ للمطالب ، وضغطٍ فی العبارة ، کالکفایة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 ت هذ ه ا لکتب الأ ر 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 ر 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ور اً جلیلاً فی هذا المضمار ، وتخرَّج من حلقاتها الدراسیة خلال نصف قرنٍ الآلاف من الطلبة الذین وجدوا فیها سُلَّمهم إلی أبحاث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یسعنا فی هذا المجال إلاّأن نستشعر بعمقٍ بما لأصحاب هذه الکتب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عظیمٍ علی الحوزة ومسیرتها العلمیة ، ومن جمیلٍ لا یمکن أن ینساه أیّ شخصٍ عاش علی موائد تلک الأفکار الحافلة ونهل من نمیر علومها ،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نبتهل إلی المولی سبحانه أن یتغمَّد مؤلّفی هذه الکتب من علمائنا الأعلام بعظیم رحمته ، ویثیبهم بأفضل ثواب المحسنین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 ا لا یحو ل د ون أن نحا ول تطو یر ا لکتب ا لدر ا سیّة وتحسینها إذا وجدت مبرِّرات تدعو إلی ذلک ، وأمکن وضع کتبٍ دراسیّةٍ أکثر قدرةً علی أداء دورها العلمیّ فی تنمیة الطالب وإعداده للمرحلة العلیا</w:t>
      </w:r>
      <w:r>
        <w:rPr>
          <w:rFonts w:eastAsia="IRNazanin" w:cs="IRNazanin"/>
          <w:color w:val="111111"/>
          <w:sz w:val="28"/>
          <w:szCs w:val="28"/>
          <w:rtl w:val="true"/>
          <w:lang w:bidi="fa-IR"/>
        </w:rPr>
        <w:t xml:space="preserve">. </w:t>
      </w:r>
      <w:bookmarkStart w:id="32" w:name="pg14075_144396"/>
    </w:p>
    <w:p>
      <w:pPr>
        <w:pStyle w:val="Heading4"/>
        <w:numPr>
          <w:ilvl w:val="3"/>
          <w:numId w:val="1"/>
        </w:numPr>
        <w:rPr/>
      </w:pPr>
      <w:bookmarkStart w:id="33" w:name="__RefHeading___Toc508634_1738255347"/>
      <w:bookmarkStart w:id="34" w:name="_Toc10"/>
      <w:bookmarkEnd w:id="32"/>
      <w:bookmarkEnd w:id="33"/>
      <w:r>
        <w:rPr>
          <w:rtl w:val="true"/>
        </w:rPr>
        <w:t>[</w:t>
      </w:r>
      <w:r>
        <w:rPr>
          <w:rtl w:val="true"/>
        </w:rPr>
        <w:t>مبرّرات استبدال الکتب الدراسیّة فی هذا العلم</w:t>
      </w:r>
      <w:r>
        <w:rPr>
          <w:rtl w:val="true"/>
        </w:rPr>
        <w:t>]</w:t>
      </w:r>
      <w:bookmarkEnd w:id="34"/>
    </w:p>
    <w:p>
      <w:pPr>
        <w:pStyle w:val="BookText"/>
        <w:rPr/>
      </w:pPr>
      <w:r>
        <w:rPr>
          <w:rFonts w:ascii="IRNazanin" w:hAnsi="IRNazanin" w:eastAsia="IRNazanin"/>
          <w:color w:val="111111"/>
          <w:sz w:val="28"/>
          <w:sz w:val="28"/>
          <w:szCs w:val="28"/>
          <w:rtl w:val="true"/>
          <w:lang w:bidi="fa-IR"/>
        </w:rPr>
        <w:t>وقد کنّا منذ زمنٍ نجد أکثر من سببٍ یدعو إلی التفکیر فی استبدال هذه الکتب بکتبٍ اخری فی مجال التدریس ، لها مناهج الکتب الدراسیة بحقّ ، وأسالیبها فی التعبیر وشرائطها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ومبرّرات التفکیر فی هذا الاستبدال وإن کانت عدیدةً ولکن یمکن اختصارها فی مبرِّراتٍ أساسیةٍ محدّدة ،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المبرِّرالأوّل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الکتب الأربعة تمثّل مراحل مختلفةً من الفکر الاصولی ، فالمعالم تعبّر عن مرحلةٍ قدیمةٍ تأریخیاً من علم الاصول ، والقوانین تمثّل مرحلةً خطاها علم الاصول واجتازها إلی مرحلةٍ أعلی علی ید الشیخ الأنصاریِّ وغیره من الأعلام ، والرسائل والکفایة نفسهما نتاج اصولیّ یعود لما قبل مائة سنةٍ تقریباً ، وقد حصل علم الاصول بعد الرسائل والکفایة علی خبرة مائة سنةٍ تقریباً من البحث والتحقیق علی ید أجیالٍ متعاقبةٍ من العلماء المجدِّدین ، وخبرة ما یقارب مائة سنةٍ من البحث العلمیّ الاصولی جدیرة بأن تأتی بأفکارٍ جدیدةٍ کثیرةٍ وتطوّر طریقة البحث فی جملةٍ من المسائل ، وتستحدث مصطلحاتٍ لم تکن ، تبعاً لما تتکوّن من مسالک ومبانٍ ، ومن الضروریّ أن تنال الکتب الدراسیة حظّاً مناسباً لها من هذه الأفکار والتطوّرات والمصطلحات ؛ لئلاّ یفاجَأ بها الطالب فی بحث الخارج دون سابق إعداد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یوجد الآن فاصل معنویّ کبیر بین محتویات الکتب الدراسیة الأربعة وبین أبحاث الخارج ، فبینما بحث الخارج یمثّل حصیلة المائة عام الأخیرة من التفکیر والتحقیق ، ویعبّر بقدر ما یُتاحُ للُاستاذ من قدرةٍ عن ذروة تلک الحصیلة نجد أنّ کتب السطح تمثّل فی أقربها عهداً الصورة العامّة لعلم الاصول قبل قرابة مائة عام ، ساکتةً عن کلّ ما استجدّ خلال هذه الفترة من أفکارٍ ومصطلحات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ونذکر علی سبیل المثال لما استجدّ من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أفکار باب التزاحم ، وما أشاده المیرزا من مسلک جعل الطریقیة بتعمیقاته وتفریعاته فی مسائل قیام الأمارات مقام القطع الموضوعی ، وحکومة الأمارات علی الاصول ، ورفع قاعدة قبح العقاب بلا بیانٍ بجعل الحجیّة ، وفکرة جعل الحکم بنحو القضیة الحقیقیة بآثارها الممتدّة فی کثیرٍ من أبحاث علم الاصول ، کبحث الواجب المشروط والشرط المتأخّر ، والواجب المعلّق ، وأخذ العلم بالحکم فی موضوع الحکم ، والوجه الجدید لبحث المعانی الحرفیة الذی یختلف اختلافاً أساسیاً عن الصورة الغریبة التی تخلقها آراء صاحب الکفایة فی ذهن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المطالب وغیرها ممّا أصبحت تشکّل محاور للفکر الاصولیّ الحدیث هی نتاج الفترة المتأخّرة الذی یظلّ طالب السطوح جاهلاً به تماماً ، إلی أن یواجه أبحاث الخارج وهو لا یملک تصوّراتٍ ابتدائیة أو وسطی عن تلک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فالطالب لکی یتسلّل من کتب السطح إلی درس الخارج کأ نّه یکلّف بطفرة ، وبأن یقطع فی لحظةٍ مسافةً لم یقطعها علم الاصول خلال تطوّره التدریجیّ إلاّفی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اختیار الکتب الدراسیة من مراحل مختلفةٍ للفکر الاصولیّ نشأ من الشعور بلزوم التدرّج فی الکتب الدراسیة من الأبسط إلی الأعمق ، ولمّا کان علم الاصول فی وضعه علی عهد صاحب المعالم أبسط منه فی عهد صاحب القوانین ، وفی هذا العهد أبسط منه فی عهد الرسائل والکفایة فقد لوحظ أنّ هذا یحقّق التدرّج المطلوب إذا جعل الکتاب الدراسیّ الأوّل نتاج مرحلةٍ قدیمةٍ من علم الاصول ، وما یتلوه نتاج مرحلةٍ متأخّرة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الشعور یشتمل علی حقیقةٍ وعلی خطأ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الحقیقة فهی لزوم التدرّج فی الکتب الدراسیة من الأبسط إلی الأعمق ، </w:t>
      </w:r>
    </w:p>
    <w:p>
      <w:pPr>
        <w:pStyle w:val="BookText"/>
        <w:rPr/>
      </w:pPr>
      <w:r>
        <w:rPr>
          <w:rFonts w:ascii="IRNazanin" w:hAnsi="IRNazanin" w:eastAsia="IRNazanin"/>
          <w:color w:val="111111"/>
          <w:sz w:val="28"/>
          <w:sz w:val="28"/>
          <w:szCs w:val="28"/>
          <w:rtl w:val="true"/>
          <w:lang w:bidi="fa-IR"/>
        </w:rPr>
        <w:t>وأمّا الخطأ فهو أنّ هذا التدرّج لا ینبغی أن یکون منتزعاً من تأریخ علم الاصول ومعبّراً عمّا مرّ به هذا العلم نفسه من تدرّجٍ خلال نموِّه ؛ لأنّ هذا یکلِّف الطالب أن یصرف وقتاً کثیراً فی مطالب وأفکارٍ لم یعد لها موضع فی العلم بحسب وضعه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الوضع الصحیح فی الکتب الدراسیة الذی یشتمل علی التدرّج المطلوب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تتّجه هذه الکتب جمیعاً علی اختلاف مراحلها الدراسیة لعرض آخر ما وصل إلیه العلم من أفکارٍ وتحقیقاتٍ ومصطلحات ، ولکن بدرجاتٍ من العرض تختلف من ناحیة الکمّ أو الکیف ، أو من الناحیتین معاً ، والاختلاف فی الکمِّ یعنی التفاوت فی المقدار المُعطی من الأفکار ، فبدلاً عن استعراض خمسة اعتراضاتٍ علی الاستدلال بآیة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فی الحلقة الاولی باعتراضٍ أو اعتراضین ، ثمّ یُستعرض عدد أکبر من الاعتراضات فی حلقةٍ تالیة ، والاختلاف فی الکیف یعنی التفاوت فی درجة عمق ما یطرح من فکرة ، فحینما یراد الحدیث عن مسلک جعل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فی حلقةٍ ابتدائیة عرضاً ساذجاً بدون تعمیق ، ثمّ یعمَّق فی حلقةٍ لاحقة ، فیعرض علی نحوٍ یمیَّز فیه بین التنزیل والاعتبار ، وقد یعرض فی حلقةٍ اخری حینئذٍ علی نحو المقارنة بین هذین النحوین فی النتائج والآثار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المبرِّر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الکتب الأربعة السالفة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أنّها استعملت ککتبٍ دراسیةٍ منذ أکثر من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تؤلَّف من قبل أصحابها لهذا الهدف ، وإنّما ا لِّفت لکی تعبّر عن آراء المؤلّف وأفکاره فی المسائل الاصولیة المختلفة ، وفرق کبیر بین کتابٍ یضعه مؤلِّفه لکی یکون کتاباً دراسیاً وکتاب یؤلّفه لیعبِّر فیه عن أعمق وأرسخ ما وصل إلیه من أفکارٍ وتحقیقات ؛ لأنّ المؤلِّف فی الحالة الاولی یضع نصب عینیه الطالب المبتدئ الذی یسیر خطوةً فخطوةً فی طریق </w:t>
      </w:r>
    </w:p>
    <w:p>
      <w:pPr>
        <w:pStyle w:val="BookText"/>
        <w:rPr/>
      </w:pPr>
      <w:r>
        <w:rPr>
          <w:rFonts w:ascii="IRNazanin" w:hAnsi="IRNazanin" w:eastAsia="IRNazanin"/>
          <w:color w:val="111111"/>
          <w:sz w:val="28"/>
          <w:sz w:val="28"/>
          <w:szCs w:val="28"/>
          <w:rtl w:val="true"/>
          <w:lang w:bidi="fa-IR"/>
        </w:rPr>
        <w:t>التعرّف علی کنوز هذا العلم وأسراره ، وأمّا فی الحالة الثانیة فیضع المؤلّف فی تصوّره شخصاً نظیراً له مکتملاً من الناحیة العلمیة ، ویحاول أن یشرح له وجهة نظره ویقنعه بها بقدر ما یتاح له من وسائل الإقناع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کتاباً یوضع بهذا الاعتبار لا یصلح أن یکون کتاباً دراسیاً مهما کانت قیمته العلمیة وإبداعه الفکری ، ومن أجل ذلک کانت الکتب الدراسیة المتقدّمة الذکر غیر صالحةٍ للقیام بهذا الدور علی جلالة قدرها العلمی ؛ لأنّها ا لِّفت للعلماء والناجزین ، لا للمبتدئین والسائرین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لم یحرص فی هذه الکتب وأمثالها من الکتب العلمیة المؤلّفة للعلماء علی إبراز کلّ خطوات الاستدلال وحلقات التفکیر فی المسألة الواحدة ، فقد تحذف بعض الحلقات فی الأثناء ، أو البدایة ؛ لوضوحها لدی العالم ، غیر أنّ الصورة حینئذٍ تصبح غیر واضحةٍ فی ذهن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 لتوضیح الفکرة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بُحِثَ فی التعبّدیّ والتوصّلیّ عن استحالة أخذ قصد الامتثال فی متعلّق الأمر ، وفُرِّع علیه أنّ التعبّدیّ لا یتمیّز عن التوصّلیّ فی مرحلة الأمر ، بل فی مرحلة الغرض ، إذ لا یستوفی غرضه إلاّبقصد الامتثال ، واستنتج من ذلک عدم إمکان التمسّک بإطلاق الأمر لإثبات کون الواجب توصّلیاً ، وهذا لا یصلح أن یکون بیاناً مدرسیاً ؛ لأنّ البیان المدرسیّ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لتکمیل الصورة فی ذهن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إضافة عنصرین آخرین تُرِکا لوضوحهما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الامتثال إذا کان بالإمکان أخذه فی متعلّق الأمر فحاله حال سائر القیود یمکن نفیه بإطلاق الأمر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والدلیل مدلوله الأمر والحکم ، لا الملاک والغرض ، وأنّ استکشاف إطلاق الغرض دائماً إنّما یتمّ عن طریق استکشاف إطلاق متعلّق الأمر مع افتراض التطابق بین متعلّق الأمر ومتعلّق الغرض ، فحیث لا یتبرهن هذا </w:t>
      </w:r>
    </w:p>
    <w:p>
      <w:pPr>
        <w:pStyle w:val="BookText"/>
        <w:rPr/>
      </w:pPr>
      <w:r>
        <w:rPr>
          <w:rFonts w:ascii="IRNazanin" w:hAnsi="IRNazanin" w:eastAsia="IRNazanin"/>
          <w:color w:val="111111"/>
          <w:sz w:val="28"/>
          <w:sz w:val="28"/>
          <w:szCs w:val="28"/>
          <w:rtl w:val="true"/>
          <w:lang w:bidi="fa-IR"/>
        </w:rPr>
        <w:t>الافتراض لا یمکن الاستکشاف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جُلَّ أحکام هذا الباب مبنیة علی أخذ القدرة شرطاً فی التکلیف ، وعدم کونه دخیلاً فی الإدانة والمنجّزیة فقط ، بینما هذا المطلب لم یبحث بصورةٍ مباشرة ، ولم یوضّح الربط المذکور ، بل بقی مستتراً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ابرزت کیفیة دلالة المطلق علی الإطلاق بصورةٍ مباشرة ، بینما لم تبرز کیفیة دلالة المقیّد علی أخذ القید فی الموضوع کذلک ، وإنّما بُحث ذلک ضمناً خلال بحث حمل المطلق علی المقیّد وکیفیة علاج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لم یراعَ فیها أیضاً ما یجب أن یراعی فی الکتب الدراسیة من التدرّج فی عرض الأفکار من البسیط إلی المعقّد ، ومن الأسبق رتبةً إلی المتأخّر ، بحیث تعرض المسألة المتفرّعة ذاتاً فی تصوّراتها علی حیثیات مسائل اخری بعد أن تکون تلک الحیثیات قد طرحت وبحثت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 لتوضیح الفکرة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بحث توقّف العموم علی إجراء الإطلاق ومقدمات الحکمة فی المدخول ، فإنّ تصوّر هذا الافتراض یستبطن الفراغ مسبقاً عن تصوّر مقدمات الحکمة ووظیفتها ، بینما یذکر ذلک البحث فی العامّ والخاصّ ، وتذکر مقدّمات الحکمة بعد ذلک فی مباحث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أیضاً الشرط المتأخّر للحکم مثلاً ، فإنّ تصوّر المشکلة فیه وتصوّر حلولها مرتبط بمجموعة أفکارٍ عن الواجب المشروط ، وطریقة السیر من البسیط إلی المعقّد تقتضی تقدیم هذه المجموعة من الأفکار علی عرض مشکلة الشرط المتأخّر وبحثها ، بینما وقع العکس فی الکفایة وغیرها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التخییر بین الأقلّ والأکثر وافتراض استحالته دخیل فی استیعاب قاعدة إجزاء الأوامر الاضطراریة عن الواقع ، فإذا بحثت هذه القاعدة بعد افتراض تصوّرٍ مسبقٍ عن التخییر المذکور کان فهمها للطالب وتصوّرها أیسر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لم یراعَ فیها ما یجب أن یراعی فی الکتب الدراسیة من توفیر فهمٍ مسبقٍ عند الطالب للمسائل والقواعد التی یستعان بها لإثبات المدّعی فی مسألة اخری والبرهنة علیها ، أو لاقتناص الثمرة الاصولیة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ومقدمات الحکمة تدخل کدلیلٍ لإثبات دلالة الأمر علی الوجوب ، ولإثبات دلالته علی العینیة والتعیینیة والنفسیة ، ولإثبات دلالة الجملة الشرطیة وغیرها علی المفهوم ، وهکذا ، مع أنّ الطالب فی الکتب القائمة لا یُعطی فکرة عن الإطلاق ومقدمات الحکمة إلاّبعد الفراغ عن جمیع مباحث الأوامر والنواهی والمفاهیم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وأحکام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قواعد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تدخل فی علاج کثیرٍ من ألوان التعارض بین الأدلّة اللفظیة المستدلِّ بها علی حجّیة أمارةٍ أو أصلٍ من الاصول ، فیقال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دلیل وجوب الاحتیاط حاکم علی دلیل البراءة ، أو وارد ، أو إنّ دلیل البراءة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إعطاء تصوراتٍ وأفکارٍ محدّدةٍ عن أحکام التعارض وقواعد الجمع بین الأدلّة التی لا تقع إلاّفی نهایة أبحاث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اقتضاء النهی للبطلان تدخل عندهم فی اقتناص الثمرة من بحث الضدّ ، إذ جعلوا ثمرة اقتضاء الأمر بشیءٍ للنهی عن ضدّه بطلان العبادة ، وفی اقتناص الثمرة من بحث امتناع اجتماع الأمر والنهی ، إذ جعلوا ثمرة هذا البحث بطلان العبادة بناءً علی القول بالامتناع وتقدیم جانب النهی ، مع أنّ الطالب لا یدرس مسألة اقتضاء النهی للبطلان ، ولا یأخذ عنها تصوّراً علمیاً إلاّبعد الفراغ عن مسألتی الضدّ والامتناع ، وهکذا إلی کثیرٍ من هذه النظائر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لم یحرص أیضاً علی إبراز الثمرة لکثیرٍ من المطالب ، التی یتبیّن من خلالها الارتباط بین تلک المطالب بعضها ببعض ، فاهملت فی کثیرٍ من الأحیان أوجه العلاقة بین الأفکار الاصولیة ، ولم یتعرّض لها إلاّبقدر ما یحتاج الیه فی مقام الاستدلال علی مطلبٍ أو إبطاله ، فبُحث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الحرفیّ وجزئیّته وکلّیته ، </w:t>
      </w:r>
    </w:p>
    <w:p>
      <w:pPr>
        <w:pStyle w:val="BookText"/>
        <w:rPr/>
      </w:pPr>
      <w:r>
        <w:rPr>
          <w:rFonts w:ascii="IRNazanin" w:hAnsi="IRNazanin" w:eastAsia="IRNazanin"/>
          <w:color w:val="111111"/>
          <w:sz w:val="28"/>
          <w:sz w:val="28"/>
          <w:szCs w:val="28"/>
          <w:rtl w:val="true"/>
          <w:lang w:bidi="fa-IR"/>
        </w:rPr>
        <w:t>ولکن لم یربط ذلک بالتمسّک بالإطلاق فی المعانی الحرفیة ، وظلّ الطلبة یکرِّرون أنّ البحث فی المعانی الحرفیة لا أثر له ، وبُحث الوجوب التخییریّ والکفائیّ بحثاً تحلیلیاً ، ولکن لم یربط ذلک بأثره فی التمسّک بالإطلاق أو الأصل العملیّ عند الشکّ فی نوعیة الواجب ، وبدا کأنّه بحث تحلیلیّ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لم یحرص أیضاً علی وضع کثیرٍ من النکات والمباحث فی موضعها الواقعیّ وبصیغةٍ تتناسب مع کلّیتها وأهمّیتها ، وإنّما دُسّت دساً فی مقام علاج مشکلةٍ ، أو دفع توهّم ، أو اثیرت من خلال تطبیقٍ من تطبیقاتها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الممارس العالم یستطیع من خلال ذلک أن یضع النکتة فی موضعها الواقعیّ ویعطیها حدودها المناسبة ، ولکن قلّما یُتاح ذلک للطالب ، فیبقی فهمه لتلک النکات والمطالب فهماً تجزیئیاً وضمن دوائر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مثالاً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تنجیز العلم الإجمالیّ الأربعة التی عرضناها فی الحلقة الثانیة ، فإنّ الکتب التی تتحدّث عنها حینما تناولت منجّزیة العلم الإجمالیّ لم تضع لها أرکانها بصیغها الفنیة العامّة ، وإنّما عقدت تنبیهات لحالاتٍ جزئیةٍ طبّقت من خلالها ضمناً تلک الأرکان إثباتاً ونفیاً ، وفی حالةٍ من هذا القبیل لن یخرج الطالب غالباً بصورةٍ محدّدةٍ ورؤیةٍ واضحةٍ لهیکل تنجیز العلم الإجمالیّ بما یشتمل علیه من قواعد وأرکان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لم یحرص أیضاً علی اجتناب استعمال مصطلحاتٍ لم یأتِ بعدُ تفسیرها ؛ لأنّ الحدیث فی تلک الکتب مع العالم ، لا مع الطالب ، والعالم محیط بتلک المصطلحات منذ البدء ، ولهذا نجد فی الصفحة الاولی من الکفایة استعمال مصطلح حجّیة الظن بناءً علی تقریر دلیل الانسداد علی الحکومة ، وهو مصطلح لا یکشف النقاب عنه إلاّفی أواسط الجزء الثانی من الکتاب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المبرِّر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ناتج عن الحالة العامة التی لوحظت فی المبرّر </w:t>
      </w:r>
    </w:p>
    <w:p>
      <w:pPr>
        <w:pStyle w:val="BookText"/>
        <w:rPr/>
      </w:pP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المؤلِّفین کانوا یکتبون لأمثالهم ، لا للمبتدئین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هذا المبرّر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المقدار الذی ینبغی أن یُعطی من الفکر العلمیّ الاصولی فی مرحلة السطح یجب أن یحدّد وفقاً للغرض المفروض لهذه المرحلة ، والذی أعرفه غرضاً لهذه المرحلة تکوین ثقافةٍ عامّةٍ عن علم الاصول لمن یرید أن یقتصر علی تلک المرحلة ، والإعداد للانتقال إلی مرحلة الخارج لمن یرید مواصلة الدرس ، وهذا هو أهمّ الغرضین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إذن أن یکون المعطی بقدرٍ یکفل ثقافةً عامّةً تحقّق هذا الإعداد ، وتوجِد فی الطالب فهماً مسبقاً بدرجةٍ معقولةٍ لما سوف یتلقّی درسه من مسائل ، ومرتبة من العمق والدقّة تتیح له أن یهضم ما یواجهه فی أبحاث الخارج من أفکارٍ دقیقةٍ موسّعةٍ وبناءاتٍ فکریةٍ 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یکفی فیه أن تتوفّر الکتب الدراسیة علی إعطاء علم الاصول بهیکله العام ، ولا یلزم أن یمتدّ البحث فی تلک الکتب إلی التفریعات الثانویة ویتلقّی وجهات نظرٍ فیها ، بل الأفضل أن تترک هذه التفریعات علی العموم إلی أبحاث الخارج ما دامت المفاتیح التی سوف یتسلّمها الطالب کافیةً لمساعدته علی الدخول فیها بعد ذلک مع استاذ 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نری من المهمِّ أن یحصل الطالب علی تصوراتٍ شبه معمّقةٍ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 وطریقة الجمع بینها وبین الواقع ، والفرق بین الأمارات والاصول ، وسنخ المجعول فی أدلّة الحجّیة ، وأثر ذلک علی أبواب مختلفة ، کباب حکومة الأمارة علی الأصل ، وحکومة الاستصحاب علی البراءة ، وقیام الأمارة مقام القطع الموضوعی ؛ لأنّ هذه الأفکار تعتبر أساسیةً بالنسبة إلی الهیکل العامّ لعلم الاصول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یحاط الطالب علماً بأنّ استصحاب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أصالة البراءة ، ویستطرق من ذلک إلی بحثٍ طویلٍ ومعمّقٍ فی نفس جریان استصحاب عدم التذکیة وموارد جریانه فی الشبهات الموضوعیة والحکمیة فهذا ممّا </w:t>
      </w:r>
    </w:p>
    <w:p>
      <w:pPr>
        <w:pStyle w:val="BookText"/>
        <w:rPr/>
      </w:pPr>
      <w:r>
        <w:rPr>
          <w:rFonts w:ascii="IRNazanin" w:hAnsi="IRNazanin" w:eastAsia="IRNazanin"/>
          <w:color w:val="111111"/>
          <w:sz w:val="28"/>
          <w:sz w:val="28"/>
          <w:szCs w:val="28"/>
          <w:rtl w:val="true"/>
          <w:lang w:bidi="fa-IR"/>
        </w:rPr>
        <w:t>لا یدخل فی نطاق الغرض من مرحلة بحث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فضلاً عن الاستطرادات التی وقعت فیها تلک الکتب ، کاستطرادها للحدیث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أو التوسّعات التی تزید عن الحاجة لمرحلة السطح فی استعراض الأقوال ونقل الأدلة ، واستیعاب النقض والإبرام ، حتّی بلغت الأقوال التی أحصاها الشیخ فی الرسائل فی الاستصحاب وبحث کلّ واحدٍ منها بحثاً مفصّلاً أربعة عشر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المبرِّر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الطریقة المتّبعة فی تحریر المسائل وتحدید کلّ مسألةٍ بعنوانٍ من العناوین الموروثة تأریخیاً فی علم الاصول لم تَعدْ تعبِّر عن الواقع تعبیراً صحیحاً ؛ وذلک لأنّ البحث الاصولیّ من خلال اتّساعه وتعمّقه 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أیام الوحید البهبهانیّ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قضایا کثیرةً جدیدةً ضمن معالجاته للمسائل الاصولیة الموروثة تأریخیاً ، وکثیر من هذه القضایا تعتبر من الناحیة الفنیة ومن الناحیة العملیة معاً أهمّ من جملةٍ من تلک المسائل الموروثة ، بینما ظلّت هذه القضایا تحت الشعاع ؛ ولا تبرز إلاّبوصفها مقدماتٍ أو استطراداتٍ فی مباحث تلک المسائل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ویمکنک أن تلاحظ بهذا الصدد المباحث العقلیة التی ادرجت فی الجزء الأوّل من الکفایة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الملازمة بین وجوب الشیء ووجوب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الأمر بالشیء والنهی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 فإنّ هذه العناوین باعتبار کونها تأریخیةً وموروثةً فی علم الاصول استأثرت بالمسائل المبحوثة ، مع أنّه وقع البحث فی داخل تلک المسائل عن کثیرٍ من القضایا العقلیة المهمّة التی بقیت بلا عنوانٍ وکأنّها مجرّد أبحاثٍ تمهیدیّةٍ أو استطرادیّة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الشرط المتأخّر أو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الواجب المعلّق أو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تقیّد التکلیف بعدم الاشتغال بالمزاحم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تضییع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غیر ذلک من القضایا بقیت کأجزاءٍ من أبحاث تلک العناوین التأریخیة ، بینما کلّ واحدةٍ منها تشکِّل بحثاً اصولیاً مهمّاً من الناحیة الفنیة ، ومن ناحیة ترتّب الثمرة الاصولیة ، ولا تقلّ أهمّیةً عن تلک المسائل التأریخیة الموروثة ، بل قد تکون أهمَّ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حاروا فی کیفیّة تصویر الثمرة لبحث الملازمة بین وجوب الشیء ووجوب مقدمته ، مع أنّهم لم یتوصّلوا إلی أفکارهم عن الواجب المعلّق أو الشرط المتأخّر ونحوهما إلاّلتحقیق ثمراتٍ عملیةٍ واضحة ، ومع هذا حشروا کلّ هذه الأفکار ضمن تلک المسألة التی لا یعرفون کیف یوضّحون ثمرتها العملیة ، وضاعت بذلک علی الطالب قیمة تلک الأفکار ومغزاها العملی ، حتَّی أنّ کثیراً من الطلبة یرون أنّ التوسّع فی داخل المسألة التی لیس من الواضح أنّ لها ثمرةً عملیةً مجرّد تطویلٍ وتوسیعٍ لعملیة لغو لا مبرّر له ، بل إنّ هذا الحشر فی کثیرٍ من الأحیان یؤدّی إلی إیحاءاتٍ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مشکلةالمقدمات المفوّتة ووجوب تحصیلها حشرت فی سیاق الوجوب الغیری ، وفرّعت علی تبعیة الوجوب الغیریّ للوجوب النفسیّ فی الإطلاق والاشتراط ، وهذا یوحی بالارتباط ، مع أنّ مشکلة المقدمات المفوّتة مشکلة قائمة تحتاج إلی تفسیر واکتشاف قانونها الاصولی ، سواء قلنا بالوجوب الغیریّ ، أوْ لا ، فهی ترتبط بالمسؤولیة المولویة تجاه المقدمة ، وهی مسؤولیة لا شکّ فیها ، ولا شکّ فی تبعیتها لفعلیة الوجوب النفسی ، سواء کانت هذه المسؤولیة عقلیةً بحتةً ومن تبعات محرّکیة الوجوب النفسی ، أو کانت مشتملةً علی ما یسمّی بالوجوب الغیری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أهمّ المبرِّرات التی تدعو إلی التفکیر بصورةٍ جادّةٍ فی استبدال الکتب الدراسیة القائمة ، والاعتقاد بعدم صلاحیتها فی مجال التدریس علی الرغم من قدسیتها العلمیة والتأریخیة</w:t>
      </w:r>
      <w:r>
        <w:rPr>
          <w:rFonts w:eastAsia="IRNazanin" w:cs="IRNazanin"/>
          <w:color w:val="111111"/>
          <w:sz w:val="28"/>
          <w:szCs w:val="28"/>
          <w:rtl w:val="true"/>
          <w:lang w:bidi="fa-IR"/>
        </w:rPr>
        <w:t xml:space="preserve">. </w:t>
      </w:r>
      <w:bookmarkStart w:id="35" w:name="pg14075_144406"/>
    </w:p>
    <w:p>
      <w:pPr>
        <w:pStyle w:val="Heading4"/>
        <w:numPr>
          <w:ilvl w:val="3"/>
          <w:numId w:val="1"/>
        </w:numPr>
        <w:rPr/>
      </w:pPr>
      <w:bookmarkStart w:id="36" w:name="__RefHeading___Toc508636_1738255347"/>
      <w:bookmarkStart w:id="37" w:name="_Toc11"/>
      <w:bookmarkEnd w:id="35"/>
      <w:bookmarkEnd w:id="36"/>
      <w:r>
        <w:rPr>
          <w:rtl w:val="true"/>
        </w:rPr>
        <w:t>[</w:t>
      </w:r>
      <w:r>
        <w:rPr>
          <w:rtl w:val="true"/>
        </w:rPr>
        <w:t>عدّة محاولات للاستبدال</w:t>
      </w:r>
      <w:r>
        <w:rPr>
          <w:rtl w:val="true"/>
        </w:rPr>
        <w:t>]</w:t>
      </w:r>
      <w:bookmarkEnd w:id="37"/>
    </w:p>
    <w:p>
      <w:pPr>
        <w:pStyle w:val="BookText"/>
        <w:rPr/>
      </w:pPr>
      <w:r>
        <w:rPr>
          <w:rFonts w:ascii="IRNazanin" w:hAnsi="IRNazanin" w:eastAsia="IRNazanin"/>
          <w:color w:val="111111"/>
          <w:sz w:val="28"/>
          <w:sz w:val="28"/>
          <w:szCs w:val="28"/>
          <w:rtl w:val="true"/>
          <w:lang w:bidi="fa-IR"/>
        </w:rPr>
        <w:t xml:space="preserve">وقد صدرت فی العقود الثلاثة الأخیرة عدّة محاولاتٍ للاستبدال والتطویر فی الکتب الدراسیة ، وکان من نتاج هذه المحاولات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کتعویضٍ عن القوانین ،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 للرسائل کتعویضٍ عنها ،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کحلقةٍ وسیطةٍ بین المعالم وکتابَی الرسائل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محاولات مشکورة وتمثِّل جهوداً مخلصةً فی هذا الطریق ، وقد یکون أکثرها استقلالیةً وأصالةً هو المحاولة الثالثة باعتبارها تصنیفاً مستقلاًّ ، ولیس مجرّد اختصارٍ لکتابٍ سابق ، ولکنّها لا تفی مع ذلک بالحاجة لعدّة أسباب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یمکن الاقتصار علیها فی السطح والاکتفاء بها عن جمیع الکتب الدراسیة الاصولیة ، وإنّما هی مرشَّحة لتکون الحلقة الوسیطة بین المعالم وکتابی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 والرسائل علی ما یبدو من ظروف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أشبه ما یکون بعملیّة الترقیع ، فهی وإن حرصت علی أن تعطی للطالب غالباً الأفکار الحدیثة فی علم الاصول بقدر ما اتیح للمؤلِّف إدراکه واستیعابه ولکنّها تصبح قلقةً حین توضع فی مرحلةٍ وسطی ، فیبدأ الطالب بالمعالم لیقرأ أفکاراً اصولیة ومناهج اصولیةً فی البحث وفقاً لما کان علیه العلم قبل مئات السنین ، ثمّ ینتقل من ذلک فجأةً وبقدرة قادرٍ لیلتقی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أفکاراً اصولیّةً حدیثةً مستقاةٍ من مدرسة المحقّق النائینیّ علی الأغلب ، ومن تحقیقات المحقّق الإصفهانیّ أحیاناً ، وبعد أن یفترض أنّ الطالب فهم هذه الأفکار نرجع به خطوةً إلی الوراء ؛ لیلتقی فی الرسائل والکفایة بأفکارٍ أقدم تأریخیاً بعد أن نوقش جملة منها فی الحلقة السابقة واستبدلت جملة منها بأفکارٍ أمتن ، وهذا یشوِّش علی الطالب مسیره العلمیّ فی مرحلة السطح ولا یجعله یتحرّک فی الاتّجاه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أنّه غیّر من المظهر العامّ لعلم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قسّمه إلی أربعة أقسامٍ بدلاً عن قسمین ، وأدرج مباحث الاستلزامات والاقتضاءات فی نطاق المباحث العقلیة بدلاً عمّا درج علیه المؤلّفون من ذکرها ضمن 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لم یتجاوز التصرّف فی کیفیة تقسیم مجموعة المسائل الاصولیة المطروحة فی الکتب السابقة إلی مجامیع ، فقد صنِّفت فی أربعة مجامیع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مجموعتین ، ولم یمسَّ هذا التصرّف جوهر تلک المسائل ، ولم یستطع أن یکتشف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مسألة الملازمة بین وجوب الشیء ووجوب مقدمته مسائل اصولیةً لها استحقاقها الفنّی لأَنْ تُعرض کمسائل اصولیةٍ فی نطاق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اقتصر التغییر علی المظهر ولم یتجاوزه إلی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لا تعبِّر بحوثه عن مستویً واحدٍ من العطاء کیفاً وکمّاً ، أو عن مستویاتٍ متقاربة ، بل إنّ الکتاب فی بعض مباحثه یتوسّع ویتعمّق ، بینما یختصر ویوجز فی مباحث اخری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علیه من تحقیقٍ موسّعٍ فی ما یتّصل باعتبارات الماهیّة فی بحث المطلق والمقیّد ، وما یشتمل علیه من توسّعٍ وإطنابٍ فی مباحث الحسن والقبح العقلیّین ، وما یشتمل علیه من توسّعٍ کذلک فی إثبات جریان الاستصحاب فی موارد الشکّ فی المقتضی ، بل الملحوظ فی کثیرٍ من بحوث الکتاب أنّه لا تنسیق بینها وبین بحوث الکفایة التی فرض منهجیاً أن تکون بعده فی الخطّ الدراسی ، فجملة من المسائل تعرض بنحوٍ أوسع ممّا فی الکفایة وأعمق لا یبقی مبرّراً لدراسة المسألة نفسها من جدیدٍ فی الکفایة ، وجملة اخری من المسائل تعرض موجزةً أو ساذجةً علی نحوٍ یبقی للکفایة قدرتها علی إعطاء المزید أو التعمیق</w:t>
      </w:r>
      <w:r>
        <w:rPr>
          <w:rFonts w:eastAsia="IRNazanin" w:cs="IRNazanin"/>
          <w:color w:val="111111"/>
          <w:sz w:val="28"/>
          <w:szCs w:val="28"/>
          <w:rtl w:val="true"/>
          <w:lang w:bidi="fa-IR"/>
        </w:rPr>
        <w:t xml:space="preserve">. </w:t>
      </w:r>
      <w:bookmarkStart w:id="38" w:name="pg14075_144408"/>
    </w:p>
    <w:p>
      <w:pPr>
        <w:pStyle w:val="Heading4"/>
        <w:numPr>
          <w:ilvl w:val="3"/>
          <w:numId w:val="1"/>
        </w:numPr>
        <w:rPr/>
      </w:pPr>
      <w:bookmarkStart w:id="39" w:name="__RefHeading___Toc508638_1738255347"/>
      <w:bookmarkStart w:id="40" w:name="_Toc12"/>
      <w:bookmarkEnd w:id="38"/>
      <w:bookmarkEnd w:id="39"/>
      <w:r>
        <w:rPr>
          <w:rtl w:val="true"/>
        </w:rPr>
        <w:t>[</w:t>
      </w:r>
      <w:r>
        <w:rPr>
          <w:rtl w:val="true"/>
        </w:rPr>
        <w:t>الخصائص الملحوظة فی هذه الحلقات</w:t>
      </w:r>
      <w:r>
        <w:rPr>
          <w:rtl w:val="true"/>
        </w:rPr>
        <w:t>]</w:t>
      </w:r>
      <w:bookmarkEnd w:id="40"/>
    </w:p>
    <w:p>
      <w:pPr>
        <w:pStyle w:val="BookText"/>
        <w:rPr/>
      </w:pPr>
      <w:r>
        <w:rPr>
          <w:rFonts w:ascii="IRNazanin" w:hAnsi="IRNazanin" w:eastAsia="IRNazanin"/>
          <w:color w:val="111111"/>
          <w:sz w:val="28"/>
          <w:sz w:val="28"/>
          <w:szCs w:val="28"/>
          <w:rtl w:val="true"/>
          <w:lang w:bidi="fa-IR"/>
        </w:rPr>
        <w:t xml:space="preserve">وقد رأینا أنّ الاستبدال یجب أن یتمّ بصورةٍ کاملة ، فیعوّض عن مجموعة الکتب الدراسیة الاصولیة القائمة فعلاً بمجموعةٍ اخری مصمّمةٍ بروحٍ واحدة ، وعلی اسسٍ مشترکة ، وعلی ثلاث مراحل ، وهذا ما قمنا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آخذین بعین الاعتبار النقاط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الذی جعلنا علی عهدة الحلقات الثلاث تحقیقه وصمّمناها وفقاً لذلک هو ما أشرنا إلیه سابقاً من إیصال الطالب إلی مرحلة الإعداد لبحث الخارج ، وجعله علی درجةٍ من الاستیعاب للهیکل العامّ لعلم الاصول ؛ ومن الدقّة فی فهم معالمه وقواعده تمکِّنه من هضم ما یعطی له فی أبحاث الخارج هضماً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حرصنا علی أن نطرح فی الحلقات الثلاث أحدث ما وصل إلیه علم الاصول من أفکارٍ ومطالب ، من دون تقیّدٍ بما هو الصحیح من تلک الأفکار والمطالب ؛ لأنّ الإعداد المذکور لا یتوقّف علی تلقّی الصحیح ، بل علی الممارسة الفنّیة لتلک الأفکار ، وإن کنّا آثرنا اختیار الصحیح کلّما لم نجد محذوراً منهجیاً وتدریسیاً فی ذلک ، ولکنّا أحیاناً طرحنا وجهات نظرٍ غیر صحیحةٍ وإن کانت حدیثة ؛ لأنّ طرح وجهة النظر الصحیحة لم یکن بالإمکان أن یتمّ إلاّمن خلال طرح وجهة النظر غیر الصحیحة ومناقشتها ، ومستوی الحلقة لا یتحّمل استیعاب کلّ ذلک ، فاقتصرنا علی إعطاء وجهة النظر غیر الصحیحة ؛ مؤجّلین إعطاء وجهة النظر النهائیة إلی حلقةٍ تالیةٍ أو إلی أبحاث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التعرّف علی آرائنا النهائیة من خلال هذه الحلقات حتی ولو صِیغَ بیان الرأی فیها صیاغةً تدلّ علی التبنّی والارتضاء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الحلقات الثلاث تحمل جمیعاً منهجاً واحداً تستوعب کلّ واحدةٍ </w:t>
      </w:r>
    </w:p>
    <w:p>
      <w:pPr>
        <w:pStyle w:val="BookText"/>
        <w:rPr/>
      </w:pPr>
      <w:r>
        <w:rPr>
          <w:rFonts w:ascii="IRNazanin" w:hAnsi="IRNazanin" w:eastAsia="IRNazanin"/>
          <w:color w:val="111111"/>
          <w:sz w:val="28"/>
          <w:sz w:val="28"/>
          <w:szCs w:val="28"/>
          <w:rtl w:val="true"/>
          <w:lang w:bidi="fa-IR"/>
        </w:rPr>
        <w:t xml:space="preserve">منها علم الاصول بکامله ، ولکنّها تختلف فی مستوی العرض کمّاً وکیفاً وتتدرّج فی ذلک فیعطی لطالب الحلقة الاولی أو الثانیة قدر محدّد من البحث فی کلّ مسألة ، ویؤجّل قدر آخر إلی المسألة من الحلقة التالیة ، وهذا التأجیل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أساس تقدیر قابلیة استیعاب الطالب وتفادی تحمیله ما یفوق هذه القابلیة ، أو علی أساس أنّ القدر الآخر مبنیّ علی مطالب ونکاتٍ متواجدةٍ فی مباحث اخری من المسائل الاصولیة ولم تعطَ فعلاً للطالب ، فیؤجَّل ذلک القدر من المسألة إلی أن یعطی للطالب هذه النکات التی یرتبط ذلک القدر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یتمثّل التدرّج فی العرض فی کلّ حلقةٍ بالنسبة إلی سابقتها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تمثّل أیضاً فی نفس الحلقة الواحدة وفقاً لنفس الأسباب من الناحیة الفنیة ، فالحلقة الثانیة تتصاعد بالتدریج ، والحلقة الثالثة یعتبر الجزء الثانی منها أعلی درجةً من الجزء الأوّل ؛ لأنّ الطالب کلّما قطع شوطاً أکبر فی الدراسة تعمّق ذهنیاً من ناحیة ، وازداد استیعاباً للمطالب الاصولیة من ناحیةٍ اخری ، وذلک یرشِّحه لتقبّل المزید من التحقیق فی ما یرتبط بتلک المطالب ویتوقّف علیها من نکات المسائل الاخری وحیثیاتها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نجد من الضروریّ حتی علی مستوی الحلقة الثالثة استیعاب کلّ الأدلّة التی یستدلّ بها علی هذا القول أو ذاک ، فبالنسبة إلی أصل البراءة والاحتیاط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نُحِط بکلّ الآیات والروایات التی استدلّ بها علی هذا أو ذاک ؛ لأنّ هذه الإحاطة إنّما تلزم فی بحث الخارج ، أو فی تألیفٍ یخاطب به العلماء من أجل تکوین رأیٍ نهائی ، فلا بدّ حینئذٍ من فحصٍ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الکتب الدراسیة لمرحلة السطح فلیس الغرض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الثقافة العامّة والإعداد ، وعلی هذاالأساس کنّا نؤثر فی کلّ مسألة الأدلّة ذات المغزی الفنّی ، ونهمل ما لایکون له محصّل من الناحیة الفنیة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تجاوزنا التحدید الموروث تأریخیاً للمسائل الاصولیة ، وأبرزنا ما </w:t>
      </w:r>
    </w:p>
    <w:p>
      <w:pPr>
        <w:pStyle w:val="BookText"/>
        <w:rPr/>
      </w:pPr>
      <w:r>
        <w:rPr>
          <w:rFonts w:ascii="IRNazanin" w:hAnsi="IRNazanin" w:eastAsia="IRNazanin"/>
          <w:color w:val="111111"/>
          <w:sz w:val="28"/>
          <w:sz w:val="28"/>
          <w:szCs w:val="28"/>
          <w:rtl w:val="true"/>
          <w:lang w:bidi="fa-IR"/>
        </w:rPr>
        <w:t>استجدَّ من مسائل وأعطیناها عناوینها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التصنیف الموروث للمسائل الاصولیة إلی مجموعتین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والأدلة العقلیة فلم نجد مبرّراً للعدول عن التصنیف الثنائی إلی مجموعتین إلی تصنیف آخر ، ولکن أدخلنا تعدیلاً علیه بجعل المجموعتین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الأدلّة ، ومباحث الاصول العملیة ، ثمّ صنّفنا المجموعة الاولی إلی الدلیل الشرعیّ والدلیل العقلی ، وقسَّمنا الکلام فی الدلیل الشرعیّ إلی البحث فی الدلالة ، والبحث فی السند ، والبحث فی حجیة الظهور ، کلّ ذلک من أجل تقریب التصنیف الاصولی للمسائل إلی واقع عملیة الاستنباط وما یقع فیها من تصنیفٍ للمواقف ، فکما أنّ عملیة الاستنباط تشتمل علی مرحلتین مترتبتین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والاصول کذلک البحث فی علم الاصول یصنَّف إلی هذین الصنفین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 الفقیه فی مجال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یستدلّ بالدلیل الشرعی ، واخری بالدلیل العقلی کذلک علم الاصول یبحث الأدلة الشرعیة تارةً ، والأدلة العقلیة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الفقیه حین یواجه دلیلاً شرعیاً یتکلّم عنه دلالةً وسنداً وجهةً کذلک علم الاصول یبحث الجهات الثلاث فی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الحرص علی تطبیق التصنیف الاصولی للقواعد علی عملیة الاستنباط قد لا یکون له مغزیً من الناحیة الفنیة البحتة ، ولکنّه مهمّ من الناحیة التربویة ، وجعل الطالب مأنوس الذهن بالقواعد الاصولیة بمواقعها المحدّدة فی عملیة الاستنباط ، وهذا یمتاز علی التصنیف الثنائی المشهور ، ویمتاز علی التصنیف الرباعیّ الذی اقترحه المحقّق الإصفهانیّ وسار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فی کلا التصنیفین تُفصَل حجّیة الظهور وحجّیة السند عن أبحاث الدلالة ، بینما الجهات الثلاث متلاحمة مترابطة فی عملیة الاستنباط ، فلکی یوحی التصنیف بصورةٍ للقواعد الاصولیة تتّفق مع مواقعها فی عملیة الاستنباط لابدّ من اتّباع ما ذکرناه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لاحظنا فی استعراضنا لآحاد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التصنیف المذکور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الابتداء بالبسیط ، والانتهاء إلی المعقّد والتدرّج فی عرضها حسب درجات تعقیداتها وترابطاتها ، وحرصنا علی أن لا نعرض مسألةً إلاّبعد أن نکون قد استوفینا مسبقاً کلّ ما له دخل فی تحدید التصوّرات العامّة فیها ، وأن لا نعطی فی کلّ مسألةٍ من الاستدلال والبحث إلاّبالقدر الذی تکون اصوله الموضوعیة مفهومةً بلا حاجةٍ إلی الرجوع إلی مسألةٍ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کلّفنا هذا فی جملةٍ من الأحیان أن نغیِّر ترتیب المسائل من حلقةٍ إلی اخری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الکلام عن امتناع اجتماع الأمر والنهی علی الکلام عن بحث الملازمة بین وجوب الشیء ووجوب مقدمته فی الحلقة الثانیة ، بینما عکسنا المطلب فی الحلقة الثالثة ، والنکتة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إبراز بعض النکات فی مسالة الوجوب الغیریّ للمقدمة یتوقّف علی فهمٍ مسبقٍ لمسألة الامتناع ، من قبیل اقتناص الثمرة بلحاظ أداء القول بالوجوب الغیریّ لمطلق المقدمة إلی سقوط الحرمة ؛ حتی عن المقدمة غیر الموصلة لامتناع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إبراز بعض النکات فی مسألة الامتناع ینبغی أن یکون بعد الإحاطة بحال الوجوب الغیریّ من قبیل أنّ امتناع الاجتماع کما یکون فی الأمر النفسی مع النهی کذلک فی الأمر الغیریّ مع النهی أیضاً ، ففی الحلقة الثانیة أبرزنا الثمرة فی بحث الوجوب الغیری ، فناسب تأخیره عن بحث الامتناع ، وفی الحلقة الثالثة أبرزنا تعمیم الامتناع للأوامر الغیریة ، فناسب تأخیره عن بحث الوجوب الغیری ، وهکذا جاء الترتیب بین المسائل مختلفاً فی الحلقتین ؛ لنکتةٍ من هذا القبیل ، أو لنکاتٍ اخری مقاربة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أنّ تعدّد الحلقات شیء ضروریّ لتحقیق المنهج الذی رسمناه ؛ لأنّ إعطاء مجموع الکمّیة الموزّعة للمسألة الواحدة فی الحلقات الثلاث ضمن حلقةٍ واحدةٍ تحمیل فجائیّ للطالب فوق ما یطیقه ، ویکون جزء من تلک الکمّیة عادةً مبنیّاً علی مسائل اخری بعدُ لم یتّضح للطالب حالها ، بل إنَّا وجدنا أنّ تثلیث الحلقات شیء ضروریّ أیضاً علی الرغم من أنّ الحلقة الاولی یبدو أنّها </w:t>
      </w:r>
    </w:p>
    <w:p>
      <w:pPr>
        <w:pStyle w:val="BookText"/>
        <w:rPr/>
      </w:pPr>
      <w:r>
        <w:rPr>
          <w:rFonts w:ascii="IRNazanin" w:hAnsi="IRNazanin" w:eastAsia="IRNazanin"/>
          <w:color w:val="111111"/>
          <w:sz w:val="28"/>
          <w:sz w:val="28"/>
          <w:szCs w:val="28"/>
          <w:rtl w:val="true"/>
          <w:lang w:bidi="fa-IR"/>
        </w:rPr>
        <w:t xml:space="preserve">ضئیلة الأهمّیة ، وقد یتصوّر الملاحظ فی بادئ الأمر إمکان الاستغناء عنها نهائیاً ، ولکنّ الصحیح عدم إمکان ذلک ؛ لأنّنا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نبدأ بحلقةٍ استدلالیةٍ تشتمل علی نقضٍ وإبرام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تزوید الطالب بتصوّراتٍ عن المطالب والقواعد الاصولیة ؛ حتّی یکون بالإمکان فی تلک الحلقة الاستدلالیة أن نضمِّن استدلالنا ونقضنا وإبرامنا لهذه المسألة أو تلک ، هذا المطلب الاصولی أو ذاک ، ولهذا رأینا أن نضع الحلقة الاولی لإعطاء هذه التصوّرات العلمیة ، فیخرج منها الطالب وهو یعرف معنی الظهور التصوّری والتصدیقی ، والأمارة ، والأصل ، والمنجّزیة ، والمعذّریة ، والجعل ، والمجعول ، والمعنی الاسمی والحرفی ، والحاکم ، والوارد ، والمخصِّص ، والقرینة المتّصلة والمنفصلة ، والإطلاق والعموم والفرق بینهما ، إلی کثیرٍ من هذه المصطلحات والمقولات الاصولیة التی تحتاج الحلقة الاستدلالیة إلی استخدامها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ونضع الحلقة الثانیة بوصفها حلقةً استدلالیةً بحقّ ، ولکن بدرجةٍ تتناسب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الحلقة الثالثة المستوی الأعلی من الاستدلال الذی یکفی لتحقیق الهدف المطلوب من دراسة السطح</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حلقةٍ وإن کانت تستعرض علم الاصول ومباحثه علی العموم ولکن مع هذا قد نذکر بعض المسائل الاصولیة أو النکات فی حلقةٍ ثمّ لا نعید بحثها فی الحلقة التالیة اکتفاءً بما تقدم ؛ لاستیفاء حاجة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مرحلة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المقدار ، وهذا 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الطرق التی یمکن استعمالها لإثبات السیرة المعاصرة للمعصومین علیهم‌السلام ، فإنّنا استعرضنا أربع طرقٍ فی الحلقة الثانیة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ولم نجد موجباً لإعادة البحث عن ذلک فی الحلقة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نجمع کلّ الکمّیة التی تحتاجها مرحلة السطح فی حلقةٍ متقدمةٍ أحیاناً لأحد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لسهولة مفردات الکمّیة وإمکان تفهّمها من قبل طلبة تلک الحلقة ، وإمّا لوجود حاجةٍ ماسّةٍ إلی تفهّم تلک الکمّیة بکاملها فی تلک الحلقة بالذات ، لارتباط فهم جملةٍ من مسائلها الاخری بذلک ، وإمّا للأمرین معاً ، کما هو الحال فی البحث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بحث الطرق لإثبات السیرة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بحث عرفیّ قریب من الفهم ، ولیس طالب الحلقة الثانیة بحاجةٍ إلی مِرانٍ علمیٍّ أکبر لاستیعابه ، وهو فی نفس الوقت یشکّل الأساس لفهم طریقة استدلال الحلقة نفسها بالسیرة علی حجّیة خبر الثقة ، وعلی حجّیة الظهور ، وعلی حجّیة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نُدخِل علی العبارة الاصولیة تطویراً مهمّاً ، ولم نتوخَّ أن تکون العبارة فی الحلقات الثلاث وفقاً لأسالیب التعبیر الحدیث ، وإنّما حاولنا ذلک إلی حدّمّا فی الحلقة الاولی فقط ، وأمّا فی الحلقتین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والثالثة فقد حرصنا أن تکون العبارة سلیمةً ووافیةً بالمعنی ، ولکن لم نحاول جعلها حدیثة ، ولهذا جاء التعبیر فی الحلقتین العالیتین مقارباً فی روحه العامّة للتعبیر المألوف فی الکتب العلمیة الاصولیة ، وإن تمیّز عنه بالسلامة والوضوح ووفاء العبارة بالمعنی ، ولیس ذلک لعدم إیماننا بأهمّیة تنشئة الطالب الحوزویّ علی أسالیب التعبیر الحدیث ، بل لاعتبارین آخرین قدَّمناهما علی ذلک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نرید أن نمکِّن الطالب تدریجاً من الرجوع إلی الکتب العلمیة الاصولیة القائمة فعلاً وفهمها ، وهذا لا یتأتّی إلاّإذا خاطبناه بعبارةٍ قریبةٍ من مفردات تلک الکتب ، ولقّنَّاه من خلال الحلقات الثلاث المطالب الاصولیة بنفس المصطلحات التی تستعملها تلک الکتب ، حتی ولو کانت هذه المصطلحات تشتمل </w:t>
      </w:r>
    </w:p>
    <w:p>
      <w:pPr>
        <w:pStyle w:val="BookText"/>
        <w:rPr/>
      </w:pPr>
      <w:r>
        <w:rPr>
          <w:rFonts w:ascii="IRNazanin" w:hAnsi="IRNazanin" w:eastAsia="IRNazanin"/>
          <w:color w:val="111111"/>
          <w:sz w:val="28"/>
          <w:sz w:val="28"/>
          <w:szCs w:val="28"/>
          <w:rtl w:val="true"/>
          <w:lang w:bidi="fa-IR"/>
        </w:rPr>
        <w:t>علی خطاً فی ترکیبها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کتبنا الحلقات الثلاث بأسالیب التعبیر الحدیث ووضعنا بدیلاً مناسباً عن المصطلحات القدیمة فسوف تنقطع صلة الطالب بمراجع هذا العلم وکتبه ، ویتعسّر علیه الرجوع الیها ، وهذا یشکّل عقبةً کبیرةً تواجه نموّه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اکتفینا من التجدید فی أسالیب التعبیر الاصولی بما انجِز فی الحلقة الاولی ، وانتقلنا بالطالب فی الحلقتین العالیتین إلی أرضیةٍ لغویةٍ قریبةٍ ممّا هو مألوف فی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والاعتبار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الکتب الدراسیّة الاصولیّة والفقهیّة المکتوبة باللغة العربیّة تتمیَّز عن أیِّ کتابٍ درا سیٍّ عربیٍّ فی العلوم المدنیّة بأنّها کتبٌ لا تختصّ بأبناء لغةٍ دون لغة ، وکما یدرسها العربیّ کذلک یدرسها الفارسیّ والهندیّ والأفغانیّ وغیرهم من أبناء الشعوب المختلفة فی العالم الإسلامی ، علی الرغم من کونها کتباً عربیة ، وهؤلاء یتلقَّون ثقافتهم العربیة من المصادر القدیمة التی لا تهیّئ لهم قدرةً کافیةً لفهم اللغة العربیّة بأسالیبها الحدیثة ، فما لم یحصل بصورةٍ مسبقةٍ تطویر وتعدیل فی أسالیب تثقیف هؤلاء وتعلیمهم اللغة العربیة یصعب اتّخاذ أسالیب التعبیر الحدیث أساساً للتعبیر فی الکتب الدراسیّة الاصولیّة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آنفاً إلی أنَّا حرصنا علی سلامة العبارة ، وأن تکون واضحةً وافیةً بالمعنی ، ولکنّ هذا لا یعنی أن تُفهَم المطالب من العبارة رأساً ، وإنّما توخّینا الوضوح والسلامة بالدرجة التی تضمن أن تُفهَم المطالب من العبارة فی حالة دراستها علی الاستاذ المختصّ بالمادة ؛ لأنّ الکتاب الدراسیّ لا یطلب منه التبسیط أکثر من ذلک ،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یمکن للطالب الألمعیّ فی بعض الحالات أن یمرّ علی الحلقة الاولی مروراً سریعاً مع الاستاذ ، أو یقرأها بصورةٍ منفردةٍ ویراجع </w:t>
      </w:r>
    </w:p>
    <w:p>
      <w:pPr>
        <w:pStyle w:val="BookText"/>
        <w:rPr/>
      </w:pPr>
      <w:r>
        <w:rPr>
          <w:rFonts w:ascii="IRNazanin" w:hAnsi="IRNazanin" w:eastAsia="IRNazanin"/>
          <w:color w:val="111111"/>
          <w:sz w:val="28"/>
          <w:sz w:val="28"/>
          <w:szCs w:val="28"/>
          <w:rtl w:val="true"/>
          <w:lang w:bidi="fa-IR"/>
        </w:rPr>
        <w:t>الاستاذ فی بعض النقاط منها ، إلاّأنّ هذا استثناء ، والمفروض علی العموم أن تدرس الحلقات الثلاث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تختلف الحلقات الثلاث عن الکتب الدراسیّة الاصولیّة القائمة فعلاً ، وتتّفق مع مناهج الکتب الدراسیّة الحدیثة ، فإنّ الکتب الدراسیّة الاصولیّة القائمة فعلاً لا تحتوی علی الصعوبة والتعقید فی الجانب المعنویّ والفکریّ منها فقط ، بل إنّها تشتمل علی الصعوبة والتعقید فی الجانب اللفظیّ والتعبیریّ أیضاً ، ولهذا تجد عادةً أنّ المدرِّس حتّی بعد أن یشرح الفکرة للطالب تظلّ العبارة مستعصیةً علی الفهم ، ویحسّ الطالب بالحاجة إلی عون الاستاذ فی سبیل تطبیق تلک الفکرة علی العبارة جملةً جملةً ، ولیس ذلک إلاّ لأنّ العبارة قد طُعِّمت بشیءٍ من الألغاز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لإیجازها ، أو للالتواء فی صیاغتها ، أو لکلا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الکتب الدراسیة التی تسیر علیها مناهج الدراسة فی العالم الیوم لا تحتوی علی هذه الصعوبة ؛ لأنّ العبارة فیها وافیة ، وهذا ما جرینا علیه فی هذه الحلقات ، فقد جاءت العبارة فیها وافیةً بالمراد ، لا بمعنی أنّ الطالب یقتنص المراد من العبارة فقط ، بل بمعنی أنّه حین یشرح له استاذه المعنی یجده منطبقاً علی العبارة ، ولا یحسّ فی التعبیر بالتواءٍ وتعقید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راغباً فی التأکید من جدیدٍ علی أنّ تبنّی وجهة نظرٍ أو طریقة استدلالٍ أو مناقشة برهانٍ فی هذه الحلقات لا یدلّ علی اختیار ذلک حقّاً ، کما أنّ المضمون الکامل للحلقات الثلاث لا یمثّل الوضع التفصیلیّ لمباحثنا الاصولیة ، ولا یصل إلی مداها کمّاً أو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علی الراغبین فی الاطّلاع علی متبنَّیاتنا الحقیقیة فی الاصول وعلی نظریاتنا وأسالیب استدلالنا بکامل أبعادها أن یرجعوا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علم الاصول</w:t>
      </w:r>
      <w:r>
        <w:rPr>
          <w:rFonts w:eastAsia="IRNazanin" w:cs="IRNazanin"/>
          <w:color w:val="111111"/>
          <w:sz w:val="28"/>
          <w:szCs w:val="28"/>
          <w:rtl w:val="true"/>
          <w:lang w:bidi="fa-IR"/>
        </w:rPr>
        <w:t xml:space="preserve">». </w:t>
      </w:r>
      <w:bookmarkStart w:id="41" w:name="pg14075_144416"/>
    </w:p>
    <w:p>
      <w:pPr>
        <w:pStyle w:val="Heading4"/>
        <w:numPr>
          <w:ilvl w:val="3"/>
          <w:numId w:val="1"/>
        </w:numPr>
        <w:rPr/>
      </w:pPr>
      <w:bookmarkStart w:id="42" w:name="__RefHeading___Toc508640_1738255347"/>
      <w:bookmarkStart w:id="43" w:name="_Toc13"/>
      <w:bookmarkEnd w:id="41"/>
      <w:bookmarkEnd w:id="42"/>
      <w:r>
        <w:rPr>
          <w:rtl w:val="true"/>
        </w:rPr>
        <w:t>[</w:t>
      </w:r>
      <w:r>
        <w:rPr>
          <w:rtl w:val="true"/>
        </w:rPr>
        <w:t>إرشادات فی مجال دراسة هذا الکتاب</w:t>
      </w:r>
      <w:r>
        <w:rPr>
          <w:rtl w:val="true"/>
        </w:rPr>
        <w:t>]</w:t>
      </w:r>
      <w:bookmarkEnd w:id="43"/>
    </w:p>
    <w:p>
      <w:pPr>
        <w:pStyle w:val="BookText"/>
        <w:rPr/>
      </w:pPr>
      <w:r>
        <w:rPr>
          <w:rFonts w:ascii="IRNazanin" w:hAnsi="IRNazanin" w:eastAsia="IRNazanin"/>
          <w:color w:val="111111"/>
          <w:sz w:val="28"/>
          <w:sz w:val="28"/>
          <w:szCs w:val="28"/>
          <w:rtl w:val="true"/>
          <w:lang w:bidi="fa-IR"/>
        </w:rPr>
        <w:t xml:space="preserve">بقی أخیراً أن نوجِّه بعض الإرشادات إلی الطلبة الکرام الذین اعدَّت هذه الحلقات الثلاث لهم وإلی أساتذتهم الأعلام ، وذلک ضمن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الجدیر بتدریس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علی تدریس الحلقات الثلاث جمیعاً ، کما أنّ القادر علی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علی تدریس الحلقة الاولی ، والقادر علی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تدریس الحلقة الثانیة بدون شکٍّ فضلاً عن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المرجّح لطلبة الحلقة الثالثة أن یطالعوا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درس کلّ مسألةٍ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نفسها من الحلقة السابقة ؛ لأنّ ذلک یساعدهم علی سرعة تفهّم الدرس الجدید الذی کثیراً ما یشتمل جزء منه علی نفس المطالب المتقدمة فی الحلقة السابقة ، ولکن بشکلٍ مضغوطٍ وموجز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أنّا نرجّح لمن یقوم بتدریس الحلقة الثانیة أن یطالع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المبحث من الحلقةالثالثة ؛ لأنّ ذلک یعطیه رؤیةًأوضح لمایرید أن یتولّی 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طلبة الحلقة الاولی یناسبهم أن یطالعوا المعالم الجدیدة فی الاصول ؛ لأنّ هذه الحلقة هی اختصار مع شیءٍ من التعدیل والتطویر لکتاب المعالم الجدیدة فی الاصول ، والفارق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وضعناه أدخلنا فی حسابنا الهُواة أیضاً ، وحاولنا أن نشرح الأفکار فیه بطریقةٍ تُتیح لهم أن یفهموها من الکتاب نفسه بدون حاجةٍ إلی مدرِّس ، وأمّا الحلقة الاولی من هذه الحلقات الثلاث فقد وضعناها لطلبة العلم خاصّة ، وافترضنا أنّها تُتلقّی من خلال الدرس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المفید أن یتّخذ الطالب من بعض الکتب الدراسیة القدیمة مراجع له ، ککتابی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البحث ، وحیث إنّ المنهجة </w:t>
      </w:r>
    </w:p>
    <w:p>
      <w:pPr>
        <w:pStyle w:val="BookText"/>
        <w:rPr/>
      </w:pPr>
      <w:r>
        <w:rPr>
          <w:rFonts w:ascii="IRNazanin" w:hAnsi="IRNazanin" w:eastAsia="IRNazanin"/>
          <w:color w:val="111111"/>
          <w:sz w:val="28"/>
          <w:sz w:val="28"/>
          <w:szCs w:val="28"/>
          <w:rtl w:val="true"/>
          <w:lang w:bidi="fa-IR"/>
        </w:rPr>
        <w:t xml:space="preserve">مختلفة فالمأمول فی مدرّسی الحلقة الثالثة أن یرشدوا تلامذتهم إلی موضع المسألة التی یدرسونها ، ومحلّ التعرّض لها فی کتابی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ذلک یوسّع من مدارک الطالب ویُسرِع به نحو النضج العلمیّ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للطالب أن یحاول استیعاب شرح الاستاذ وکتابته ؛ لکی تنمو لدیه ملکة الکتابة العلمیة ، وتترسَّخ فی ذهنه مصطلحات العلم ولغته وأفکاره ، ویکون أکثر استعداداً لکتابة أبحاث الخارج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ونسأل المولی سبحانه وتعالی أن یتقبَّل هذا بلطفه ، وینفع به طلبتنا وأبناءنا الأعزّاء فی الحوزات العلمیة ، وأن ینفعنا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والحمدلله ربّ العالمین ، ولاحول ولاقوّة إلاّبالله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الصدر </w:t>
      </w:r>
      <w:bookmarkStart w:id="44" w:name="pg14075_144418"/>
    </w:p>
    <w:p>
      <w:pPr>
        <w:pStyle w:val="Heading3"/>
        <w:numPr>
          <w:ilvl w:val="2"/>
          <w:numId w:val="1"/>
        </w:numPr>
        <w:rPr/>
      </w:pPr>
      <w:bookmarkStart w:id="45" w:name="__RefHeading___Toc508642_1738255347"/>
      <w:bookmarkStart w:id="46" w:name="_Toc14"/>
      <w:bookmarkEnd w:id="44"/>
      <w:bookmarkEnd w:id="45"/>
      <w:r>
        <w:rPr>
          <w:rtl w:val="true"/>
        </w:rPr>
        <w:t>مُقَدّمَة للحلقة الاولی</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هی الحلقة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للمبتدئین بدراسة هذا العلم ، وتتبعها حلقتان اخریان إن شاء الله تعالی ، ویتکامل من خلال الحلقات الثلاث إعداد الطالب للدراسة العلیا وحضور أبحاث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شرحنا فی مقدمة هذه الحلقة ما یتعلّق بهذه الحلقات الثلاث ، ومنهجها ، وطریقة تدریسها ، ومن الله سبحانه نستمدّ العون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جمادی</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محمّد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الصدر </w:t>
      </w:r>
      <w:bookmarkStart w:id="47" w:name="pg14075_144419"/>
    </w:p>
    <w:p>
      <w:pPr>
        <w:pStyle w:val="Heading3"/>
        <w:numPr>
          <w:ilvl w:val="2"/>
          <w:numId w:val="1"/>
        </w:numPr>
        <w:rPr/>
      </w:pPr>
      <w:bookmarkStart w:id="48" w:name="__RefHeading___Toc508644_1738255347"/>
      <w:bookmarkStart w:id="49" w:name="_Toc15"/>
      <w:bookmarkEnd w:id="47"/>
      <w:bookmarkEnd w:id="48"/>
      <w:r>
        <w:rPr>
          <w:rtl w:val="true"/>
        </w:rPr>
        <w:t>التمهید</w:t>
      </w:r>
      <w:bookmarkEnd w:id="49"/>
    </w:p>
    <w:p>
      <w:pPr>
        <w:pStyle w:val="Heading4"/>
        <w:numPr>
          <w:ilvl w:val="3"/>
          <w:numId w:val="1"/>
        </w:numPr>
        <w:rPr/>
      </w:pPr>
      <w:bookmarkStart w:id="50" w:name="__RefHeading___Toc508646_1738255347"/>
      <w:bookmarkStart w:id="51" w:name="_Toc16"/>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التعریف بعلم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عملیّة الاستنباط</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4075_144422"/>
      <w:bookmarkStart w:id="53" w:name="pg14075_144422"/>
      <w:bookmarkEnd w:id="53"/>
    </w:p>
    <w:p>
      <w:pPr>
        <w:pStyle w:val="Heading4"/>
        <w:numPr>
          <w:ilvl w:val="3"/>
          <w:numId w:val="1"/>
        </w:numPr>
        <w:rPr/>
      </w:pPr>
      <w:bookmarkStart w:id="54" w:name="pg14075_144422"/>
      <w:bookmarkStart w:id="55" w:name="__RefHeading___Toc508648_1738255347"/>
      <w:bookmarkStart w:id="56" w:name="_Toc17"/>
      <w:bookmarkEnd w:id="54"/>
      <w:bookmarkEnd w:id="55"/>
      <w:r>
        <w:rPr>
          <w:rtl w:val="true"/>
        </w:rPr>
        <w:t>التعریف بعلمِ الاصول</w:t>
      </w:r>
      <w:bookmarkEnd w:id="56"/>
    </w:p>
    <w:p>
      <w:pPr>
        <w:pStyle w:val="Heading5"/>
        <w:numPr>
          <w:ilvl w:val="4"/>
          <w:numId w:val="1"/>
        </w:numPr>
        <w:rPr/>
      </w:pPr>
      <w:bookmarkStart w:id="57" w:name="__RefHeading___Toc508650_1738255347"/>
      <w:bookmarkStart w:id="58" w:name="_Toc18"/>
      <w:bookmarkEnd w:id="57"/>
      <w:r>
        <w:rPr>
          <w:rtl w:val="true"/>
        </w:rPr>
        <w:t>کلمة تمهیدیة</w:t>
      </w:r>
      <w:bookmarkEnd w:id="58"/>
    </w:p>
    <w:p>
      <w:pPr>
        <w:pStyle w:val="BookText"/>
        <w:rPr/>
      </w:pPr>
      <w:r>
        <w:rPr>
          <w:rFonts w:ascii="IRNazanin" w:hAnsi="IRNazanin" w:eastAsia="IRNazanin"/>
          <w:color w:val="111111"/>
          <w:sz w:val="28"/>
          <w:sz w:val="28"/>
          <w:szCs w:val="28"/>
          <w:rtl w:val="true"/>
          <w:lang w:bidi="fa-IR"/>
        </w:rPr>
        <w:t>بعد أن آمن الإنسان بالله والإسلام والشریعة ، وعرف أنّه مسؤول بحکم کونه عبداً لله تعالی عن امتثال أحکامه یصبح ملزماً بالتوفیق بین سلوکه فی مختلف مجالات الحیاة والشریعة الإسلامیة ، وباتّخاذ الموقف العملیّ الذی تفرضه علیه تبعیّته للشریعة ، ولأجل هذا کان لزاماً علی الإنسان أن یعیِّن هذا الموقف العملی ، ویعرف کیف یتصرّف فی 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أحکام الشریعة فی کلّ الوقائع واضحةً وضوحاً بدیهیاً للجمیع لکان تحدید الموقف العملیّ المطلوب تجاه الشریعة فی کلّ واقعةٍ أمراً میسوراً لکلّ أحد ، ولمَا احتاج إلی بحثٍ علمیٍّ ودراسةٍ واسعة ، ولکنّ عوامل عدیدة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بعدنا الزمنی عن عصر التشریع أدّت إلی عدم وضوح عددٍ کبیرٍ من أحکام الشریعة واکتنافها بالغموض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کان من الضروریِّ أن یوضع علم یتولّی دفع الغموض عن الموقف العملیِّ تجاه الشریعة فی کلّ واقعةٍ بإقامة الدلیل علی تعیینه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 فقد انشئ علم الفقه للقیام بهذه المهمّة ، فهو یشتمل علی تحدید الموقف العملیّ تجاه الشریعة تحدیداً استدلالیاً ، والفقیه فی علم الفقه یمارس إقامة الدلیل علی تعیین الموقف العملیّ فی کلّ حدثٍ من أحداث الحیاة ، وهذا ما نطلق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استنباط الحکم الشرعی</w:t>
      </w:r>
      <w:r>
        <w:rPr>
          <w:rFonts w:eastAsia="IRNazanin" w:cs="IRNazanin"/>
          <w:color w:val="111111"/>
          <w:sz w:val="28"/>
          <w:szCs w:val="28"/>
          <w:rtl w:val="true"/>
          <w:lang w:bidi="fa-IR"/>
        </w:rPr>
        <w:t xml:space="preserve">». </w:t>
      </w:r>
      <w:bookmarkStart w:id="59" w:name="pg14075_144423"/>
    </w:p>
    <w:p>
      <w:pPr>
        <w:pStyle w:val="BookText"/>
        <w:rPr/>
      </w:pPr>
      <w:bookmarkEnd w:id="59"/>
      <w:r>
        <w:rPr>
          <w:rFonts w:ascii="IRNazanin" w:hAnsi="IRNazanin" w:eastAsia="IRNazanin"/>
          <w:color w:val="111111"/>
          <w:sz w:val="28"/>
          <w:sz w:val="28"/>
          <w:szCs w:val="28"/>
          <w:rtl w:val="true"/>
          <w:lang w:bidi="fa-IR"/>
        </w:rPr>
        <w:t xml:space="preserve">ولأجل هذا یمکن القول بأنّ علم الفقه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استنباط الأحکام الشرعیة ، أو علم عملیة الاستنباط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وتحدید الموقف العملیّ بدلیلٍ یتمّ فی علم الفقه باسلوبین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بتعیین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الوظیفة العملیة تجاه الحکم المشکوک بعد استحکام الشکّ وتعذّر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التی تستعمل فی الاسلوب الأوّل نسمّیها بالأدلّة ، أو الأدلة المحرزة ، إذ یُحرز بها الحکم الشرعی ، والأدلّة التی تستعمل فی الاسلوب الثانی تسمّی بالأدلّة العملیة ، أو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الاسلوبین یمارس الفقیه فی علم الفقه استنباط الحکم الشرعی ، أی یحدِّد الموقف العملیّ تجاهه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وعملیات الاستنباط التی یشتمل علیها علم الفقه بالرغم من تعدّدها وتنوّعها تشترک فی عناصر موحّدةٍ وقواعد عامّة تدخل فیها علی تعدّدها وتنوّعها ، وقد تطلّبت هذه العناصر المشترکة فی عملیة الاستنباط وضع علمٍ خاصٍّ بها لدراستها وتحدیدها وتهیئتها لعلم الفقه ، فکان علم الاصول</w:t>
      </w:r>
      <w:r>
        <w:rPr>
          <w:rFonts w:eastAsia="IRNazanin" w:cs="IRNazanin"/>
          <w:color w:val="111111"/>
          <w:sz w:val="28"/>
          <w:szCs w:val="28"/>
          <w:rtl w:val="true"/>
          <w:lang w:bidi="fa-IR"/>
        </w:rPr>
        <w:t>.</w:t>
      </w:r>
    </w:p>
    <w:p>
      <w:pPr>
        <w:pStyle w:val="Heading5"/>
        <w:numPr>
          <w:ilvl w:val="4"/>
          <w:numId w:val="1"/>
        </w:numPr>
        <w:rPr/>
      </w:pPr>
      <w:bookmarkStart w:id="60" w:name="__RefHeading___Toc508652_1738255347"/>
      <w:bookmarkStart w:id="61" w:name="_Toc19"/>
      <w:bookmarkEnd w:id="60"/>
      <w:r>
        <w:rPr>
          <w:rtl w:val="true"/>
        </w:rPr>
        <w:t>تعریف علم الاصول</w:t>
      </w:r>
      <w:bookmarkEnd w:id="61"/>
    </w:p>
    <w:p>
      <w:pPr>
        <w:pStyle w:val="BookText"/>
        <w:rPr/>
      </w:pPr>
      <w:r>
        <w:rPr>
          <w:rFonts w:ascii="IRNazanin" w:hAnsi="IRNazanin" w:eastAsia="IRNazanin"/>
          <w:color w:val="111111"/>
          <w:sz w:val="28"/>
          <w:sz w:val="28"/>
          <w:szCs w:val="28"/>
          <w:rtl w:val="true"/>
          <w:lang w:bidi="fa-IR"/>
        </w:rPr>
        <w:t xml:space="preserve">وعلی هذا الأساس نری أن یُعرَّف علم الاصول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بالعناصر المشترکة فی عملیة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نستوعب هذا التعریف یجب أن نعرف ما هی العناصر المشترکة فی عملیة الاستنباط؟</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بدائیة من هذه العملیة فی صیغٍ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نصل عن طریق دراسة هذه النماذج والمقارنة بینها إلی فکرة العناصر المشترکة فی </w:t>
      </w:r>
    </w:p>
    <w:p>
      <w:pPr>
        <w:pStyle w:val="BookText"/>
        <w:rPr/>
      </w:pPr>
      <w:r>
        <w:rPr>
          <w:rFonts w:ascii="IRNazanin" w:hAnsi="IRNazanin" w:eastAsia="IRNazanin"/>
          <w:color w:val="111111"/>
          <w:sz w:val="28"/>
          <w:sz w:val="28"/>
          <w:szCs w:val="28"/>
          <w:rtl w:val="true"/>
          <w:lang w:bidi="fa-IR"/>
        </w:rPr>
        <w:t>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افرضوا أنّ فقیهاً واجه هذه الأسئلة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الصائم أن یرتمس فی الماء؟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الشخص إذا ورِث مالاً من أبیه أن یؤدّی خمسه؟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تبطل الصلاة بالقهقهة فی أثنائها؟</w:t>
      </w:r>
    </w:p>
    <w:p>
      <w:pPr>
        <w:pStyle w:val="BookText"/>
        <w:rPr/>
      </w:pPr>
      <w:r>
        <w:rPr>
          <w:rFonts w:ascii="IRNazanin" w:hAnsi="IRNazanin" w:eastAsia="IRNazanin"/>
          <w:color w:val="111111"/>
          <w:sz w:val="28"/>
          <w:sz w:val="28"/>
          <w:szCs w:val="28"/>
          <w:rtl w:val="true"/>
          <w:lang w:bidi="fa-IR"/>
        </w:rPr>
        <w:t xml:space="preserve">فإذا أراد الفقیه أن یجیب علی هذه الأسئلة فإنّه سوف یجیب علی السؤال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بالإیجاب ، وأ نّه یحرم الارتماس علی الصائم ، ویستنبط ذلک بالطریقة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روایة یعقوب بن شعیب عن الإمام الصادق علیه‌السلام علی حرمة الارتماس علی الصائم ، فقد جاء فیها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یرتمس المحرِم فی الماء ، ولا الصائم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والجملة بهذا الترکیب تدلّ فی العرف العامّ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وراوی النصّ یعقوب بن شعیب ثقة ، والثقة وإن کان قد یخطئ أو یشذّ أحیاناً ولکنّ الشارع أمرنا بعدم اتّهام الثقة بالخطأ أو الکذب ، واعتبره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الارتماس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ویجیب الفقیه علی السؤال الثانی بالنفی ؛ لأنّ روایة علیّ بن مهزیار جاءت فی مقام تحدید الأموال التی یجب فیها الخمس ، وورد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الخمس ثابت فی المیراث الذی لا یحتسب من غیر أبٍ ولا ابن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والعرف العامّ یفهم من هذه الجملة أنّ الشارع لم یجعل خمساً علی المیراث الذی ینتقل من الأب إلی ابنه ، والراوی ثقة ، وخبر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فی ترکة الأب غیر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ویجیب الفقیه علی السؤال الثالث بالإیجاب ؛ بدلیل روایة زرارة ، عن الإمام الصادق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القهقهة لا تنقض الوضوء ، وتنقض الصلاة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والعرف العامّ یفهم من النقض أنّ الصلاة تبطل بها ، وزرارة ثقة ، وخبر الثقة حجّة ، فالصلاة مع القهقهة باطلة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هذه المواقف الفقهیة الثلاثة نجد أنّ الأحکام التی استنبطها الفقیه کانت من أبوابٍ شتّی من الفقه ، وأنّ الأدلّة التی استند الیها الفقیه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الحکم الأوّل استند إلی روایة یعقوب بن شعیب ، وبالنسبة إلی الحکم الثانی استند إلی روایة علیّ بن مهزیار ، وبالنسبة إلی الحکم الثالث استند إلی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 الروایات الثلاث متنها وترکیبها اللفظیّ الخاصّ الذی یجب أن یدرس بدقّةٍ ویحدَّد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توجد فی مقابل هذا التنوّع وهذه الاختلافات بین المواقف الثلاثة عناصر مشترکة أدخلها الفقیه فی عملیة الاستنباط فی المواقف الثلاثة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العناصر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العرف العامّ فی فهم الکلام الصادر عن المعصوم ، وهو ما یعبّر عنه بحجّیة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فحجّیة الظهور إذن عنصر مشترک فی عملیات الاستنباط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یوجد عنصر مشترک آخر ، وهو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نستنتج أنّ عملیات الاستنباط تشتمل علی عناصر مشترکة ، کما تشتمل علی عناصر خاصّة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ونعنی بالعناصر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العناصر التی تتغیّر من مسألةٍ إلی اخری ، فروایة یعقوب بن شعیب عنصر خاصّ فی عملیة استنباط حرمة الارتماس ؛ لأنّها لم </w:t>
      </w:r>
      <w:bookmarkStart w:id="62" w:name="pg14075_144426"/>
    </w:p>
    <w:p>
      <w:pPr>
        <w:pStyle w:val="BookText"/>
        <w:rPr/>
      </w:pPr>
      <w:bookmarkEnd w:id="62"/>
      <w:r>
        <w:rPr>
          <w:rFonts w:ascii="IRNazanin" w:hAnsi="IRNazanin" w:eastAsia="IRNazanin"/>
          <w:color w:val="111111"/>
          <w:sz w:val="28"/>
          <w:sz w:val="28"/>
          <w:szCs w:val="28"/>
          <w:rtl w:val="true"/>
          <w:lang w:bidi="fa-IR"/>
        </w:rPr>
        <w:t>تدخل فی عملیات الاستنباطالاخری ، بل دخلت بدلاً عنها عناصر خاصّة اخری ، کروایة علی بن مهزیار وروایة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ونعنی بالعناصر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التی تدخل فی عملیات استنباط أحکامٍ عدیدةٍ فی أبوابٍ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علم الاصول تدرس العناصر المشترکة ، وفی علم الفقه تدرس العناصر الخاصّة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یترک للفقیه فی کلّ مسألةٍ أن یفحص بدقّةٍ الروایات والمدارک الخاصّة التی ترتبط بتلک المسألة ، ویدرس قیمة تلک الروایات ویحاول فهم ألفاظها وظهورها العرفی وأسانیدها ، بینما یتناول الاصولیّ البحث عن حجّیة الظهور وحجّیة الخبر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الاصول لا یحدّد العناصر المشترکة فحسب ، بل یحدّد أیضاً درجات استعمالها والعلاقة بینها ، کما سنری فی البحوث المقبلة إن شاء الله تعالی</w:t>
      </w:r>
      <w:r>
        <w:rPr>
          <w:rFonts w:eastAsia="IRNazanin" w:cs="IRNazanin"/>
          <w:color w:val="111111"/>
          <w:sz w:val="28"/>
          <w:szCs w:val="28"/>
          <w:rtl w:val="true"/>
          <w:lang w:bidi="fa-IR"/>
        </w:rPr>
        <w:t>.</w:t>
      </w:r>
    </w:p>
    <w:p>
      <w:pPr>
        <w:pStyle w:val="Heading5"/>
        <w:numPr>
          <w:ilvl w:val="4"/>
          <w:numId w:val="1"/>
        </w:numPr>
        <w:rPr/>
      </w:pPr>
      <w:bookmarkStart w:id="63" w:name="__RefHeading___Toc508654_1738255347"/>
      <w:bookmarkStart w:id="64" w:name="_Toc20"/>
      <w:bookmarkEnd w:id="63"/>
      <w:r>
        <w:rPr>
          <w:rtl w:val="true"/>
        </w:rPr>
        <w:t>موضوع علم الاصول</w:t>
      </w:r>
      <w:bookmarkEnd w:id="64"/>
    </w:p>
    <w:p>
      <w:pPr>
        <w:pStyle w:val="BookText"/>
        <w:rPr/>
      </w:pPr>
      <w:r>
        <w:rPr>
          <w:rFonts w:ascii="IRNazanin" w:hAnsi="IRNazanin" w:eastAsia="IRNazanin"/>
          <w:color w:val="111111"/>
          <w:sz w:val="28"/>
          <w:sz w:val="28"/>
          <w:szCs w:val="28"/>
          <w:rtl w:val="true"/>
          <w:lang w:bidi="fa-IR"/>
        </w:rPr>
        <w:t xml:space="preserve">لکلّ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أساسیّ ترتکز جمیع بحوثه علیه وتدور حوله ، وتستهدف الکشف عمّا یرتبط بذلک الموضوع من خصائص وحالاتٍ وقوانین ، فالفیزیاءُ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الطبیعة ، وبحوث الفیزیاء ترتبط کلّها بالطبیعة وتحاول الکشف عن حالاتها وقوانینها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 موضوعه الکلمة ؛ لأنّه یبحث عن حالات إعرابها وبنائها ورفعها ونصبها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موضوع علم الاصول الذی تدور حوله بحوثه؟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إذا لاحظنا التعریف الذی قدّمناه لعلم الاصول استطعنا أن نعرف أنّ علم الاصول یدرس فی الحقیقة الأدلّة المشترکة فی علم الفقه لإثبات دلیلیتها ، وبهذا </w:t>
      </w:r>
      <w:bookmarkStart w:id="65" w:name="pg14075_144427"/>
    </w:p>
    <w:p>
      <w:pPr>
        <w:pStyle w:val="BookText"/>
        <w:rPr/>
      </w:pPr>
      <w:bookmarkEnd w:id="65"/>
      <w:r>
        <w:rPr>
          <w:rFonts w:ascii="IRNazanin" w:hAnsi="IRNazanin" w:eastAsia="IRNazanin"/>
          <w:color w:val="111111"/>
          <w:sz w:val="28"/>
          <w:sz w:val="28"/>
          <w:szCs w:val="28"/>
          <w:rtl w:val="true"/>
          <w:lang w:bidi="fa-IR"/>
        </w:rPr>
        <w:t>صحّ القول بأنّ موضوع علم الاصول هو الأدلّة المشترکة فی عملیة الاستنباط</w:t>
      </w:r>
      <w:r>
        <w:rPr>
          <w:rFonts w:eastAsia="IRNazanin" w:cs="IRNazanin"/>
          <w:color w:val="111111"/>
          <w:sz w:val="28"/>
          <w:szCs w:val="28"/>
          <w:rtl w:val="true"/>
          <w:lang w:bidi="fa-IR"/>
        </w:rPr>
        <w:t>.</w:t>
      </w:r>
    </w:p>
    <w:p>
      <w:pPr>
        <w:pStyle w:val="Heading5"/>
        <w:numPr>
          <w:ilvl w:val="4"/>
          <w:numId w:val="1"/>
        </w:numPr>
        <w:rPr/>
      </w:pPr>
      <w:bookmarkStart w:id="66" w:name="__RefHeading___Toc508656_1738255347"/>
      <w:bookmarkStart w:id="67" w:name="_Toc21"/>
      <w:bookmarkEnd w:id="66"/>
      <w:r>
        <w:rPr>
          <w:rtl w:val="true"/>
        </w:rPr>
        <w:t>علم الاصول منطق الفقه</w:t>
      </w:r>
      <w:bookmarkEnd w:id="67"/>
    </w:p>
    <w:p>
      <w:pPr>
        <w:pStyle w:val="BookText"/>
        <w:rPr/>
      </w:pPr>
      <w:r>
        <w:rPr>
          <w:rFonts w:ascii="IRNazanin" w:hAnsi="IRNazanin" w:eastAsia="IRNazanin"/>
          <w:color w:val="111111"/>
          <w:sz w:val="28"/>
          <w:sz w:val="28"/>
          <w:szCs w:val="28"/>
          <w:rtl w:val="true"/>
          <w:lang w:bidi="fa-IR"/>
        </w:rPr>
        <w:t xml:space="preserve">ولا بدّ أنّ معلوماتکم عن علم المنطق تسمح لنا أن نستخدمه کمثالٍ لعلم الاصول ، فإنّ علم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یدرس فی الحقیقة عملیة التفکیر مهما کان مجالها وحقلها العلمی ، ویحدّد النظام العامّ الذی یجب أن تتّبعه لکی یکون التفکیر سلیماً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یعلّمنا علم المنطق کیف یجب أن ننهج فی الاستدلال بوصفه عملیة تفکیرٍ لکی یکون الاستدلال صحیحاً ، کیف نستدلّ علی أنّ سقراط فانٍ ، وکیف نستدلّ علی أنّ نار الموقد الموضوع أمامی محرقة ، وکیف نستدلّ علی أنّ مجموع زوایا المثلث تساوی قائمتین ، وکیف نستدلّ علی أنّ الخطّ الممتدّ بدون نهایة مستحیل ، کلّ هذا یجیب علیه علم المنطق بوضع المناهج العامّة للاستدلال ، کالقیاس والاستقراء ، فهو إذن علم لعملیة التفکیر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الاصول یشابه علم المنطق من هذه الناحیة ، غیر أنّه یبحث عن نوعٍ خاصٍّ من عملیة التفکیر ، أی عن عملیة التفکیر الفقهیِّ فی استنباط الأحکام ، ویدرس العناصر المشترکة التی یجب أن تدخل فیها لکی یکون الاستنباط سلیماً ، فهو یعلِّمنا کیف نستنبط الحکم بحرمة الارتماس علی الصائم ، وکیف نستنبط اعتصام ماء الکرّ ، وکیف نستنبط الحکم باستحباب صلاة العید أو وجوبها ، وذلک بوضع المناهج العامّة ، وتحدید العناصر المشترکة لعملیة الاستنباط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یصحّ أن یطلق علی علم الاصول اسم منطق علم الفقه ؛ لأنّه بالنسبة إلیه بمثابة المنطق بالنسبة إلی الفکر البشریِّ بصورةٍ عامّة</w:t>
      </w:r>
      <w:r>
        <w:rPr>
          <w:rFonts w:eastAsia="IRNazanin" w:cs="IRNazanin"/>
          <w:color w:val="111111"/>
          <w:sz w:val="28"/>
          <w:szCs w:val="28"/>
          <w:rtl w:val="true"/>
          <w:lang w:bidi="fa-IR"/>
        </w:rPr>
        <w:t xml:space="preserve">. </w:t>
      </w:r>
      <w:bookmarkStart w:id="68" w:name="pg14075_144428"/>
    </w:p>
    <w:p>
      <w:pPr>
        <w:pStyle w:val="Heading5"/>
        <w:numPr>
          <w:ilvl w:val="4"/>
          <w:numId w:val="1"/>
        </w:numPr>
        <w:rPr/>
      </w:pPr>
      <w:bookmarkStart w:id="69" w:name="__RefHeading___Toc508658_1738255347"/>
      <w:bookmarkStart w:id="70" w:name="_Toc22"/>
      <w:bookmarkEnd w:id="68"/>
      <w:bookmarkEnd w:id="69"/>
      <w:r>
        <w:rPr>
          <w:rtl w:val="true"/>
        </w:rPr>
        <w:t>أهمّیة علم الاصول فی عملیة الاستنباط</w:t>
      </w:r>
      <w:bookmarkEnd w:id="70"/>
    </w:p>
    <w:p>
      <w:pPr>
        <w:pStyle w:val="BookText"/>
        <w:rPr/>
      </w:pPr>
      <w:r>
        <w:rPr>
          <w:rFonts w:ascii="IRNazanin" w:hAnsi="IRNazanin" w:eastAsia="IRNazanin"/>
          <w:color w:val="111111"/>
          <w:sz w:val="28"/>
          <w:sz w:val="28"/>
          <w:szCs w:val="28"/>
          <w:rtl w:val="true"/>
          <w:lang w:bidi="fa-IR"/>
        </w:rPr>
        <w:t>ولسنا بعد ذلک بحاجةٍ إلی التأکید علی أهمّیة علم الاصول وخطورة دوره فی عالم الاستنباط ؛ لأنّه ما دام یقدِّم لعملیة الاستنباط عناصرها المشترکة ، ویضع لها نظامها العامّ ، فهو عصب الحیاة فیها ، وبدون علم الاصول یواجه الشخص فی الفقه رُکاماً متناثراً من النصوص والأدلّة دون أن یستطیع استخدامها والاستفادة منها فی الاستنباط ، کإنسانٍ یواجه أدوات النِجارة ویعطی منشاراً وفأساً وما إلیهما من أدواتٍ دون أن یملک أفکاراً عامّةً عن عملیة النجارة وطریقة استخدام تلک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العناصر المشترکة ضروریّة لعملیّة الاستنباط فکذلک العناصر الخاصّة التی تختلف من مسألة إلی اخری ، کمفردات الآیات والروایات المتناثرة فإنّها الجزء الضروریّ الآخر فیها ، فلا یکفی مجرّد الاطّلاع علی العناصر المشترکة التی یمثّلها علم الاصول ، ومَن یحاول الاستنباط علی أساس الاطّلاع الاصولی فحسب نظیر من یملک معلوماتٍ نظریّةً عامّةً عن عملیة النجارة ولا یوجد لدیه فأس ولا منشار وما الیهما من أدوات النجارة ، فکما یعجز هذا عن صنع سریرٍ خشبیٍّ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یعجز الاصولیّ عن الاستنباط إذا لم یفحص بدقّةٍ العناصر الخاصّة المتغیِّرة من مسألة إلی اخری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فالعناصر المشترکة والعناصر الخاصّة قطبان مندمجان فی عملیة الاستنباط ، ولا غنی للعملیة عنهما معاً</w:t>
      </w:r>
      <w:r>
        <w:rPr>
          <w:rFonts w:eastAsia="IRNazanin" w:cs="IRNazanin"/>
          <w:color w:val="111111"/>
          <w:sz w:val="28"/>
          <w:szCs w:val="28"/>
          <w:rtl w:val="true"/>
          <w:lang w:bidi="fa-IR"/>
        </w:rPr>
        <w:t xml:space="preserve">. </w:t>
      </w:r>
      <w:bookmarkStart w:id="71" w:name="pg14075_144429"/>
    </w:p>
    <w:p>
      <w:pPr>
        <w:pStyle w:val="Heading5"/>
        <w:numPr>
          <w:ilvl w:val="4"/>
          <w:numId w:val="1"/>
        </w:numPr>
        <w:rPr/>
      </w:pPr>
      <w:bookmarkStart w:id="72" w:name="__RefHeading___Toc508660_1738255347"/>
      <w:bookmarkStart w:id="73" w:name="_Toc23"/>
      <w:bookmarkEnd w:id="71"/>
      <w:bookmarkEnd w:id="72"/>
      <w:r>
        <w:rPr>
          <w:rtl w:val="true"/>
        </w:rPr>
        <w:t>الاصول و الفقه یمثِّلان النظریة و التطبیق</w:t>
      </w:r>
      <w:bookmarkEnd w:id="73"/>
    </w:p>
    <w:p>
      <w:pPr>
        <w:pStyle w:val="BookText"/>
        <w:rPr/>
      </w:pPr>
      <w:r>
        <w:rPr>
          <w:rFonts w:ascii="IRNazanin" w:hAnsi="IRNazanin" w:eastAsia="IRNazanin"/>
          <w:color w:val="111111"/>
          <w:sz w:val="28"/>
          <w:sz w:val="28"/>
          <w:szCs w:val="28"/>
          <w:rtl w:val="true"/>
          <w:lang w:bidi="fa-IR"/>
        </w:rPr>
        <w:t xml:space="preserve">ونخشی أن نکون قد أوحینا الیکم بتصوّرٍ خاطیً حین أوضحنا أنّ المستنبط یدرس فی علم الاصول العناصر المشترکة ویحدّدها ، ویتناول فی بحوث علم الفقه العناصر الخاصّة لیکمل بذلک عملیه الاستنباط ، إذ قد یتصوّر البعض أنَّا إذا درسنا فی علم الاصول العناصر المشترکة فی عملیة الاستنباط وعرفنا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وحجّیة الظهور وما إلیهما من العناصر الاصولیة فلا یبقی علینا بعد ذلک أیّ جهدٍ علمی ، إذ لا نحتاج ما دمنا نملک تلک العناصر إلاّإلی مجرّد استخراج الروایات والنصوص من مواضعها ؛ لکی تضاف إلی العناصر المشترکة ویستنبط منها الحکم الشرعی ، وهو عمل سهل بطبیعته لا یشتمل علی جهدٍ علمی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التصوّر خاطئ إلی درجةٍ کبیرة ؛ لأنّ المجتهد إذا مارس العناصر المشترکة لعملیة الاستنباط وحدّدها فی علم الاصول لا یکتفی بعد ذلک بتجمیعٍ أعمی للعناصر الخاصّة من کتب الأحادیث والروایات مثلاً ، بل یبقی علیه أن یمارس فی علم الفقه تطبیق تلک العناصر المشترکة ونظریاتها العامّة علی العناصر الخاصّة ، والتطبیق مهمّة فکریة بطبیعتها تحتاج إلی درسٍ وتمحیص ، ولا یغنی الجهد العلمیّ المبذول اصولیاً عن بذل جهدٍ جدیدٍ فی التطبیق ، فلنفرض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المجتهد آمن فی علم الاصول بحجّیة الظهور العرفیّ فهل یکفیه أن یضع إصبعه علی روایة علیّ بن مهزیار التی حدّدت مجالات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لیضیفها إلی العنصر المشترک ویستنبط من ذلک عدم وجوب الخمس فی میراث الأب؟ أو لیس المجتهد بحاجةٍ إلی تدقیق مدلول النصّ فی الروایة لمعرفة نوع مدلوله فی العرف العامّ ودراسة کلّ ما یرتبط بتحدید ظهوره العرفیّ من قرائن وأماراتٍ داخل إطار النصّ أو خارجه ؛ لکی یتمکّن بأمانةٍ من تطبیق العنصر المشترک القائل بحجّیة الظهور العرفی؟</w:t>
      </w:r>
      <w:r>
        <w:rPr>
          <w:rFonts w:eastAsia="IRNazanin" w:cs="IRNazanin"/>
          <w:color w:val="111111"/>
          <w:sz w:val="28"/>
          <w:szCs w:val="28"/>
          <w:rtl w:val="true"/>
          <w:lang w:bidi="fa-IR"/>
        </w:rPr>
        <w:t xml:space="preserve">! </w:t>
      </w:r>
      <w:bookmarkStart w:id="74" w:name="pg14075_144430"/>
    </w:p>
    <w:p>
      <w:pPr>
        <w:pStyle w:val="BookText"/>
        <w:rPr/>
      </w:pPr>
      <w:bookmarkEnd w:id="74"/>
      <w:r>
        <w:rPr>
          <w:rFonts w:ascii="IRNazanin" w:hAnsi="IRNazanin" w:eastAsia="IRNazanin"/>
          <w:color w:val="111111"/>
          <w:sz w:val="28"/>
          <w:sz w:val="28"/>
          <w:szCs w:val="28"/>
          <w:rtl w:val="true"/>
          <w:lang w:bidi="fa-IR"/>
        </w:rPr>
        <w:t>وفی هذا الضوء نعرف أنّ البحث الفقهیّ عن العناصر الخاصّة فی عملیة الاستنباط لیس مجرّد عملیة تجمیع ، بل هو مجال التطبیق للنظریات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 النظریات العامّة له دائماً موهبته الخاصّة ودقّته ، ومجرّد الدقّة فی النظریات العامّة لا یغنی عن الدقّة فی تطبیقها ، ألا ترون أنّ من یدرس بعمقٍ النظریات العامّة فی الطبِّ یحتاج فی مجال تطبیقها علی حالةٍ مرضیةٍ إلی دقّةٍ وانتباهٍ کاملٍ وتفکیرٍ فی تطبیق تلک النظریات علی المریض الذی بین یدیه؟</w:t>
      </w:r>
      <w:r>
        <w:rPr>
          <w:rFonts w:eastAsia="IRNazanin" w:cs="IRNazanin"/>
          <w:color w:val="111111"/>
          <w:sz w:val="28"/>
          <w:szCs w:val="28"/>
          <w:rtl w:val="true"/>
          <w:lang w:bidi="fa-IR"/>
        </w:rPr>
        <w:t>!</w:t>
      </w:r>
    </w:p>
    <w:p>
      <w:pPr>
        <w:pStyle w:val="Heading5"/>
        <w:numPr>
          <w:ilvl w:val="4"/>
          <w:numId w:val="1"/>
        </w:numPr>
        <w:rPr/>
      </w:pPr>
      <w:bookmarkStart w:id="75" w:name="__RefHeading___Toc508662_1738255347"/>
      <w:bookmarkStart w:id="76" w:name="_Toc24"/>
      <w:bookmarkEnd w:id="75"/>
      <w:r>
        <w:rPr>
          <w:rtl w:val="true"/>
        </w:rPr>
        <w:t>التفاعل بین الفکر الاصولیِّ و الفکر الفقهی</w:t>
      </w:r>
      <w:bookmarkEnd w:id="76"/>
    </w:p>
    <w:p>
      <w:pPr>
        <w:pStyle w:val="BookText"/>
        <w:rPr/>
      </w:pPr>
      <w:r>
        <w:rPr>
          <w:rFonts w:ascii="IRNazanin" w:hAnsi="IRNazanin" w:eastAsia="IRNazanin"/>
          <w:color w:val="111111"/>
          <w:sz w:val="28"/>
          <w:sz w:val="28"/>
          <w:szCs w:val="28"/>
          <w:rtl w:val="true"/>
          <w:lang w:bidi="fa-IR"/>
        </w:rPr>
        <w:t>عرفنا أنّ علم الاصول یقوم بدور المنطق بالنسبة إلی علم الفقه ، والعلاقة بینهما علاقة النظریة والتطبیق ، وهذا الترابط الوثیق بینهما یفسِّر لنا التفاعل المتبادل بین الذهنیة الاصولیة علی صعید النظریات من ناحیة ، وبین الذهنیة الفقهیة علی صعید التطبیق من ناحیةٍ اخری ؛ لأنّ توسّع بحوث التطبیق یدفع بحوث النظریة خطوةً إلی الأمام ؛ لأنّه یثیر أمامها مشاکل ویضطرّها إلی وضع النظریات العامّة لحلولها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دقّة البحث فی النظریات الاصولیة تنعکس علی صعید التطبیق ، إذ کلّما کانت النظریات أوفر وأدقّ تطلّبت طریقة تطبیقها دقّةً وعمقاً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التفاعل بین الذهنیتین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الاصولیة والفقهیة یؤکّده تأریخ العِلمَین علی طول الخطّ ، وتکشف عنه بوضوحٍ دراسة المراحل التی مرَّ بها البحث الفقهیّ والبحث الاصولیّ فی تأریخ العلم ، فقد نشأ علم الاصول فی أحضان علم الفقه ، کما نشأ علم الفقه فی أحضان علم الحدیث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علم الاصول مستقلاًّ عن علم الفقه فی البدایة ، ومن خلال نموِّ علم الفقه واتّساع افق التفکیر الفقهیِّ أخذت الخیوط العامّة والعناصر المشترکة فی عملیة الاستنباط تبدو وتتکشّف ، وأخذ المُمارِسون للعمل الفقهیّ یلاحظون اشتراک </w:t>
      </w:r>
    </w:p>
    <w:p>
      <w:pPr>
        <w:pStyle w:val="BookText"/>
        <w:rPr/>
      </w:pPr>
      <w:r>
        <w:rPr>
          <w:rFonts w:ascii="IRNazanin" w:hAnsi="IRNazanin" w:eastAsia="IRNazanin"/>
          <w:color w:val="111111"/>
          <w:sz w:val="28"/>
          <w:sz w:val="28"/>
          <w:szCs w:val="28"/>
          <w:rtl w:val="true"/>
          <w:lang w:bidi="fa-IR"/>
        </w:rPr>
        <w:t>عملیات الاستنباط فی عناصر عامّةٍ لا یمکن استخراج الحکم الشرعیّ بدونها ، وکان ذلک إیذاناً بمولد علم الاصول ، واتّجاه الذهنیة الفقهیة اتجاهاً اصولیاً ، فانفصل علم الاصول عن علم الفقه فی البحث والتصنیف ، وأخذ یتّسع ویثری تدریجاً من خلال نموِّ الفکر الاصولیِّ من ناحیة ، وتبعاً لتوسّع البحث الفقهیِّ من ناحیةٍ اخری ؛ لأنّ اتّساع نطاق التطبیق الفقهیّ کان یلفت أنظار الممارِسین إلی مشاکل جدیدة ، فتوضع للمشاکل حلولها المناسبة ، وتتَّخذ الحلول صورة العناصر المشترکة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بَعُد الفقیه عن عصر النصّ تعدّدت جوانب الغموض فی فهم الحکم من مدارکه الشرعیة ، وتنوّعت الفجوات فی عملیة الاستنباط نتیجةً للبُعد الزمنی ، فیحسّ أکثر فأکثر بالحاجة إلی تحدید قواعد عامّةٍ یعالج بها جوانب الغموض ویملأ بها تلک الفجوات ، وبهذا کانت الحاجة إلی علم الاصول تأریخیة ، بمعنی أنّها تشتدّ وتتأکّد کلّما ابتعد الفقیه تأریخیاً عن عصر النصّ ، وتراکمت الشکوک علی عملیة الاستنباط التی یمارسها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یمکن أن نفسِّر الفارق الزمنیّ بین ازدهار علم الاصول فی نطاق التفکیر الفقهیّ السنّیِّ وازدهاره فی نطاق تفکیرنا الفقهیِّ الإمامی ، فإنّ التأریخ یشیر إلی أنّ علم الاصول ترعرع وازدهر نسبیاً فی نطاق الفقه السنّیِّ قبل ترعرعه وازدهاره فی نطاقنا الفقهیِّ الامامی ؛ وذلک لأنّ المذهب السنّیِّ کان یزعم انتهاء عصر النصوص بوفاة النبیّ صلی‌الله‌علیه‌وآله‌وسلم ، فحین اجتاز الفکر الفقهیّ السنّیّ القرن الثانی کان قد ابتعد عن عصر النصوص بمسافةٍ زمنیةٍ کبیرةٍ تخلق بطبیعتها الثغرات والفجوات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الإمامیة فقد کانوا وقتئذٍ یعیشون عصر النصّ الشرعی ؛ لأنّ الإمام امتداد لوجود النبی ، فکانت المشاکل التی یعانیها فقهاء الإمامیة فی الاستنباط أقلّ </w:t>
      </w:r>
    </w:p>
    <w:p>
      <w:pPr>
        <w:pStyle w:val="BookText"/>
        <w:rPr/>
      </w:pPr>
      <w:r>
        <w:rPr>
          <w:rFonts w:ascii="IRNazanin" w:hAnsi="IRNazanin" w:eastAsia="IRNazanin"/>
          <w:color w:val="111111"/>
          <w:sz w:val="28"/>
          <w:sz w:val="28"/>
          <w:szCs w:val="28"/>
          <w:rtl w:val="true"/>
          <w:lang w:bidi="fa-IR"/>
        </w:rPr>
        <w:t>بکثیرٍ إلی الدرجة التی لا تفسح المجال للإحساس بالحاجة الشدیدة إلی وضع علم الاصول ، ولهذا نجد أنّ الإمامیة بمجرّد أن انتهی عصر النصوص بالنسبة الیهم ببدء الغیبة أو بانتهاء الغیبة الصغری بوجهٍ خاصٍّ تفتّحت ذهنیّتهم الاصولیة وأقبلوا علی درس العناصر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بذور التفکیر الاصولیّ لم توجد لدی فقهاء أصحاب الأئمة علیهم‌السلام ، بل قد وجدت هذه البذور منذ أیام الصادقین علیهما‌السلام </w:t>
      </w:r>
      <w:r>
        <w:rPr>
          <w:rStyle w:val="FootnoteAnchor"/>
          <w:rtl w:val="true"/>
        </w:rPr>
        <w:footnoteReference w:id="8"/>
      </w:r>
      <w:r>
        <w:rPr>
          <w:rFonts w:ascii="IRNazanin" w:hAnsi="IRNazanin" w:eastAsia="IRNazanin"/>
          <w:color w:val="111111"/>
          <w:sz w:val="28"/>
          <w:sz w:val="28"/>
          <w:szCs w:val="28"/>
          <w:rtl w:val="true"/>
          <w:lang w:bidi="fa-IR"/>
        </w:rPr>
        <w:t>علی المستوی المناسب لتلک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التأریخیة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ترویه کتب الحدیث </w:t>
      </w:r>
      <w:r>
        <w:rPr>
          <w:rStyle w:val="FootnoteAnchor"/>
          <w:rtl w:val="true"/>
        </w:rPr>
        <w:footnoteReference w:id="9"/>
      </w:r>
      <w:r>
        <w:rPr>
          <w:rFonts w:ascii="IRNazanin" w:hAnsi="IRNazanin" w:eastAsia="IRNazanin"/>
          <w:color w:val="111111"/>
          <w:sz w:val="28"/>
          <w:sz w:val="28"/>
          <w:szCs w:val="28"/>
          <w:rtl w:val="true"/>
          <w:lang w:bidi="fa-IR"/>
        </w:rPr>
        <w:t>من أسئلةٍ ترتبط بجملةٍ من العناصر المشترکة فی عملیة الاستنباط ، وجّهها عدد من الرواة إلی الإمام الصادق وغیره من الأئمة علیهم‌السلام ، وتلقَّوا جواباً منهم ، فإنّ تلک الأسئلة تکشف عن وجود بذرة التفکیر الاصولیّ عندهم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ویعزِّز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أصحاب الأئمّة ألَّفوا رسائل فی بعض المسائل الاصولیة ، کهشام بن الحکم من أصحاب الإمام الصادق علیه‌السلام الذی روی أنّه ألَّف رسالةً فی الألفاظ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77" w:name="pg14075_144433"/>
    </w:p>
    <w:p>
      <w:pPr>
        <w:pStyle w:val="Heading4"/>
        <w:numPr>
          <w:ilvl w:val="3"/>
          <w:numId w:val="1"/>
        </w:numPr>
        <w:rPr/>
      </w:pPr>
      <w:bookmarkStart w:id="78" w:name="__RefHeading___Toc508664_1738255347"/>
      <w:bookmarkStart w:id="79" w:name="_Toc25"/>
      <w:bookmarkEnd w:id="77"/>
      <w:bookmarkEnd w:id="78"/>
      <w:r>
        <w:rPr>
          <w:rtl w:val="true"/>
        </w:rPr>
        <w:t>جوازُ عملیّةِ الاستنباط</w:t>
      </w:r>
      <w:bookmarkEnd w:id="79"/>
    </w:p>
    <w:p>
      <w:pPr>
        <w:pStyle w:val="Heading5"/>
        <w:numPr>
          <w:ilvl w:val="4"/>
          <w:numId w:val="1"/>
        </w:numPr>
        <w:rPr/>
      </w:pPr>
      <w:bookmarkStart w:id="80" w:name="__RefHeading___Toc508666_1738255347"/>
      <w:bookmarkStart w:id="81" w:name="_Toc26"/>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ما دام علم الاصول یرتبط بعملیة الاستنباط ویحدّد عناصرها المشترکة فیجب أن نعرف قبل کلّ شیءٍ موقف الشریعة من هذه العملیة ، فهل سمح الشارع لأحدٍ بممارستها لکی یوجد مجال لوضع علمٍ لدراسة عناصرها المشترکة؟</w:t>
      </w:r>
    </w:p>
    <w:p>
      <w:pPr>
        <w:pStyle w:val="BookText"/>
        <w:rPr/>
      </w:pPr>
      <w:r>
        <w:rPr>
          <w:rFonts w:ascii="IRNazanin" w:hAnsi="IRNazanin" w:eastAsia="IRNazanin"/>
          <w:color w:val="111111"/>
          <w:sz w:val="28"/>
          <w:sz w:val="28"/>
          <w:szCs w:val="28"/>
          <w:rtl w:val="true"/>
          <w:lang w:bidi="fa-IR"/>
        </w:rPr>
        <w:t xml:space="preserve">والحقیقة أنّ مسألة جواز الاستنباط حین تُطرح للبحث بالصیغة التی طرحناها لا یبدو أنّها جدیرة بالنقاش ؛ لأنّنا حین نتساءل هل یجوز لنا ممارسة عملیة الاستنباط ، أوْ لا؟ یجیء الجواب علی البداهة بالإیجاب ؛ لأنّ عملیة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تحدید الموقف العملیّ تجاه الشریعة تحدیداً 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الإنسان بحکم تبعیّته للشریعة ملزم بتحدید موقفه العملیّ منها ، ولمَّا لم تکن أحکام الشریعة غالباً فی البداهة والوضوح بدرجةٍ تُغنی عن إقامة الدلیل فلیس من المعقول أن یحرم علی الناس جمیعاً تحدید الموقف العملیّ تحدیداً استدلالیاً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لسوء الحظّ اتّفق لهذه المسألة أن اکتسبت صیغةً اخری لا تخلو عن غموضٍ وتشویش ، فأصبحت مثاراً للاختلاف نتیجةً لذلک الغموض والتشویش ، فقد استخدمت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للتعبیر عن عملیة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 السؤال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الاجتهاد فی الشریعة؟ وحینما دخلت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کلمة مرّت بمصطلحاتٍ عدیدةٍ فی تأریخها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إلی إبقاء ظلال تلک المصطلحات السابقة علی البحث ، ونتج عن ذلک أن أجاب البعض علی السؤال بالنفی ، وأدّی ذلک إلی شجب علم الاصول کلّه ؛ لأنّه إنّما یراد لأجل الاجتهاد ، فإذا الغیَ الاجتهاد لم تَعدْ حاجة إلی علم الاصول</w:t>
      </w:r>
      <w:r>
        <w:rPr>
          <w:rFonts w:eastAsia="IRNazanin" w:cs="IRNazanin"/>
          <w:color w:val="111111"/>
          <w:sz w:val="28"/>
          <w:szCs w:val="28"/>
          <w:rtl w:val="true"/>
          <w:lang w:bidi="fa-IR"/>
        </w:rPr>
        <w:t xml:space="preserve">. </w:t>
      </w:r>
      <w:bookmarkStart w:id="82" w:name="pg14075_144434"/>
    </w:p>
    <w:p>
      <w:pPr>
        <w:pStyle w:val="BookText"/>
        <w:rPr/>
      </w:pPr>
      <w:bookmarkEnd w:id="82"/>
      <w:r>
        <w:rPr>
          <w:rFonts w:ascii="IRNazanin" w:hAnsi="IRNazanin" w:eastAsia="IRNazanin"/>
          <w:color w:val="111111"/>
          <w:sz w:val="28"/>
          <w:sz w:val="28"/>
          <w:szCs w:val="28"/>
          <w:rtl w:val="true"/>
          <w:lang w:bidi="fa-IR"/>
        </w:rPr>
        <w:t xml:space="preserve">وفی سبیل توضیح ذلک یجب أن نذکر التطوّر الذی مرّت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لکی نتبیَّن کیف أنّ النزاع الذی وقع حول جواز عملیة الاستنباط والضجّة التی اثیرت ضدّها لم یکن إلاّنتیجة فهمٍ غیر دقیقٍ للاصطلاح العلمی ، وغفلةٍ عن التطوّرات التی مرّت بها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تأریخ العلم</w:t>
      </w:r>
      <w:r>
        <w:rPr>
          <w:rFonts w:eastAsia="IRNazanin" w:cs="IRNazanin"/>
          <w:color w:val="111111"/>
          <w:sz w:val="28"/>
          <w:szCs w:val="28"/>
          <w:rtl w:val="true"/>
          <w:lang w:bidi="fa-IR"/>
        </w:rPr>
        <w:t>.</w:t>
      </w:r>
    </w:p>
    <w:p>
      <w:pPr>
        <w:pStyle w:val="Heading5"/>
        <w:numPr>
          <w:ilvl w:val="4"/>
          <w:numId w:val="1"/>
        </w:numPr>
        <w:rPr/>
      </w:pPr>
      <w:bookmarkStart w:id="83" w:name="__RefHeading___Toc508668_1738255347"/>
      <w:bookmarkStart w:id="84" w:name="_Toc27"/>
      <w:bookmarkEnd w:id="83"/>
      <w:r>
        <w:rPr>
          <w:rtl w:val="true"/>
        </w:rPr>
        <w:t>[</w:t>
      </w:r>
      <w:r>
        <w:rPr>
          <w:rtl w:val="true"/>
        </w:rPr>
        <w:t xml:space="preserve">تطوّر معنی </w:t>
      </w:r>
      <w:r>
        <w:rPr>
          <w:rtl w:val="true"/>
        </w:rPr>
        <w:t>(</w:t>
      </w:r>
      <w:r>
        <w:rPr>
          <w:rtl w:val="true"/>
        </w:rPr>
        <w:t>الاجتهاد</w:t>
      </w:r>
      <w:r>
        <w:rPr>
          <w:rtl w:val="true"/>
        </w:rPr>
        <w:t>)]</w:t>
      </w:r>
      <w:bookmarkEnd w:id="84"/>
    </w:p>
    <w:p>
      <w:pPr>
        <w:pStyle w:val="BookText"/>
        <w:rPr/>
      </w:pPr>
      <w:r>
        <w:rPr>
          <w:rFonts w:ascii="IRNazanin" w:hAnsi="IRNazanin" w:eastAsia="IRNazanin"/>
          <w:color w:val="111111"/>
          <w:sz w:val="28"/>
          <w:sz w:val="28"/>
          <w:szCs w:val="28"/>
          <w:rtl w:val="true"/>
          <w:lang w:bidi="fa-IR"/>
        </w:rPr>
        <w:t xml:space="preserve">الاجتهاد فی اللغة مأخوذ من الجهد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الوسع للقیام بعملٍ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استعملت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الصعید الفقهیّ للتعبیر بها عن قاعدةٍ من القواعد التی قرّرتها بعض مدارس الفقه السنّیّ وسارت علی أساسها ، وهی القاعدة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الفقیه إذا أراد أن یستنبط حکماً شرعیاً ولم یجد نصّاً یدلّ علیه فی الکتاب أو السنّة رجع إلی الاجتهاد بدلاً عن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هنا یعنی التفکیر الشخصی ، فالفقیه حیث لا یجد النصّ یرجع إلی تفکیره الخاصّ ویستلهمه ، ویبنی علی ما یرجّح فی فکره الشخصیّ من تشریع ، وقد یعبرّ عنه بالرأی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بهذا المعنی یعتبر دلیلاً من أدلّة الفقیه ومصدراً من مصادره ، فکما أنّ الفقیه قد یستند إلی الکتاب أو السنّة ویستدلّ بهما معاً کذلک یستند فی حالات عدم توفّر النصّ إلی الاجتهاد الشخصیّ ویستدلّ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نادت بهذا المعنی للاجتهاد مدارس کبیرة فی الفقه السنّی ، وعلی رأسها مدرسة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فی نفس الوقت معارضةً شدیدةً من أئمة أهل البیت علیهم‌السلام والفقهاء الذین ینتسبون إلی مدرستهم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وتتبّع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الکلمة حملت هذا المعنی ، وکانت تستخدم للتعبیر عنه منذ عصر الأئمّة إلی القرن السابع ، فالروایات المأثورة عن أئمة </w:t>
      </w:r>
    </w:p>
    <w:p>
      <w:pPr>
        <w:pStyle w:val="BookText"/>
        <w:rPr/>
      </w:pPr>
      <w:r>
        <w:rPr>
          <w:rFonts w:ascii="IRNazanin" w:hAnsi="IRNazanin" w:eastAsia="IRNazanin"/>
          <w:color w:val="111111"/>
          <w:sz w:val="28"/>
          <w:sz w:val="28"/>
          <w:szCs w:val="28"/>
          <w:rtl w:val="true"/>
          <w:lang w:bidi="fa-IR"/>
        </w:rPr>
        <w:t xml:space="preserve">أهل البیت علیهم‌السلام تذمّ الاجتهاد </w:t>
      </w:r>
      <w:r>
        <w:rPr>
          <w:rStyle w:val="FootnoteAnchor"/>
          <w:rtl w:val="true"/>
        </w:rPr>
        <w:footnoteReference w:id="11"/>
      </w:r>
      <w:r>
        <w:rPr>
          <w:rFonts w:ascii="IRNazanin" w:hAnsi="IRNazanin" w:eastAsia="IRNazanin"/>
          <w:color w:val="111111"/>
          <w:sz w:val="28"/>
          <w:sz w:val="28"/>
          <w:szCs w:val="28"/>
          <w:rtl w:val="true"/>
          <w:lang w:bidi="fa-IR"/>
        </w:rPr>
        <w:t xml:space="preserve">، وترید به ذلک المبدأ الفقهیّ الذی یتّخذ من التفکیر الشخصیّ مصدراً من مصادر الحکم ، وقد دخلت الحملة ضدّ هذا المبدأ الفقهیّ دور التصنیف فی عصر الأئمّة أیضاً والرواة الذین حملوا آثارهم ، وکانت الحملة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للتعبیر عن ذلک المبدأ وفقاً للمصطلح الذی جاء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صنّف عبد الله بن عبد الرحمان الزبیریّ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فی الطعون علی الأوائل والردّ علی أصحاب الاجتهاد 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هلال بن إبراهیم ابن أبی الفتح المدنیّ </w:t>
      </w:r>
      <w:r>
        <w:rPr>
          <w:rStyle w:val="FootnoteAnchor"/>
          <w:rtl w:val="true"/>
        </w:rPr>
        <w:footnoteReference w:id="12"/>
      </w:r>
      <w:r>
        <w:rPr>
          <w:rFonts w:ascii="IRNazanin" w:hAnsi="IRNazanin" w:eastAsia="IRNazanin"/>
          <w:color w:val="111111"/>
          <w:sz w:val="28"/>
          <w:sz w:val="28"/>
          <w:szCs w:val="28"/>
          <w:rtl w:val="true"/>
          <w:lang w:bidi="fa-IR"/>
        </w:rPr>
        <w:t xml:space="preserve">کتاباً فی الموضوع باسم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ردّ آثار الرسول واعتمد علی نتائج العقول</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وصنّف فی عصر الغیبة الصغری أو قریباً منه إسماعیل بن علی بن إسحاق ابن أبی سهل النوبختی کتاباً فی الردّ علی عیسی بن أبان فی الاجتهاد ، کما نصّ علی ذلک کلّه النجاشیّ صاحب الرجال فی ترجمة کلّ واحدٍ من هؤلاء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أعقاب الغیبة الصغری نجد الصدوق فی أواسط القرن الرابع یواصل تلک الحملة ، ونذکر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تعقیبه علی قصّة موسی والخضر ، إذ کتب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موسی مع کمال عقله وفضله ومحلّه من الله تعالی لم یدرک باستنباطه واستدلاله معنی أفعال الخضر حتّی اشتبه علیه وجه الأمر به ، فإذا لم یجزْ لأنبیاء الله ورسله القیاس والاستدلال والاستخراج کان مَن دونهم مِن الامم أولی بأن لا یجوز لهم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لم یصلح موسی للاختیار مع فضله ومحلّه فکیف تصلح الامّة </w:t>
      </w:r>
    </w:p>
    <w:p>
      <w:pPr>
        <w:pStyle w:val="BookText"/>
        <w:rPr/>
      </w:pPr>
      <w:r>
        <w:rPr>
          <w:rFonts w:ascii="IRNazanin" w:hAnsi="IRNazanin" w:eastAsia="IRNazanin"/>
          <w:color w:val="111111"/>
          <w:sz w:val="28"/>
          <w:sz w:val="28"/>
          <w:szCs w:val="28"/>
          <w:rtl w:val="true"/>
          <w:lang w:bidi="fa-IR"/>
        </w:rPr>
        <w:t>لاختیار الإمام بآرائها؟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یصلحون لاستنباط الأحکام الشرعیة واستخراجها بعقولهم الناقصة وآرائهم المتفاوتة؟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اواخر القرن الرابع یجیء الشیخ المفید فیسیر علی نفس الخطّ ویهجم علی الاجتهاد ، وهو یعبّر بهذه الکلمة عن ذلک المبدأ الفقهی الآنف الذکر ، ویکتب کتاباً فی ذلک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الجنید فی اجتهاد الرأی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المصطلح نفسه لدی السیّد المرتضی فی أوائل القرن الخامس ، إذ کتب فی الذریعة یذمّ الاجتهاد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باطل ، وإنّ الإمامیة لا یجوز عندهم العمل بالظنّ ، ولا الرأی ، ولا الاجتهاد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فی کتابه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مُعرِّضاً بابن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عوَّل ابن الجنید فی هذه المسألة علی ضربٍ من الرأی والاجتهاد ، وخطؤه ظاهر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مسألة مسح الرجلین فی فصل الطهارة من کتاب الانتصار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نری الاجتهاد ، ولا نقول به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هذا الاصطلاح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أیضاً ، فالشیخ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فی أواسط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القیاس والاجتهاد فعندنا أنّهما لیسا بدلیلین ، بل محظور استعمالهما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أواخر القرن السادس یستعرض ابن إدریس فی مسألة تعارض البیّنتین </w:t>
      </w:r>
    </w:p>
    <w:p>
      <w:pPr>
        <w:pStyle w:val="BookText"/>
        <w:rPr/>
      </w:pP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المرجّحات لإحدی البیّنتین علی الاخری ، ثمّ یعقِّب ذلک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ترجیح بغیر ذلک عند أصحابنا ، والقیاس والاستحسان والاجتهاد باطل عندنا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تدلّ هذه النصوص بتعاقبها التأریخیّ المتتابع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تعبیراً عن ذلک المبدأ الفقهیّ المتقدّم إلی أوائل القرن السابع ، وعلی هذا الأساس اکتسبت الکلمة لوناً مقیتاً وطابعاً من الکراهیة والاشمئزاز فی الذهنیة الفقهیة الإمامیة ؛ نتیجةً لمعارضة ذلک المبدأ ، والإیمان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تطوّرت بعد ذلک فی مصطلح فقهائنا ، ولا یوجد لدینا الآن نصّ شیعیّ یعکس هذا التطوّر أقدم تأریخاً من کتاب المعارج للمحقّق الحلّی المتوفّی سنة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کتب المحقّق تحت عنوان حقیقة الاجتهاد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عرف الفقهاء بذل الجهد فی استخراج الأحکام الشرعیة ، وبهذا الاعتبار یکون استخراج الأحکام من أدلّة الشرع اجتهاداً ؛ لأنّها تبتنی علی اعتباراتٍ نظریةٍ لیست مستفادةً من ظواهر النصوص فی الأکثر ، سواء کان ذلک الدلیل قیاساً أو غیره ، فیکون القیاس علی هذا التقریر أحد أقسام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أن یکون الإمامیة من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 لکن فیه إیهام من حیث إنّ القیاس من جملة الاجتهاد ، فإذا استثنی القیاس کنّا من أهل الاجتهاد فی تحصیل الأحکام بالطرق النظریة التی لیس أحدها القیاس</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هذا النصّ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لا تزال فی الذهنیّة الإمامیّة مثقلةً بتَبِعة المصطلح الأوّل ، ولهذا یلمح النصّ إلی أنّ هناک من </w:t>
      </w:r>
    </w:p>
    <w:p>
      <w:pPr>
        <w:pStyle w:val="BookText"/>
        <w:rPr/>
      </w:pPr>
      <w:r>
        <w:rPr>
          <w:rFonts w:ascii="IRNazanin" w:hAnsi="IRNazanin" w:eastAsia="IRNazanin"/>
          <w:color w:val="111111"/>
          <w:sz w:val="28"/>
          <w:sz w:val="28"/>
          <w:szCs w:val="28"/>
          <w:rtl w:val="true"/>
          <w:lang w:bidi="fa-IR"/>
        </w:rPr>
        <w:t>یتحرَّج من هذا الوصف ویثقل علیه أن یسمّی فقهاء الإمامیّة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الحلّی لم یتحرّج عن اسم الاجتهاد بعد أن طوّره ، أو تطور فی عرف الفقهاء تطویراً یتّفق مع مناهج الاستنباط فی الفقه الإمامی ، إذ بینما کان الاجتهاد مصدراً للفقیه یصدر عنه ، ودلیلاً یستدلّ به کما یصدر عن آیةٍ أو روایة ، أصبح فی المصطلح الجدید یعبِّر عن الجهد الذی یبذله الفقیه فی استخراج الحکم الشرعیّ من أدلّته ومصادره ، فلم یعدْ مصدراً من مصادر الاستنباط ، بل هو عملیة استنباط الحکم من مصادره التی یمارسها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المعنیین جوهریّ للغایة ، إذ کان علی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المصطلح الأوّل للاجتهاد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یستنبط من تفکیره الشخصیّ وذوقه الخاصّ فی حالة عدم توفّر النصّ ، فإذا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دلیلک ومصدر حکمک هذا؟ استدلّ بالاجتهاد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هو اجتهادی وتفکیری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المصطلح الجدید فهو لا یسمح للفقیه أن یبرِّر أیّ حکمٍ من الأحکام بالاجتهاد ؛ لأنّ الاجتهاد بالمعنی الثانی لیس مصدراً للحکم ، بل هو عملیة استنباط الأحکام من مصادرها ، فإذا قال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 أنّ هذا هو ما استنبطه من المصادر والأدلّة ، فمن حقِّنا أن نسأله ونطلب منه أن یُدِلَّنا علی تلک المصادر والأدلّة التی استنبط الحکم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هذا المعنی الجدید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بتطوّرٍ أیضاً ، فقد حدّده المحقّق الحلّیّ فی نطاق عملیات الاستنباط التی لا تستند إلی ظواهر النصوص ، فکلّ عملیة استنباطٍ لا تستند إلی ظواهر النصوص تسمّی اجتهاداً دون ما یستند إلی تلک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الدافع إلی هذا التحدید أنّ استنباط الحکم من ظاهر النصّ لیس فیه کثیر جهدٍ أو عناءٍ علمیٍّ لیسمّی اجتهاداً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اتّسع نطاق الاجتهاد بعد ذلک ؛ فأصبح یشمل عملیة استنباط الحکم من </w:t>
      </w:r>
      <w:bookmarkStart w:id="85" w:name="pg14075_144439"/>
    </w:p>
    <w:p>
      <w:pPr>
        <w:pStyle w:val="BookText"/>
        <w:rPr/>
      </w:pPr>
      <w:bookmarkEnd w:id="85"/>
      <w:r>
        <w:rPr>
          <w:rFonts w:ascii="IRNazanin" w:hAnsi="IRNazanin" w:eastAsia="IRNazanin"/>
          <w:color w:val="111111"/>
          <w:sz w:val="28"/>
          <w:sz w:val="28"/>
          <w:szCs w:val="28"/>
          <w:rtl w:val="true"/>
          <w:lang w:bidi="fa-IR"/>
        </w:rPr>
        <w:t>ظاهر النصّ أیضاً ؛ لأنّ الاصولیِّین بعد هذا لاحظوا بحقٍّ أنّ عملیة استنباط الحکم من ظاهر النصّ تستبطن کثیراً من الجهد العلمیّ فی سبیل معرفة الظهور وتحدیده وإثبات حجّیة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یقف توسّع الاجتهاد کمصطلحٍ عند هذا الحدّ ، بل شمل فی تطوّرٍ حدیثٍ عملیة الاستنباط بکلّ ألوانها ، فدخلت فی الاجتهاد کلّ عملیةٍ یمارسها الفقیه لتحدید الموقف العملیّ تجاه الشریعة عن طریق إقامة الدلیل علی الحکم الشرعی ، أو علی تعیین الموقف العملیّ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أصبح الاجتهاد یرادف عملیة الاستنباط ، وبالتالی أصبح علم الاصول العلم الضروریّ للاجتهاد ؛ لأنّه العلم بالعناصر المشترکة فی عملیة الاستنباط</w:t>
      </w:r>
      <w:r>
        <w:rPr>
          <w:rFonts w:eastAsia="IRNazanin" w:cs="IRNazanin"/>
          <w:color w:val="111111"/>
          <w:sz w:val="28"/>
          <w:szCs w:val="28"/>
          <w:rtl w:val="true"/>
          <w:lang w:bidi="fa-IR"/>
        </w:rPr>
        <w:t>.</w:t>
      </w:r>
    </w:p>
    <w:p>
      <w:pPr>
        <w:pStyle w:val="Heading5"/>
        <w:numPr>
          <w:ilvl w:val="4"/>
          <w:numId w:val="1"/>
        </w:numPr>
        <w:rPr/>
      </w:pPr>
      <w:bookmarkStart w:id="86" w:name="__RefHeading___Toc508670_1738255347"/>
      <w:bookmarkStart w:id="87" w:name="_Toc28"/>
      <w:bookmarkEnd w:id="86"/>
      <w:r>
        <w:rPr>
          <w:rtl w:val="true"/>
        </w:rPr>
        <w:t>[</w:t>
      </w:r>
      <w:r>
        <w:rPr>
          <w:rtl w:val="true"/>
        </w:rPr>
        <w:t>تفسیر موقف المعارضین للاجتهاد</w:t>
      </w:r>
      <w:r>
        <w:rPr>
          <w:rtl w:val="true"/>
        </w:rPr>
        <w:t>]</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الضوء یمکننا أن نفسِّر موقف جماعةٍ من علمائنا الأخیار ممّن عارضوا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تحمل من تراث المصطلح الأوّل الذی شنّ أهل البیت علیهم‌السلام حملةً شدیدةً علیه ، وهو یختلف عن الاجتهاد بالمعنی الثانی ، وما دمنا قد میّزنا بین معنیَیِ الاجتهاد فنستطیع أن نعید إلی المسألة بداهتها ، ونتبیَّن بوضوحٍ جواز الاجتهاد بالمعنی المرادف لعملیة الاستنباط ، وتترتّب علی ذلک ضرورة الاحتفاظ بعلم الاصول لدراسة العناصر المشترکة فی عملیة الاستنباط</w:t>
      </w:r>
      <w:r>
        <w:rPr>
          <w:rFonts w:eastAsia="IRNazanin" w:cs="IRNazanin"/>
          <w:color w:val="111111"/>
          <w:sz w:val="28"/>
          <w:szCs w:val="28"/>
          <w:rtl w:val="true"/>
          <w:lang w:bidi="fa-IR"/>
        </w:rPr>
        <w:t xml:space="preserve">. </w:t>
      </w:r>
      <w:bookmarkStart w:id="88" w:name="pg14075_144440"/>
    </w:p>
    <w:p>
      <w:pPr>
        <w:pStyle w:val="Heading4"/>
        <w:numPr>
          <w:ilvl w:val="3"/>
          <w:numId w:val="1"/>
        </w:numPr>
        <w:rPr/>
      </w:pPr>
      <w:bookmarkStart w:id="89" w:name="__RefHeading___Toc508672_1738255347"/>
      <w:bookmarkStart w:id="90" w:name="_Toc29"/>
      <w:bookmarkEnd w:id="88"/>
      <w:bookmarkEnd w:id="89"/>
      <w:r>
        <w:rPr>
          <w:rtl w:val="true"/>
        </w:rPr>
        <w:t>الحکم الشرعیّ و تقسیمه</w:t>
      </w:r>
      <w:bookmarkEnd w:id="90"/>
    </w:p>
    <w:p>
      <w:pPr>
        <w:pStyle w:val="Heading5"/>
        <w:numPr>
          <w:ilvl w:val="4"/>
          <w:numId w:val="1"/>
        </w:numPr>
        <w:rPr/>
      </w:pPr>
      <w:bookmarkStart w:id="91" w:name="__RefHeading___Toc508674_1738255347"/>
      <w:bookmarkStart w:id="92" w:name="_Toc30"/>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عرفنا أنّ علم الاصول یدرس العناصر المشترکة فی عملیة استنباط الحکم الشرعی ، ولأجل ذلک یجب أن نکوّن فکرةً عامّةً منذ البدء عن الحکم الشرعیّ الذی یقوم علم الاصول بتحدید العناصر المشترکة فی عملیة استنباطه</w:t>
      </w:r>
      <w:r>
        <w:rPr>
          <w:rFonts w:eastAsia="IRNazanin" w:cs="IRNazanin"/>
          <w:color w:val="111111"/>
          <w:sz w:val="28"/>
          <w:szCs w:val="28"/>
          <w:rtl w:val="true"/>
          <w:lang w:bidi="fa-IR"/>
        </w:rPr>
        <w:t>.</w:t>
      </w:r>
    </w:p>
    <w:p>
      <w:pPr>
        <w:pStyle w:val="Heading5"/>
        <w:numPr>
          <w:ilvl w:val="4"/>
          <w:numId w:val="1"/>
        </w:numPr>
        <w:rPr/>
      </w:pPr>
      <w:bookmarkStart w:id="93" w:name="__RefHeading___Toc508676_1738255347"/>
      <w:bookmarkStart w:id="94" w:name="_Toc31"/>
      <w:bookmarkEnd w:id="93"/>
      <w:r>
        <w:rPr>
          <w:rtl w:val="true"/>
        </w:rPr>
        <w:t>[</w:t>
      </w:r>
      <w:r>
        <w:rPr>
          <w:rtl w:val="true"/>
        </w:rPr>
        <w:t>تعریف الحکم الشرعی</w:t>
      </w:r>
      <w:r>
        <w:rPr>
          <w:rtl w:val="true"/>
        </w:rPr>
        <w:t>]</w:t>
      </w:r>
      <w:bookmarkEnd w:id="94"/>
    </w:p>
    <w:p>
      <w:pPr>
        <w:pStyle w:val="BookText"/>
        <w:rPr/>
      </w:pPr>
      <w:r>
        <w:rPr>
          <w:rFonts w:ascii="IRNazanin" w:hAnsi="IRNazanin" w:eastAsia="IRNazanin"/>
          <w:color w:val="111111"/>
          <w:sz w:val="28"/>
          <w:sz w:val="28"/>
          <w:szCs w:val="28"/>
          <w:rtl w:val="true"/>
          <w:lang w:bidi="fa-IR"/>
        </w:rPr>
        <w:t xml:space="preserve">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التشریع الصادر من الله تعالی لتنظیم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والخطابات الشرعیة فی الکتاب والسنّة مبرزة للحکم وکاشفة عنه ، ولیست هی الحکم الشرعیّ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یکون من الخطأ تعریف الحکم الشرعیّ بالصیغة المشهورة بین قدماء الاصولیِّین ، إذ یعرِّفونه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الشرعیّ المتعلّق بأفعال المکلَّفین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فإنّ الخطاب کاشف عن الحکم ، والحکم هو مدلول الخطاب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لا یتعلّق بأفعال المکلَّفین دائماً ، بل قد یتعلّق بذواتهم ، أو بأشیاء اخری ترتبط بهم ؛ لأنّ الهدف من الحکم الشرعیّ تنظیم حیاة الإنسان ، وهذا الهدف کما یحصل بخطابٍ متعلّقٍ بأفعال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یحصل بخطابٍ متعلّقٍ بذواتهم ، أو بأشیاء اخری تدخل فی حیاتهم ، من قبیل الأحکام والخطابات التی تنظِّم علاقة الزوجیة وتعتبر المرأة زوجةً للرجل فی ظلّ شروطٍ معیّنة ، أو تنظِّم علاقة الملکیة </w:t>
      </w:r>
      <w:bookmarkStart w:id="95" w:name="pg14075_144441"/>
    </w:p>
    <w:p>
      <w:pPr>
        <w:pStyle w:val="BookText"/>
        <w:rPr/>
      </w:pPr>
      <w:bookmarkEnd w:id="95"/>
      <w:r>
        <w:rPr>
          <w:rFonts w:ascii="IRNazanin" w:hAnsi="IRNazanin" w:eastAsia="IRNazanin"/>
          <w:color w:val="111111"/>
          <w:sz w:val="28"/>
          <w:sz w:val="28"/>
          <w:szCs w:val="28"/>
          <w:rtl w:val="true"/>
          <w:lang w:bidi="fa-IR"/>
        </w:rPr>
        <w:t>وتعتبر الشخص مالکاً للمال فی ظلّ شروطٍ معیّنة ، فإنّ هذه الأحکام لیست متعلّقةً بأفعال المکلّفین ، بل الزوجیة حکم شرعیّ متعلّق بذواتهم ، والملکیة حکم شرعیّ متعلّق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فالأفضل إذن استبدال الصیغة المشهورة بما قلناه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الحکم الشرعیّ هو التشریع الصادر من الله لتنظیم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کان متعلّقاً بأفعاله أو بذاته أو بأشیاء اخری داخلةٍ فی حیاته</w:t>
      </w:r>
      <w:r>
        <w:rPr>
          <w:rFonts w:eastAsia="IRNazanin" w:cs="IRNazanin"/>
          <w:color w:val="111111"/>
          <w:sz w:val="28"/>
          <w:szCs w:val="28"/>
          <w:rtl w:val="true"/>
          <w:lang w:bidi="fa-IR"/>
        </w:rPr>
        <w:t>.</w:t>
      </w:r>
    </w:p>
    <w:p>
      <w:pPr>
        <w:pStyle w:val="Heading5"/>
        <w:numPr>
          <w:ilvl w:val="4"/>
          <w:numId w:val="1"/>
        </w:numPr>
        <w:rPr/>
      </w:pPr>
      <w:bookmarkStart w:id="96" w:name="__RefHeading___Toc508678_1738255347"/>
      <w:bookmarkStart w:id="97" w:name="_Toc32"/>
      <w:bookmarkEnd w:id="96"/>
      <w:r>
        <w:rPr>
          <w:rtl w:val="true"/>
        </w:rPr>
        <w:t>تقسیم الحکم إلی تکلیفیٍّ و وضعی</w:t>
      </w:r>
      <w:bookmarkEnd w:id="97"/>
    </w:p>
    <w:p>
      <w:pPr>
        <w:pStyle w:val="BookText"/>
        <w:rPr/>
      </w:pPr>
      <w:r>
        <w:rPr>
          <w:rFonts w:ascii="IRNazanin" w:hAnsi="IRNazanin" w:eastAsia="IRNazanin"/>
          <w:color w:val="111111"/>
          <w:sz w:val="28"/>
          <w:sz w:val="28"/>
          <w:szCs w:val="28"/>
          <w:rtl w:val="true"/>
          <w:lang w:bidi="fa-IR"/>
        </w:rPr>
        <w:t xml:space="preserve">وعلی ضوء ما سبق یمکننا تقسیم الحکم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المتعلّق بأفعال الإنسان والموجّه لسلوکه مباشرةً فی مختلف جوانب حیاته الشخصیة والعبادیة والعائلیة والاجتماعیة التی عالجتها الشریعة ونظّمتها جمیعاً ، کحرمة شرب الخمر ، ووجوب الصلاة ، ووجوب الإنفاق علی بعض الأقارب ، وإباحة إحیاء الأرض ، ووجوب العدل علی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الشرعیّ الذی لا یکون موجّهاً مباشراً للإنسان فی أفعاله وسلوکه ، وهو کلّ حکمٍ یشرّع وضعاً معیّناً یکون له تأثیر غیر مباشرٍ فی سلوک الإنسان ، من قبیل الأحکام التی تنظّم علاقات الزوجیة ، فإنّها تشرّع بصورةٍ مباشرةٍ علاقةً معیّنةً بین الرجل والمرأة ، وتؤثّر بصورةٍ غیر مباشرةٍ فی السلوک وتوجّهه ؛ لأنّ المرأة بعد أن تصبح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بسلوکٍ معیّنٍ تجاه زوجها ، ویسمّی هذا النوع من الأحکام بالأحکام الوضعیة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والارتباط بین الأحکام الوضعیة والأحکام التکلیفیة وثیق ، إذ لایوجد حکم وضعیّ إلاّویوجد إلی جانبه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فالزوجیة حکم شرعیّ وضعیّ توجد إلی جانبه أحکام تکلیفیة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إنفاق الزوج علی زوجته ، ووجوب التمکین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والملکیة حکم شرعیّ وضعیّ توجد إلی جانبه أحکام تکلیفیّة ، </w:t>
      </w:r>
      <w:bookmarkStart w:id="98" w:name="pg14075_144442"/>
    </w:p>
    <w:p>
      <w:pPr>
        <w:pStyle w:val="BookText"/>
        <w:rPr/>
      </w:pPr>
      <w:bookmarkEnd w:id="98"/>
      <w:r>
        <w:rPr>
          <w:rFonts w:ascii="IRNazanin" w:hAnsi="IRNazanin" w:eastAsia="IRNazanin"/>
          <w:color w:val="111111"/>
          <w:sz w:val="28"/>
          <w:sz w:val="28"/>
          <w:szCs w:val="28"/>
          <w:rtl w:val="true"/>
          <w:lang w:bidi="fa-IR"/>
        </w:rPr>
        <w:t>من قبیل حرمة تصرّف غیر المالک فی المال إلاّبإذنه ، وهکذا</w:t>
      </w:r>
      <w:r>
        <w:rPr>
          <w:rFonts w:eastAsia="IRNazanin" w:cs="IRNazanin"/>
          <w:color w:val="111111"/>
          <w:sz w:val="28"/>
          <w:szCs w:val="28"/>
          <w:rtl w:val="true"/>
          <w:lang w:bidi="fa-IR"/>
        </w:rPr>
        <w:t>.</w:t>
      </w:r>
    </w:p>
    <w:p>
      <w:pPr>
        <w:pStyle w:val="Heading5"/>
        <w:numPr>
          <w:ilvl w:val="4"/>
          <w:numId w:val="1"/>
        </w:numPr>
        <w:rPr/>
      </w:pPr>
      <w:bookmarkStart w:id="99" w:name="__RefHeading___Toc508680_1738255347"/>
      <w:bookmarkStart w:id="100" w:name="_Toc33"/>
      <w:bookmarkEnd w:id="99"/>
      <w:r>
        <w:rPr>
          <w:rtl w:val="true"/>
        </w:rPr>
        <w:t>أقسام الحکم التکلیفی</w:t>
      </w:r>
      <w:bookmarkEnd w:id="100"/>
    </w:p>
    <w:p>
      <w:pPr>
        <w:pStyle w:val="BookText"/>
        <w:rPr/>
      </w:pPr>
      <w:r>
        <w:rPr>
          <w:rFonts w:ascii="IRNazanin" w:hAnsi="IRNazanin" w:eastAsia="IRNazanin"/>
          <w:color w:val="111111"/>
          <w:sz w:val="28"/>
          <w:sz w:val="28"/>
          <w:szCs w:val="28"/>
          <w:rtl w:val="true"/>
          <w:lang w:bidi="fa-IR"/>
        </w:rPr>
        <w:t xml:space="preserve">ینقسم الحکم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الحکم المتعلّق بأفعال الإنسان والموجّه لها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خمسة أقسام ، وهی کمایلی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شرعیّ یبعث نحو الشیء الذی تعلّق به بدرجة الإلزام ، نحو وجوب الصلاة ، ووجوب إعانة المعوزِّین علی 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شرعیّ یبعث نحو الشیء الذی تعلّق به بدرجةٍ دون الإلزام ، ولهذا توجد إلی جانبه دائماً رخصة من الشارع فی مخالفته ، کاستحباب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حکم شرعیّ یزجر عن الشیء الذی تعلّق به بدرجة الإلزام ، نحو حرمة الربا ، وحرمة الزنا ، وبیع الأسلحة من أعداء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حکم شرعیّ یزجر عن الشیء الذی تعلّق به بدرجةٍ دون الإلزام ، فالکراهة فی مجال الزجر کالاستحباب فی مجال البعث ، کما أنّ الحرمة فی مجال الزجر کالوجوب فی مجال البعث ، ومثال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یفسح الشارع المجال للمکلّف لکی یختار الموقف الذی یریده ، ونتیجة ذلک أن یتمتّع المکلف بالحریة ، فله أن یفعل وله أن یترک</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4075_144444"/>
      <w:bookmarkStart w:id="102" w:name="pg14075_144444"/>
      <w:bookmarkEnd w:id="102"/>
    </w:p>
    <w:p>
      <w:pPr>
        <w:pStyle w:val="Heading3"/>
        <w:numPr>
          <w:ilvl w:val="2"/>
          <w:numId w:val="1"/>
        </w:numPr>
        <w:rPr/>
      </w:pPr>
      <w:bookmarkStart w:id="103" w:name="pg14075_144444"/>
      <w:bookmarkStart w:id="104" w:name="__RefHeading___Toc508682_1738255347"/>
      <w:bookmarkStart w:id="105" w:name="_Toc34"/>
      <w:bookmarkEnd w:id="103"/>
      <w:bookmarkEnd w:id="104"/>
      <w:r>
        <w:rPr>
          <w:rtl w:val="true"/>
        </w:rPr>
        <w:t>بحوث عِلم الاصول</w:t>
      </w:r>
      <w:bookmarkEnd w:id="105"/>
    </w:p>
    <w:p>
      <w:pPr>
        <w:pStyle w:val="Heading4"/>
        <w:numPr>
          <w:ilvl w:val="3"/>
          <w:numId w:val="1"/>
        </w:numPr>
        <w:rPr/>
      </w:pPr>
      <w:bookmarkStart w:id="106" w:name="__RefHeading___Toc508684_1738255347"/>
      <w:bookmarkStart w:id="107" w:name="_Toc35"/>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4075_144446"/>
      <w:bookmarkStart w:id="109" w:name="pg14075_144446"/>
      <w:bookmarkEnd w:id="109"/>
    </w:p>
    <w:p>
      <w:pPr>
        <w:pStyle w:val="Heading4"/>
        <w:numPr>
          <w:ilvl w:val="3"/>
          <w:numId w:val="1"/>
        </w:numPr>
        <w:rPr/>
      </w:pPr>
      <w:bookmarkStart w:id="110" w:name="pg14075_144446"/>
      <w:bookmarkStart w:id="111" w:name="__RefHeading___Toc508686_1738255347"/>
      <w:bookmarkStart w:id="112" w:name="_Toc36"/>
      <w:bookmarkEnd w:id="110"/>
      <w:bookmarkEnd w:id="111"/>
      <w:r>
        <w:rPr>
          <w:rtl w:val="true"/>
        </w:rPr>
        <w:t>تنویع البحث</w:t>
      </w:r>
      <w:bookmarkEnd w:id="112"/>
    </w:p>
    <w:p>
      <w:pPr>
        <w:pStyle w:val="BookText"/>
        <w:rPr/>
      </w:pPr>
      <w:r>
        <w:rPr>
          <w:rFonts w:ascii="IRNazanin" w:hAnsi="IRNazanin" w:eastAsia="IRNazanin"/>
          <w:color w:val="111111"/>
          <w:sz w:val="28"/>
          <w:sz w:val="28"/>
          <w:szCs w:val="28"/>
          <w:rtl w:val="true"/>
          <w:lang w:bidi="fa-IR"/>
        </w:rPr>
        <w:t xml:space="preserve">حینما یتناول الفقیه مسألةً کمسألة الإقامة للصلاة ، ویحاول استنباط حکمها یتساءل فی 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نوع الحکم الشرعیّ المتعلّق بالإقامة؟ فإن حصل علی دلیلٍ یکشف عن نوع الحکم الشرعیّ للإقامة کان علیه أن یحدِّد موقفه العملیّ واستنباطه علی أساسه ، فیکون استنباطاً قائماً علی أساس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یحصل الفقیه علی دلیلٍ یعیّن نوع الحکم الشرعیّ المتعلّق بالإقامة فسوف یظلّ الحکم الشرعیّ مجهولاً للفقیه ، وفی هذه الحالة یستبدل الفقیه سؤاله الأوّل الذی طرحه فی البدایة بسؤالٍ جدیدٍ کمایلی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القواعد التی تحدّد الموقف العملیّ تجاه الحکم الشرعیّ المجهول؟ وهذه القواعد تسمّی بالاصول العملیة ، 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 وهی القاعدة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إیجابٍ أو تحریمٍ مجهولٍ لم یقم علیه دلیل فلا أثر له علی سلوک الإنسان ، ولیس الإنسان ملزماً بالاحتیاط من ناحیته والتقیّد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ویقوم الاستنباط فی هذه الحالة علی أساس الأصل العملیّ بدلاً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الأصل والدلیل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لا یحرز الواقع ، وإنّما یحدّد الوظیفة العملیة تجاهه ، وهو نحوٌ من الاستنباط ، ولأجل هذا یمکننا تنویع عملیة الاستنباط إلی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الاستنباط القائم علی أساس الدلیل ، کالاستنباط المستمدّ من نصٍّ دالٍّ علی الحکم الشرعی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الاستنباط القائم علی أساس الأصل العملی ، کالاستنباط المستمدّ </w:t>
      </w:r>
      <w:bookmarkStart w:id="113" w:name="pg14075_144447"/>
    </w:p>
    <w:p>
      <w:pPr>
        <w:pStyle w:val="BookText"/>
        <w:rPr/>
      </w:pPr>
      <w:bookmarkEnd w:id="113"/>
      <w:r>
        <w:rPr>
          <w:rFonts w:ascii="Amiri" w:hAnsi="Amiri" w:eastAsia="Amiri" w:cs="Amiri"/>
          <w:color w:val="111111"/>
          <w:sz w:val="28"/>
          <w:sz w:val="28"/>
          <w:szCs w:val="28"/>
          <w:rtl w:val="true"/>
          <w:lang w:bidi="ar-SA"/>
        </w:rPr>
        <w:t>من 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کان علم الاصول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بالعناصر المشترکة فی عملیة الاستنباط فهو یزوِّد کِلا النوعین بعناصره المشترکة ، وعلی هذا الأساس ننوِّع البحوث الاصولیة إلی نوعین ، نتکلّم فی النوع الأوّل عن العناصر المشترکة فی عملیة الاستنباط التی تتمثّل فی أدلةٍ محرزةٍ للحکم ، ونتکلّم فی النوع الثانی عن العناصر المشترکة فی عملیة الاستنباط التی تتمثّل فی اصولٍ عملیة</w:t>
      </w:r>
      <w:r>
        <w:rPr>
          <w:rFonts w:eastAsia="IRNazanin" w:cs="IRNazanin"/>
          <w:color w:val="111111"/>
          <w:sz w:val="28"/>
          <w:szCs w:val="28"/>
          <w:rtl w:val="true"/>
          <w:lang w:bidi="fa-IR"/>
        </w:rPr>
        <w:t>.</w:t>
      </w:r>
    </w:p>
    <w:p>
      <w:pPr>
        <w:pStyle w:val="Heading4"/>
        <w:numPr>
          <w:ilvl w:val="3"/>
          <w:numId w:val="1"/>
        </w:numPr>
        <w:rPr/>
      </w:pPr>
      <w:bookmarkStart w:id="114" w:name="__RefHeading___Toc508688_1738255347"/>
      <w:bookmarkStart w:id="115" w:name="_Toc37"/>
      <w:bookmarkEnd w:id="114"/>
      <w:r>
        <w:rPr>
          <w:rtl w:val="true"/>
        </w:rPr>
        <w:t>العنصر المشترک بین النوعین</w:t>
      </w:r>
      <w:bookmarkEnd w:id="115"/>
    </w:p>
    <w:p>
      <w:pPr>
        <w:pStyle w:val="BookText"/>
        <w:rPr/>
      </w:pPr>
      <w:r>
        <w:rPr>
          <w:rFonts w:ascii="IRNazanin" w:hAnsi="IRNazanin" w:eastAsia="IRNazanin"/>
          <w:color w:val="111111"/>
          <w:sz w:val="28"/>
          <w:sz w:val="28"/>
          <w:szCs w:val="28"/>
          <w:rtl w:val="true"/>
          <w:lang w:bidi="fa-IR"/>
        </w:rPr>
        <w:t xml:space="preserve">ویوجد بین العناصر المشترکة فی عملیة الاستنباط عنصر مشترک یدخل فی جمیع عملیات استنباط الحکم الشرعیّ بکلا نوعیها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منها قائماً علی أساس الدلیل ، وما کان قائماً علی أساس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العنصر هو حجّیة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قضیةٍ من القضایا بدرجةٍ لا یشوبها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حجّیة القطع یتلخّص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إذا تورّط فی مخالفة المولی نتیجةً لعمله بقطعه واعتقاده فلیس للمولی معاقبته ، وللعبد أن یعتذر عن مخالفته للمولی بأنّه عمل علی وفق قطعه ، کما إذا قطع العبد خطأً بأنّ الشراب الذی أمامه لیس خمراً ، فشربه اعتماداً علی قطعه ، وکان الشراب خمراً فی الواقع فلیس للمولی أن یعاقبه علی شربه للخمر ما دام قد استند إلی قطعه ، وهذا أحد الجانبین من حجّیة العلم ، ویسمّی بجانب المعذِّریة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إذا تورّط فی مخالفة المولی نتیجةً لترکه العمل بقطعه فللمولی أن یعاقبه ویحتجّ علیه بقطعه ، کما إذا قطع العبد بأنّ الشراب الذی أمامه خمر ، فشربه ، وکان خمراً فی الواقع فإنّ من حقِّ المولی أن یعاقبه علی مخالفته ؛ لأنّ العبد کان علی علمٍ بحرمة الخمر وشربه فلا یُعذَر فی ذلک ، وهذا هو الجانب الثانی من </w:t>
      </w:r>
    </w:p>
    <w:p>
      <w:pPr>
        <w:pStyle w:val="BookText"/>
        <w:rPr/>
      </w:pPr>
      <w:r>
        <w:rPr>
          <w:rFonts w:ascii="IRNazanin" w:hAnsi="IRNazanin" w:eastAsia="IRNazanin"/>
          <w:color w:val="111111"/>
          <w:sz w:val="28"/>
          <w:sz w:val="28"/>
          <w:szCs w:val="28"/>
          <w:rtl w:val="true"/>
          <w:lang w:bidi="fa-IR"/>
        </w:rPr>
        <w:t>حجّیة القطع ، ویسمّی بجانب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حجّیة القطع بهذا المعنی الذی شرحناه لا یمکن أن تستغنی عنها أیّ عملیةٍ من عملیات استنباط الحکم الشرعی ؛ لأنّ الفقیه یخرج من عملیة الاستنباط دائماً بنتیجة ، وهی العلم بالموقف العملیّ تجاه الشریعة وتحدیده علی أساس الدلیل ، أو علی أساس الأصل العملی ، ولکی تکون هذه النتیجة ذات أثرٍ لا بدّ من الاعتراف مسبقاً بحجّیة القطع ، إذ لو لم یکن القطع حجّةً ولم یکن صالحاً للاحتجاج به من المولی علی عبده ، ومن العبد علی مولاه لکانت النتیجة التی خرج بها الفقیه من عملیة الاستنباط لغواً ؛ لأنّ علمه لیس حجّة ، ففی کلّ عملیة استنباطٍ لا بدّ إذن أن یدخل عنصر حجّیة القطع ؛ لکی تعطی العملیة ثمارها ویخرج منها الفقیه بنتیجةٍ 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أصبحت حجّیة القطع أعمّ العناصر الاصولیة المشترکة وأوسعها نطاقاً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حجّیة القطع عنصراً مشترکاً فی عملیات استنباط الفقیه للحکم الشرعیّ فحسب ، بل هی فی الواقع شرط اساسیّ فی دراسة الاصولیِّ للعناصر المشترکة نفسها أیضاً ، فنحن حینما ندرس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حجّیة الخبر أو حجّیة الظهور العرفیّ إنّما نحاول بذلک تحصیل العلم بواقع الحال فی تلک المسألة ، فإذا لم یکن العلم والقطع حجّةً فأیّ جدوی فی دراسة حجّیة الخبر والظهور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فالفقیه والاصولیّ یستهدفان معاً من بحوثهما تحصیل العلم بالنتیجة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الموقف العملیّ تجاه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فبدون الاعتراف المسبق بحجّیة العلم والقطع تصبح بحوثهما عبثاً لا طائل تحته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وحجّیة القطع ثابتة بحکم العقل ، فإنّ العقل یحکم بأنّ للمولی سبحانه حقّ الطاعة علی الإنسان فی کلّ ما یعلمه من تکالیف المولی وأوامره ونواهیه ، فإذا علم الإنسان بحکمٍ إلزامیٍّ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أو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ذلک الحکم الإلزامیّ </w:t>
      </w:r>
    </w:p>
    <w:p>
      <w:pPr>
        <w:pStyle w:val="BookText"/>
        <w:rPr/>
      </w:pPr>
      <w:r>
        <w:rPr>
          <w:rFonts w:ascii="IRNazanin" w:hAnsi="IRNazanin" w:eastAsia="IRNazanin"/>
          <w:color w:val="111111"/>
          <w:sz w:val="28"/>
          <w:sz w:val="28"/>
          <w:szCs w:val="28"/>
          <w:rtl w:val="true"/>
          <w:lang w:bidi="fa-IR"/>
        </w:rPr>
        <w:t>ضمن نطاق حقّ الطاعة ، وأصبح من حقّ المولی علی الإنسان أن یمتثل ذلک الإلزام الذی علم به ، فإذا قصّر فی ذلک أو لم یؤدِّ حقّ الطاعة کان جدیراً بالعقاب ، وهذا هو جانب المنجّزیة 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یحکم العقل أیضاً بأنّ الإنسان القاطع بعدم الإلزام من حقّه أن یتصرّف کما یحلو لَه ، وإذا کان الإلزام ثابتاً فی الواقع والحالة هذه فلیس من حقّ المولی علی الإنسان أن یمتثله ، ولا یمکن للمولی أن یعاقبه علی مخالفته ما دام الإنسان قاطعاً بعدم الإلزام ، وهذا هو جانب المعذّریة 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والعقل کما یدرک حجّیة القطع کذلک یدرک أنّ الحجّیة لا یمکن أن تزول عن القطع ، بل هی لازمة له ، ولا یمکن حتّی للمولی أن یجرِّد القطع من حجّیته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 بعدم الإلزام فأنت لست معذوراً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بالإلزام فلک أن تهمله ، فإنّ کلّ هذا مستحیل بحکم العقل ؛ لأنّ القطع لا تنفکّ عنه المعذّریة والمنجّزیة بحالٍ من الأحوال ، وهذا معنی القاعدة الاصولیة القائلة باستحالة صدور الردع من الشارع عن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المبدأ الاصولیّ یعنی أنّ العبد إذا تورّط فی عقیدةٍ خاطئةٍ 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شرب الخمر حلال فلیس للمولی أن ینبِّهه علی الخطأ</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بإمکانه التنبیه علی الخطأ وإخبار العبد بأنّ الخمر لیس مباحاً ؛ لأنّ ذلک یزیل القطع من نفس العبد ویردّه إلی الصواب ، والمبدأ الاصولیّ الآنف الذکر إنّما یقرِّر استحالة صدور الردع من المولی عن العمل بالقطع مع بقاء القطع ثابتاً ، فالقاطع بحلّیة شرب الخمر یمکن للمولی أن یزیل قطعه ، ولکن من المستحیل أن یردعه عن العمل بقطعه ویعاقبه علی ذلک ما دام قطعه ثابتاً ویقینه بالحلّیة قائماً</w:t>
      </w:r>
      <w:r>
        <w:rPr>
          <w:rFonts w:eastAsia="IRNazanin" w:cs="IRNazanin"/>
          <w:color w:val="111111"/>
          <w:sz w:val="28"/>
          <w:szCs w:val="28"/>
          <w:rtl w:val="true"/>
          <w:lang w:bidi="fa-IR"/>
        </w:rPr>
        <w:t xml:space="preserve">. </w:t>
      </w:r>
      <w:bookmarkStart w:id="116" w:name="pg14075_144450"/>
    </w:p>
    <w:p>
      <w:pPr>
        <w:pStyle w:val="Heading4"/>
        <w:numPr>
          <w:ilvl w:val="3"/>
          <w:numId w:val="1"/>
        </w:numPr>
        <w:rPr/>
      </w:pPr>
      <w:bookmarkStart w:id="117" w:name="__RefHeading___Toc508690_1738255347"/>
      <w:bookmarkStart w:id="118" w:name="_Toc38"/>
      <w:bookmarkEnd w:id="116"/>
      <w:bookmarkEnd w:id="117"/>
      <w:r>
        <w:rPr>
          <w:rtl w:val="true"/>
        </w:rPr>
        <w:t xml:space="preserve">النوع الأوّل </w:t>
      </w:r>
      <w:r>
        <w:rPr>
          <w:rtl w:val="true"/>
        </w:rPr>
        <w:t xml:space="preserve">: </w:t>
      </w:r>
      <w:r>
        <w:rPr>
          <w:rtl w:val="true"/>
        </w:rPr>
        <w:t>الأدلّة المحرزة</w:t>
      </w:r>
      <w:bookmarkEnd w:id="118"/>
    </w:p>
    <w:p>
      <w:pPr>
        <w:pStyle w:val="Heading5"/>
        <w:numPr>
          <w:ilvl w:val="4"/>
          <w:numId w:val="1"/>
        </w:numPr>
        <w:rPr/>
      </w:pPr>
      <w:bookmarkStart w:id="119" w:name="__RefHeading___Toc508692_1738255347"/>
      <w:bookmarkStart w:id="120" w:name="_Toc39"/>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مبادئ 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الدلیلی العقلی</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075_144452"/>
      <w:bookmarkStart w:id="122" w:name="pg14075_144452"/>
      <w:bookmarkEnd w:id="122"/>
    </w:p>
    <w:p>
      <w:pPr>
        <w:pStyle w:val="Heading5"/>
        <w:numPr>
          <w:ilvl w:val="4"/>
          <w:numId w:val="1"/>
        </w:numPr>
        <w:rPr/>
      </w:pPr>
      <w:bookmarkStart w:id="123" w:name="pg14075_144452"/>
      <w:bookmarkStart w:id="124" w:name="__RefHeading___Toc508694_1738255347"/>
      <w:bookmarkStart w:id="125" w:name="_Toc40"/>
      <w:bookmarkEnd w:id="123"/>
      <w:bookmarkEnd w:id="124"/>
      <w:r>
        <w:rPr>
          <w:rtl w:val="true"/>
        </w:rPr>
        <w:t>مبادیء عامّة</w:t>
      </w:r>
      <w:bookmarkEnd w:id="125"/>
    </w:p>
    <w:p>
      <w:pPr>
        <w:pStyle w:val="BookText"/>
        <w:rPr/>
      </w:pPr>
      <w:r>
        <w:rPr>
          <w:rFonts w:ascii="IRNazanin" w:hAnsi="IRNazanin" w:eastAsia="IRNazanin"/>
          <w:color w:val="111111"/>
          <w:sz w:val="28"/>
          <w:sz w:val="28"/>
          <w:szCs w:val="28"/>
          <w:rtl w:val="true"/>
          <w:lang w:bidi="fa-IR"/>
        </w:rPr>
        <w:t xml:space="preserve">الدلیل الذی یستند إلیه الفقیه فی 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یؤدّی إلی العلم بالحکم الشرعی ،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یکون الدلیل قطعیاً ، ویستمدّ شرعیته وحجّیته من حجّیة القطع ؛ لأنّه یؤدّی إلی القطع بالحکم ، والقطع حجّة بحکم العقل فیتحتّم علی الفقیه أن یقیم علی أساسه استنباطه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نماذجه القانون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وجب الشیء وجبت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هذا القانون یعتبر دلیلاً قطعیاً علی وجوب الوضوء بوصفه مقدمةً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فالدلیل ناقص ؛ لأنّه لیس قطعیّاً ، والدلیل الناقص إذا حکم الشارع بحجّیته وأمر بالاستناد إلیه فی عملیة الاستنباط علی الرغم من نقصانه أصبح کالدلیل القطعیّ وتحتّم علی الفقیه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الدلیل الناقص الذی جعله الشارع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الثقة ، فإنّ خبر الثقة لا یؤدّی إلی العلم ؛ لاحتمال الخطأ فیه أو الشذوذ ، فهو دلیل ظنّیّ ناقص وقد جعله الشارع حجّةً وأمر باتّباعه وتصدیقه ، فارتفع بذلک فی عملیة الاستنباط إلی مستوی 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یحکم الشارع بحجّیة الدلیل الناقص فلا یکون حجّة ، ولا یجوز الاعتماد علیه فی الاستنباط ؛ لأنّه ناقص یحتمل فیه الخطأ</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نشکّ ولا نعلم هل جعل الشارع الدلیل الناقص حجّةً ، أوْ لا؟ ولا یتوفّر </w:t>
      </w:r>
      <w:bookmarkStart w:id="126" w:name="pg14075_144453"/>
    </w:p>
    <w:p>
      <w:pPr>
        <w:pStyle w:val="BookText"/>
        <w:rPr/>
      </w:pPr>
      <w:bookmarkEnd w:id="126"/>
      <w:r>
        <w:rPr>
          <w:rFonts w:ascii="IRNazanin" w:hAnsi="IRNazanin" w:eastAsia="IRNazanin"/>
          <w:color w:val="111111"/>
          <w:sz w:val="28"/>
          <w:sz w:val="28"/>
          <w:szCs w:val="28"/>
          <w:rtl w:val="true"/>
          <w:lang w:bidi="fa-IR"/>
        </w:rPr>
        <w:t>لدینا الدلیل الذی یثبت الحجیة شرعاً أو ینفیها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یجب أن نرجع إلی قاعدةٍ عامّةٍ یقرِّرها الاصولیّون بهذا الصدد ، وهی القاعدة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دلیلٍ ناقصٍ لیس حجّةً ما لم یثبت بالدلیل الشرعیّ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معنی ما یقال فی علم الاصول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الظن هو عدم الحجّیة ، إلاّما خرج بدلیلٍ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الجدیر بالاعتماد علیه فقهیّاً هو الدلیل القطعی ، أو الدلیل الناقص الذی ثبتت حجّیته شرعاً بدلیلٍ قطعی</w:t>
      </w:r>
      <w:r>
        <w:rPr>
          <w:rFonts w:eastAsia="IRNazanin" w:cs="IRNazanin"/>
          <w:color w:val="111111"/>
          <w:sz w:val="28"/>
          <w:szCs w:val="28"/>
          <w:rtl w:val="true"/>
          <w:lang w:bidi="fa-IR"/>
        </w:rPr>
        <w:t>.</w:t>
      </w:r>
    </w:p>
    <w:p>
      <w:pPr>
        <w:pStyle w:val="Heading5"/>
        <w:numPr>
          <w:ilvl w:val="4"/>
          <w:numId w:val="1"/>
        </w:numPr>
        <w:rPr/>
      </w:pPr>
      <w:bookmarkStart w:id="127" w:name="__RefHeading___Toc508696_1738255347"/>
      <w:bookmarkStart w:id="128" w:name="_Toc41"/>
      <w:bookmarkEnd w:id="127"/>
      <w:r>
        <w:rPr>
          <w:rtl w:val="true"/>
        </w:rPr>
        <w:t>تقسیم البحث</w:t>
      </w:r>
      <w:bookmarkEnd w:id="128"/>
    </w:p>
    <w:p>
      <w:pPr>
        <w:pStyle w:val="BookText"/>
        <w:rPr/>
      </w:pPr>
      <w:r>
        <w:rPr>
          <w:rFonts w:ascii="IRNazanin" w:hAnsi="IRNazanin" w:eastAsia="IRNazanin"/>
          <w:color w:val="111111"/>
          <w:sz w:val="28"/>
          <w:sz w:val="28"/>
          <w:szCs w:val="28"/>
          <w:rtl w:val="true"/>
          <w:lang w:bidi="fa-IR"/>
        </w:rPr>
        <w:t xml:space="preserve">والدلیل المحرز فی المسألة الفقهیة سواء کان قطعیّاً أوْ لا 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الشرعی ، ونعنی به کلّ ما یصدر من الشارع ممّا له دلالة علی الحکم الشرعی ، ویشتمل ذلک علی الکتاب الکریم ، وعلی السنّة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وفعله وتقریره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 ونعنی به القضایا التی یدرکها العقل ویمکن أن یستنبط منها حکم شرعی ، کالقضیة العقلیة القائلة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شیءٍ یستلزم إیجاب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الأوّل ینقسم بدوره إلی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 ، وهو کلام الشارع کتاباً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 ، کفعل المعصوم وتقریره ، أی سکوته عن فعل غیره بنحوٍ یدلّ علی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القسم الأوّل بکلا نوعیه نحتاج إلی أن نعرف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الدلیل الشرعی ، وأ نّه علی ماذا یدلّ بظهوره العرفی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تلک الدلالة وذلک الظهور ووجوب التعویل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الدلیل من الشارع حقّاً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 البحث فی القسم الأوّل موزَّعاً إلی ثلاثة أبحاثٍ وفقاً لهذا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الأوّل فی تحدید الدلالة ، والبحث الثانی فی إثبات حجّیة ما لَه من دلالةٍ وظهور ، والبحث الثالث فی إثبات صدور الدلیل من الشارع</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075_144456"/>
      <w:bookmarkStart w:id="130" w:name="pg14075_144456"/>
      <w:bookmarkEnd w:id="130"/>
    </w:p>
    <w:p>
      <w:pPr>
        <w:pStyle w:val="Heading5"/>
        <w:numPr>
          <w:ilvl w:val="4"/>
          <w:numId w:val="1"/>
        </w:numPr>
        <w:rPr/>
      </w:pPr>
      <w:bookmarkStart w:id="131" w:name="pg14075_144456"/>
      <w:bookmarkStart w:id="132" w:name="__RefHeading___Toc508698_1738255347"/>
      <w:bookmarkStart w:id="133" w:name="_Toc42"/>
      <w:bookmarkEnd w:id="131"/>
      <w:bookmarkEnd w:id="132"/>
      <w:r>
        <w:rPr/>
        <w:t>1</w:t>
      </w:r>
      <w:r>
        <w:rPr>
          <w:rtl w:val="true"/>
        </w:rPr>
        <w:t xml:space="preserve">- </w:t>
      </w:r>
      <w:r>
        <w:rPr>
          <w:rtl w:val="true"/>
        </w:rPr>
        <w:t>الدلیل الشرعی</w:t>
      </w:r>
      <w:bookmarkEnd w:id="133"/>
    </w:p>
    <w:p>
      <w:pPr>
        <w:pStyle w:val="Heading6"/>
        <w:numPr>
          <w:ilvl w:val="5"/>
          <w:numId w:val="1"/>
        </w:numPr>
        <w:rPr/>
      </w:pPr>
      <w:bookmarkStart w:id="134" w:name="__RefHeading___Toc508700_1738255347"/>
      <w:bookmarkStart w:id="135" w:name="_Toc43"/>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الدلیلی الشرعی غیر اللفظی</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4075_144458"/>
      <w:bookmarkStart w:id="137" w:name="pg14075_144458"/>
      <w:bookmarkEnd w:id="137"/>
    </w:p>
    <w:p>
      <w:pPr>
        <w:pStyle w:val="Heading6"/>
        <w:numPr>
          <w:ilvl w:val="5"/>
          <w:numId w:val="1"/>
        </w:numPr>
        <w:rPr/>
      </w:pPr>
      <w:bookmarkStart w:id="138" w:name="pg14075_144458"/>
      <w:bookmarkStart w:id="139" w:name="__RefHeading___Toc508702_1738255347"/>
      <w:bookmarkStart w:id="140" w:name="_Toc44"/>
      <w:bookmarkEnd w:id="138"/>
      <w:bookmarkEnd w:id="139"/>
      <w:r>
        <w:rPr>
          <w:rtl w:val="true"/>
        </w:rPr>
        <w:t xml:space="preserve">أ </w:t>
      </w:r>
      <w:r>
        <w:rPr>
          <w:rtl w:val="true"/>
        </w:rPr>
        <w:t xml:space="preserve">- </w:t>
      </w:r>
      <w:r>
        <w:rPr>
          <w:rtl w:val="true"/>
        </w:rPr>
        <w:t>الدلیل الشرعی اللفظی</w:t>
      </w:r>
      <w:bookmarkEnd w:id="140"/>
    </w:p>
    <w:p>
      <w:pPr>
        <w:pStyle w:val="Heading6"/>
        <w:numPr>
          <w:ilvl w:val="5"/>
          <w:numId w:val="1"/>
        </w:numPr>
        <w:rPr/>
      </w:pPr>
      <w:bookmarkStart w:id="141" w:name="__RefHeading___Toc508704_1738255347"/>
      <w:bookmarkStart w:id="142" w:name="_Toc45"/>
      <w:bookmarkEnd w:id="141"/>
      <w:r>
        <w:rPr>
          <w:rtl w:val="true"/>
        </w:rPr>
        <w:t>الدلالة</w:t>
      </w:r>
      <w:bookmarkEnd w:id="142"/>
    </w:p>
    <w:p>
      <w:pPr>
        <w:pStyle w:val="Heading6"/>
        <w:numPr>
          <w:ilvl w:val="5"/>
          <w:numId w:val="1"/>
        </w:numPr>
        <w:rPr/>
      </w:pPr>
      <w:bookmarkStart w:id="143" w:name="__RefHeading___Toc508706_1738255347"/>
      <w:bookmarkStart w:id="144" w:name="_Toc46"/>
      <w:bookmarkEnd w:id="143"/>
      <w:r>
        <w:rPr>
          <w:rtl w:val="true"/>
        </w:rPr>
        <w:t>تمهید</w:t>
      </w:r>
      <w:bookmarkEnd w:id="144"/>
    </w:p>
    <w:p>
      <w:pPr>
        <w:pStyle w:val="BookText"/>
        <w:rPr/>
      </w:pPr>
      <w:r>
        <w:rPr>
          <w:rFonts w:ascii="IRNazanin" w:hAnsi="IRNazanin" w:eastAsia="IRNazanin"/>
          <w:color w:val="111111"/>
          <w:sz w:val="28"/>
          <w:sz w:val="28"/>
          <w:szCs w:val="28"/>
          <w:rtl w:val="true"/>
          <w:lang w:bidi="fa-IR"/>
        </w:rPr>
        <w:t>لمّا کانت دلالة الدلیل اللفظیّ ترتبط بالنظام اللغویّ العامّ للدلالة نجد من الراجح أن نمهِّد للبحث فی دلالات الأدلّة اللفظیة بدراسةٍ إجمالیةٍ لطبیعة الدلالة اللغویة ، وکیفیة تکوّنها ، ونظرةٍ عامّةٍ فیها</w:t>
      </w:r>
      <w:r>
        <w:rPr>
          <w:rFonts w:eastAsia="IRNazanin" w:cs="IRNazanin"/>
          <w:color w:val="111111"/>
          <w:sz w:val="28"/>
          <w:szCs w:val="28"/>
          <w:rtl w:val="true"/>
          <w:lang w:bidi="fa-IR"/>
        </w:rPr>
        <w:t>.</w:t>
      </w:r>
    </w:p>
    <w:p>
      <w:pPr>
        <w:pStyle w:val="Heading6"/>
        <w:numPr>
          <w:ilvl w:val="5"/>
          <w:numId w:val="1"/>
        </w:numPr>
        <w:rPr/>
      </w:pPr>
      <w:bookmarkStart w:id="145" w:name="__RefHeading___Toc508708_1738255347"/>
      <w:bookmarkStart w:id="146" w:name="_Toc47"/>
      <w:bookmarkEnd w:id="145"/>
      <w:r>
        <w:rPr>
          <w:rtl w:val="true"/>
        </w:rPr>
        <w:t>ما هو الوضع و العلاقة اللغویة؟</w:t>
      </w:r>
      <w:bookmarkEnd w:id="146"/>
    </w:p>
    <w:p>
      <w:pPr>
        <w:pStyle w:val="BookText"/>
        <w:rPr/>
      </w:pPr>
      <w:r>
        <w:rPr>
          <w:rFonts w:ascii="IRNazanin" w:hAnsi="IRNazanin" w:eastAsia="IRNazanin"/>
          <w:color w:val="111111"/>
          <w:sz w:val="28"/>
          <w:sz w:val="28"/>
          <w:szCs w:val="28"/>
          <w:rtl w:val="true"/>
          <w:lang w:bidi="fa-IR"/>
        </w:rPr>
        <w:t xml:space="preserve">فی کلّ لغةٍ تقوم علاقات بین مجموعةٍ من الألفاظ ومجموعةٍ من المعانی ، ویرتبط کلّ لفظٍ بمعنیً خاصٍّ ارتباطاً یجعلنا کلّما تصوّرنا اللفظ انتقل ذهننا فوراً إلی تصوّر المعنی ، وهذا الاقتران بین تصوّر اللفظ وتصوّر المعنی وانتقال الذهن من أحدهما إلی الآخر هو ما نطلق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الماء تدلّ علی السائل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بذلک أنّ تصوّر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تصوّر ذلک السائل الخاصّ ، ویسمّی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نعرف أنّ العلاقة بین تصوّر اللفظ وتصوّر المعنی تشابه إلی درجةٍ مّا العلاقة التی نشاهدها فی حیاتنا الاعتیادیة بین النار والحرارة ، أو بین </w:t>
      </w:r>
    </w:p>
    <w:p>
      <w:pPr>
        <w:pStyle w:val="BookText"/>
        <w:rPr/>
      </w:pPr>
      <w:r>
        <w:rPr>
          <w:rFonts w:ascii="IRNazanin" w:hAnsi="IRNazanin" w:eastAsia="IRNazanin"/>
          <w:color w:val="111111"/>
          <w:sz w:val="28"/>
          <w:sz w:val="28"/>
          <w:szCs w:val="28"/>
          <w:rtl w:val="true"/>
          <w:lang w:bidi="fa-IR"/>
        </w:rPr>
        <w:t>طلوع الشمس والضوء ، فکما أنّ النار تؤدّی إلی الحرارة وطلوع الشمس یؤدّی إلی الضوء کذلک تصوّر اللفظ یؤدّی إلی تصوّر المعنی ، ولأجل هذا یمکن القول بأنّ تصوّر اللفظ سبب لتصوّر المعنی ، کما تکون النار سبباً للحرارة وطلوع الشمس سبباً للضوء ، غیر أنّ علاقة السببیة بین تصوّر اللفظ وتصوّر المعنی مجالها الذهن ؛ لأنّ تصوّر اللفظ والمعنی إنّما یوجد فی الذهن ، وعلاقة السببیة بین النار والحرارة أو بین طلوع الشمس والضوء مجالها العالم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الأساسیّ بشأن هذه العلاقة التی توجد فی اللغة بین اللفظ والمعنی هو السؤال عن مصدر هذه العلاقة وکیفیة تکوّنها ، فکیف تکوّنت علاقة السببیة بین اللفظ والمعنی؟ وکیف أصبح تصوّر اللفظ سبباً لتصور المعنی ، مع أنّ اللفظ والمعنی شیئان مختلفان کلّ الاختلاف؟</w:t>
      </w:r>
    </w:p>
    <w:p>
      <w:pPr>
        <w:pStyle w:val="BookText"/>
        <w:rPr/>
      </w:pPr>
      <w:r>
        <w:rPr>
          <w:rFonts w:ascii="IRNazanin" w:hAnsi="IRNazanin" w:eastAsia="IRNazanin"/>
          <w:color w:val="111111"/>
          <w:sz w:val="28"/>
          <w:sz w:val="28"/>
          <w:szCs w:val="28"/>
          <w:rtl w:val="true"/>
          <w:lang w:bidi="fa-IR"/>
        </w:rPr>
        <w:t>ویذکر فی علم الاصول عادةً اتّجاهان فی الجواب علی هذا السؤال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یقوم الاتّجاه الأوّل علی أساس الاعتقاد بأنّ علاقة اللفظ بالمعنی نابعة من طبیعة اللفظ ذاته ، کما نبعت علاقة النار بالحرارة من طبیعة النار ذاتها ،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بحکم طبیعته علاقة بالمعنی الخاصّ الذی نفهمه منه ، ولأجل هذا یؤکّد هذا الاتّجاه أنّ دلالة اللفظ علی المعنی ذاتیة ، ولیست مکتسبةً من أیِّ سببٍ خارجی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ویعجز هذا الاتّجاه عن تفسیر الموقف تفسیراً شاملاً ؛ لأنّ دلالة اللفظ علی المعنی وعلاقته به إذا کانت ذاتیةً وغیر نابعةٍ من أیِّ سببٍ خارجیٍّ ، وکان اللفظ بطبیعته یدفع الذهن البشریّ إلی تصوّر معناه فلماذا یعجز غیر العربیّ عن الانتقال إلی تصوّر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تصوّره للکلمة؟ ولماذا یحتاج إلی تعلّم اللغة العربیة لکی ینتقل ذهنه إلی المعنی عند سماع الکلمة العربیة وتصوّرها؟ إنّ هذا دلیل </w:t>
      </w:r>
    </w:p>
    <w:p>
      <w:pPr>
        <w:pStyle w:val="BookText"/>
        <w:rPr/>
      </w:pPr>
      <w:r>
        <w:rPr>
          <w:rFonts w:ascii="IRNazanin" w:hAnsi="IRNazanin" w:eastAsia="IRNazanin"/>
          <w:color w:val="111111"/>
          <w:sz w:val="28"/>
          <w:sz w:val="28"/>
          <w:szCs w:val="28"/>
          <w:rtl w:val="true"/>
          <w:lang w:bidi="fa-IR"/>
        </w:rPr>
        <w:t>علی أنّ العلاقة التی تقوم فی ذهننا بین تصوّر اللفظ وتصوّر المعنی لیست نابعةً من طبیعة اللفظ ، بل من سببٍ آخر یتطلّب الحصول علیه إلی تعلّم اللغة ، فالدلالة إذن لیست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الاتّجاه الآخر فینکر بحقٍّ الدلالة الذاتیة ، ویفترض أنّ العلاقات اللغویة بین اللفظ والمعنی نشأت فی کلّ لغةٍ علی ید الشخص الأوّل ، أو الأشخاص الأوائل الذین استحدثوا تلک اللغة وتکلّموا بها ، فإنّ هؤلاء خصّصوا ألفاظاً معیّنةً لمعانٍ خاصّة ، فاکتسبت الالفاظ نتیجةً لذلک التخصیص علاقةً بتلک المعانی ، وأصبح کلّ لفظٍ یدلّ علی معناه الخاصّ ، وذلک التخصیص الذی مارسه اولئک الأوائل ونتجت عنه الدلالة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 المُمارِس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هذا الاتّجاه وإن کان علی حقٍّ فی إنکاره للدلالة الذاتیة ولکنّه لم یتقدّم إلاّخطوةً قصیرهً فی حلّ المشکلة الأساسیة التی لا تزال قائمةً حتّی بعد الفرضیة التی یفترضها أصحاب هذا الاتّجاه ، فنحن إذا افترضنا معهم أنّ علاقة السببیة نشأت نتیجةً لعملٍ قام به مؤسِّسو اللغة ، إذ خصَّصوا کلّ لفظٍ لمعنیً خاصٍّ فلنا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نوع هذا العمل الذی قام به هؤلاء المؤسِّسون؟</w:t>
      </w:r>
    </w:p>
    <w:p>
      <w:pPr>
        <w:pStyle w:val="BookText"/>
        <w:rPr/>
      </w:pPr>
      <w:r>
        <w:rPr>
          <w:rFonts w:ascii="IRNazanin" w:hAnsi="IRNazanin" w:eastAsia="IRNazanin"/>
          <w:color w:val="111111"/>
          <w:sz w:val="28"/>
          <w:sz w:val="28"/>
          <w:szCs w:val="28"/>
          <w:rtl w:val="true"/>
          <w:lang w:bidi="fa-IR"/>
        </w:rPr>
        <w:t>وسوف نجد أنّ المشکلة لا تزال قائمة ؛ لأنّ اللفظ والمعنی ما دام لا یوجد بینهما علاقة ذاتیة ، ولا أیّ ارتباطٍ مسبق ، فکیف استطاع مؤسِّس اللغة أن یوجِد علاقة السببیة بین شیئین لا علاقة بینهما؟ وهل یکفی مجرّد تخصیص المؤسِّس للَّفظ وتعیینه له سبباً لتصوّر المعنی لکی یصبح سبباً لتصوّر المعنی حقیقةً؟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وکلّنا نعلم أنّ المؤسِّس وأیَّ شخصٍ آخر یعجز أن یجعل من حمرة الحبر الذی یکتب به سبباً لحرارة الماء ، ولو کرَّر المحاولة مائة مرّةٍ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حمرة الحبر الذی أکتبُ به لکی تکون سبباً لحرارة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استطاع أن ینجح فی جعل اللفظ </w:t>
      </w:r>
    </w:p>
    <w:p>
      <w:pPr>
        <w:pStyle w:val="BookText"/>
        <w:rPr/>
      </w:pPr>
      <w:r>
        <w:rPr>
          <w:rFonts w:ascii="IRNazanin" w:hAnsi="IRNazanin" w:eastAsia="IRNazanin"/>
          <w:color w:val="111111"/>
          <w:sz w:val="28"/>
          <w:sz w:val="28"/>
          <w:szCs w:val="28"/>
          <w:rtl w:val="true"/>
          <w:lang w:bidi="fa-IR"/>
        </w:rPr>
        <w:t>سبباً لتصوّر المعنی بمجرّد تخصیصه لذلک دون أیّ علاقةٍ سابقةٍ بین اللفظ والمعنی؟</w:t>
      </w:r>
    </w:p>
    <w:p>
      <w:pPr>
        <w:pStyle w:val="BookText"/>
        <w:rPr/>
      </w:pPr>
      <w:r>
        <w:rPr>
          <w:rFonts w:ascii="IRNazanin" w:hAnsi="IRNazanin" w:eastAsia="IRNazanin"/>
          <w:color w:val="111111"/>
          <w:sz w:val="28"/>
          <w:sz w:val="28"/>
          <w:szCs w:val="28"/>
          <w:rtl w:val="true"/>
          <w:lang w:bidi="fa-IR"/>
        </w:rPr>
        <w:t>وهکذا نواجه المشکلة کما کنّا نواجهها ، فلیس یکفی لحلِّها أن نفسِّر علاقة اللفظ بالمعنی علی أساس عملیةٍ یقوم بها مؤسِّس اللغة ، بل یجب أن نفهم محتوی هذه العملیة ؛ لکی نعرف کیف قامت علاقة السببیة بین شیئین لم تکن بینهما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حلّ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علاقة السببیة التی تقوم فی اللغة بین اللفظ والمعنی توجد وفقاً لقانونٍ عامٍّ من قوانین الذهن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والقانون العام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شیئین إذا اقترن تصوّر أحدهما مع تصوّر الآخر فی ذهن الإنسان مراراً عدیدةً ولو علی سبیل الصدفة قامت بینهما علاقة ، وأصبح أحد التصوّرین سبباً لانتقال الذهن إلی تصوّر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فی حیاتنا الاعتیادیة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نعیش مع صدیقین لا یفترقان فی مختلف شؤون حیاتهما نجدهما دائماً معاً ، فإذا رأینا بعد ذلک أحد هذین الصدیقین منفرداً ، أو سمعنا باسمه أسرع ذهننا إلی تصوّر الصدیق الآخر ؛ لأنّ رؤیتهما معاً مراراً کثیرةً أوجدت علاقةً فی تصوّرنا ، وهذه العلاقة تجعل تصوّرنا لأحدهما سبباً لتصوّر الآخر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یکفی أن تقترن فکرة أحد الشیئین بفکرة الآخر مرّةً واحدةً لکی تقوم بینهما علاقة ، وذلک إذا اقترنت الفکرتان فی ظرفٍ مؤثّر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شخص إلی بلدٍ ومُنِیَ هناک بالملاریا الشدیدة ، ثمّ شُفِی منها ورجع فقد ینتج ذلک الاقتران بین الملاریا والسفر إلی ذلک البلد علاقة بینهما ، فمتی تصوّر ذلک البلد انتقل ذهنه إلی تصوّر الملاریا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درسنا علی هذا الأساس علاقة السببیة بین اللفظ والمعنی زالت المشکلة ، إذ نستطیع أن نفسِّر هذه العلاقة بوصفها نتیجةً لاقتران تصوّر المعنی بتصوّر اللفظ بصورةٍ متکرّرة أو فی ظرفٍ مؤثّر ، الأمر الذی أدّی إلی قیام علاقةٍ بینهما ، کما وقع فی الحالات المشار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ویبقی علینا بعد هذا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اقترن تصوّر اللفظ بمعنیً خاصٍّ مراراً کثیرة ، أو فی ظرفٍ مؤثّرٍ فأنتج قیام العلاقة اللغویة بینهما؟</w:t>
      </w:r>
    </w:p>
    <w:p>
      <w:pPr>
        <w:pStyle w:val="BookText"/>
        <w:rPr/>
      </w:pPr>
      <w:r>
        <w:rPr>
          <w:rFonts w:ascii="IRNazanin" w:hAnsi="IRNazanin" w:eastAsia="IRNazanin"/>
          <w:color w:val="111111"/>
          <w:sz w:val="28"/>
          <w:sz w:val="28"/>
          <w:szCs w:val="28"/>
          <w:rtl w:val="true"/>
          <w:lang w:bidi="fa-IR"/>
        </w:rPr>
        <w:t xml:space="preserve">والجواب علی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الألفاظ اقترنت بمعانٍ معیّنةٍ مراراً عدیدةً بصورةٍ تلقائیةٍ فنشأت بینهما العلاقة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من هذا القبیل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کانت تخرج من فم الإنسان بطبیعته کلّما أحسّ بالألم ، فارتبطت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ذهنه بفکرة الألم ، فأصبح کلّما سمع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ذهنه إلی فکرة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الإنسان قبل أن توجد لدیه أیُّ لغةٍ قد استرعی انتباهه هذه العلاقة التی قامت بین الألفاظ ،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ومعانیها نتیجةً لاقترانٍ تلقائیٍّ بینهما ، وأخذ یُنشِئ علی منوالها علاقاتٍ جدیدة بین الألفاظ 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الألفاظ قرنت بالمعنی فی عملیةٍ واعیةٍ مقصودةٍ لکی تقوم بینهما علاقة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وأحسن نموذجٍ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الشخصیة ، فأنتَ حین ترید أن تسمّی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تقرن اسم علیٍّ بالولید الجدید لکی تُنشِئ بینهما علاقةً لغویة ویصبح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ولیدک ، ویسمّی عملک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فالوضع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تقرن بها لفظاً بمعنیً نتیجتها أن یقفز الذهن إلی المعنی عند تصوّر اللفظ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ونستطیع أن نشبِّه الوضع علی هذا الأساس بما تصنعه حین تسأل عن طبیب العیون فیقال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فترید أن ترکِّز اسمه فی ذاکرتک وتجعل نفسک تستحضره متی أردت ، فتحاول أن تقرن بینه وبین شیءٍ قریبٍ من ذهنک ، فتقول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بالأمس قرأت کتاباً أخذ من نفسی مأخذاً کبیراً اسم مؤلِّفه جابر ، فلأتذکّر دائماً أنّ اسم طبیب العیون هو اسم صاحب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توجِد عن هذا الطریق ارتباطاً خاصّاً بین صاحب الکتاب والطبیب جابر ، وبعد ذلک تُصبِح قادراً علی استذکار اسم الطبیب متی تصوّرت ذلک الکتاب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الطریقة فی إیجاد الارتباط لا تختلف جوهریاً عن اتّخاذ الوضع کوسیلةٍ </w:t>
      </w:r>
      <w:bookmarkStart w:id="147" w:name="pg14075_144463"/>
    </w:p>
    <w:p>
      <w:pPr>
        <w:pStyle w:val="BookText"/>
        <w:rPr/>
      </w:pPr>
      <w:bookmarkEnd w:id="147"/>
      <w:r>
        <w:rPr>
          <w:rFonts w:ascii="IRNazanin" w:hAnsi="IRNazanin" w:eastAsia="IRNazanin"/>
          <w:color w:val="111111"/>
          <w:sz w:val="28"/>
          <w:sz w:val="28"/>
          <w:szCs w:val="28"/>
          <w:rtl w:val="true"/>
          <w:lang w:bidi="fa-IR"/>
        </w:rPr>
        <w:t>لإیجاد العلاقة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نعرف أنّ من نتائج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المعنی الموضوع له وتبادره إلی الذهن بمجرّد سماع اللفظ بسبب تلک العلاقة التی یحقّقها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الاستدلال علی الوضع بالتبادر ، وجعله علامةً علی أنّ المعنی المتبادر هو المعنی الموضوع له ؛ لأنّ المعلول یکشف عن العلّة کشفاً إنّیاً ، ولهذا عُدَّ التبادر من علامات الحقیقة</w:t>
      </w:r>
      <w:r>
        <w:rPr>
          <w:rFonts w:eastAsia="IRNazanin" w:cs="IRNazanin"/>
          <w:color w:val="111111"/>
          <w:sz w:val="28"/>
          <w:szCs w:val="28"/>
          <w:rtl w:val="true"/>
          <w:lang w:bidi="fa-IR"/>
        </w:rPr>
        <w:t>.</w:t>
      </w:r>
    </w:p>
    <w:p>
      <w:pPr>
        <w:pStyle w:val="Heading6"/>
        <w:numPr>
          <w:ilvl w:val="5"/>
          <w:numId w:val="1"/>
        </w:numPr>
        <w:rPr/>
      </w:pPr>
      <w:bookmarkStart w:id="148" w:name="__RefHeading___Toc508710_1738255347"/>
      <w:bookmarkStart w:id="149" w:name="_Toc48"/>
      <w:bookmarkEnd w:id="148"/>
      <w:r>
        <w:rPr>
          <w:rtl w:val="true"/>
        </w:rPr>
        <w:t>ما هو الاستعمال؟</w:t>
      </w:r>
      <w:bookmarkEnd w:id="149"/>
    </w:p>
    <w:p>
      <w:pPr>
        <w:pStyle w:val="BookText"/>
        <w:rPr/>
      </w:pPr>
      <w:r>
        <w:rPr>
          <w:rFonts w:ascii="IRNazanin" w:hAnsi="IRNazanin" w:eastAsia="IRNazanin"/>
          <w:color w:val="111111"/>
          <w:sz w:val="28"/>
          <w:sz w:val="28"/>
          <w:szCs w:val="28"/>
          <w:rtl w:val="true"/>
          <w:lang w:bidi="fa-IR"/>
        </w:rPr>
        <w:t xml:space="preserve">بعد أن یوضع اللفظ لمعنیً یصبح تصوّر اللفظ سبباً لتصوّر المعنی ، ویأتی عندئذٍ دور الاستفادة من هذه العلاقة اللغویة التی قامت بینهما ، فإذا کنت ترید أن تعبِّر عن ذلک لشخصٍ آخر وتجعله یتصوّره فی ذهنه فبإمکانک أن تنطق بذلک اللفظ الذی أصبح سبباً لتصوّر المعنی ، وحین یسمعه صاحبک ینتقل ذهنه إلی معناه بحکم علاقة السببیة بینهما ، ویسمّی استخدامک اللفظ بقصد إخطار معناه فی ذهن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 اللفظ فی معناه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 الشخص لفظاً لکی یعدَّ ذهن غیره للانتقال إلی معناه ، ویسمّی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وإرادة المستعمل إخطار المعنی فی ذهن السامع عن طریق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ویحتاج کلّ استعمالٍ إلی تصوّر المستعمل للَّفظ وللمعنی ، غیر أنّ تصوّره لِلَّفظ یکون عادةً علی نحو اللحاظ الآلیّ المرآتی ، وتصوّره للمعنی علی نحو اللحاظ الاستقلالی ، فهما کالمرآة والصورة ، فکما تلحظ المرآة وأنت غافل عنها وکلّ نظرک إلی الصورة کذلک تلحظ اللفظ بنفس الطریقة بما هو مرآة للمعنی وأنت غافل عنه وکلّ نظرک إلی المعنی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ألحظُ اللفظَ وأنا غافل عنه ، هل هذا إلاّتناقض؟ </w:t>
      </w:r>
      <w:bookmarkStart w:id="150" w:name="pg14075_144464"/>
    </w:p>
    <w:p>
      <w:pPr>
        <w:pStyle w:val="BookText"/>
        <w:rPr/>
      </w:pPr>
      <w:bookmarkEnd w:id="150"/>
      <w:r>
        <w:rPr>
          <w:rFonts w:ascii="IRNazanin" w:hAnsi="IRNazanin" w:eastAsia="IRNazanin"/>
          <w:color w:val="111111"/>
          <w:sz w:val="28"/>
          <w:sz w:val="28"/>
          <w:szCs w:val="28"/>
          <w:rtl w:val="true"/>
          <w:lang w:bidi="fa-IR"/>
        </w:rPr>
        <w:t xml:space="preserve">أجابوک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لحاظ اللفظ المرآتیّ إفناء لِلَّفظ فی المعنی ، أی أنّک تلحظه مندکّاً فی المعنی وبنفس لحاظ المعنی ، وهذا النحو من لحاظ شیءٍ فانیاً فی شیءٍ آخر یجتمع مع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ذهب جماعة کصاحب الکفایة رحمه‌الله </w:t>
      </w:r>
      <w:r>
        <w:rPr>
          <w:rStyle w:val="FootnoteAnchor"/>
          <w:rtl w:val="true"/>
        </w:rPr>
        <w:footnoteReference w:id="24"/>
      </w:r>
      <w:r>
        <w:rPr>
          <w:rFonts w:ascii="IRNazanin" w:hAnsi="IRNazanin" w:eastAsia="IRNazanin"/>
          <w:color w:val="111111"/>
          <w:sz w:val="28"/>
          <w:sz w:val="28"/>
          <w:szCs w:val="28"/>
          <w:rtl w:val="true"/>
          <w:lang w:bidi="fa-IR"/>
        </w:rPr>
        <w:t>إلی استحالة استعمال اللفظ فی معنیین ؛ وذلک لأنّ هذا یتطلّب إفناء اللفظ فی هذا المعنی وفی ذاک ، ولا یعقل إفناء الشیء الواحد مرّتین فی عرضٍ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بإمکانی أن اوحِّد بین المعنیین بأن اکوِّن منهما مرکّباً مشتملاً علیهما معاً ، وافنی اللفظ لحاظاً فی ذلک المرکّب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ممکن ، ولکنّه استعمال لِلَّفظ فی معنیً واحد ، لا فی معنیین</w:t>
      </w:r>
      <w:r>
        <w:rPr>
          <w:rFonts w:eastAsia="IRNazanin" w:cs="IRNazanin"/>
          <w:color w:val="111111"/>
          <w:sz w:val="28"/>
          <w:szCs w:val="28"/>
          <w:rtl w:val="true"/>
          <w:lang w:bidi="fa-IR"/>
        </w:rPr>
        <w:t>.</w:t>
      </w:r>
    </w:p>
    <w:p>
      <w:pPr>
        <w:pStyle w:val="Heading6"/>
        <w:numPr>
          <w:ilvl w:val="5"/>
          <w:numId w:val="1"/>
        </w:numPr>
        <w:rPr/>
      </w:pPr>
      <w:bookmarkStart w:id="151" w:name="__RefHeading___Toc508712_1738255347"/>
      <w:bookmarkStart w:id="152" w:name="_Toc49"/>
      <w:bookmarkEnd w:id="151"/>
      <w:r>
        <w:rPr>
          <w:rtl w:val="true"/>
        </w:rPr>
        <w:t>الحقیقة و المجاز</w:t>
      </w:r>
      <w:bookmarkEnd w:id="152"/>
    </w:p>
    <w:p>
      <w:pPr>
        <w:pStyle w:val="BookText"/>
        <w:rPr/>
      </w:pPr>
      <w:r>
        <w:rPr>
          <w:rFonts w:ascii="IRNazanin" w:hAnsi="IRNazanin" w:eastAsia="IRNazanin"/>
          <w:color w:val="111111"/>
          <w:sz w:val="28"/>
          <w:sz w:val="28"/>
          <w:szCs w:val="28"/>
          <w:rtl w:val="true"/>
          <w:lang w:bidi="fa-IR"/>
        </w:rPr>
        <w:t xml:space="preserve">ویقسَّم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حقیقیٍّ ومجازی ، فالاستعمال الحقیقیّ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فی المعنی الموضوع له الذی قامت بینه وبین اللفظ علاقة لغویة بسبب الوضع ، ولهذا یطلق علی المعنی الموضوع 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الحقیقی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والاستعمال المجازی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فی معنیً آخر لم یوضع له ، ولکنّه یشابه ببعض الاعتبارات المعنی الذی وضع اللفظ له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العالم الغزیر علمه ؛ لأنّه یشابه البحر من الماء فی الغزارة والسعة ، ویطلق علی المعنی المشابه للمعنی الموضوع 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وتعتبر علاقة اللفظ بالمعنی المجازیّ علاقةً ثانویةً ناتجةً عن علاقته اللغویة الأوّلیة بالمعنی الموضوع </w:t>
      </w:r>
      <w:bookmarkStart w:id="153" w:name="pg14075_144465"/>
    </w:p>
    <w:p>
      <w:pPr>
        <w:pStyle w:val="BookText"/>
        <w:rPr/>
      </w:pPr>
      <w:bookmarkEnd w:id="153"/>
      <w:r>
        <w:rPr>
          <w:rFonts w:ascii="IRNazanin" w:hAnsi="IRNazanin" w:eastAsia="IRNazanin"/>
          <w:color w:val="111111"/>
          <w:sz w:val="28"/>
          <w:sz w:val="28"/>
          <w:szCs w:val="28"/>
          <w:rtl w:val="true"/>
          <w:lang w:bidi="fa-IR"/>
        </w:rPr>
        <w:t>له ؛ لأنّها تنبع عن الشبه القائم بین المعنی الموضوع له والمعنی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والاستعمال الحقیقیّ یؤدّی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انتقال ذهن السامع إلی تصوّر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أیّ شرط ؛ لأنّ علاقة السببیة القائمة فی اللغة بین اللفظ والمعنی الموضوع له کفیلة بتحقیق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الاستعمال المجازیّ فهو لا ینقل ذهن السامع إلی المعنی ، إذ لا توجد علاقة لغویة وسببیة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فیحتاج المستعمل لکی یحقِّق غرضه فی الاستعمال المجازیّ إلی قرینةٍ تشرح مقصوده ، فإذا 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المعنی المجازی ، ولهذا یقال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المجازیّ یحتاج إلی قرینةٍ دون الاستعمال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ونمیِّز المعنی الحقیقیّ عن المعنی المجازیِّ بالتبادر من حاقّ اللفظ ؛ لأنّ التبادر کذلک یکشف عن الوضع ، کما تقدم</w:t>
      </w:r>
      <w:r>
        <w:rPr>
          <w:rFonts w:eastAsia="IRNazanin" w:cs="IRNazanin"/>
          <w:color w:val="111111"/>
          <w:sz w:val="28"/>
          <w:szCs w:val="28"/>
          <w:rtl w:val="true"/>
          <w:lang w:bidi="fa-IR"/>
        </w:rPr>
        <w:t>.</w:t>
      </w:r>
    </w:p>
    <w:p>
      <w:pPr>
        <w:pStyle w:val="Heading6"/>
        <w:numPr>
          <w:ilvl w:val="5"/>
          <w:numId w:val="1"/>
        </w:numPr>
        <w:rPr/>
      </w:pPr>
      <w:bookmarkStart w:id="154" w:name="__RefHeading___Toc508714_1738255347"/>
      <w:bookmarkStart w:id="155" w:name="_Toc50"/>
      <w:bookmarkEnd w:id="154"/>
      <w:r>
        <w:rPr>
          <w:rtl w:val="true"/>
        </w:rPr>
        <w:t>قد ینقلب المجاز حقیقةً</w:t>
      </w:r>
      <w:bookmarkEnd w:id="155"/>
    </w:p>
    <w:p>
      <w:pPr>
        <w:pStyle w:val="BookText"/>
        <w:rPr/>
      </w:pPr>
      <w:r>
        <w:rPr>
          <w:rFonts w:ascii="IRNazanin" w:hAnsi="IRNazanin" w:eastAsia="IRNazanin"/>
          <w:color w:val="111111"/>
          <w:sz w:val="28"/>
          <w:sz w:val="28"/>
          <w:szCs w:val="28"/>
          <w:rtl w:val="true"/>
          <w:lang w:bidi="fa-IR"/>
        </w:rPr>
        <w:t>وقد لاحظ الاصولیّون بحقٍّ أنّ الاستعمال المجازیّ وإن کان یحتاج إلی قرینةٍ فی بدایة الأمر ، ولکن إذا کثر استعمال اللفظ فی المعنی المجازیّ بقرینةٍ وتکرّر ذلک بکثرةٍ قامت بین اللفظ والمعنی المجازیّ علاقة جدیدة ، وأصبح اللفظ نتیجةً لذلک موضوعاً لذلک المعنی ، وخرج عن المجاز إلی الحقیقة ، ولا تبقی بعد ذلک حاجة إلی قرینة ، وتسمّی هذه الحالة بالوضع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تسمّی عملیة الوضع المتصوّر من الواضع بالوضع التعیینی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الظاهرة یمکننا تفسیرها بسهولةٍ علی ضوء طریقتنا فی شرح حقیقة الوضع والعلاقة اللغویة ؛ لأنّنا عرفنا أنّ العلاقة اللغویة تنشأ من اقتران اللفظ بالمعنی مراراً عدیدة ، أو فی ظرفٍ مؤثّر ، فإذا استعمل اللفظ فی معنیً مجازیٍّ مراراً </w:t>
      </w:r>
      <w:bookmarkStart w:id="156" w:name="pg14075_144466"/>
    </w:p>
    <w:p>
      <w:pPr>
        <w:pStyle w:val="BookText"/>
        <w:rPr/>
      </w:pPr>
      <w:bookmarkEnd w:id="156"/>
      <w:r>
        <w:rPr>
          <w:rFonts w:ascii="IRNazanin" w:hAnsi="IRNazanin" w:eastAsia="IRNazanin"/>
          <w:color w:val="111111"/>
          <w:sz w:val="28"/>
          <w:sz w:val="28"/>
          <w:szCs w:val="28"/>
          <w:rtl w:val="true"/>
          <w:lang w:bidi="fa-IR"/>
        </w:rPr>
        <w:t>کثیرةً اقترن تصوّر اللفظ بتصوّر ذلک المعنی المجازیِّ فی ذهن السامع اقتراناً متکرّراً ، وأدّی هذا الاقتران المتکرِّر إلی قیام العلاقة اللغویة بینهما</w:t>
      </w:r>
      <w:r>
        <w:rPr>
          <w:rFonts w:eastAsia="IRNazanin" w:cs="IRNazanin"/>
          <w:color w:val="111111"/>
          <w:sz w:val="28"/>
          <w:szCs w:val="28"/>
          <w:rtl w:val="true"/>
          <w:lang w:bidi="fa-IR"/>
        </w:rPr>
        <w:t>.</w:t>
      </w:r>
    </w:p>
    <w:p>
      <w:pPr>
        <w:pStyle w:val="Heading6"/>
        <w:numPr>
          <w:ilvl w:val="5"/>
          <w:numId w:val="1"/>
        </w:numPr>
        <w:rPr/>
      </w:pPr>
      <w:bookmarkStart w:id="157" w:name="__RefHeading___Toc508716_1738255347"/>
      <w:bookmarkStart w:id="158" w:name="_Toc51"/>
      <w:bookmarkEnd w:id="157"/>
      <w:r>
        <w:rPr>
          <w:rtl w:val="true"/>
        </w:rPr>
        <w:t>تصنیف اللغة إلی معانٍ اسمیّةٍ و حرفیّة</w:t>
      </w:r>
      <w:bookmarkEnd w:id="158"/>
    </w:p>
    <w:p>
      <w:pPr>
        <w:pStyle w:val="BookText"/>
        <w:rPr/>
      </w:pPr>
      <w:r>
        <w:rPr>
          <w:rFonts w:ascii="IRNazanin" w:hAnsi="IRNazanin" w:eastAsia="IRNazanin"/>
          <w:color w:val="111111"/>
          <w:sz w:val="28"/>
          <w:sz w:val="28"/>
          <w:szCs w:val="28"/>
          <w:rtl w:val="true"/>
          <w:lang w:bidi="fa-IR"/>
        </w:rPr>
        <w:t xml:space="preserve">تنقسم کلمات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قرأتم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اسمٍ وفعلٍ وحرف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فالأسماء تدلّ علی معانٍ نفهمها من تلک الأسماء ، سواء سمعنا الاسم مجرّداً أو فی ضمن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الحرف فلا یتحصّل له معنیً إلاّإذا سمعناه ضمن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ومدلول الحرف دائماً هو الربط بین المعانی الاسمیة علی اختلاف أنحائه ، ففی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فی الموقد تشتعل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ربطٍ مخصوصٍ بین مفهومین اسمیّین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والموقد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مفاد الحروف هو الربط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الحرف لا یظهر إذا فُصِل الحرف عن الکلام ، ولیس ذلک إلاّ لأنّ مدلوله هو الربط بین معنیین ، فحیث لا توجد معانٍ اخری فی الکلام لا مجال لافتراض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لا شکّ فی أنّ مدلوله مترابط الأجزاء ، ولا شکَّ فی أنّ هذا المدلول المترابط یشتمل علی ربطٍ ومعانٍ مرتبطة ، ولا یمکن أن یحصل هذا الربط ما لم یکن هناک دالّ علیه ، وإلاّ أتت المعانی إلی الذهن وهی متناثرة غیر مترابطة ، ولیس الاسم هو الدالّ علی هذا الربط ، وإلاّ لَما فهمنا معناه إلاّضمن الکلام ؛ لأنّ الربط لا یفهم إلاّفی إطار المعانی المترابطة ، فیتعیَّن أن یکون الدالّ علی الربط هو الحرف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وتختلف الحروف باختلاف أنحاء الربط التی تدلّ علیها ، ولمّا کان کلّ ربطٍ یعنی نسبةً بین طرفین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المعانی الحرفیة معانٍ ربطیة نسبیة ، وإنّ </w:t>
      </w:r>
      <w:bookmarkStart w:id="159" w:name="pg14075_144467"/>
    </w:p>
    <w:p>
      <w:pPr>
        <w:pStyle w:val="BookText"/>
        <w:rPr/>
      </w:pPr>
      <w:bookmarkEnd w:id="159"/>
      <w:r>
        <w:rPr>
          <w:rFonts w:ascii="Amiri" w:hAnsi="Amiri" w:eastAsia="Amiri" w:cs="Amiri"/>
          <w:color w:val="111111"/>
          <w:sz w:val="28"/>
          <w:sz w:val="28"/>
          <w:szCs w:val="28"/>
          <w:rtl w:val="true"/>
          <w:lang w:bidi="ar-SA"/>
        </w:rPr>
        <w:t>المعانی الاسمیة معانٍ استقلالیة ، وکلّ ما یدلّ علی معنیً ربطیٍّ نسبیٍّ نعبِّر عنه اصولیّاً بالحرف ، وکلّ ما یدلّ علی معنیً استقلالیٍّ نعبِّر عنه اصولیاً بالاسم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الفعل فهو مکوَّن من مادةٍ وهیئةٍ ، ونرید بالمادة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الذی اشتقّ الفعل منه ، ونرید بالهیئة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الخاصّة التی صیغت به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المادة فی الفعل فهی لا تختلف عن أیِّ اسمٍ من الأسماء ،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مادتها الاشتعال ، وهذا له مدلول اسمی ، ولکنّ الفعل لا یساوی مدلول مادته ، بل یزید علیها ، بدلیل عدم جواز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یکشف عن أنّ الفعل یزید بمدلوله علی مدلول المادة ، وهذه الزیادة تنشأ من الهیئة ، وبذلک نعرف أنّ هیئة الفعل موضوعة لمعنی ، وهذا المعنی لیس معنیً اسمیاً استقلالیاً ، بدلیل أنّه لو کان کذلک لأمکن التعویض عن الفعل بالاسم الدالّ علی ذلک المعنی والاسم الدالّ علی مدلول مادته ، مع أنّا نلاحظ أنّ الفعل لا یمکن التعویض عنه فی سیاق الکلام بمجموع اسمین ، وبذلک یثبت أنّ مدلول الهیئة معنیً نسبیّ ربطی ، ولهذا استحال التعویض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الربط الذی تدلّ علیه هیئة الفعل ربط قائم بین مدلول المادة ومدلولٍ آخر فی الکلام ، کالفاعل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تشتعل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هیئة الفعل مفادها الربط بین الاشتعال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مرکّب من اسمٍ وحرفٍ ، فمادته اسم ، وهیئته حرف ، ومن هنا صحّ القول بأنّ اللغة تنقسم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والحروف</w:t>
      </w:r>
      <w:r>
        <w:rPr>
          <w:rFonts w:eastAsia="IRNazanin" w:cs="IRNazanin"/>
          <w:color w:val="111111"/>
          <w:sz w:val="28"/>
          <w:szCs w:val="28"/>
          <w:rtl w:val="true"/>
          <w:lang w:bidi="fa-IR"/>
        </w:rPr>
        <w:t>.</w:t>
      </w:r>
    </w:p>
    <w:p>
      <w:pPr>
        <w:pStyle w:val="Heading6"/>
        <w:numPr>
          <w:ilvl w:val="5"/>
          <w:numId w:val="1"/>
        </w:numPr>
        <w:rPr/>
      </w:pPr>
      <w:bookmarkStart w:id="160" w:name="__RefHeading___Toc508718_1738255347"/>
      <w:bookmarkStart w:id="161" w:name="_Toc52"/>
      <w:bookmarkEnd w:id="160"/>
      <w:r>
        <w:rPr>
          <w:rtl w:val="true"/>
        </w:rPr>
        <w:t>هیئة الجملة</w:t>
      </w:r>
      <w:bookmarkEnd w:id="1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أنّ الفعل له هیئة تدلّ علی معنیً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فی الجملة أیضاً ، ونرید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کلمتین أو أکثر بینهما ترابط ، ففی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الاسمی ، ومن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الاسمی ، </w:t>
      </w:r>
      <w:bookmarkStart w:id="162" w:name="pg14075_144468"/>
    </w:p>
    <w:p>
      <w:pPr>
        <w:pStyle w:val="BookText"/>
        <w:rPr/>
      </w:pPr>
      <w:bookmarkEnd w:id="162"/>
      <w:r>
        <w:rPr>
          <w:rFonts w:ascii="IRNazanin" w:hAnsi="IRNazanin" w:eastAsia="IRNazanin"/>
          <w:color w:val="111111"/>
          <w:sz w:val="28"/>
          <w:sz w:val="28"/>
          <w:szCs w:val="28"/>
          <w:rtl w:val="true"/>
          <w:lang w:bidi="fa-IR"/>
        </w:rPr>
        <w:t xml:space="preserve">ونفهم إضافةً إلی ذلک ارتباطاً خاصّاً بین هذین المعنیین الاسمیَّین ، وهذا الارتباط الخاصّ لا تدلّ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بمفردها ، ولا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بمفردها ، وإنّما تدلّ علیه الجملة بترکیبها الخاصّ ، وهذا یعنی أنّ هیئة الجملة تدلّ علی نوعٍ من الربط ، أی علی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نستخلص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اللغة یمکن تصنیفها من وجهة نظرٍ تحلیلیةٍ إلی فئتین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المعانی الاسمیة ، وتدخل فی هذه الفئة الأسماء ، وموادّ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المعانی 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فیها الحروف ، وهیئات الأفعال ، وهیئات الجمل</w:t>
      </w:r>
      <w:r>
        <w:rPr>
          <w:rFonts w:eastAsia="IRNazanin" w:cs="IRNazanin"/>
          <w:color w:val="111111"/>
          <w:sz w:val="28"/>
          <w:szCs w:val="28"/>
          <w:rtl w:val="true"/>
          <w:lang w:bidi="fa-IR"/>
        </w:rPr>
        <w:t>.</w:t>
      </w:r>
    </w:p>
    <w:p>
      <w:pPr>
        <w:pStyle w:val="Heading6"/>
        <w:numPr>
          <w:ilvl w:val="5"/>
          <w:numId w:val="1"/>
        </w:numPr>
        <w:rPr/>
      </w:pPr>
      <w:bookmarkStart w:id="163" w:name="__RefHeading___Toc508720_1738255347"/>
      <w:bookmarkStart w:id="164" w:name="_Toc53"/>
      <w:bookmarkEnd w:id="163"/>
      <w:r>
        <w:rPr>
          <w:rtl w:val="true"/>
        </w:rPr>
        <w:t>الجملة التامّة و الجملة الناقصة</w:t>
      </w:r>
      <w:bookmarkEnd w:id="164"/>
    </w:p>
    <w:p>
      <w:pPr>
        <w:pStyle w:val="BookText"/>
        <w:rPr/>
      </w:pPr>
      <w:r>
        <w:rPr>
          <w:rFonts w:ascii="IRNazanin" w:hAnsi="IRNazanin" w:eastAsia="IRNazanin"/>
          <w:color w:val="111111"/>
          <w:sz w:val="28"/>
          <w:sz w:val="28"/>
          <w:szCs w:val="28"/>
          <w:rtl w:val="true"/>
          <w:lang w:bidi="fa-IR"/>
        </w:rPr>
        <w:t xml:space="preserve">وإذا لاحظنا الجمل وجدنا أنّ بعض الجمل تدلّ علی معنیً مکتملٍ یمکن للمتکلّم الإخبار عنه ، ویمکن للسامع تصدیقه أو تکذیبه ، وبعض الجمل ناقصة لا یتأتّی فیها ذلک ، وکأنّها فی قوّة الکلمة الواحدة ، فحینما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نبقی ننتظر کما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علی ذلک ، بخلاف ما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الجملة حینئذٍ مکتملة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 الفرق بین الجملة التامّة والجملة الناقصة إلی نوع الربط الذی تدلّ علیه هیئة الجملة وسنخ النسبة ، فهیئة الجملة الناقصة تدلّ علی نسبةٍ اندماجیة ، أی یندمج فیها الوصف بالموصوف علی نحوٍ یصبح المجموع مفهوماً واحداً خاصّاً وحصّةً خاصّة ، ومن أجل ذلک تکون الجملة الناقصة فی قوّة الکلمة المفردة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الجملة التامّة فهی تدلّ علی نسبةٍ غیر اندماجیةٍ یبقی فیها الطرفان متمیِّزین أحدهما عن الآخر ، ویکون أمام الذهن شیئان بینهما ارتباط ، کالمبتدأ والخبر</w:t>
      </w:r>
      <w:r>
        <w:rPr>
          <w:rFonts w:eastAsia="IRNazanin" w:cs="IRNazanin"/>
          <w:color w:val="111111"/>
          <w:sz w:val="28"/>
          <w:szCs w:val="28"/>
          <w:rtl w:val="true"/>
          <w:lang w:bidi="fa-IR"/>
        </w:rPr>
        <w:t xml:space="preserve">. </w:t>
      </w:r>
      <w:bookmarkStart w:id="165" w:name="pg14075_144469"/>
    </w:p>
    <w:p>
      <w:pPr>
        <w:pStyle w:val="BookText"/>
        <w:rPr/>
      </w:pPr>
      <w:bookmarkEnd w:id="165"/>
      <w:r>
        <w:rPr>
          <w:rFonts w:ascii="IRNazanin" w:hAnsi="IRNazanin" w:eastAsia="IRNazanin"/>
          <w:color w:val="111111"/>
          <w:sz w:val="28"/>
          <w:sz w:val="28"/>
          <w:szCs w:val="28"/>
          <w:rtl w:val="true"/>
          <w:lang w:bidi="fa-IR"/>
        </w:rPr>
        <w:t xml:space="preserve">وقد تشتمل الجملة الواحدة علی نسبٍ اندماجیةٍ وغیر اندماجیة ،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العالم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 الوصف والموصوف المبتدأ اندماجیة ، والنسبة بین المبتدأ والخبر غیر اندماجیة ، وتمامیة الجملة نشأت من اشتمالها علی النسبة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إذا دقّقنا فی الجملة الناقصة وفی الحروف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أنّها جمیعاً تدلّ علی نسبٍ ناقصةٍ لا یصحّ السکوت علیها ، فکما لا یجوز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وتسکت ، کذلک لا یجوز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وتسکت ، وهذا یعنی أنّ مفردات الحروف وهیئات الجمل الناقصة کلّها تدلّ علی نسبٍ اندماجیة ، خلافاً لهیئة الجملة التامّة فإنّ مدلولها نسبة غیر اندماجیة ، سواء کانت جملةً فعلیةً أو اسمیة</w:t>
      </w:r>
      <w:r>
        <w:rPr>
          <w:rFonts w:eastAsia="IRNazanin" w:cs="IRNazanin"/>
          <w:color w:val="111111"/>
          <w:sz w:val="28"/>
          <w:szCs w:val="28"/>
          <w:rtl w:val="true"/>
          <w:lang w:bidi="fa-IR"/>
        </w:rPr>
        <w:t>.</w:t>
      </w:r>
    </w:p>
    <w:p>
      <w:pPr>
        <w:pStyle w:val="Heading6"/>
        <w:numPr>
          <w:ilvl w:val="5"/>
          <w:numId w:val="1"/>
        </w:numPr>
        <w:rPr/>
      </w:pPr>
      <w:bookmarkStart w:id="166" w:name="__RefHeading___Toc508722_1738255347"/>
      <w:bookmarkStart w:id="167" w:name="_Toc54"/>
      <w:bookmarkEnd w:id="166"/>
      <w:r>
        <w:rPr>
          <w:rtl w:val="true"/>
        </w:rPr>
        <w:t>المدلول اللغویّ و المدلول التصدیقی</w:t>
      </w:r>
      <w:bookmarkEnd w:id="167"/>
    </w:p>
    <w:p>
      <w:pPr>
        <w:pStyle w:val="BookText"/>
        <w:rPr/>
      </w:pPr>
      <w:r>
        <w:rPr>
          <w:rFonts w:ascii="Amiri" w:hAnsi="Amiri" w:eastAsia="Amiri" w:cs="Amiri"/>
          <w:color w:val="111111"/>
          <w:sz w:val="28"/>
          <w:sz w:val="28"/>
          <w:szCs w:val="28"/>
          <w:rtl w:val="true"/>
          <w:lang w:bidi="ar-SA"/>
        </w:rPr>
        <w:t xml:space="preserve">قلنا سابقاً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اللفظ علی المعنی هی أن یؤدّی تصوّر اللفظ إلی تصور المعنی ، ویسمّی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الذی نتصوّره عند سماع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الدلالة لغویة ، ونقصد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تنشأ عن طریق وضع اللفظ للمعنی ؛ لأنّ الوضع یوجد علاقة السببیة بین تصوّر اللفظ وتصوّر المعنی ، وعلی أساس هذه العلاقة تنشأ تلک الدلالة اللغویة ، ومدلولها هو المعنی اللغویّ لِلَّفظ</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تنفکّ هذه الدلالة عن اللفظ مهما سمعناه ومن أیِّ مصدر کان ،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سمعناها انتقل ذهننا فوراً إلی مدلولها اللغوی ، سواء سمعناها من </w:t>
      </w:r>
    </w:p>
    <w:p>
      <w:pPr>
        <w:pStyle w:val="BookText"/>
        <w:rPr/>
      </w:pPr>
      <w:r>
        <w:rPr>
          <w:rFonts w:ascii="IRNazanin" w:hAnsi="IRNazanin" w:eastAsia="IRNazanin"/>
          <w:color w:val="111111"/>
          <w:sz w:val="28"/>
          <w:sz w:val="28"/>
          <w:szCs w:val="28"/>
          <w:rtl w:val="true"/>
          <w:lang w:bidi="fa-IR"/>
        </w:rPr>
        <w:t xml:space="preserve">متحدِّثٍ واعٍ ، أو من نائمٍ فی حالة عدم وعیه ، وحتّی لو سمعناها نتیجةً لاحتکاک حجرین ، فنتصوّر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ونتصور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ونتصوّر النسبة التامّة التی وضعت هیئة الجملة لها ، وتسمّی هذه الدلالة لأجل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ولکنَّا إذا قارنَّا بین تلک الحالات وجدنا أنّ الجملة حین تصدر من النائم ، أو تتولّد نتیجةً لاحتکاکٍ بین حجرین لا یوجد لها إلاّمدلولها اللغویّ ذاک ، ویقتصر مفعولها علی إیجاد تصوراتٍ للحقِّ والانتصار والنسبة التامة فی ذهننا ، وأمّا حین نسمع الجملة من متحدّثٍ واعٍ فلا تقف الدلالة عند مستوی التصوّر ، بل تتعدّاه إلی مستوی التصدیق ، إذ تکشف الجملة عندئذٍ عن أشیاء نفسیةٍ فی نفس المتکلّم ، فنحن نستدلّ عن طریق صدور الجملة منه علی وجود إرادةٍ استعمالیّةٍ فی نفسه ، أی أنّه یرید أن یخطر 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وهیئة الجملة فی أذهاننا ، وأن نتصوّر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نعرف أیضاً أنّ المتکلّم إنّما یرید مِنَّا أن نتصوّر تلک المعانی لا لکی یخلق تصوراتٍ مجرّدةً فی ذهننا فحسب ، بل لغرضٍ فی نفسه ، وهذا الغرض الأساسیّ هو فی المثال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منتصر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الإخبار عن ثبوت الخبر للمبتدأ ، فإنّ المتکلم إنّما یرید منَّا أن نتصوّر معانی الجملة لأجل أن یُخبِرنا عن ثبوتها فی الواقع ، ویطلق علی الغرض الأساسیّ فی نفس المتکلّم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وتسمّی الدلالة علی هذین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الاستعمالیّة والإرادة الجدّیة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دلالة تکشف عن إرادة المتکلّم وتدعو إلی تصدیقنا بها ، لا إلی مجرّد التصوّر الساذج</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نعرف أنّ الجملة التامّة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مدلولها التصوّریّ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مدلولان تصدیقیّان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الاستعمالیّة ، إذ نعرف عن طریق صدور الجملة من المتکلِّم أنّه یرید منّا أن نتصوّر معانی کلماتها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الجدّیة ، وهی الغرض الأساسیّ الذی من أجله أراد المتکلِّم أن نتصوّر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وأحیاناً تتجّرد الجملة عن المدلول التصدیقیّ الثانی ، وذلک إذا صدرت من المتکلّم فی حالة الهزل ، لا فی حالة الجدِّ ، وإذا لم یکن یستهدف منها إلاّمجرّد إیجاد تصوّراتٍ فی ذهن السامع لمعانی کلماتها ، فلا توجد فی هذه الحالة إرادة جدّیة ، بل إرادة استعمالیّة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والدلالة التصدیقیة لیست لغویة ، أی أنّها لا تعبِّر عن علاقةٍ ناشئةٍ عن الوضع بین اللفظ والمدلول التصدیقی ؛ لأنّ الوضع إنّما یوجِد علاقةً بین تصوّر اللفظ وتصوّر المعنی ، لا بین اللفظ والمدلول التصدیقی ، وإنّما تنشأ الدلالة التصدیقیة من حال المتکلّم ، فإنّ الانسان إذا کان فی حالة وعیٍ وانتباهٍ وجدّیةٍ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حاله علی أنّه لم یقل هذه الجملة ساهیاً ولا هازلاً ، وإنّما قالها بإرادةٍ معیّنةٍ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أنَّا حین نسمع جملةً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نتصوّر المعانی اللغویة للمبتدأ والخبر بسبب الوضع الذی أوجد علاقة السببیة بین تصوّر اللفظ وتصوّر المعنی ، ونکشف الإرادة الواعیة للمتکلّم بسبب حال المتکلّم ، وتصوُّرنا ذلک یمثّل الدلالة التصوّریة ، واکتشافنا هذا یمثّل الدلالة التصدیقیة ، والمعنی الذی نتصوّره هو المدلول التصوّریّ واللغویّ لِلَّفظ ، والإرادة التی نکتشفها فی نفس المتکلّم هی المدلول التصدیقیّ والنفسیّ الذی یدلّ علیه حال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نکتشف مصدرین للدلالة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بما تشتمل علیها من أوضاع ، وهی مصدر الدلالة التصوّریة</w:t>
      </w:r>
      <w:r>
        <w:rPr>
          <w:rFonts w:eastAsia="IRNazanin" w:cs="IRNazanin"/>
          <w:color w:val="111111"/>
          <w:sz w:val="28"/>
          <w:szCs w:val="28"/>
          <w:rtl w:val="true"/>
          <w:lang w:bidi="fa-IR"/>
        </w:rPr>
        <w:t xml:space="preserve">. </w:t>
      </w:r>
      <w:bookmarkStart w:id="168" w:name="pg14075_144472"/>
    </w:p>
    <w:p>
      <w:pPr>
        <w:pStyle w:val="BookText"/>
        <w:rPr/>
      </w:pPr>
      <w:bookmarkEnd w:id="168"/>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المتکلّم ، وهو مصدر الدلالة التصدیقیة ، أی دلالة اللفظ علی مدلوله النفسیّ التصدیقی ، فإنّ اللفظ إنّما یکشف عن إرادة المتکلِّم إذا صدر فی حال یقظةٍ وانتباهٍ وجدّیّة ، فهذه الحالة هی مصدر الدلالة التصدیقیة ، ولهذا نجد أنّ اللفظ إذا صدر من المتکلّم فی حالة نومٍ أو ذهولٍ لا توجد له دلالة تصدیقیة ومدلول نفسی</w:t>
      </w:r>
      <w:r>
        <w:rPr>
          <w:rFonts w:eastAsia="IRNazanin" w:cs="IRNazanin"/>
          <w:color w:val="111111"/>
          <w:sz w:val="28"/>
          <w:szCs w:val="28"/>
          <w:rtl w:val="true"/>
          <w:lang w:bidi="fa-IR"/>
        </w:rPr>
        <w:t>.</w:t>
      </w:r>
    </w:p>
    <w:p>
      <w:pPr>
        <w:pStyle w:val="Heading6"/>
        <w:numPr>
          <w:ilvl w:val="5"/>
          <w:numId w:val="1"/>
        </w:numPr>
        <w:rPr/>
      </w:pPr>
      <w:bookmarkStart w:id="169" w:name="__RefHeading___Toc508724_1738255347"/>
      <w:bookmarkStart w:id="170" w:name="_Toc55"/>
      <w:bookmarkEnd w:id="169"/>
      <w:r>
        <w:rPr>
          <w:rtl w:val="true"/>
        </w:rPr>
        <w:t>الجملة الخبریة و الجملة الإنشائیة</w:t>
      </w:r>
      <w:bookmarkEnd w:id="170"/>
    </w:p>
    <w:p>
      <w:pPr>
        <w:pStyle w:val="BookText"/>
        <w:rPr/>
      </w:pPr>
      <w:r>
        <w:rPr>
          <w:rFonts w:ascii="IRNazanin" w:hAnsi="IRNazanin" w:eastAsia="IRNazanin"/>
          <w:color w:val="111111"/>
          <w:sz w:val="28"/>
          <w:sz w:val="28"/>
          <w:szCs w:val="28"/>
          <w:rtl w:val="true"/>
          <w:lang w:bidi="fa-IR"/>
        </w:rPr>
        <w:t xml:space="preserve">تقسَّم الجملة عادةً إلی خبریةٍ وإنشائیة ، ونحن فی حیاتنا الاعتیادیة نحسُّ بالفرق بینهما ، فأنت حین تتحدّث عن بیعک للکتاب بالأمس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الکتابَ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 الجملة تختلف بصورةٍ أساسیةٍ عنها حین ترید أن تعقد الصفقة مع المشتری فعلاً ، فتقول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الکتابَ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الجملة فی کلتا الحالتین تدلّ علی نسبةٍ تامةٍ بین البیع والبائع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بینک وبین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فهمنا للجملة وتصوّرنا للنسبة فی الحالة الاولی عن فهمنا للجملة وتصوّرنا للنسبة فی الحالة الثانیة ، فالمتکلِّم حین یقول فی الحالة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الکتابَ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النسبة بما هی حقیقة واقعة لا یملک من أمرها فعلاً شیئاً ، إلاّأن یخبر عنها إذا أراد ، وأمّا حین یقول فی الحالة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الکتابَ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یتصوّر النسبة لا بما هی حقیقة واقعة مفروغ عنها ، بل یتصوّرها بوصفها نسبةً یراد تحقیقها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الخبریة موضوعة للنسبة التامة منظوراً إلیها بما هی حقیقة واقعة وشیء مفروغ عنه ، والجملة الإنشائیة موضوعة للنسبة التامة منظوراً إلیها بما هی نسبة یراد تحقیقها</w:t>
      </w:r>
      <w:r>
        <w:rPr>
          <w:rFonts w:eastAsia="IRNazanin" w:cs="IRNazanin"/>
          <w:color w:val="111111"/>
          <w:sz w:val="28"/>
          <w:szCs w:val="28"/>
          <w:rtl w:val="true"/>
          <w:lang w:bidi="fa-IR"/>
        </w:rPr>
        <w:t xml:space="preserve">. </w:t>
      </w:r>
      <w:bookmarkStart w:id="171" w:name="pg14075_144473"/>
    </w:p>
    <w:p>
      <w:pPr>
        <w:pStyle w:val="BookText"/>
        <w:rPr/>
      </w:pPr>
      <w:bookmarkEnd w:id="171"/>
      <w:r>
        <w:rPr>
          <w:rFonts w:ascii="IRNazanin" w:hAnsi="IRNazanin" w:eastAsia="IRNazanin"/>
          <w:color w:val="111111"/>
          <w:sz w:val="28"/>
          <w:sz w:val="28"/>
          <w:szCs w:val="28"/>
          <w:rtl w:val="true"/>
          <w:lang w:bidi="fa-IR"/>
        </w:rPr>
        <w:t xml:space="preserve">وهناک من یذهب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الکفایة رحمه‌الله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النسبة التی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الإخبار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الإنشاء واحدة ، ولا یوجد أیّ فرقٍ فی مرحلة المدلول التصوّری بین الجملتین ، وإنّما الفرق فی مرحلة المدلول التصدیقی ؛ لأنّ البائع یقصد بالجملة إبراز اعتبار التملیک بها وإنشاء المعاوضة عن هذا الطریق ، وغیر البائع یقصد بالجملة الحکایة عن مضمونها ، فالمدلول التصدیقیّ مختلف دون المدلول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هذا الکلام إذا تعقّلناه فإنّما یتمّ فی الجملة المشترکة بلفظٍ واحدٍ بین الإنشاء والإخبار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یمکن أن ینطبق علی ما یختصّ به الإنشاء أو الإخبار من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إنشائیة ولا تستعمل للحکایة عن وقوع الحدث ، وإنّما تدلّ علی طلب وقوعه ، ولا یمکن القول هنا بأنّ المدلول التصوریّ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المدلول التصوّری للجملة الخبریة ، وأنّ الفرق بینهما فی المدلول التصدیقی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عدم إمکان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نحسّ بالفرق بین الجملتین حتّی فی حالة تجرّدهما عن المدلول التصدیقی وسماعهما من لافظٍ لا شعور له</w:t>
      </w:r>
      <w:r>
        <w:rPr>
          <w:rFonts w:eastAsia="IRNazanin" w:cs="IRNazanin"/>
          <w:color w:val="111111"/>
          <w:sz w:val="28"/>
          <w:szCs w:val="28"/>
          <w:rtl w:val="true"/>
          <w:lang w:bidi="fa-IR"/>
        </w:rPr>
        <w:t>.</w:t>
      </w:r>
    </w:p>
    <w:p>
      <w:pPr>
        <w:pStyle w:val="Heading6"/>
        <w:numPr>
          <w:ilvl w:val="5"/>
          <w:numId w:val="1"/>
        </w:numPr>
        <w:rPr/>
      </w:pPr>
      <w:bookmarkStart w:id="172" w:name="__RefHeading___Toc508726_1738255347"/>
      <w:bookmarkStart w:id="173" w:name="_Toc56"/>
      <w:bookmarkEnd w:id="172"/>
      <w:r>
        <w:rPr>
          <w:rtl w:val="true"/>
        </w:rPr>
        <w:t>الدلالات التی یبحث عنها علم الاصول</w:t>
      </w:r>
      <w:bookmarkEnd w:id="173"/>
    </w:p>
    <w:p>
      <w:pPr>
        <w:pStyle w:val="BookText"/>
        <w:rPr/>
      </w:pPr>
      <w:r>
        <w:rPr>
          <w:rFonts w:ascii="IRNazanin" w:hAnsi="IRNazanin" w:eastAsia="IRNazanin"/>
          <w:color w:val="111111"/>
          <w:sz w:val="28"/>
          <w:sz w:val="28"/>
          <w:szCs w:val="28"/>
          <w:rtl w:val="true"/>
          <w:lang w:bidi="fa-IR"/>
        </w:rPr>
        <w:t>نستطیع أن نقسّم العناصر اللغویة من وجهة نظرٍ اصولیةٍ إلی عناصر مشترکةٍ فی عملیة الاستنباط ، وعناصر خاصّةٍ فی تلک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فالعناصر المشترکة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أداةٍ لغویةٍ تصلح للدخول فی ایِّ دلیلٍ مهما کان نوع الموضوع الذی یعالجه ذلک الدلیل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فعل الأمر ، فإنّ بالإمکان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استخدامها بالنسبة إلی أیِّ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والعناصر الخاصّة فی عملیة الاستنباط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أداةٍ لغویةٍ لا تصلح للدخول إلاّ فی الدلیل الذی یعالج موضوعاً معیّناً ، ولا أثر لها فی استنباط حکم موضوعٍ آخر ،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یمکن أن تدخل فی دلیلٍ سوی الدلیل الذی یشتمل علی حکمٍ مرتبطٍ بالإحسان ، ولا علاقة للأدلّة التی تشتمل علی حکم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عنصراً خاصّاً فی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یدرس علم الاصول من اللغة القسم الأوّل من الأدوات اللغویة التی تعتبر عناصر مشترکةً فی عملیة الاستنباط ، فیبحث عن مدلول صیغة فعل الأمر ، وأ نّها هل تدلّ علی الوجوب ، أو الاستحباب؟ ولا یبحث عن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 القسم الأوّل من الأدوات اللغویة أداة الشرط أیضاً ؛ لأنّها تصلح للدخول فی استنباط الحکم من أیِّ دلیلٍ لفظیٍّ مهما کان نوع الموضوع الذی یتعلّق به ، فنحن نستنبط من النصّ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وجبت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الصلاة مرتبط بالزوال بدلیل أداة الشرط ، ونستنبط من النصّ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 هلال شهر رمضان وجب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الصوم مرتبط بالهلال ، ولأجل هذا یدرس علم الاصول أداة الشرط بوصفها عنصراً مشترکاً ، ویبحث عن نوع الربط الذی تدلّ علیه ونتائجه فی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صیغة الجمع المعرَّف باللام ؛ لأنّها أداة لغویة صالحة للدخول فی الدلیل اللفظیِّ مهما کان نوع الموضوع الذی یتعلّق 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ما یلی نذکر بعض النماذج من هذه الأدوات المشترکة التی یدرسها الاصولیّون </w:t>
      </w:r>
      <w:r>
        <w:rPr>
          <w:rFonts w:eastAsia="IRNazanin" w:cs="IRNazanin"/>
          <w:color w:val="111111"/>
          <w:sz w:val="28"/>
          <w:szCs w:val="28"/>
          <w:rtl w:val="true"/>
          <w:lang w:bidi="fa-IR"/>
        </w:rPr>
        <w:t xml:space="preserve">: </w:t>
      </w:r>
      <w:bookmarkStart w:id="174" w:name="pg14075_144475"/>
    </w:p>
    <w:p>
      <w:pPr>
        <w:pStyle w:val="Heading6"/>
        <w:numPr>
          <w:ilvl w:val="5"/>
          <w:numId w:val="1"/>
        </w:numPr>
        <w:rPr/>
      </w:pPr>
      <w:bookmarkStart w:id="175" w:name="__RefHeading___Toc508728_1738255347"/>
      <w:bookmarkStart w:id="176" w:name="_Toc57"/>
      <w:bookmarkEnd w:id="174"/>
      <w:bookmarkEnd w:id="175"/>
      <w:r>
        <w:rPr/>
        <w:t>1</w:t>
      </w:r>
      <w:r>
        <w:rPr>
          <w:rtl w:val="true"/>
        </w:rPr>
        <w:t xml:space="preserve"> - </w:t>
      </w:r>
      <w:r>
        <w:rPr>
          <w:rtl w:val="true"/>
        </w:rPr>
        <w:t>صیغة الأمر</w:t>
      </w:r>
      <w:bookmarkEnd w:id="176"/>
    </w:p>
    <w:p>
      <w:pPr>
        <w:pStyle w:val="BookText"/>
        <w:rPr/>
      </w:pPr>
      <w:r>
        <w:rPr>
          <w:rFonts w:ascii="Amiri" w:hAnsi="Amiri" w:eastAsia="Amiri" w:cs="Amiri"/>
          <w:color w:val="111111"/>
          <w:sz w:val="28"/>
          <w:sz w:val="28"/>
          <w:szCs w:val="28"/>
          <w:rtl w:val="true"/>
          <w:lang w:bidi="ar-SA"/>
        </w:rPr>
        <w:t xml:space="preserve">صیغة فعل الأمر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والمقرَّر بین الاصولیّین عادةً هو القول بأنّ هذه الصیغة تدلّ لغةً علی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القول یدعونا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یرید هؤلاء الأعلام من القول بأنّ صیغة فعل الأمر تدلّ علی الوجوب أن صیغة فعل الأمر تدلّ علی نفس ما تدلّ علیه کلمة الوجوب فتکونان مترادِفَتین؟ وکیف یمکن افتراض ذلک؟ مع أنّنا نحسّ بالوجدان أنّ کلمة الوجوب وصیغة فعل الأمر لیستا مترادفتین ، وإلاّ لجاز أن نستبدل إحداهما بالاخری ، وما دام هذا الاستبدال غیر جائزٍ فنعرف أن صیغة فعل الأمر تدلّ علی معنیً یختلف عن المعنی الذی تدلّ علیه کلمة الوجوب ، ویصبح من الصعب عندئذٍ فهم القول السائد بین الاصولیین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فعل الأمر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القول یحتاج إلی تحلیل مدلول صیغة فعل الأمر لکی نعرف کیف تدلّ علی الوجوب ، فنحن حین ندقِّق فی فعل الأمر نجد أنّه یدلّ علی نسبةٍ بین مادة الفعل والفاعل منظوراً إلیها بما هی نسبة یراد تحقیقها وإرسال المکلف نحو إیجادها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أرأیت الصیّاد حین یُرسِل کلب الصید إلی فریسته؟ إنّ تلک الصورة التی یتصوّرها الصیّاد عن ذهاب الکلب إلی الفریسة وهو یرسله إلیها هی نفس الصورة التی یدلّ علیها فعل الأمر ، ولهذا یقال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صیغة الأمر هو النسبة الإرسالیة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وکما أنّ الصیاد حین یرسل الکلب إلی فریسته قد یکون إرساله هذا ناتجاً عن شوقٍ شدیدٍ إلی الحصول علی تلک الفریسة ورغبةٍ أکیدةٍ فی ذلک ، وقد یکون ناتجاً عن رغبةٍ غیر أکیدةٍ وشوقٍ غیر شدیدٍ ، کذلک النسبة الإرسالیة التی تدلّ علیها الصیغة فی فعل الأمر قد نتصوّرها ناتجةً عن شوقٍ شدیدٍ وإلزامٍ أکید ، وقد نتصوّرها ناتجةً عن شوقٍ أضعف ورغبةٍ أقلّ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نستطیع الآن أن نفهم معنی ذلک القول الاصولیّ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صیغة فعل الأمر تدلّ علی الوجوب ، 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قد وضعت للنسبة الإرسالیة بوصفها ناتجةً عن شوقٍ شدیدٍ وإلزامٍ أکید ، ولهذا یدخل معنی الإلزام والوجوب ضمن الصورة التی نتصوّر بها المعنی اللغویّ للصیغة عند سماعها دون أن یصبح فعل الأمر مرادفاً لکلمة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دخول الإلزام والوجوب فی معنی الصیغة أنّ صیغة الأمر لا یجوز استعمالها فی مجال المستحبّات ، بل قد استعملت کثیراً فی موارد الاستحباب ، کما استعملت فی موارد الوجوب ، ولکنّ استعمالها فی موارد الوجوب استعمال حقیقی ؛ لأنّه استعمال للصیغة فی المعنی الذی وضعت له ، واستعمالها فی موارد الاستحباب استعمال مجازیّ یبرّره الشبه القائم بین الاستحباب والوجوب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أنّ صیغة الأمر موضوعة للوجوب بالمعنی الذی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التبادر ، فإنّ المنسبق إلی ذهن العرف ذلک ، بشهادة أنّ الآمر العرفیّ إذا أمر المکلّف بصیغة الأمر ولم یأتِ المکلّف بالمأمور به معتذراً بأنّی لم أکن أعرف أنّ هذا واجب أو مستحبّ ، لا یقبل منه العذر ، ویُلامُ علی تخلّفه عن الامتثال ، ولیس ذلک إلاّلانسباق الوجوب عرفاً من اللفظ وتبادره ، والتبادر علامة الحقیقة</w:t>
      </w:r>
      <w:r>
        <w:rPr>
          <w:rFonts w:eastAsia="IRNazanin" w:cs="IRNazanin"/>
          <w:color w:val="111111"/>
          <w:sz w:val="28"/>
          <w:szCs w:val="28"/>
          <w:rtl w:val="true"/>
          <w:lang w:bidi="fa-IR"/>
        </w:rPr>
        <w:t xml:space="preserve">. </w:t>
      </w:r>
      <w:bookmarkStart w:id="177" w:name="pg14075_144477"/>
    </w:p>
    <w:p>
      <w:pPr>
        <w:pStyle w:val="Heading6"/>
        <w:numPr>
          <w:ilvl w:val="5"/>
          <w:numId w:val="1"/>
        </w:numPr>
        <w:rPr/>
      </w:pPr>
      <w:bookmarkStart w:id="178" w:name="__RefHeading___Toc508730_1738255347"/>
      <w:bookmarkStart w:id="179" w:name="_Toc58"/>
      <w:bookmarkEnd w:id="177"/>
      <w:bookmarkEnd w:id="178"/>
      <w:r>
        <w:rPr/>
        <w:t>2</w:t>
      </w:r>
      <w:r>
        <w:rPr>
          <w:rtl w:val="true"/>
        </w:rPr>
        <w:t xml:space="preserve"> - </w:t>
      </w:r>
      <w:r>
        <w:rPr>
          <w:rtl w:val="true"/>
        </w:rPr>
        <w:t>صیغة النهی</w:t>
      </w:r>
      <w:bookmarkEnd w:id="179"/>
    </w:p>
    <w:p>
      <w:pPr>
        <w:pStyle w:val="BookText"/>
        <w:rPr/>
      </w:pPr>
      <w:r>
        <w:rPr>
          <w:rFonts w:ascii="IRNazanin" w:hAnsi="IRNazanin" w:eastAsia="IRNazanin"/>
          <w:color w:val="111111"/>
          <w:sz w:val="28"/>
          <w:sz w:val="28"/>
          <w:szCs w:val="28"/>
          <w:rtl w:val="true"/>
          <w:lang w:bidi="fa-IR"/>
        </w:rPr>
        <w:t xml:space="preserve">صیغة النهی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والمقرَّر بین الاصولیّین هو القول بأنّ صیغة النهی تدلّ علی الحرمة ، ویجب أن نفهم هذا القول بصورةٍ مماثلةٍ لفهمنا القول بأنّ صیغة الأمر تدلّ علی الوجوب مع فارق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إمساک ومنع ، والأمر إرسال وطلب ، فصیغة النهی إذن تدلّ علی نسبةٍ إمساکیة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أنَّا حین نسمع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نتصوّر نسبةً بین الذهاب والمخاطب ، ونتصوّر أنّ المتکلّم یُرسِل المخاطب نحوها ویبعثه إلی تحقیقها ، کما یرسل الصیّاد کلبه نحو الفریسة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حین نسمع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فنتصوّر نسبةً بین الذهاب والمخاطب ، ونتصوّر أنّ المتکلّم یُمسِک مخاطبه عن تلک النسبة ویزجره عنها ، کما لو حاول کلب الصید أن یطارد الفریسة فأمسک به الصیّاد ، ولهذا نطلق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الإمساکیة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وتدخل الحرمة فی مدلول النهی بالطریقة التی دخل بها الوجوب إلی مدلول الأمر ، ولنرجع بهذا الصدد إلی مثال الصیّاد ، فإنَّا نجد أنّ الصیاد حین یمسک کلبه عن تتبّع الفریسة قد یکون إمساکه هذا ناتجاً عن کراهة تتبّع الکلب للفریسة بدرجةٍ شدیدة ، وقد ینتج عن کراهة ذلک بدرجةٍ ضعیفة ، ونظیر هذا تماماً نتصوّره فی النسبة الإمساکیة التی نتحدّث عنها ، فإنَّا قد نتصورها ناتجةً عن کراهةٍ شدیدةٍ للمنهیِّ عنه ، وقد نتصورها ناتجةً عن کراهةٍ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النهی تدلّ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موضوعة للنسبة الإمساکیة بوصفها ناتجةً عن کراهةٍ شدیدةٍ وهی الحرمة ، فتدخل الحرمة ضمن الصورة التی نتصوّر بها المعنی اللغویَّ لصیغة النهی عند سماعها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أنّها موضوعة کذلک هو التبادر ، کما تقدم فی صیغة الأمر</w:t>
      </w:r>
      <w:r>
        <w:rPr>
          <w:rFonts w:eastAsia="IRNazanin" w:cs="IRNazanin"/>
          <w:color w:val="111111"/>
          <w:sz w:val="28"/>
          <w:szCs w:val="28"/>
          <w:rtl w:val="true"/>
          <w:lang w:bidi="fa-IR"/>
        </w:rPr>
        <w:t xml:space="preserve">. </w:t>
      </w:r>
      <w:bookmarkStart w:id="180" w:name="pg14075_144478"/>
    </w:p>
    <w:p>
      <w:pPr>
        <w:pStyle w:val="BookText"/>
        <w:rPr/>
      </w:pPr>
      <w:bookmarkEnd w:id="180"/>
      <w:r>
        <w:rPr>
          <w:rFonts w:ascii="IRNazanin" w:hAnsi="IRNazanin" w:eastAsia="IRNazanin"/>
          <w:color w:val="111111"/>
          <w:sz w:val="28"/>
          <w:sz w:val="28"/>
          <w:szCs w:val="28"/>
          <w:rtl w:val="true"/>
          <w:lang w:bidi="fa-IR"/>
        </w:rPr>
        <w:t>وفی نفس الوقت قد تستعمل صیغة النهی فی موارد الکراهة ، فیُنهی عن المکروه أیضاً بسبب الشبه القائم بین الکراهة والحرمة ، ویعتبر استعمالها فی موارد المکروهات استعمالاً مجازیاً</w:t>
      </w:r>
      <w:r>
        <w:rPr>
          <w:rFonts w:eastAsia="IRNazanin" w:cs="IRNazanin"/>
          <w:color w:val="111111"/>
          <w:sz w:val="28"/>
          <w:szCs w:val="28"/>
          <w:rtl w:val="true"/>
          <w:lang w:bidi="fa-IR"/>
        </w:rPr>
        <w:t>.</w:t>
      </w:r>
    </w:p>
    <w:p>
      <w:pPr>
        <w:pStyle w:val="Heading6"/>
        <w:numPr>
          <w:ilvl w:val="5"/>
          <w:numId w:val="1"/>
        </w:numPr>
        <w:rPr/>
      </w:pPr>
      <w:bookmarkStart w:id="181" w:name="__RefHeading___Toc508732_1738255347"/>
      <w:bookmarkStart w:id="182" w:name="_Toc59"/>
      <w:bookmarkEnd w:id="181"/>
      <w:r>
        <w:rPr/>
        <w:t>3</w:t>
      </w:r>
      <w:r>
        <w:rPr>
          <w:rtl w:val="true"/>
        </w:rPr>
        <w:t xml:space="preserve"> - </w:t>
      </w:r>
      <w:r>
        <w:rPr>
          <w:rtl w:val="true"/>
        </w:rPr>
        <w:t>الإطلاق</w:t>
      </w:r>
      <w:bookmarkEnd w:id="182"/>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إذا أراد أن یأمر ولده بإکرام جاره المسلم فلا یکتفی عادةً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إذا کان یرید من ولده أن یُکرِم جاره مهما کان دینه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یقیّدها بوصفٍ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قوله عندئذٍ أنّ الأمر لا یختصّ بالجار المسلم ، بل یشمل الجار الکافر أیضاً ، وهذا الشمول نفهمه نتیجةً لذکر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عن القید ، ویسمّی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اللفظ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هذا الأساس یعتبر تجرّد الکلمة من القید اللفظیّ فی الکلام دلیلاً علی شمول الحکم ، ومثال ذلک من النصّ الشرعیّ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فقد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مجرّدةً عن أیِّ قیدٍ فی الکلام ، فیدلّ هذا الإطلاق علی شمول الحکم بالحلّیّة لجمیع أنواع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 أصبح ذکر الکلمة بدون قیدٍ فی الکلام دلیلاً علی الشمول؟ وما هو مصدر هذه الدلالة؟ فهذا ما لا یمکن تفصیل الکلام فیه علی مستوی هذه الحلقة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نقول علی نحو الإیجاز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حال المتکلِّم حینما یکون له مرامٌ فی نفسه یدفعه إلی الکلام أن یکون فی مقام بیان تمام ذلک المرام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مرامه الجار المسلم خاصّةً لم یکتفِ بما قال ، بل یردفه عادةً بما یدلّ </w:t>
      </w:r>
      <w:bookmarkStart w:id="183" w:name="pg14075_144479"/>
    </w:p>
    <w:p>
      <w:pPr>
        <w:pStyle w:val="BookText"/>
        <w:rPr/>
      </w:pPr>
      <w:bookmarkEnd w:id="183"/>
      <w:r>
        <w:rPr>
          <w:rFonts w:ascii="IRNazanin" w:hAnsi="IRNazanin" w:eastAsia="IRNazanin"/>
          <w:color w:val="111111"/>
          <w:sz w:val="28"/>
          <w:sz w:val="28"/>
          <w:szCs w:val="28"/>
          <w:rtl w:val="true"/>
          <w:lang w:bidi="fa-IR"/>
        </w:rPr>
        <w:t>علی قید الإسلام ، وفی کلّ حالةٍ لا یأتی بما یدلّ علی القید نعرف أنّ هذا القید غیر داخلٍ فی مرامه ، إذ لو کان داخلاً فی مرامه ومع هذا سکتَ عنه لکان ذلک علی خلاف ظاهر حاله القاضی بأ نّه فی مقام بیان تمام المراد بالکلام ، فبهذا الاستدلال نستکشف الإطلاق من السکوت وعدم ذکر القید ، ویعبّر عن ذلک بقرینة الحکمة</w:t>
      </w:r>
      <w:r>
        <w:rPr>
          <w:rFonts w:eastAsia="IRNazanin" w:cs="IRNazanin"/>
          <w:color w:val="111111"/>
          <w:sz w:val="28"/>
          <w:szCs w:val="28"/>
          <w:rtl w:val="true"/>
          <w:lang w:bidi="fa-IR"/>
        </w:rPr>
        <w:t>.</w:t>
      </w:r>
    </w:p>
    <w:p>
      <w:pPr>
        <w:pStyle w:val="Heading6"/>
        <w:numPr>
          <w:ilvl w:val="5"/>
          <w:numId w:val="1"/>
        </w:numPr>
        <w:rPr/>
      </w:pPr>
      <w:bookmarkStart w:id="184" w:name="__RefHeading___Toc508734_1738255347"/>
      <w:bookmarkStart w:id="185" w:name="_Toc60"/>
      <w:bookmarkEnd w:id="184"/>
      <w:r>
        <w:rPr/>
        <w:t>4</w:t>
      </w:r>
      <w:r>
        <w:rPr>
          <w:rtl w:val="true"/>
        </w:rPr>
        <w:t xml:space="preserve"> - </w:t>
      </w:r>
      <w:r>
        <w:rPr>
          <w:rtl w:val="true"/>
        </w:rPr>
        <w:t>أدوات العموم</w:t>
      </w:r>
      <w:bookmarkEnd w:id="185"/>
    </w:p>
    <w:p>
      <w:pPr>
        <w:pStyle w:val="BookText"/>
        <w:rPr/>
      </w:pPr>
      <w:r>
        <w:rPr>
          <w:rFonts w:ascii="IRNazanin" w:hAnsi="IRNazanin" w:eastAsia="IRNazanin"/>
          <w:color w:val="111111"/>
          <w:sz w:val="28"/>
          <w:sz w:val="28"/>
          <w:szCs w:val="28"/>
          <w:rtl w:val="true"/>
          <w:lang w:bidi="fa-IR"/>
        </w:rPr>
        <w:t xml:space="preserve">أدوات العموم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کلَّ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أنّ الآمر حین یرید أن یدلِّل علی شمول حکمه وعمومه قد یکتفی بالإطلاق وذکر الکلمة بدون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یرید مزیداً من التأکید علی العموم والشمول فیأتی بأداةٍ خاصّةٍ للدلالة علی ذلک ، فیقول فی المثال المتقدّم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فیفهم السامع من ذلک مزیداً من التأکید علی العموم والشمول ، ولهذا تعتبر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العموم ؛ لأنّها موضوعة فی اللغة لذلک ، ویسمّی اللفظ الذی دلّت الأداة علی عمومه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أداة العموم دخلت علیه و عمّمته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التدلیل علی العموم یتمّ بإحدی طریقتین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سلبیة ، و هی الإطلاق ، أی ذکر الکلمة بدون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إیجابیة ، وهی استعمال أداةٍ للعموم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إلیها من ألفاظ</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الاصولیّون فی صیغة الجمع المعرَّف باللام ،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bookmarkStart w:id="186" w:name="pg14075_144480"/>
    </w:p>
    <w:p>
      <w:pPr>
        <w:pStyle w:val="BookText"/>
        <w:rPr/>
      </w:pPr>
      <w:bookmarkEnd w:id="186"/>
      <w:r>
        <w:rPr>
          <w:rFonts w:ascii="IRNazanin" w:hAnsi="IRNazanin" w:eastAsia="IRNazanin"/>
          <w:color w:val="111111"/>
          <w:sz w:val="28"/>
          <w:sz w:val="28"/>
          <w:szCs w:val="28"/>
          <w:rtl w:val="true"/>
          <w:lang w:bidi="fa-IR"/>
        </w:rPr>
        <w:t xml:space="preserve">فقال بعضهم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الصیغة نفسها من أدوات العموم أیضاً ،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فأیّ جمعٍ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المتکلِّم إثبات الحکم لجمیع أفراده والتدلیل علی عمومه بطریقةٍ إیجابیّةٍ أدخل علیه اللام ، فیجعله جمعاً معرّفاً باللام ،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الاصولیِّین </w:t>
      </w:r>
      <w:r>
        <w:rPr>
          <w:rStyle w:val="FootnoteAnchor"/>
          <w:rtl w:val="true"/>
        </w:rPr>
        <w:footnoteReference w:id="28"/>
      </w:r>
      <w:r>
        <w:rPr>
          <w:rFonts w:ascii="IRNazanin" w:hAnsi="IRNazanin" w:eastAsia="IRNazanin"/>
          <w:color w:val="111111"/>
          <w:sz w:val="28"/>
          <w:sz w:val="28"/>
          <w:szCs w:val="28"/>
          <w:rtl w:val="true"/>
          <w:lang w:bidi="fa-IR"/>
        </w:rPr>
        <w:t xml:space="preserve">یذهب إلی أنّ صیغة الجمع المعرَّف باللام لیست من أدوات العموم ، ونحن إنّما نفهم الشمول فی الحکم عندما نسمع المتکلِّم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الإطلاق وتجرّد الکلمة عن القیود ، لا بسبب دخول اللام علی الجمع ، أی بطریقةٍ سلبیةٍ لا إیجابیة ، فلا فرق بین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فکما یستند فهمنا للشمول فی الجملة الثانیة إلی الإطلاق کذلک الحال فی الجملة الاولی ، فالمفرد والجمع المعرَّفان لا یدلاّن علی الشمول إلاّبالطریقة السلبیة</w:t>
      </w:r>
      <w:r>
        <w:rPr>
          <w:rFonts w:eastAsia="IRNazanin" w:cs="IRNazanin"/>
          <w:color w:val="111111"/>
          <w:sz w:val="28"/>
          <w:szCs w:val="28"/>
          <w:rtl w:val="true"/>
          <w:lang w:bidi="fa-IR"/>
        </w:rPr>
        <w:t>.</w:t>
      </w:r>
    </w:p>
    <w:p>
      <w:pPr>
        <w:pStyle w:val="Heading6"/>
        <w:numPr>
          <w:ilvl w:val="5"/>
          <w:numId w:val="1"/>
        </w:numPr>
        <w:rPr/>
      </w:pPr>
      <w:bookmarkStart w:id="187" w:name="__RefHeading___Toc508736_1738255347"/>
      <w:bookmarkStart w:id="188" w:name="_Toc61"/>
      <w:bookmarkEnd w:id="187"/>
      <w:r>
        <w:rPr/>
        <w:t>5</w:t>
      </w:r>
      <w:r>
        <w:rPr>
          <w:rtl w:val="true"/>
        </w:rPr>
        <w:t xml:space="preserve"> - </w:t>
      </w:r>
      <w:r>
        <w:rPr>
          <w:rtl w:val="true"/>
        </w:rPr>
        <w:t>أداة الشرط</w:t>
      </w:r>
      <w:bookmarkEnd w:id="1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أداة الشرط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أحرمت للحجِّ فلا تتطیّب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وتسمّی الجملة التی تدخل علیها أداة الشرط جملة شرطیة ، وهی تختلف فی وظیفتها اللغویة عن غیرها من الجمل التی لا توجد فیها أداة شرط ، فإنّ سائر الجمل تقوم بربط کلمةٍ باخری ، نظیر ربط الخبر بالمبتدأ فی </w:t>
      </w:r>
    </w:p>
    <w:p>
      <w:pPr>
        <w:pStyle w:val="BookText"/>
        <w:rPr/>
      </w:pPr>
      <w:r>
        <w:rPr>
          <w:rFonts w:ascii="IRNazanin" w:hAnsi="IRNazanin" w:eastAsia="IRNazanin"/>
          <w:color w:val="111111"/>
          <w:sz w:val="28"/>
          <w:sz w:val="28"/>
          <w:szCs w:val="28"/>
          <w:rtl w:val="true"/>
          <w:lang w:bidi="fa-IR"/>
        </w:rPr>
        <w:t>القضیة الحملیة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الجملة الشرطیة فهی تربط بین جملتین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الشرط وجملة الجزاء ، وکلّ من هاتین الجملتین تتحوّل بسبب هذا الربط الشرطیّ من جملةٍ تامّةٍ إلی جملةٍ ناقصة ، وتکون الجملة التامة هی الجملة الشرطیة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لاحظنا المثالین المتقدِّمَین للجملة الشرطیة وجدنا أنّ الشرط فی المثال الأوّل زوال الشمس ، وفی المثال الثانی هو الإحرام للحجّ ، وأمّا المشروط فهو مدلول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صیغة أمرٍ هو الوجوب ، ومدلول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صیغة نهیٍ هو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فنعرف أنّ المشروط هو الوجوب أو الحرمة ، أی الحکم الشرعی ، ومعنی أنّ الحکم الشرعیّ مشروط بزوال الشمس أو بالإحرام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مرتبط بالزوال أو الإحرام ومقیّد بذلک ، والمقیّد ینتفی إذا انتفی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وینتج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أداة الشرط تدلّ علی انتفاء الحکم الشرعیّ فی حالة انتفاء الشرط ؛ لأنّ ذلک نتیجة لدلالتها علی تقیید الحکم الشرعیّ وجعله مشروطاً ، فیدلّ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وجوب الصلاة قبل الزوال ، ویدلّ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للحجِّ فلا تتطیّب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حرمة الطِیب فی حالة عدم الإحرام للحجّ ، وبذلک تصبح الجملة الشرطیة ذات مدلولین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إیجابی ، والآخر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الجزاء عند ثبوت الشرط ، ومدلولها السلبیّ هو انتفاء الجزاء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المدلول الإیجابیّ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للجملة ، والمدلول السلبیّ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جملةٍ لها مثل هذا المدلول السلبیّ یقال فی العرف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أو القضیة ذات مفهوم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وضع بعض الاصولیِّین </w:t>
      </w:r>
      <w:r>
        <w:rPr>
          <w:rStyle w:val="FootnoteAnchor"/>
          <w:rtl w:val="true"/>
        </w:rPr>
        <w:footnoteReference w:id="29"/>
      </w:r>
      <w:r>
        <w:rPr>
          <w:rFonts w:ascii="IRNazanin" w:hAnsi="IRNazanin" w:eastAsia="IRNazanin"/>
          <w:color w:val="111111"/>
          <w:sz w:val="28"/>
          <w:sz w:val="28"/>
          <w:szCs w:val="28"/>
          <w:rtl w:val="true"/>
          <w:lang w:bidi="fa-IR"/>
        </w:rPr>
        <w:t xml:space="preserve">قاعدةً عامّةً لهذا المدلول السلبیّ فی اللغة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أداةٍ لغویةٍ تدلّ علی تقیید الحکم وتحدیده لها مدلول سلبی ، إذ تدلّ علی انتفاء الحکم خارج نطاق الحدود التی تضعها للحکم ، وأداة الشرط تعتبر مصداقاً لهذه القاعدة العامة ؛ لأنّها تدلّ علی تحدید الحکم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مصادیق القاعدة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الغایة ، حین تقول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فعل أمرٍ یدلّ علی الوجوب ، وقد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أداة غایةٍ علی وضع حدٍّ وغایةٍ لهذا الوجوب الذی تدلّ علیه صیغة الأمر ، ومعنی کونه غایةً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تقییده ، فیدلّ علی انتفاء وجوب الصوم بعد مغیب الشمس ، وهذا هو المدلول السلبیّ الذی نطلق علیه اسم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المدلول السلبیّ للجملة الشرطیة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یسمّی المدلول السلبیّ لأداة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حتّی فی المثال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القید هنا علی أنّ غیر العادل لا یجب إکرامه ؛ لأنّ هذا القید لیس قیداً للحکم ، بل هو وصف للفقیر وقید له ، والفقیر هو موضوع الحکم لانفسه ، وما دام التقیید لا یعود إلی الحکم مباشرةً فلا دلالة له علی المفهوم ، ومن 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مفهوم للوصف ، ویراد به ما کان من 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المثال</w:t>
      </w:r>
      <w:r>
        <w:rPr>
          <w:rFonts w:eastAsia="IRNazanin" w:cs="IRNazanin"/>
          <w:color w:val="111111"/>
          <w:sz w:val="28"/>
          <w:szCs w:val="28"/>
          <w:rtl w:val="true"/>
          <w:lang w:bidi="fa-IR"/>
        </w:rPr>
        <w:t xml:space="preserve">. </w:t>
      </w:r>
      <w:bookmarkStart w:id="189" w:name="pg14075_144483"/>
    </w:p>
    <w:p>
      <w:pPr>
        <w:pStyle w:val="Heading6"/>
        <w:numPr>
          <w:ilvl w:val="5"/>
          <w:numId w:val="1"/>
        </w:numPr>
        <w:rPr/>
      </w:pPr>
      <w:bookmarkStart w:id="190" w:name="__RefHeading___Toc508738_1738255347"/>
      <w:bookmarkStart w:id="191" w:name="_Toc62"/>
      <w:bookmarkEnd w:id="189"/>
      <w:bookmarkEnd w:id="190"/>
      <w:r>
        <w:rPr>
          <w:rtl w:val="true"/>
        </w:rPr>
        <w:t>حجّیة الظهور</w:t>
      </w:r>
      <w:bookmarkEnd w:id="191"/>
    </w:p>
    <w:p>
      <w:pPr>
        <w:pStyle w:val="Heading6"/>
        <w:numPr>
          <w:ilvl w:val="5"/>
          <w:numId w:val="1"/>
        </w:numPr>
        <w:rPr/>
      </w:pPr>
      <w:bookmarkStart w:id="192" w:name="__RefHeading___Toc508740_1738255347"/>
      <w:bookmarkStart w:id="193" w:name="_Toc63"/>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إذا واجهنا دلیلاً شرعیاً فلیس المهمّ أن نفسِّره بالنسبة إلی مدلوله التصوّریّ اللغویّ فحسب ، بل أن نفسِّره بالنسبة إلی مدلوله التصدیقی ؛ لنعرف ماذا أراد الشارع به ، وکثیراً ما نلاحظ أنّ اللفظ صالح لدلالاتٍ لغویةٍ وعرفیةٍ متعدّدة فکیف نستطیع أن نعیِّن مراد المتکلِّم منه؟</w:t>
      </w:r>
    </w:p>
    <w:p>
      <w:pPr>
        <w:pStyle w:val="BookText"/>
        <w:rPr/>
      </w:pPr>
      <w:r>
        <w:rPr>
          <w:rFonts w:ascii="IRNazanin" w:hAnsi="IRNazanin" w:eastAsia="IRNazanin"/>
          <w:color w:val="111111"/>
          <w:sz w:val="28"/>
          <w:sz w:val="28"/>
          <w:szCs w:val="28"/>
          <w:rtl w:val="true"/>
          <w:lang w:bidi="fa-IR"/>
        </w:rPr>
        <w:t xml:space="preserve">وهنا نستعین بظهورین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اللفظ فی مرحلة الدلالة التصوریة فی معنیً معیّن ، ومعنی الظهور فی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أسرع انسباقاً إلی تصوّر الإنسان عند سماع اللفظ من غیره من المعانی فهو أقرب المعانی إلی اللفظ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 فی أنّ ما یریده مطابق لظهور اللفظ فی مرحلة الدلالة التصوریة ، أی أنّه یرید أقرب المعانی إلی اللفظ لغةً ، وهذا ما یسمّی بظهور التطابق بین مقام الإثبات ومقام الثبوت ، ومن المقرّر فی علم الاصول أنّ ظهور حال المتکلِّم فی إرادة أقرب المعانی إلی اللفظ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حجّیّة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اتّخاذه أساساً لتفسیر الدلیل اللفظیّ علی ضوئه ، فنفترض دائماً أنّ المتکلِّم قد أراد المعنی الأقرب إلی اللفظ فی النظام اللغویِّ العامِ </w:t>
      </w:r>
      <w:r>
        <w:rPr>
          <w:rStyle w:val="FootnoteAnchor"/>
          <w:rtl w:val="true"/>
        </w:rPr>
        <w:footnoteReference w:id="30"/>
      </w:r>
      <w:r>
        <w:rPr>
          <w:rFonts w:ascii="IRNazanin" w:hAnsi="IRNazanin" w:eastAsia="IRNazanin"/>
          <w:color w:val="111111"/>
          <w:sz w:val="28"/>
          <w:sz w:val="28"/>
          <w:szCs w:val="28"/>
          <w:rtl w:val="true"/>
          <w:lang w:bidi="fa-IR"/>
        </w:rPr>
        <w:t>أخذاً بظهور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یطلق علی حجّیة الظهور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 نّها تجعل الظهور هو الأصل لتفسیر الدلیل اللفظی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هذا نستطیع أن نعرف لماذا کنَّا نهتمّ فی البحث السابق بتحدید </w:t>
      </w:r>
      <w:bookmarkStart w:id="194" w:name="pg14075_144484"/>
    </w:p>
    <w:p>
      <w:pPr>
        <w:pStyle w:val="BookText"/>
        <w:rPr/>
      </w:pPr>
      <w:bookmarkEnd w:id="194"/>
      <w:r>
        <w:rPr>
          <w:rFonts w:ascii="IRNazanin" w:hAnsi="IRNazanin" w:eastAsia="IRNazanin"/>
          <w:color w:val="111111"/>
          <w:sz w:val="28"/>
          <w:sz w:val="28"/>
          <w:szCs w:val="28"/>
          <w:rtl w:val="true"/>
          <w:lang w:bidi="fa-IR"/>
        </w:rPr>
        <w:t>المدلول اللغویِّ الأقرب للکلمة والمعنی الظاهر لها بموجب النظام اللغویّ العامّ ، مع أنّ المهمّ عند تفسیر الدلیل اللفظیّ هو اکتشاف ماذا أراد المتکلِّم باللفظ من معنی ، لا ما هو المعنی الأقرب إلیه فی اللغة ، فإنَّا ندرک فی ضوء أصالة الظهور أنّ الصلة وثیقة جدّاً بین اکتشاف مراد المتکلِّم وتحدید المدلول اللغویّ الأقرب للکلمة ؛ لأنّ أصالة الظهور تحکم بأنّ مراد المتکلِّم من اللفظ هو نفس المدلول اللغویّ الأقرب ، أی المعنی الظاهر من اللفظ لغةً ، فلکی نعرف مراد المتکلِّم یجب أن نعرف المعنی الأقرب إلی اللفظ لغةً لنحکم بأ نّه هو المعنی المراد للمتکلِّم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والدلیل علی حجّیة الظهور یتکوّن من مقدِّمتین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وأصحاب الأئمة علیهم‌السلام کانت سیرتهم قائمةً علی العمل بظواهر الکتاب والسنّة واتّخاذ الظهور أساساً لفهمهما ، کما هو واضح تأریخیّاً من عملهم ودیدنهم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علی مرأیً ومسمعٍ من المعصومین علیهم‌السلام ولم یعترضوا علیها بشیء ، وهذا یدلّ علی صحّتها شرعاً ، وإلاّ لردعوا عنها ، وبذلک یثبت إمضاء الشارع للسیرة القائمة علی العمل بالظهور ، وهو معنی حجّیة الظهور شرعاً</w:t>
      </w:r>
      <w:r>
        <w:rPr>
          <w:rFonts w:eastAsia="IRNazanin" w:cs="IRNazanin"/>
          <w:color w:val="111111"/>
          <w:sz w:val="28"/>
          <w:szCs w:val="28"/>
          <w:rtl w:val="true"/>
          <w:lang w:bidi="fa-IR"/>
        </w:rPr>
        <w:t>.</w:t>
      </w:r>
    </w:p>
    <w:p>
      <w:pPr>
        <w:pStyle w:val="Heading6"/>
        <w:numPr>
          <w:ilvl w:val="5"/>
          <w:numId w:val="1"/>
        </w:numPr>
        <w:rPr/>
      </w:pPr>
      <w:bookmarkStart w:id="195" w:name="__RefHeading___Toc508742_1738255347"/>
      <w:bookmarkStart w:id="196" w:name="_Toc64"/>
      <w:bookmarkEnd w:id="195"/>
      <w:r>
        <w:rPr>
          <w:rtl w:val="true"/>
        </w:rPr>
        <w:t>تطبیقات حجّیة الظهور علی الأدلّة اللفظیة</w:t>
      </w:r>
      <w:bookmarkEnd w:id="196"/>
    </w:p>
    <w:p>
      <w:pPr>
        <w:pStyle w:val="BookText"/>
        <w:rPr/>
      </w:pPr>
      <w:r>
        <w:rPr>
          <w:rFonts w:ascii="IRNazanin" w:hAnsi="IRNazanin" w:eastAsia="IRNazanin"/>
          <w:color w:val="111111"/>
          <w:sz w:val="28"/>
          <w:sz w:val="28"/>
          <w:szCs w:val="28"/>
          <w:rtl w:val="true"/>
          <w:lang w:bidi="fa-IR"/>
        </w:rPr>
        <w:t xml:space="preserve">ونستعرض فی ما یلی ثلاث حالاتٍ لتطبیق قاعدة حجّیة الظهور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لِلَّفظ فی الدلیل معنیً وحید فی اللغة ولا یصلح للدلالة علی معنیً آخر فی النظام اللغویِّ والعرفیِّ العامّ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والقاعدة العامّة تحتِّم فی هذه الحالة أن یُحمَل اللفظ علی معناه الوحید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المتکلِّم أراد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المتکلِّم یرید باللفظ دائماً المعنی المحدَّد له فی النظام اللغویِّ العامّ ، ویعتبر الدلیل فی مثل هذه الحالة صریحاً فی معناه ونصّاً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لِلَّفظ معانٍ متعدِّدةٌ متکافئة فی علاقتها باللفظ بموجب النظام اللغوی العام ، من قبیل المشترک ، وفی هذه الحالة لا یمکن تعیین المراد من اللفظ علی أساس تلک القاعدة ، إذ لا یوجد معنی أقرب إلی اللفظ من ناحیةٍ لغویةٍ لتطبَّق القاعدة علیه ، ویکون الدلیل فی هذه الحالة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لِلَّفظ معانٍ متعدِّدة فی اللغة وأحدها أقرب إلی اللفظ لغویاً من سائر معانیه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لها معنیً حقیقیّ قریب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مجازیّ بعید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قال 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البحر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وأردنا أن نعرف ماذا أراد المتکلم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هذین المعنیین ، یجب علینا أن ندرس السیاق الذی جاءت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یکتنف اللفظ الذی نرید فهمه من دوالّ اخری ، سواء کانت لفظیةً کالکلمات التی تشکّل مع اللفظ الذی نرید فهمه کلاماً واحداً مترابطاً ، أو حالیّةً کالظروف والملابسات التی تحیط بالکلام وتکون ذات دلالةٍ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نجد فی سائر الکلمات التی وردت فی السیاق ما یدلّ علی خلاف المعنی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لزاماً علینا أن نفسِّر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المعنی اللغوی الأقرب تطبیقاً للقاعدة العامة القائلة بحجّیة الظهور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نجد فی سائر أجزاء الکلام ما لا یتّفق مع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ومثاله أن یقول 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البحر فی کلّ یوم واستمع إلی حدیثه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الاستماع إلی حدیث البحر لا یتّفق مع المعنی اللغویّ الأقرب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یناسب العالم الذی یشابه البحر لغزارة علمه ، وفی هذه الحالة نجد أنفسنا تتساءل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أراد المتکلِّم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أراد بها البحر من العلم بدلیل أنّه أمرنا بالاستماع إلی حدیثه ، أو أراد بها البحر من الماء ولم یقصد بالحدیث هنا المعنی الحقیقیّ ، بل أراد به الإصغاء إلی صوت أمواج البحر؟ وهکذا نظلّ متردِّدین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bookmarkStart w:id="197" w:name="pg14075_144486"/>
    </w:p>
    <w:p>
      <w:pPr>
        <w:pStyle w:val="BookText"/>
        <w:rPr/>
      </w:pPr>
      <w:bookmarkEnd w:id="197"/>
      <w:r>
        <w:rPr>
          <w:rFonts w:ascii="IRNazanin" w:hAnsi="IRNazanin" w:eastAsia="IRNazanin"/>
          <w:color w:val="111111"/>
          <w:sz w:val="28"/>
          <w:sz w:val="28"/>
          <w:szCs w:val="28"/>
          <w:rtl w:val="true"/>
          <w:lang w:bidi="fa-IR"/>
        </w:rPr>
        <w:t xml:space="preserve">وظهورها اللغویّ من ناحیة ،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وظهورها اللغوی من ناحیةٍ اخری ، ومعنی هذا أنّا نتردّد بین 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الذهاب إلی بحرٍ من الماء المتموِّج والاستماع إلی صوت موجه ، وهذه الصورة هی التی توحی بها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الذهاب إلی عالمٍ غزیر العلم والاستماع إلی کلامه ، وهذه الصورة هی التی توحی بها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یجب أن نلاحظ السیاق جمیعاً ککلٍّ ونری أیَّ هاتین الصورتین أقرب إلیه فی النظام اللغوی العام؟ أی أنّ هذا السیاق إذا القی علی ذهن شخصٍ یعیش اللغة ونظامها بصورةٍ صحیحةٍ هل سوف تسبق إلی ذهنه الصورة الاولی ، أو الصورة الثانیة؟ فإن عرفنا أنّ إحدی الصورتین أقرب إلی السیاق بموجب النظام اللغویّ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ولنفرضها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الصورة الثانیة ، ووجب أن نفسِّر الکلام علی أساس تلک الصورة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المثال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هی التی دلّت علی الصورة الکاملة للسیاق وأبطلت مفعول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الصورتان متکافئتین فی علاقتهما بالسیاق فهذا یعنی أنّ الکلام أصبح مجملاً ولا ظهور له ، فلا یبقی مجال لتطبیق القاعدة العامّة</w:t>
      </w:r>
      <w:r>
        <w:rPr>
          <w:rFonts w:eastAsia="IRNazanin" w:cs="IRNazanin"/>
          <w:color w:val="111111"/>
          <w:sz w:val="28"/>
          <w:szCs w:val="28"/>
          <w:rtl w:val="true"/>
          <w:lang w:bidi="fa-IR"/>
        </w:rPr>
        <w:t>.</w:t>
      </w:r>
    </w:p>
    <w:p>
      <w:pPr>
        <w:pStyle w:val="Heading6"/>
        <w:numPr>
          <w:ilvl w:val="5"/>
          <w:numId w:val="1"/>
        </w:numPr>
        <w:rPr/>
      </w:pPr>
      <w:bookmarkStart w:id="198" w:name="__RefHeading___Toc508744_1738255347"/>
      <w:bookmarkStart w:id="199" w:name="_Toc65"/>
      <w:bookmarkEnd w:id="198"/>
      <w:r>
        <w:rPr>
          <w:rtl w:val="true"/>
        </w:rPr>
        <w:t>القرینة المتَّصلة و المنفصلة</w:t>
      </w:r>
      <w:bookmarkEnd w:id="1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السابق قد تکون قرینةً فی ذلک السیاق ،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متّصلة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أبطلت مفعولها وداخلة معها فی سیاقٍ واحد ، والکلمة التی یبطل مفعولها بسبب القرینة تسمّی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القرینة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من العامّ ، کما إذا قال 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إلاّالفُسّاق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العموم لغةً ،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تتنافی مع العموم ، وحین ندرس السیاق ککلٍّ نری أنّ الصورة التی تقتضیها هذه الکلمة أقرب إلیه من صورة العموم التی تقتضیها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مجال للموازنة بینهما ، وبهذا تعتبر أداة الاستثناء قرینةً علی المعنی العامّ للسیاق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فالقرینة المتّصلة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یتّصل بکلمةٍ اخری ، فیبطل ظهورها ویوجّه المعنی العامّ للسیاق الوجهة التی تنسجم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یتّفق أنّ القرینة بهذا المعنی لا تجیء متّصلةً بالکلام بل منفصلةً عنه ، فتسمّی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فی حدیثٍ آخر بعد 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النهی لو کان متّصلاً بالکلام الأوّل لاعتُبِر قرینةً متّصلة ، ولکنّه انفصل عنه فی هذا المثال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الضوء نفهم معنی القاعدة الاصولیة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ظهور القرینة مقدَّم علی ظهور ذی القرینة ، سواء کانت القرینة متّصلة أو منفصلة</w:t>
      </w:r>
      <w:r>
        <w:rPr>
          <w:rFonts w:eastAsia="IRNazanin" w:cs="IRNazanin"/>
          <w:color w:val="111111"/>
          <w:sz w:val="28"/>
          <w:szCs w:val="28"/>
          <w:rtl w:val="true"/>
          <w:lang w:bidi="fa-IR"/>
        </w:rPr>
        <w:t xml:space="preserve">». </w:t>
      </w:r>
      <w:bookmarkStart w:id="200" w:name="pg14075_144488"/>
    </w:p>
    <w:p>
      <w:pPr>
        <w:pStyle w:val="Heading6"/>
        <w:numPr>
          <w:ilvl w:val="5"/>
          <w:numId w:val="1"/>
        </w:numPr>
        <w:rPr/>
      </w:pPr>
      <w:bookmarkStart w:id="201" w:name="__RefHeading___Toc508746_1738255347"/>
      <w:bookmarkStart w:id="202" w:name="_Toc66"/>
      <w:bookmarkEnd w:id="200"/>
      <w:bookmarkEnd w:id="201"/>
      <w:r>
        <w:rPr>
          <w:rtl w:val="true"/>
        </w:rPr>
        <w:t>إثبات الصدور</w:t>
      </w:r>
      <w:bookmarkEnd w:id="202"/>
    </w:p>
    <w:p>
      <w:pPr>
        <w:pStyle w:val="BookText"/>
        <w:rPr/>
      </w:pPr>
      <w:r>
        <w:rPr>
          <w:rFonts w:ascii="IRNazanin" w:hAnsi="IRNazanin" w:eastAsia="IRNazanin"/>
          <w:color w:val="111111"/>
          <w:sz w:val="28"/>
          <w:sz w:val="28"/>
          <w:szCs w:val="28"/>
          <w:rtl w:val="true"/>
          <w:lang w:bidi="fa-IR"/>
        </w:rPr>
        <w:t xml:space="preserve">لکی نعمل بکلامٍ بوصفه دلیلاً شرعیاً لابدّ من إثبات صدوره من المعصوم ؛ وذلک بأحد الطرق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 وذلک بأن ینقله عدد کبیر من الرواة ، وکلّ خبرٍ من هذا العدد الکبیر یشکِّل احتمالاً للقضیة وقرینةً لإثباتها ، وبتراکم الاحتمالات والقرائن یحصل الیقین بصدور الکلام ، وحجّیة التواتر قائمة علی أساس إفادته للعلم ، ولا تحتاج حجّیته إلی جعلٍ وتعبّدٍ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والشهرة ،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لاحظنا فتوی الفقیه الواحد بوجوب الخمس فی 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أنّها تشکِّل قرینة إثبات ناقصة علی وجود دلیلٍ لفظیٍّ مسبقٍ یدلّ علی هذا الوجوب ؛ لأنّ فتوی الفقیه تجعلنا نحتمل تفسیرین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استند فی فتواه إلی دلیلٍ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مخطئاً فی فتواه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دمنا نحتمل فیها هذین التفسیرین معاً فهی قرینة إثباتٍ ناقص ، فإذا أضفنا إلیها فتوی فقیهٍ آخر بوجوب الخمس فی المعادن أیضاً کَبُر احتمال وجود دلیلٍ لفظیٍّ یدلّ علی الحکم ؛ نتیجةً لاجتماع قرینتین ناقصتین ، وحین ینضمّ إلی الفقیهین فقیه ثالث نزداد مَیلاً إلی الاعتقاد بوجود هذا الدلیل اللفظی ، وهکذا نزداد مَیلاً إلی الاعتقاد بذلک کلّما ازداد عدد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الخمس فی المعادن ، فإذا کان الفقهاء قد اتّفقوا جمیعاً علی هذه الفتوی 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کانوا </w:t>
      </w:r>
    </w:p>
    <w:p>
      <w:pPr>
        <w:pStyle w:val="BookText"/>
        <w:rPr/>
      </w:pPr>
      <w:r>
        <w:rPr>
          <w:rFonts w:ascii="Amiri" w:hAnsi="Amiri" w:eastAsia="Amiri" w:cs="Amiri"/>
          <w:color w:val="111111"/>
          <w:sz w:val="28"/>
          <w:sz w:val="28"/>
          <w:szCs w:val="28"/>
          <w:rtl w:val="true"/>
          <w:lang w:bidi="ar-SA"/>
        </w:rPr>
        <w:t xml:space="preserve">یشکِّلون الأکثریة فقط سُمِّی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فالإجماع والشهرة طریقان لاکتشاف وجود الدلیل اللفظیِّ فی جملةٍ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الإجماع والشهرة من ناحیةٍ اصولیةٍ أنّه متی حصل العلم بالدلیل الشرعیِّ بسبب الإجماع أو الشهرة وجب الأخذ بذلک فی عملیة الاستنباط ، وأصبح الإجماع والشهرة حجّة ، وإذا لم یحصل العلم بسبب الإجماع أو الشهرة فلا اعتبار بهما ، إذ لا یفیدان حینئذٍ إلاّالظنّ ، ولا دلیل علی حجّیة هذا الظنّ شرعاً ، فالأصل عدم حجّیته ؛ لأنّ هذا هو الأصل فی کلّ ظنٍّ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 وهی السلوک العامّ للمتدیِّنین فی عصر المعصومین ، من قبیل اتّفاقهم علی إقامة صلاة الظهر فی یوم الجمعة بدلاً عن صلاة الجمعة ، أو علی عدم دفع الخمس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السلوک العامّ إذا حلّلناه إلی مفرداته ، ولاحظنا سلوک کلّ واحدٍ بصورةٍ مستقلّةٍ نجد أنّ سلوک الفرد المتدیِّن الواحد فی عصر التشریع یعتبر قرینةَ إثباتٍ ناقصة علی صدور بیانٍ شرعیٍّ یقرّر ذلک السلوک ، ونحتمل فی نفس الوقت أیضاً الخطأ والغفلة وحتّی التسامح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عرفنا أنّ فردین فی عصر التشریع کانا یسلکان نفس السلوک ویصلّیان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ازدادت قوّة الإثبات ، وهکذا تکبر قوّة الإثبات حتی تصل إلی درجةٍ کبیرةٍ عندما نعرف أنّ ذلک السلوک کان سلوکاً عامّاً یتّبعه جمهرة المتدیّنین فی عصر التشریع ، إذ یبدو من المؤکَّد حینئذٍ أنّ سلوک هؤلاء جمیعاً لم ینشأ عن خطأ أو غفلةٍ أو تسامح ؛ لأنّ الخطأ والغفلة أو التسامح قد یقع فیه هذا أو ذاک ، ولیس من المحتمل أن یقع فیه جمهرة المتدیّین فی عصر التشریع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نعرف أنّ السلوک العامّ مستند إلی بیانٍ شرعیٍّ یدلّ علی إمکان إقامة الظهر فی یوم الجمعة ، وعدم وجوب الخمس فی المیراث ، وهی فی الغالب تؤدِّی إلی الجزم بالبیان الشرعیّ ضمن شروطٍ لا مجال لتفصیلها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کانت کذلک فهی حجّة ، وأما إذا لم یحصل منها الجزم فلا اعتبار بها ؛ لعدم الدلیل علی الحجّیة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الطرق الثلاث کلّها مبنیّة علی تراکم الاحتمالات وتجمّع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الثقة ، ونعبِّر بخبر الواحد عن کلّ خبرٍ لا یفید العلم ،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المخبر ثقةً اخذ به وکان حجّة ، وإلاّ فلا ، وهذه الحجّیة ثابتة شرعاً لا عقلاً ؛ لأنّها لا تقوم علی أساس حصول القطع ، بل علی أساس أمر الشارع باتّباع خبر الثقة ، فقد دلّت أدلّة شرعیة عدیدة علی ذلک ، ویأتی بیانها فی حلقةٍ مقبلةٍ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النبأ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جاءَکُمْ فاسِقٌ بنَباً فَتَبَیَّنُوا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الآیة ، فإنّه یشتمل علی جملةٍ شرطیة ، وهی تدلّ منطوقاً علی إناطة وجوب التبیّن بمجیء الفاسق بالنبأ ، وتدلّ مفهوماً علی نفی وجوب التبیّن فی حالة مجیء النبأ من قبل غیر الفاسق ، ولیس ذلک إلاّلحجّیته ، فیستفاد من الآیة الکریمة حجّیة خبر العادل الثقة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حجّیة خبره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سیرة المتشرّعة والعقلاء عموماً علی الاتّکال علیه ، ونستکشف من انعقاد سیرة المتشرّعة علی ذلک واستقرار عمل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الأئمّة والرواة علیه أنّ حجّیته متلقّاة لهم من قبل الشارع ؛ وفقاً لما تقدّم من حدیثٍ </w:t>
      </w:r>
      <w:r>
        <w:rPr>
          <w:rStyle w:val="FootnoteAnchor"/>
          <w:rtl w:val="true"/>
        </w:rPr>
        <w:footnoteReference w:id="32"/>
      </w:r>
      <w:r>
        <w:rPr>
          <w:rFonts w:ascii="IRNazanin" w:hAnsi="IRNazanin" w:eastAsia="IRNazanin"/>
          <w:color w:val="111111"/>
          <w:sz w:val="28"/>
          <w:sz w:val="28"/>
          <w:szCs w:val="28"/>
          <w:rtl w:val="true"/>
          <w:lang w:bidi="fa-IR"/>
        </w:rPr>
        <w:t>عن سیرة المتشرّعة وکیفیة الاستدلال بها</w:t>
      </w:r>
      <w:r>
        <w:rPr>
          <w:rFonts w:eastAsia="IRNazanin" w:cs="IRNazanin"/>
          <w:color w:val="111111"/>
          <w:sz w:val="28"/>
          <w:szCs w:val="28"/>
          <w:rtl w:val="true"/>
          <w:lang w:bidi="fa-IR"/>
        </w:rPr>
        <w:t xml:space="preserve">. </w:t>
      </w:r>
      <w:bookmarkStart w:id="203" w:name="pg14075_144492"/>
    </w:p>
    <w:p>
      <w:pPr>
        <w:pStyle w:val="Heading6"/>
        <w:numPr>
          <w:ilvl w:val="5"/>
          <w:numId w:val="1"/>
        </w:numPr>
        <w:rPr/>
      </w:pPr>
      <w:bookmarkStart w:id="204" w:name="__RefHeading___Toc508748_1738255347"/>
      <w:bookmarkStart w:id="205" w:name="_Toc67"/>
      <w:bookmarkEnd w:id="203"/>
      <w:bookmarkEnd w:id="204"/>
      <w:r>
        <w:rPr>
          <w:rtl w:val="true"/>
        </w:rPr>
        <w:t xml:space="preserve">ب </w:t>
      </w:r>
      <w:r>
        <w:rPr>
          <w:rtl w:val="true"/>
        </w:rPr>
        <w:t xml:space="preserve">- </w:t>
      </w:r>
      <w:r>
        <w:rPr>
          <w:rtl w:val="true"/>
        </w:rPr>
        <w:t>الدلیل الشرعی غیر اللفظی</w:t>
      </w:r>
      <w:bookmarkEnd w:id="205"/>
    </w:p>
    <w:p>
      <w:pPr>
        <w:pStyle w:val="BookText"/>
        <w:rPr/>
      </w:pPr>
      <w:r>
        <w:rPr>
          <w:rFonts w:ascii="IRNazanin" w:hAnsi="IRNazanin" w:eastAsia="IRNazanin"/>
          <w:color w:val="111111"/>
          <w:sz w:val="28"/>
          <w:sz w:val="28"/>
          <w:szCs w:val="28"/>
          <w:rtl w:val="true"/>
          <w:lang w:bidi="fa-IR"/>
        </w:rPr>
        <w:t xml:space="preserve">الدلیل الشرعیّ غیر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یصدر من المعصوم ممّا له دلالة علی الحکم الشرعی ، ولیس من نوع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ضمن ذلک فعل المعصوم ، فإن أتی المعصوم بفعلٍ دلّ علی جوازه ، وإن ترکه دلّ علی عدم وجوبه ، وإن أوقعه بعنوان کونه طاعةً لله تعالی دلّ علی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لدینا صدور هذه الأنحاء من التصرّف عن المعصوم بنفس الطرق المتقدمة التی یثبت بها صدور الدلیل الشرعیِّ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ضمن ذلک تقریر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السکوت منه عن تصرّفٍ یواجهه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الإمضاء ، وإلاّ لکان علی المعصوم أن یردع عنه ، فیستکشف من عدم الردع الإمضاء والارتضاء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شخصیاً فی واقعةٍ معیّنة ، کما إذا توضّأ إنسان أمام الإمام فمسح منکوساً وسکت الإمام عنه ، واخری یکون نوعیاً کالسیرة العقلائیة ، وهی عبارة عن مَیلٍ عامٍّ عند العقلاء نحو سلوکٍ معیّنٍ دون أن یکون للشرع دور إیجابیّ فی تکوین هذا المیل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العامّ لدی العقلاء نحو الأخذ بظهور کلام المتکلّم ، أو خبر الثقة ، أو باعتبار الحیازة سبباً لتملّک المباحات الأولیة ، والسیرة العقلائیة بهذا المعنی تختلف عن سیرة المتشرّعة التی تقدّم أنّها إحدی الطرق لکشف صدور الدلیل الشرعی ، فإنّ سیرة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عادةً ولیدة البیان الشرعی ، </w:t>
      </w:r>
    </w:p>
    <w:p>
      <w:pPr>
        <w:pStyle w:val="BookText"/>
        <w:rPr/>
      </w:pPr>
      <w:r>
        <w:rPr>
          <w:rFonts w:ascii="IRNazanin" w:hAnsi="IRNazanin" w:eastAsia="IRNazanin"/>
          <w:color w:val="111111"/>
          <w:sz w:val="28"/>
          <w:sz w:val="28"/>
          <w:szCs w:val="28"/>
          <w:rtl w:val="true"/>
          <w:lang w:bidi="fa-IR"/>
        </w:rPr>
        <w:t>ولهذا تعتبر کاشفةً عنه کشف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السیرة العقلائیة فمردّها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میلٍ عامٍّ یوجد عند العقلاء نحو سلوکٍ معیّن ، لا کنتیجةٍ لبیانٍ شرعی ، بل نتیجة العوامل والمؤثّرات الاخری التی تتکیَّف وفقاً لها میول العقلاء وتصرّفاتهم ، ولأجل هذا لا یقتصر المیل العامّ الذی تعبِّر عنه السیرة العقلائیة علی نطاق المتدیّنین خاصّة ؛ لأنّ الدّین لم یکن من عوامل تکوین هذا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أنّ السیرة العقلائیة لا تکشف عن البیان الشرعیّ کشف المعلول عن العلّة ، وإنّما تدلّ علی الحکم الشرعیِّ عن طریق دلالة التقریر بالتقریب التالی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المیل الموجود عند العقلاء نحو سلوکٍ معیّنٍ یعتبر قوّةً دافعةً لهم نحو ممارسة ذلک السلوک ، فإذا سکتت الشریعة عن ذلک المیل ولم یردع المعصوم عن السیرة مع معاصرته لها کشف ذلک عن الرضا بذلک السلوک وإمضائه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الشریعة عن المیل العامِّ عند العقلاء نحو الأخذ بظهور کلام المتکلّم ، وعدم ردع المعصومین عن ذلک ، فإنّه یدلّ علی أنّ الشریعة تُقِرّ هذه الطریقة فی فهم الکلام ، وتوافق علی اعتبار الظهور حجّة ، وإلاّ لمنعت الشریعة عن الانسیاق مع ذلک المیل العامّ ، وردعت عنه فی نطاقها الشرعی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یمکن أن نستدلّ علی حجّیة الظهور بالسیرة العقلائیة ، إضافةً إلی استدلالنا سابقاً </w:t>
      </w:r>
      <w:r>
        <w:rPr>
          <w:rStyle w:val="FootnoteAnchor"/>
          <w:rtl w:val="true"/>
        </w:rPr>
        <w:footnoteReference w:id="33"/>
      </w:r>
      <w:r>
        <w:rPr>
          <w:rFonts w:ascii="IRNazanin" w:hAnsi="IRNazanin" w:eastAsia="IRNazanin"/>
          <w:color w:val="111111"/>
          <w:sz w:val="28"/>
          <w:sz w:val="28"/>
          <w:szCs w:val="28"/>
          <w:rtl w:val="true"/>
          <w:lang w:bidi="fa-IR"/>
        </w:rPr>
        <w:t>علیها بسیرة المتشرّعة المعاصرین للرسول والأ ئمّة علیهم‌السلام</w:t>
      </w:r>
      <w:r>
        <w:rPr>
          <w:rFonts w:eastAsia="IRNazanin" w:cs="IRNazanin"/>
          <w:color w:val="111111"/>
          <w:sz w:val="28"/>
          <w:szCs w:val="28"/>
          <w:rtl w:val="true"/>
          <w:lang w:bidi="fa-IR"/>
        </w:rPr>
        <w:t xml:space="preserve">. </w:t>
      </w:r>
      <w:bookmarkStart w:id="206" w:name="pg14075_144494"/>
    </w:p>
    <w:p>
      <w:pPr>
        <w:pStyle w:val="Heading5"/>
        <w:numPr>
          <w:ilvl w:val="4"/>
          <w:numId w:val="1"/>
        </w:numPr>
        <w:rPr/>
      </w:pPr>
      <w:bookmarkStart w:id="207" w:name="__RefHeading___Toc508750_1738255347"/>
      <w:bookmarkStart w:id="208" w:name="_Toc68"/>
      <w:bookmarkEnd w:id="206"/>
      <w:bookmarkEnd w:id="207"/>
      <w:r>
        <w:rPr/>
        <w:t>2</w:t>
      </w:r>
      <w:r>
        <w:rPr>
          <w:rtl w:val="true"/>
        </w:rPr>
        <w:t xml:space="preserve">- </w:t>
      </w:r>
      <w:r>
        <w:rPr>
          <w:rtl w:val="true"/>
        </w:rPr>
        <w:t>الدلیل العقلی</w:t>
      </w:r>
      <w:bookmarkEnd w:id="208"/>
    </w:p>
    <w:p>
      <w:pPr>
        <w:pStyle w:val="Heading6"/>
        <w:numPr>
          <w:ilvl w:val="5"/>
          <w:numId w:val="1"/>
        </w:numPr>
        <w:rPr/>
      </w:pPr>
      <w:bookmarkStart w:id="209" w:name="__RefHeading___Toc508752_1738255347"/>
      <w:bookmarkStart w:id="210" w:name="_Toc69"/>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العلاقات القائمة بین نفس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العلاقات القائمة بین الحکم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العلاقات القائمة بین الحکم ومتعلّقه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العلاقات القائمة بین الحکم والمقدمات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العلاقات القائمة فی داخل الحکم الواحد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4075_144496"/>
      <w:bookmarkStart w:id="212" w:name="pg14075_144496"/>
      <w:bookmarkEnd w:id="212"/>
    </w:p>
    <w:p>
      <w:pPr>
        <w:pStyle w:val="Heading6"/>
        <w:numPr>
          <w:ilvl w:val="5"/>
          <w:numId w:val="1"/>
        </w:numPr>
        <w:rPr/>
      </w:pPr>
      <w:bookmarkStart w:id="213" w:name="pg14075_144496"/>
      <w:bookmarkStart w:id="214" w:name="__RefHeading___Toc508754_1738255347"/>
      <w:bookmarkStart w:id="215" w:name="_Toc70"/>
      <w:bookmarkEnd w:id="213"/>
      <w:bookmarkEnd w:id="214"/>
      <w:r>
        <w:rPr>
          <w:rtl w:val="true"/>
        </w:rPr>
        <w:t>دراسة العلاقات العقلیة</w:t>
      </w:r>
      <w:bookmarkEnd w:id="215"/>
    </w:p>
    <w:p>
      <w:pPr>
        <w:pStyle w:val="BookText"/>
        <w:rPr/>
      </w:pPr>
      <w:r>
        <w:rPr>
          <w:rFonts w:ascii="IRNazanin" w:hAnsi="IRNazanin" w:eastAsia="IRNazanin"/>
          <w:color w:val="111111"/>
          <w:sz w:val="28"/>
          <w:sz w:val="28"/>
          <w:szCs w:val="28"/>
          <w:rtl w:val="true"/>
          <w:lang w:bidi="fa-IR"/>
        </w:rPr>
        <w:t xml:space="preserve">حینما یدرس العقل العلاقات بین الأشیاء یتوصّل إلی معرفة أنواعٍ عدیدةٍ من العلاقة ، فهو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التضادّ بین السواد والبیاض ، وهی تعنی استحالة اجتماعهما فی جسمٍ واحد ، ویدرک علاقة التلازم بین السبب والمسبّب ، فإنّ کلّ مسبّبٍ فی نظر العقل ملازم لسببه ویستحیل انفکاکه عنه ، نظیر الحرارة بالنسبة إلی النار ، ویدرک علاقة التقدم والتأخر فی الدرجة بین السبب والمسبّب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أمسکت مفتاحاً بیدک وحرّکت یدک فیتحرّک المفتاح بسبب ذلک ، وبالرغم من أنّ المفتاح فی هذا المثال یتحرّک فی نفس اللحظة التی تتحرّک فیها یدک ، فإنّ العقل یدرک أنّ حرکة الید متقدمة علی حرکة المفتاح ، وحرکة المفتاح متأخّرة عن حرکة الید لا من ناحیة زمنیة ، بل من ناحیة تسلسل الوجود ، ولهذا نقول حین نرید أن نتحدّث عن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یدی فتحرَّک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فالفاءُ هنا تدلّ علی تأخّر حرکة المفتاح عن حرکة الید ، مع أنّهما وقعتا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إذن تأخّر لا یمتّ إلی الزمان بصلة ، وإنّما ینشأ عن تسلسل الوجود فی نظر العقل ، بمعنی أنّ العقل حین یلحظ حرکة الید وحرکة المفتاح ویدرک أنّ هذه نابعة من تلک یری أنّ حرکة المفتاح متأخّرة عن حرکة الید بوصفها نابعةً منها ، ویرمز إلی هذا التأخّر بالفاء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تحرّکت یدی فتحرَّک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ویطلق علی هذا التأخّر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التأخّر الرتبی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یدرک العقل تلک العلاقات یستطیع أن یستفید منها فی اکتشاف وجود الشیء أو عدمه ، فهو عن طریق علاقة التضادّ بین السواد والبیاض یستطیع </w:t>
      </w:r>
    </w:p>
    <w:p>
      <w:pPr>
        <w:pStyle w:val="BookText"/>
        <w:rPr/>
      </w:pPr>
      <w:r>
        <w:rPr>
          <w:rFonts w:ascii="IRNazanin" w:hAnsi="IRNazanin" w:eastAsia="IRNazanin"/>
          <w:color w:val="111111"/>
          <w:sz w:val="28"/>
          <w:sz w:val="28"/>
          <w:szCs w:val="28"/>
          <w:rtl w:val="true"/>
          <w:lang w:bidi="fa-IR"/>
        </w:rPr>
        <w:t>أن یثبت عدم السواد فی جسمٍ إذا عرف أنّه أبیض ؛ نظراً إلی استحالة اجتماع البیاض والسواد فی جسمٍ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طریق علاقة التلازم بین المسبَّب وسببه یستطیع العقل أن یثبت وجود المسبَّب إذا عرف وجود السبب ؛ نظراً إلی استحالة الانفکاک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طریق علاقة التقدُّم والتأخّر یستطیع العقل أن یکتشف عدم وجود المتأخّر قبل الشیء المتقدم ؛ لأنّ ذلک یناقض کونه متأخّراً ، فإذا کانت حرکة المفتاح متأخّرةً عن حرکة الید فی تسلسل الوجود فمن المستحیل أن تکون حرکة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بصورةٍ متقدِّمةٍ علی حرکة الید فی تسلسل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یدرک العقل هذه العلاقات بین الأشیاء ویستفید منها فی الکشف عن وجود شیءٍ أو عدمه کذلک یدرک العلاقات القائمة بین الأحکام ، ویستفید من تلک العلاقات فی الکشف عن وجود حکمٍ أو عدمه ، فهو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 بین الوجوب والحرمة کما کان یدرک التضادّ بین السواد والبیاض ، وکما کان یستخدم هذه العلاقة فی نفی السواد إذا عرف وجود البیاض کذلک یستخدم علاقة التضادّ بین الوجوب والحرمة لنفی الوجوب عن الفعل إذا عرف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إذن أشیاء تقوم بینها علاقات فی نظر العقل ، وهناک أحکام تقوم بینها علاقات فی نظر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ونطلق علی الأشیاء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الأحکام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یمکن للعقل أن یکشف وجود الشیء أو عدمه فی العالم التکوینیّ عن طریق تلک العلاقات کذلک یمکن للعقل أن یکشف وجود الحکم أو عدمه فی العالم التشریعیّ عن طریق تلک العلاقات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ذلک کان من وظیفة علم الاصول أن یدرس تلک العلاقات فی عالم الأحکام بوصفها قضایا عقلیة صالحة لأنْ تکون عناصر مشترکة فی عملیة </w:t>
      </w:r>
      <w:bookmarkStart w:id="216" w:name="pg14075_144498"/>
    </w:p>
    <w:p>
      <w:pPr>
        <w:pStyle w:val="BookText"/>
        <w:rPr/>
      </w:pPr>
      <w:bookmarkEnd w:id="216"/>
      <w:r>
        <w:rPr>
          <w:rFonts w:ascii="IRNazanin" w:hAnsi="IRNazanin" w:eastAsia="IRNazanin"/>
          <w:color w:val="111111"/>
          <w:sz w:val="28"/>
          <w:sz w:val="28"/>
          <w:szCs w:val="28"/>
          <w:rtl w:val="true"/>
          <w:lang w:bidi="fa-IR"/>
        </w:rPr>
        <w:t xml:space="preserve">الاستنباط ، وفی ما یلی نماذج من هذه العلاقات </w:t>
      </w:r>
      <w:r>
        <w:rPr>
          <w:rFonts w:eastAsia="IRNazanin" w:cs="IRNazanin"/>
          <w:color w:val="111111"/>
          <w:sz w:val="28"/>
          <w:szCs w:val="28"/>
          <w:rtl w:val="true"/>
          <w:lang w:bidi="fa-IR"/>
        </w:rPr>
        <w:t>:</w:t>
      </w:r>
    </w:p>
    <w:p>
      <w:pPr>
        <w:pStyle w:val="Heading6"/>
        <w:numPr>
          <w:ilvl w:val="5"/>
          <w:numId w:val="1"/>
        </w:numPr>
        <w:rPr/>
      </w:pPr>
      <w:bookmarkStart w:id="217" w:name="__RefHeading___Toc508756_1738255347"/>
      <w:bookmarkStart w:id="218" w:name="_Toc71"/>
      <w:bookmarkEnd w:id="217"/>
      <w:r>
        <w:rPr>
          <w:rtl w:val="true"/>
        </w:rPr>
        <w:t>تقسیم البحث</w:t>
      </w:r>
      <w:bookmarkEnd w:id="218"/>
    </w:p>
    <w:p>
      <w:pPr>
        <w:pStyle w:val="BookText"/>
        <w:rPr/>
      </w:pPr>
      <w:r>
        <w:rPr>
          <w:rFonts w:ascii="IRNazanin" w:hAnsi="IRNazanin" w:eastAsia="IRNazanin"/>
          <w:color w:val="111111"/>
          <w:sz w:val="28"/>
          <w:sz w:val="28"/>
          <w:szCs w:val="28"/>
          <w:rtl w:val="true"/>
          <w:lang w:bidi="fa-IR"/>
        </w:rPr>
        <w:t xml:space="preserve">توجد فی العالم التشریعیّ أقسام من العلاقات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قسم من العلاقات قائم بین نفس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حکمٍ شرعیٍّ وحکمٍ شرعیٍّ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ثانٍ من العلاقات قائم بین الحکم وموضوعه ، وقسم ثالث بین الحکم ومتعلّقه ، وقسم رابع بین الحکم ومقدماته ، وقسم خامس وهو العلاقات القائمة فی داخل الحکم الواحد ، وقسم سادس وهو العلاقات القائمة بین الحکم وأشیاء اخری خارجةٍ عن نطاق العالم التشریعی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نتحدّث عن نماذج لأکثر هذه الأقسام </w:t>
      </w:r>
      <w:r>
        <w:rPr>
          <w:rStyle w:val="FootnoteAnchor"/>
          <w:rtl w:val="true"/>
        </w:rPr>
        <w:footnoteReference w:id="34"/>
      </w:r>
      <w:r>
        <w:rPr>
          <w:rFonts w:ascii="IRNazanin" w:hAnsi="IRNazanin" w:eastAsia="IRNazanin"/>
          <w:color w:val="111111"/>
          <w:sz w:val="28"/>
          <w:sz w:val="28"/>
          <w:szCs w:val="28"/>
          <w:rtl w:val="true"/>
          <w:lang w:bidi="fa-IR"/>
        </w:rPr>
        <w:t xml:space="preserve">فی ما یلی </w:t>
      </w:r>
      <w:r>
        <w:rPr>
          <w:rFonts w:eastAsia="IRNazanin" w:cs="IRNazanin"/>
          <w:color w:val="111111"/>
          <w:sz w:val="28"/>
          <w:szCs w:val="28"/>
          <w:rtl w:val="true"/>
          <w:lang w:bidi="fa-IR"/>
        </w:rPr>
        <w:t xml:space="preserve">: </w:t>
      </w:r>
      <w:bookmarkStart w:id="219" w:name="pg14075_144499"/>
    </w:p>
    <w:p>
      <w:pPr>
        <w:pStyle w:val="Heading6"/>
        <w:numPr>
          <w:ilvl w:val="5"/>
          <w:numId w:val="1"/>
        </w:numPr>
        <w:rPr/>
      </w:pPr>
      <w:bookmarkStart w:id="220" w:name="__RefHeading___Toc508758_1738255347"/>
      <w:bookmarkStart w:id="221" w:name="_Toc72"/>
      <w:bookmarkEnd w:id="219"/>
      <w:bookmarkEnd w:id="220"/>
      <w:r>
        <w:rPr>
          <w:rtl w:val="true"/>
        </w:rPr>
        <w:t>العلاقات القائمة بین نفس الأحکام</w:t>
      </w:r>
      <w:bookmarkEnd w:id="221"/>
    </w:p>
    <w:p>
      <w:pPr>
        <w:pStyle w:val="Heading6"/>
        <w:numPr>
          <w:ilvl w:val="5"/>
          <w:numId w:val="1"/>
        </w:numPr>
        <w:rPr/>
      </w:pPr>
      <w:bookmarkStart w:id="222" w:name="__RefHeading___Toc508760_1738255347"/>
      <w:bookmarkStart w:id="223" w:name="_Toc73"/>
      <w:bookmarkEnd w:id="222"/>
      <w:r>
        <w:rPr>
          <w:rtl w:val="true"/>
        </w:rPr>
        <w:t>علاقة التضادّ بین الوجوب و الحرمة</w:t>
      </w:r>
      <w:bookmarkEnd w:id="223"/>
    </w:p>
    <w:p>
      <w:pPr>
        <w:pStyle w:val="BookText"/>
        <w:rPr/>
      </w:pPr>
      <w:r>
        <w:rPr>
          <w:rFonts w:ascii="IRNazanin" w:hAnsi="IRNazanin" w:eastAsia="IRNazanin"/>
          <w:color w:val="111111"/>
          <w:sz w:val="28"/>
          <w:sz w:val="28"/>
          <w:szCs w:val="28"/>
          <w:rtl w:val="true"/>
          <w:lang w:bidi="fa-IR"/>
        </w:rPr>
        <w:t>من المعترف به فی علم الاصول أنّه لیس من المستحیل أن یأتی المکلّف بفعلین فی وقتٍ واحدٍ أحدهما واجب والآخر حرام ، فیعتبر مطیعاً من ناحیة إتیانه بالواجب وجدیراً بالثواب ، ویعتبر عاصیاً من ناحیة إتیانه للحرام ومستحقّاً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الماءَ النجسَ ویدفع الزکاة إلی الفقیر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الفعل الواحد فلا یمکن أن یتّصف بالوجوب والحرمة معاً ؛ لأنّ العلاقة بین الوجوب والحرمة هی علاقة تضادٍّ ولا یمکن اجتماعهما فی فعلٍ واحد ، کما لا یمکن أن یجتمع السواد والبیاض فی جسمٍ واحد ، فدفع الزکاة إلی الفقیر لا 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فی نفس الوقت ، وشرب النجس لا 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فی نفس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یتّضح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الفعلین المتعدّدین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کدفع الزکاة وشرب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یتّصف أحدهما بالوجوب والآخر بالحرمة ، ولو أوجدهما المکلّف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الواحد لا یمکن أن یتّصف بالوجوب والحرمة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الرئیسیة فی هذا البحث عند الاصولیین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قد یکون واحداً بالذات والوجود ، ومتعدّداً بالوصف والعنوان ، وعندئذٍ فهل یلحق بالفعل الواحد لأنّه واحد وجوداً وذاتاً ، أو یلحق بالفعلین ؛ لأنّه متعدّد بالوصف والعنوان؟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یتوضّأ المکلّف بماءٍ مغصوب ، فإنّ هذه العملیة التی یؤدّیها إذا </w:t>
      </w:r>
    </w:p>
    <w:p>
      <w:pPr>
        <w:pStyle w:val="BookText"/>
        <w:rPr/>
      </w:pPr>
      <w:r>
        <w:rPr>
          <w:rFonts w:ascii="IRNazanin" w:hAnsi="IRNazanin" w:eastAsia="IRNazanin"/>
          <w:color w:val="111111"/>
          <w:sz w:val="28"/>
          <w:sz w:val="28"/>
          <w:szCs w:val="28"/>
          <w:rtl w:val="true"/>
          <w:lang w:bidi="fa-IR"/>
        </w:rPr>
        <w:t xml:space="preserve">لوحظت من ناحیة وجودها فهی شیء واحد ، وإذا لوحظت من ناحیةِ أوصافها فهی توصف بوصفین ، إذ یقال عن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وضوء ، ویقال عنها 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غصب وتصرُّف فی مال الغیر بدون إذنه ، وکلّ من الوصفین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ولأجل ذلک تعتبر العملیة فی هذا المثال واحدةً ذاتاً ووجوداً ، ومتعدّدةً وصفاً وعنواناً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هذه النقطة قولان للُاصولیِّین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العملیة ما دامت متعدّدةً بالوصف والعنوان تلحق بالفعلین المتعدّدین ، فکما یمکن أن یتّصف دفع الزکاة للفقیر بالوجوب وشرب الماء النجس بالحرمة ، کذلک یمکن أن یکون أحد وصفی العملیة وعنوانیها واجباً وهو عنوان الوضوء ، والوصف الآخر حراماً وهو 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بجواز اجتماع الأمر والنهی</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علی إلحاق العملیة بالفعل الواحد علی أساس وحدتها الوجودیة ، ولا یبرِّر مجرّد تعدّد الوصف والعنوان عنده تعلّق الوجوب والحرمة معاً بالعملیة ، وهذا القول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بامتناع اجتماع الأمر والنهی</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اتّجه البحث الاصولیّ إلی دراسة تعدّد الوصف والعنوان من ناحیة أنّه هل یبرّر اجتماع الوجوب والحرمة معاً فی عملیة الوضوء بالماء المغصوب ، أو أنّ العملیة ما دامت واحدةً وجوداً وذاتاً فلا یمکن أن توصف بالوجوب والحرمة فی وقتٍ واحد؟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باعتبارها أشیاء تقوم فی نفس الحاکم إنّما تتعلّق </w:t>
      </w:r>
      <w:bookmarkStart w:id="224" w:name="pg14075_144501"/>
    </w:p>
    <w:p>
      <w:pPr>
        <w:pStyle w:val="BookText"/>
        <w:rPr/>
      </w:pPr>
      <w:bookmarkEnd w:id="224"/>
      <w:r>
        <w:rPr>
          <w:rFonts w:ascii="IRNazanin" w:hAnsi="IRNazanin" w:eastAsia="IRNazanin"/>
          <w:color w:val="111111"/>
          <w:sz w:val="28"/>
          <w:sz w:val="28"/>
          <w:szCs w:val="28"/>
          <w:rtl w:val="true"/>
          <w:lang w:bidi="fa-IR"/>
        </w:rPr>
        <w:t>بالعناوین والصور الذهنیة ، لا بالواقع الخارجی مباشرةً ، فیکفی التعدّد فی العناوین والصور لارتفاع المحذور ، وهذا معناه جواز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وإن کانت تتعلّق بالعناوین والصور الذهنیة ولکنّها لا تتعلّق بها بما هی صور ذهنیة ، إذ من الواضح أنّ المولی لا یرید الصورة ، وإنّما تتعلّق الأحکام بالصور بما هی معبّرة عن الواقع الخارجیّ ومرآة له ، وحیث إنّ الواقع الخارجیّ واحد فیستحیل أن یجتمع علیه الوجوب والحرمة ولو بتوسّط عنوانین وصورتین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العناوین إن کان ناتجاً عن تعدّد الواقع الخارجیّ وکاشفاً عن تکثّر الوجود جاز أن یتعلّق الأمر بأحدهما والنهی بالآخر ، وإن کان مجرّد تعددٍ فی عالم العناوین والصور الذی هو الذهن فلا یسوغ ذلک</w:t>
      </w:r>
      <w:r>
        <w:rPr>
          <w:rFonts w:eastAsia="IRNazanin" w:cs="IRNazanin"/>
          <w:color w:val="111111"/>
          <w:sz w:val="28"/>
          <w:szCs w:val="28"/>
          <w:rtl w:val="true"/>
          <w:lang w:bidi="fa-IR"/>
        </w:rPr>
        <w:t>.</w:t>
      </w:r>
    </w:p>
    <w:p>
      <w:pPr>
        <w:pStyle w:val="Heading6"/>
        <w:numPr>
          <w:ilvl w:val="5"/>
          <w:numId w:val="1"/>
        </w:numPr>
        <w:rPr/>
      </w:pPr>
      <w:bookmarkStart w:id="225" w:name="__RefHeading___Toc508762_1738255347"/>
      <w:bookmarkStart w:id="226" w:name="_Toc74"/>
      <w:bookmarkEnd w:id="225"/>
      <w:r>
        <w:rPr>
          <w:rtl w:val="true"/>
        </w:rPr>
        <w:t>هل تستلزم الحرمة البطلان؟</w:t>
      </w:r>
      <w:bookmarkEnd w:id="226"/>
    </w:p>
    <w:p>
      <w:pPr>
        <w:pStyle w:val="BookText"/>
        <w:rPr/>
      </w:pPr>
      <w:r>
        <w:rPr>
          <w:rFonts w:ascii="IRNazanin" w:hAnsi="IRNazanin" w:eastAsia="IRNazanin"/>
          <w:color w:val="111111"/>
          <w:sz w:val="28"/>
          <w:sz w:val="28"/>
          <w:szCs w:val="28"/>
          <w:rtl w:val="true"/>
          <w:lang w:bidi="fa-IR"/>
        </w:rPr>
        <w:t xml:space="preserve">إنّ صحّة العقد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یترتّب علیه أثره الذی اتّفق علیه المتعاقدان ، ففی عقد البیع یعتبر البیع صحیحاً ونافذاً إذا ترتّب علیه نقل ملکیة السلعة من البائع إلی المشتری ، ونقل ملکیة الثمن من المشتری إلی البائع ، ویعتبر فاسداً وباطلاً إذا لم یترتّب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العقد لا یمکن أن یکون صحیحاً وباطلاً فی وقتٍ واحد ، فإنّ الصحّة والبطلان متضادّان کالتضادّ بین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یکون العقد صحیحاً وحراماً؟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ونجیب علی ذلک بالإیجاب ، إذ لا تضادّ بین الصحة والحرمة ، ولا تلازم بین الحرمة والفساد ؛ لأنّ معنی تحریم العقد منع المکلف من إیجاد البیع ، ومعنی صحّته أنّ المکلّف إذا خالف هذا المنع والتحریم وباع ترتّب الأثر علی بیعه وانتقلت الملکیة من </w:t>
      </w:r>
    </w:p>
    <w:p>
      <w:pPr>
        <w:pStyle w:val="BookText"/>
        <w:rPr/>
      </w:pPr>
      <w:r>
        <w:rPr>
          <w:rFonts w:ascii="IRNazanin" w:hAnsi="IRNazanin" w:eastAsia="IRNazanin"/>
          <w:color w:val="111111"/>
          <w:sz w:val="28"/>
          <w:sz w:val="28"/>
          <w:szCs w:val="28"/>
          <w:rtl w:val="true"/>
          <w:lang w:bidi="fa-IR"/>
        </w:rPr>
        <w:t>البائع إلی المشتری ، ولا تنافی بین أن یکون إیجاد المکلّف للبیع مبغوضاً للشارع وممنوعاً عنه وأن یترتّب علیه الأثر فی حالة صدوره من المکلّف ، کالظهار فإنّه ممنوع شرعاً ولکن لو وقع لترتّب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فی حیاتنا الاعتیادیة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لا ترید أن یزورک فلان وتبغض ذلک أشدّ البغض ، ولکن إذا اتّفق وزارک تری لزاماً علیک أن ترتّب الأثر علی زیارته وتقوم بضیافته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 النهی عن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عقد البیع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فسادها ، بل یتّفق مع الحکم بصحة العقد فی نفس الوقت ، خلافاً لعددٍ من الاصولیّین </w:t>
      </w:r>
      <w:r>
        <w:rPr>
          <w:rStyle w:val="FootnoteAnchor"/>
          <w:rtl w:val="true"/>
        </w:rPr>
        <w:footnoteReference w:id="37"/>
      </w:r>
      <w:r>
        <w:rPr>
          <w:rFonts w:ascii="IRNazanin" w:hAnsi="IRNazanin" w:eastAsia="IRNazanin"/>
          <w:color w:val="111111"/>
          <w:sz w:val="28"/>
          <w:sz w:val="28"/>
          <w:szCs w:val="28"/>
          <w:rtl w:val="true"/>
          <w:lang w:bidi="fa-IR"/>
        </w:rPr>
        <w:t>القائلین بأنّ النهی عن المعاملة یقتضی بطلانها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یتعلّق التحریم بالعقد والمعاملة کذلک قد یتعلّق بالعبادة ، کتحریم صوم یوم العید ، أو صلاة الحائض مثلاً ، وهذا التحریم یقتضی بطلان العبادة خلافاً للتحریم فی المعاملة ؛ وذلک لأنّ العبادة لا تقع صحیحةً إلاّإذا أتی بها المکلّف علی وجهٍ قربی ، وبعد أن تصبح محرَّمةً لا یمکن قصد التقرّب بها ؛ لأنّ التقرّب بالمبغوض وبالمعصیة غیر ممکنٍ فتقع باطلة</w:t>
      </w:r>
      <w:r>
        <w:rPr>
          <w:rFonts w:eastAsia="IRNazanin" w:cs="IRNazanin"/>
          <w:color w:val="111111"/>
          <w:sz w:val="28"/>
          <w:szCs w:val="28"/>
          <w:rtl w:val="true"/>
          <w:lang w:bidi="fa-IR"/>
        </w:rPr>
        <w:t xml:space="preserve">. </w:t>
      </w:r>
      <w:bookmarkStart w:id="227" w:name="pg14075_144503"/>
    </w:p>
    <w:p>
      <w:pPr>
        <w:pStyle w:val="Heading6"/>
        <w:numPr>
          <w:ilvl w:val="5"/>
          <w:numId w:val="1"/>
        </w:numPr>
        <w:rPr/>
      </w:pPr>
      <w:bookmarkStart w:id="228" w:name="__RefHeading___Toc508764_1738255347"/>
      <w:bookmarkStart w:id="229" w:name="_Toc75"/>
      <w:bookmarkEnd w:id="227"/>
      <w:bookmarkEnd w:id="228"/>
      <w:r>
        <w:rPr>
          <w:rtl w:val="true"/>
        </w:rPr>
        <w:t>العلاقات القائمة بین الحکم و موضوعه</w:t>
      </w:r>
      <w:bookmarkEnd w:id="229"/>
    </w:p>
    <w:p>
      <w:pPr>
        <w:pStyle w:val="BookText"/>
        <w:rPr/>
      </w:pPr>
      <w:r>
        <w:rPr>
          <w:rFonts w:ascii="IRNazanin" w:hAnsi="IRNazanin" w:eastAsia="IRNazanin"/>
          <w:color w:val="111111"/>
          <w:sz w:val="28"/>
          <w:sz w:val="28"/>
          <w:szCs w:val="28"/>
          <w:rtl w:val="true"/>
          <w:lang w:bidi="fa-IR"/>
        </w:rPr>
        <w:t xml:space="preserve">الجعل و الفعلیة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حین حکمت الشریعة بوجوب الحجّ علی المستطیع وجاء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أصبح الحجّ من الواجبات فی الإسلام ، وأصبح وجوبه حکماً ثابتاً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افترضنا أنّ المسلمینَ وقتئذٍ لم یکن فیهم شخص مستطیع تتوفّر فیه خصائص الاستطاعة شرعاً فلا یتوجّه وجوب الحجّ إلی أیّ فردٍ من أفراد المسلمین ؛ لأنّهم لیسوا مستطیعین ، والحجّ إنّما یجب علی المستطیع ، أی أنّ وجوب الحجّ لا یثبت فی هذه الحالة لأیِّ فردٍ بالرغم من کونه حکماً ثابتاً فی الشریعة ، فإذا أصبح أحد الأفراد مستطیعاً اتّجه الوجوب نحوه وأصبح ثابتاً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نلاحظ أنّ للحکم ثبوتین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ثبوت الحکم فی الشریعة ، والآخر ثبوته بالنسبة إلی هذا الفرد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حکم الإسلام بوجوب الحجّ علی المستطیع فی الآیة الکریمة ثبت هذا الحکم فی الشریعة ولو لم یکن یوجد مستطیع وقتئذٍ إطلاقاً ، بمعنی أنّ شخصاً لو سأل فی ذلک الوقت ما هی أحکام الشریعة؟ لذکرنا من بینها وجوب الحجّ علی المستطیع ، سواء کان فی المسلمین مستطیع فعلاً أوْ لا ، وبعد أن یصبح هذا الفرد أو ذاک مستطیعاً یثبت الوجوب علیه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ونعرف علی هذا الأساس أنّ الحکم بوجوب الحجّ علی المستطیع لا یتوقّف </w:t>
      </w:r>
    </w:p>
    <w:p>
      <w:pPr>
        <w:pStyle w:val="BookText"/>
        <w:rPr/>
      </w:pPr>
      <w:r>
        <w:rPr>
          <w:rFonts w:ascii="IRNazanin" w:hAnsi="IRNazanin" w:eastAsia="IRNazanin"/>
          <w:color w:val="111111"/>
          <w:sz w:val="28"/>
          <w:sz w:val="28"/>
          <w:szCs w:val="28"/>
          <w:rtl w:val="true"/>
          <w:lang w:bidi="fa-IR"/>
        </w:rPr>
        <w:t xml:space="preserve">ثبوته فی الشریعة بوصفه حکماً شرعیاً إلاّعلی تشریعه ، وجعله من قبل الله تعالی ، سواء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متوفِّرةً فی المسلمین فعلاً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ثبوت وجوب الحجّ علی هذا المکلّف أو ذاک فیتوقّف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تشریع الله للحکم وجعله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توفّر خصائص الاستطاعة فی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والثبوت الأوّل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ثبوته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بالجعل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والثبوت الثانی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ثبوته علی هذا المکلّف بالذات أو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بالفعلیة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المجعول ، فجعل الحکم معناه تشریعه من قبل الله ، وفعلیة الحکم معناها ثبوته فعلاً لهذا المکلّف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الحکم مصطلح اصولیّ نرید به مجموع الأشیاء التی تتوقّف علیها فعلیة الحکم المجعول بمعناها الذی شرحناه ، ففی مثال وجوب الحجّ یکون وجود المکلّف المستطیع موضوعاً لهذا الوجوب ؛ لأنّ فعلیة هذا الوجوب تتوقّف علی وجود مکلّفٍ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الشریعة بوجوب الصوم علی کلّ مکلّفٍ غیر مسافرٍ ولا مریضٍ إذا هلَّ علیه هلال شهر رمضان ، وهذا الحکم یتوقّف ثبوته الأوّل علی جعله شرعاً ، ویتوقّف ثبوته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فعلیّته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موضوعه ، أی وجود مکلّفٍ غیر مسافرٍ ولا مریضٍ وهلَّ علیه هلال شهر رمضان ، فالمکلّف وعدم السفر وعدم المرض وهلال شهر رمضان هی العناصر التی تکوّن الموضوع الکامل للحکم بوجوب الصوم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عرفنا معنی موضوع الحکم استطعنا أن ندرک أنّ العلاقة بین الحکم والموضوع تشابه ببعض الاعتبارات العلاقة بین المسبَّب وسببه کالحرارة والنار ، </w:t>
      </w:r>
    </w:p>
    <w:p>
      <w:pPr>
        <w:pStyle w:val="BookText"/>
        <w:rPr/>
      </w:pPr>
      <w:r>
        <w:rPr>
          <w:rFonts w:ascii="IRNazanin" w:hAnsi="IRNazanin" w:eastAsia="IRNazanin"/>
          <w:color w:val="111111"/>
          <w:sz w:val="28"/>
          <w:sz w:val="28"/>
          <w:szCs w:val="28"/>
          <w:rtl w:val="true"/>
          <w:lang w:bidi="fa-IR"/>
        </w:rPr>
        <w:t xml:space="preserve">فکما أنّ المسبَّب یتوقّف علی سببه ، کذلک الحکم یتوقّف علی موضوعه ؛ لأنّه یستمد فعلیّته من وجود الموضوع ، وهذا معنی العبارة الاصولیة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فعلیّة الحکم تتوقّف علی 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وجود الحکم فعلاً یتوقّف علی وجود موضوعه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وبحکم هذه العلاقة بین الحکم والموضوع یکون الحکم متأخّراً رتبةً عن الموضوع ، کما یتأخّر کلّ مسبَّبٍ عن سببه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فی علم الاصول قضایا تُستنتج من هذه العلاقة وتصلح للاشتراک فی عملیات الاستنباط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أن یکون موضوع الحکم أمراً مسبَّباً عن الحکم نفسه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بالحکم فإنّه مسبّب عن الحکم ؛ لأنّ العلم بالشیء فرع الشیء المعلوم ، ولهذا یمتنع أن یکون العلم بالحکم موضوعاً لنفسه ، بأن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بهذا الحکم علی مَن یعلم بثبوته له ؛ لأنّ ذلک یؤدّی إلی الدور</w:t>
      </w:r>
      <w:r>
        <w:rPr>
          <w:rFonts w:eastAsia="IRNazanin" w:cs="IRNazanin"/>
          <w:color w:val="111111"/>
          <w:sz w:val="28"/>
          <w:szCs w:val="28"/>
          <w:rtl w:val="true"/>
          <w:lang w:bidi="fa-IR"/>
        </w:rPr>
        <w:t xml:space="preserve">. </w:t>
      </w:r>
      <w:bookmarkStart w:id="230" w:name="pg14075_144506"/>
    </w:p>
    <w:p>
      <w:pPr>
        <w:pStyle w:val="Heading6"/>
        <w:numPr>
          <w:ilvl w:val="5"/>
          <w:numId w:val="1"/>
        </w:numPr>
        <w:rPr/>
      </w:pPr>
      <w:bookmarkStart w:id="231" w:name="__RefHeading___Toc508766_1738255347"/>
      <w:bookmarkStart w:id="232" w:name="_Toc76"/>
      <w:bookmarkEnd w:id="230"/>
      <w:bookmarkEnd w:id="231"/>
      <w:r>
        <w:rPr>
          <w:rtl w:val="true"/>
        </w:rPr>
        <w:t>العلاقات القائمة بین الحکم و متعلّقه</w:t>
      </w:r>
      <w:bookmarkEnd w:id="232"/>
    </w:p>
    <w:p>
      <w:pPr>
        <w:pStyle w:val="BookText"/>
        <w:rPr/>
      </w:pPr>
      <w:r>
        <w:rPr>
          <w:rFonts w:ascii="IRNazanin" w:hAnsi="IRNazanin" w:eastAsia="IRNazanin"/>
          <w:color w:val="111111"/>
          <w:sz w:val="28"/>
          <w:sz w:val="28"/>
          <w:szCs w:val="28"/>
          <w:rtl w:val="true"/>
          <w:lang w:bidi="fa-IR"/>
        </w:rPr>
        <w:t xml:space="preserve">عرفنا أنّ وجوب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مؤلّف من عدّة عناصر تتوقّف علیها فعلیّة الوجوب ، فلا یکون الوجوب فعلیّاً وثابتاً إلاّإذا وجد مکلّف غیر مسافرٍ ولا مریضٍ وهَلَّ علیه هلال شهر رمضان ، وأمّا متعلّق هذا الوجوب فهو الفعل الذی یؤدّیه المکلّف نتیجةً لتوجّه الوجوب إلیه ، وهو الصوم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نستطیع أن نمیِّز بین متعلّق الوجوب وموضوعه ، فإنّ المتعلّق یوجد بسبب الوجوب ، فالمکلّف إنّما یصوم لأجل وجوب الصوم علیه ، بینما یوجد الحکم نفسه بسبب الموضوع ، فوجوب الصوم لا یصبح فعلیاً إلاّإذا وجد مکلّف غیر مریضٍ ولا مسافرٍ وهَلَّ علیه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أنّ وجود الحکم یتوقّف علی وجود الموضوع ، بینما یکون سبباً لإیجاد المتعلّق وداعیاً للمکلّف نحوه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نعرف أنّ من المستحیل أن یکون الوجوب داعیاً إلی إیجاد موضوعه ومحرّکاً للمکلّف نحوه کما یدعو إلی إیجاد متعلّقه ، فوجوب الصوم علی کلّ مکلّفٍ غیر مسافرٍ ولا مریضٍ لا یمکن أن یفرض علی المکلّف أن لا یسافر ، وإنّما یفرض علیه أن یصوم إذا لم یکن مسافراً ، ووجوب الحجّ علی المستطیع لا یمکن أن یفرض علی المکلّف أن یکتسب لیحصل علی الاستطاعة ، وإنّما یفرض الحجّ علی المستطیع ؛ لأنّ الحکم لا یوجد إلاّبعد وجود موضوعه ، فقبل وجود الموضوع لا وجود للحکم لکی یکون داعیاً إلی إیجاد موضوعه</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وضعت فی علم الاصول القاعدة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حکمٍ یستحیل أن یکون محرِّکاً نحو أیِّ عنصرٍ من العناصر الدخیلة فی تکوین موضوعه ، بل یقتصر تأثیره وتحریکه علی نطاق المتعلّق</w:t>
      </w:r>
      <w:r>
        <w:rPr>
          <w:rFonts w:eastAsia="IRNazanin" w:cs="IRNazanin"/>
          <w:color w:val="111111"/>
          <w:sz w:val="28"/>
          <w:szCs w:val="28"/>
          <w:rtl w:val="true"/>
          <w:lang w:bidi="fa-IR"/>
        </w:rPr>
        <w:t xml:space="preserve">». </w:t>
      </w:r>
      <w:bookmarkStart w:id="233" w:name="pg14075_144508"/>
    </w:p>
    <w:p>
      <w:pPr>
        <w:pStyle w:val="Heading6"/>
        <w:numPr>
          <w:ilvl w:val="5"/>
          <w:numId w:val="1"/>
        </w:numPr>
        <w:rPr/>
      </w:pPr>
      <w:bookmarkStart w:id="234" w:name="__RefHeading___Toc508768_1738255347"/>
      <w:bookmarkStart w:id="235" w:name="_Toc77"/>
      <w:bookmarkEnd w:id="233"/>
      <w:bookmarkEnd w:id="234"/>
      <w:r>
        <w:rPr>
          <w:rtl w:val="true"/>
        </w:rPr>
        <w:t>العلاقات القائمة بین الحکم و المقدِّمات</w:t>
      </w:r>
      <w:bookmarkEnd w:id="235"/>
    </w:p>
    <w:p>
      <w:pPr>
        <w:pStyle w:val="BookText"/>
        <w:rPr/>
      </w:pPr>
      <w:r>
        <w:rPr>
          <w:rFonts w:ascii="IRNazanin" w:hAnsi="IRNazanin" w:eastAsia="IRNazanin"/>
          <w:color w:val="111111"/>
          <w:sz w:val="28"/>
          <w:sz w:val="28"/>
          <w:szCs w:val="28"/>
          <w:rtl w:val="true"/>
          <w:lang w:bidi="fa-IR"/>
        </w:rPr>
        <w:t xml:space="preserve">المقدِّمات التی یتوقّف علیها وجود الواجب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یتوقّف علیها وجود المتعلّق ، من قبیل السفر الذی یتوقّف أداءُ الحجّ علیه ، أو الوضوء الذی تتوقّف الصلاة علیه ، أو التسلّح الذی یتوقّف الجهاد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تدخل فی تکوین موضوع الوجوب ، من قبیل نیّة الإقامة التی یتوقّف علیها صوم شهر رمضان ، والاستطاعة التی تتوقّف علیها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هذین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التی تدخل فی تکوین موضوع الوجوب یتوقّف علی وجودها الوجوب نفسه ؛ لِمَا شرحناه سابقاً من أنّ الحکم الشرعیّ یتوقّف وجوده علی وجود موضوعه ، فکلّ مقدمةٍ دخیلة فی تحقّق موضوع الحکم یتوقّف علیها الحکم ولا یوجد بدونها ، خلافاً للمقدِّمات التی لا تدخل فی تکوین الموضوع وإنّما یتوقّف علیها وجود المتعلّق فحسب ، فإنّ الحکم یوجد قبل وجودها ؛ لأنّها لا تدخل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ذلک فی مثال الاستطاعة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فالاستطاعة مقدمة تتوقّف علیها حجَّة الإسلام ، والتکسّب مقدمة للاستطاعة ، وذهاب الشخص إلی محلّه فی السوق مقدمة للتکسّب ، وحیث إنّ الاستطاعة تدخل فی تکوین موضوع وجوب الحجّ فلا وجوب للحجّ قبل الاستطاعة وقبل تلک الامور التی تتوقّف علیها الاستطاعة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الوضوء فلا یدخل فی تکوین موضوع وجوب الصلاة ؛ لأنّ وجوب </w:t>
      </w:r>
    </w:p>
    <w:p>
      <w:pPr>
        <w:pStyle w:val="BookText"/>
        <w:rPr/>
      </w:pPr>
      <w:r>
        <w:rPr>
          <w:rFonts w:ascii="IRNazanin" w:hAnsi="IRNazanin" w:eastAsia="IRNazanin"/>
          <w:color w:val="111111"/>
          <w:sz w:val="28"/>
          <w:sz w:val="28"/>
          <w:szCs w:val="28"/>
          <w:rtl w:val="true"/>
          <w:lang w:bidi="fa-IR"/>
        </w:rPr>
        <w:t xml:space="preserve">الصلاة لا ینتظر أن یتوضّأ الإنسان لکی یتّجه إلیه ، بل یتّجه إلیه قبل ذلک ، وإنّما یتوقّف متعلّق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الوضوء ، ویتوقّف الوضوء علی تحضیر الماء الکافی ، ویتوقّف تحضیر هذا الماء علی فتح خزّان الماء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إذن سلسلتان من المقدّمات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مقدّمات المتعلّق ، أی الوضوء الذی تتوقّف علیه الصلاة ، وتحضیر الماء الذی یتوقّف علیه الوضوء ، وفتح الخزّان الذی یتوقّف علیه تحضیر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مقدّمات الوجوب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التی تدخل فی تکوین موضوع وجوب الحجّ والتکسّب الذی تتوقّف علیه الاستطاعة ، وذهاب الشخص إلی محلّه فی السوق الذی یتوقّف علیه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وموقف الوجوب من هذه السلسلة الثانیة وکلّ ما یندرج فی القسم الثانی من المقدّمات سلبیّ دائماً ؛ لأنّ هذا القسم یتوقّف علیه وجود موضوع الحکم ، وقد عرفنا سابقاً أنّ الوجوب لا یمکن أن یدعو إلی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کلّ مقدمةٍ من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السلسلة الاولی والمقدّمات التی تندرج فی القسم الأوّل فالمکلّف مسؤول عن إیجادها ، أی أنّ المکلّف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عن الوضوء لکی یصلّی ، والمکلَّف بالحجّ مسؤول عن السفر لکی یحجّ ، والمکلّف بالجهاد مسؤول عن التسلّح لکی یجاهد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التی درسها الاصولیّون هی نوع هذه المسؤولیة ، فقد قدّموا لها تفسیرین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شرعاً علی المکلّف هو الصلاة فحسب ، دون مقدّماتها من الوضوء ومقدّماته ، وإنّما یجد المکلّف نفسه مسؤولاً عن إیجاد الوضوء وغیره من </w:t>
      </w:r>
    </w:p>
    <w:p>
      <w:pPr>
        <w:pStyle w:val="BookText"/>
        <w:rPr/>
      </w:pPr>
      <w:r>
        <w:rPr>
          <w:rFonts w:ascii="IRNazanin" w:hAnsi="IRNazanin" w:eastAsia="IRNazanin"/>
          <w:color w:val="111111"/>
          <w:sz w:val="28"/>
          <w:sz w:val="28"/>
          <w:szCs w:val="28"/>
          <w:rtl w:val="true"/>
          <w:lang w:bidi="fa-IR"/>
        </w:rPr>
        <w:t xml:space="preserve">المقدّمات عقلاً ؛ لأنّه یری أنّ امتثال الواجب الشرعیّ لا یتأتی له إلاّبإیجاد تلک المقدمات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واجب شرعاً ؛ لأنّه مقدمة للواجب ، ومقدمة الواجب واجبة شرعاً ، فهناک إذن واجبان شرعیّان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الصلاة ، والآخر الوضوء بوصفه مقدمة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واجب لأجل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واجب لأجل غیره ، أی لأجل ذی المقدمة وهو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أخذ به جماعة من الاصولیّین </w:t>
      </w:r>
      <w:r>
        <w:rPr>
          <w:rStyle w:val="FootnoteAnchor"/>
          <w:rtl w:val="true"/>
        </w:rPr>
        <w:footnoteReference w:id="40"/>
      </w:r>
      <w:r>
        <w:rPr>
          <w:rFonts w:ascii="IRNazanin" w:hAnsi="IRNazanin" w:eastAsia="IRNazanin"/>
          <w:color w:val="111111"/>
          <w:sz w:val="28"/>
          <w:sz w:val="28"/>
          <w:szCs w:val="28"/>
          <w:rtl w:val="true"/>
          <w:lang w:bidi="fa-IR"/>
        </w:rPr>
        <w:t>إیماناً منهم بقیام علاقة تلازمٍ بین وجوب الشیء ووجوب مقدمته ، فکلّما حکم الشارع بوجوب فعلٍ حکم عقیب ذلک مباشرةً بوجوب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حکم الشارع بوجوب المقدمة فی هذه الحالة لا فائدة فیه ولا موجب له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إلزام المکلّف بالمقدمة فهذا حاصل بدون حاجةٍ إلی حکمه بوجوبها ، إذ بعد أن وجب الفعل المتوقّف علیها یدرک العقل مسؤولیة المکلّف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الشارع بذلک مطلباً آخر دعاه إلی الحکم بوجوب المقدمة فلا نتعقَّله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یعتبر حکم الشارع بوجوب المقدمة لغواً فیستحیل ثبوته ، فضلاً عن أن یکون ضروریّ الثبوت کما یدّعیه القائل بالتلازم بین وجوب الشیء ووجوب مقدمته</w:t>
      </w:r>
      <w:r>
        <w:rPr>
          <w:rFonts w:eastAsia="IRNazanin" w:cs="IRNazanin"/>
          <w:color w:val="111111"/>
          <w:sz w:val="28"/>
          <w:szCs w:val="28"/>
          <w:rtl w:val="true"/>
          <w:lang w:bidi="fa-IR"/>
        </w:rPr>
        <w:t xml:space="preserve">. </w:t>
      </w:r>
      <w:bookmarkStart w:id="236" w:name="pg14075_144511"/>
    </w:p>
    <w:p>
      <w:pPr>
        <w:pStyle w:val="Heading6"/>
        <w:numPr>
          <w:ilvl w:val="5"/>
          <w:numId w:val="1"/>
        </w:numPr>
        <w:rPr/>
      </w:pPr>
      <w:bookmarkStart w:id="237" w:name="__RefHeading___Toc508770_1738255347"/>
      <w:bookmarkStart w:id="238" w:name="_Toc78"/>
      <w:bookmarkEnd w:id="236"/>
      <w:bookmarkEnd w:id="237"/>
      <w:r>
        <w:rPr>
          <w:rtl w:val="true"/>
        </w:rPr>
        <w:t>العَلاقات القائمة فی داخل الحکم الواحد</w:t>
      </w:r>
      <w:bookmarkEnd w:id="238"/>
    </w:p>
    <w:p>
      <w:pPr>
        <w:pStyle w:val="BookText"/>
        <w:rPr/>
      </w:pPr>
      <w:r>
        <w:rPr>
          <w:rFonts w:ascii="IRNazanin" w:hAnsi="IRNazanin" w:eastAsia="IRNazanin"/>
          <w:color w:val="111111"/>
          <w:sz w:val="28"/>
          <w:sz w:val="28"/>
          <w:szCs w:val="28"/>
          <w:rtl w:val="true"/>
          <w:lang w:bidi="fa-IR"/>
        </w:rPr>
        <w:t>قد یتعلّق الوجوب بشیءٍ واحدٍ ، کوجوب السجود علی کلِّ من سمع آیة السجدة ، وقد یتعلّق بعملیةٍ تتألف من أجزاءٍ وتشتمل علی أفعالٍ متعدّدة ، من قبیل وجوب الصلاة ، فإنّ الصلاة عملیَّة تتألف من أجزاءٍ وتشتمل علی أفعالٍ عدیدة ، کالقراءة والسجود والرکوع والقیام والتشهّد ،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الحالة تصبح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مرکّبةً من تلک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 ویصبح کلّ جزءٍ واجباً أیضاً ، ویطلق علی وجوب المرکّب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ویطلق علی وجوب کلّ جزءٍ فیه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الوجوب إنّما یتعلّق بالجزء بوصفه جزءاً فی ضمن المرکب ، لا بصورةٍ مستقلّةٍ عن سائر الأجزاء ، فوجوب الجزء لیس حکماً مستقلاًّ ، بل هو جزء من الوجوب المتعلّق بالعملیة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کان وجوب کلّ جزءٍ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مرتبطاً بوجوب الأجزاء الاخری ؛ لأنّ الوجوبات الضمنیة لأجزاء الصلاة تشکّل بمجموعها وجوباً واحداً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علاقة التلازم فی داخل إطار الحکم الواحد بین الوجوبات الضمنیة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وتعنی علاقة التلازم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تمکن التجزئة فی تلک الوجوبات أو التفکیک بینها ، بل إذا سقط أیّ واحدٍ منها تحتّم سقوط الباقی نتیجةً لذلک التلازم القائم بینها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علی الإنسان الوضوء وهو مرکّب من أجزاءٍ </w:t>
      </w:r>
    </w:p>
    <w:p>
      <w:pPr>
        <w:pStyle w:val="BookText"/>
        <w:rPr/>
      </w:pPr>
      <w:r>
        <w:rPr>
          <w:rFonts w:ascii="IRNazanin" w:hAnsi="IRNazanin" w:eastAsia="IRNazanin"/>
          <w:color w:val="111111"/>
          <w:sz w:val="28"/>
          <w:sz w:val="28"/>
          <w:szCs w:val="28"/>
          <w:rtl w:val="true"/>
          <w:lang w:bidi="fa-IR"/>
        </w:rPr>
        <w:t xml:space="preserve">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کغسل الوجه وغسل الیمنی وغسل الیسری ومسح الرأس ومسح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فیتعلّق بکلّ جزءٍ من تلک الأجزاء وجوب ضمنیّ بوصفه جزءاً من الوضوء الواجب ، وفی هذه الحالة إذا تعذّر علی الإنسان أن یغسل وجهه لآفةٍ فیه وسقط لأجل ذلک الوجوب الضمنیّ المتعلّق بغسل الوجه ، کان من المحتّم أن یسقط وجوب سائر الأجزاء أیضاً ، فلا یبقی علی الإنسان وجوب غسل یدیه فقط ما دام قد عجز عن غسل وجهه ؛ لأنّ تلک الوجوبات لابدّ أن ینظر إلیها بوصفها وجوباً واحداً متعلّقاً بالعملیّة کلّها ، أی بالوضوء ، وهذا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یسقط کلّه ، أو یثبت کلّه ، ولا مجال للتفکیک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نعرف الفرق بین ما إذا وجب الوضوء بوجوبٍ استقلالیٍّ ووجب الدعاء بوجوبٍ استقلالیٍّ آخر فتعذّر الوضوء ، وبین ما إذا وجب الوضوء فتعذّر جزء منه کغسل الوجه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لا یؤدّی تعذّرالوضوء إلاّإلی سقوط الوجوب الذی کان متعلّقاً به ، وأمّا وجوب الدعاء فیبقی ثابتاً ؛ لأنّه وجوب مستقلّ غیر مرتبطٍ بوجوب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حین یتعذّر غسل الوجه ویسقط وجوبه الضمنیّ یؤدّی ذلک إلی سقوط وجوب الوضوء ، وارتفاع سائر الوجوبات الضمنیّة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أنّ الإنسان یکلّف بالصلاة ، فإذا أصبح أخرس وعجز عن القراءة فیها کُلِّف بالصلاة بدون قراءة ، فهل هذا إلاّ تفکیک بین الوجوبات الضمنیّة ، ونقض لعلاقة التلازم بینها؟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الصلاة بدون قراءةٍ علی الأخرس لیس تجزئةً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الصلاة الکاملة ، وإنّما هو وجوب آخر وخطاب جدید تعلّق منذ البدء بالصلاة الصامتة ، فوجوب الصلاة الکاملة والخطاب بها قد سقط کلّه نتیجةً لتعذّر القراءة ، وخلّفه وجوب آخر وخطاب جدید</w:t>
      </w:r>
      <w:r>
        <w:rPr>
          <w:rFonts w:eastAsia="IRNazanin" w:cs="IRNazanin"/>
          <w:color w:val="111111"/>
          <w:sz w:val="28"/>
          <w:szCs w:val="28"/>
          <w:rtl w:val="true"/>
          <w:lang w:bidi="fa-IR"/>
        </w:rPr>
        <w:t xml:space="preserve">. </w:t>
      </w:r>
      <w:bookmarkStart w:id="239" w:name="pg14075_144514"/>
    </w:p>
    <w:p>
      <w:pPr>
        <w:pStyle w:val="Heading4"/>
        <w:numPr>
          <w:ilvl w:val="3"/>
          <w:numId w:val="1"/>
        </w:numPr>
        <w:rPr/>
      </w:pPr>
      <w:bookmarkStart w:id="240" w:name="__RefHeading___Toc508772_1738255347"/>
      <w:bookmarkStart w:id="241" w:name="_Toc79"/>
      <w:bookmarkEnd w:id="239"/>
      <w:bookmarkEnd w:id="240"/>
      <w:r>
        <w:rPr>
          <w:rtl w:val="true"/>
        </w:rPr>
        <w:t xml:space="preserve">النوع الثانی </w:t>
      </w:r>
      <w:r>
        <w:rPr>
          <w:rtl w:val="true"/>
        </w:rPr>
        <w:t xml:space="preserve">: </w:t>
      </w:r>
      <w:r>
        <w:rPr>
          <w:rtl w:val="true"/>
        </w:rPr>
        <w:t>الاصول العملیّة</w:t>
      </w:r>
      <w:bookmarkEnd w:id="241"/>
    </w:p>
    <w:p>
      <w:pPr>
        <w:pStyle w:val="Heading5"/>
        <w:numPr>
          <w:ilvl w:val="4"/>
          <w:numId w:val="1"/>
        </w:numPr>
        <w:rPr/>
      </w:pPr>
      <w:bookmarkStart w:id="242" w:name="__RefHeading___Toc508774_1738255347"/>
      <w:bookmarkStart w:id="243" w:name="_Toc80"/>
      <w:bookmarkEnd w:id="242"/>
      <w:r>
        <w:rPr>
          <w:rtl w:val="true"/>
        </w:rPr>
        <w:t>اشارة</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الثانویّة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4075_144516"/>
      <w:bookmarkStart w:id="245" w:name="pg14075_144516"/>
      <w:bookmarkEnd w:id="245"/>
    </w:p>
    <w:p>
      <w:pPr>
        <w:pStyle w:val="Heading5"/>
        <w:numPr>
          <w:ilvl w:val="4"/>
          <w:numId w:val="1"/>
        </w:numPr>
        <w:rPr/>
      </w:pPr>
      <w:bookmarkStart w:id="246" w:name="pg14075_144516"/>
      <w:bookmarkStart w:id="247" w:name="__RefHeading___Toc508776_1738255347"/>
      <w:bookmarkStart w:id="248" w:name="_Toc81"/>
      <w:bookmarkEnd w:id="246"/>
      <w:bookmarkEnd w:id="247"/>
      <w:r>
        <w:rPr>
          <w:rtl w:val="true"/>
        </w:rPr>
        <w:t>تمهید</w:t>
      </w:r>
      <w:bookmarkEnd w:id="248"/>
    </w:p>
    <w:p>
      <w:pPr>
        <w:pStyle w:val="BookText"/>
        <w:rPr/>
      </w:pPr>
      <w:r>
        <w:rPr>
          <w:rFonts w:ascii="IRNazanin" w:hAnsi="IRNazanin" w:eastAsia="IRNazanin"/>
          <w:color w:val="111111"/>
          <w:sz w:val="28"/>
          <w:sz w:val="28"/>
          <w:szCs w:val="28"/>
          <w:rtl w:val="true"/>
          <w:lang w:bidi="fa-IR"/>
        </w:rPr>
        <w:t>استعرضنا فی النوع الأوّل العناصر الاصولیة المشترکة فی الاستنباط التی تتمثّل فی أدلّةٍ محرزة ، فدرسنا أقسام الأدلّة وخصائصها ، ومیّزنا بین الحجّة منها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ونرید الآن أن ندرس العناصر المشترکة فی حالةٍ اخری من الاستنباط ، وهی حالة عدم حصول الفقیه علی دلیلٍ یدلّ علی الحکم الشرعیّ وبقاء الحکم مجهولاً لدیه ، فیتّجه البحث فی هذه الحالة إلی محاولة تحدید الموقف العملیّ تجاه ذلک الحکم المجهول بدلاً عن اکتشاف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الفقیه تجاه التدخین ، فإنّ التدخین نحتمل حرمته شرعاً منذ البدء ، ونتّجه أوّلاً إلی محاولة الحصول علی دلیلٍ یعیّن حکمه الشرعی ، فحیث لا نجدُ نتساءل ما هو الموقف العملیّ الذی یتحتّم علینا أن نسلکه تجاه ذلک الحکم المجهول؟ وهل یتحتَّم علینا أن نحتاط ، أوْ 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السؤال الأساسیّ الذی یعالجه الفقیه فی هذه الحالة ، ویجیب علیه فی ضوء الاصول العملیة بوصفها عناصر مشترکةً فی عملیة الاستنباط ، وهذه الاصول هی موضع درسنا الآن</w:t>
      </w:r>
      <w:r>
        <w:rPr>
          <w:rFonts w:eastAsia="IRNazanin" w:cs="IRNazanin"/>
          <w:color w:val="111111"/>
          <w:sz w:val="28"/>
          <w:szCs w:val="28"/>
          <w:rtl w:val="true"/>
          <w:lang w:bidi="fa-IR"/>
        </w:rPr>
        <w:t xml:space="preserve">. </w:t>
      </w:r>
      <w:bookmarkStart w:id="249" w:name="pg14075_144517"/>
    </w:p>
    <w:p>
      <w:pPr>
        <w:pStyle w:val="Heading5"/>
        <w:numPr>
          <w:ilvl w:val="4"/>
          <w:numId w:val="1"/>
        </w:numPr>
        <w:rPr/>
      </w:pPr>
      <w:bookmarkStart w:id="250" w:name="__RefHeading___Toc508778_1738255347"/>
      <w:bookmarkStart w:id="251" w:name="_Toc82"/>
      <w:bookmarkEnd w:id="249"/>
      <w:bookmarkEnd w:id="250"/>
      <w:r>
        <w:rPr/>
        <w:t>1</w:t>
      </w:r>
      <w:r>
        <w:rPr>
          <w:rtl w:val="true"/>
        </w:rPr>
        <w:t xml:space="preserve">- </w:t>
      </w:r>
      <w:r>
        <w:rPr>
          <w:rtl w:val="true"/>
        </w:rPr>
        <w:t>القاعدة العملیة الأساسیّة</w:t>
      </w:r>
      <w:bookmarkEnd w:id="251"/>
    </w:p>
    <w:p>
      <w:pPr>
        <w:pStyle w:val="BookText"/>
        <w:rPr/>
      </w:pPr>
      <w:r>
        <w:rPr>
          <w:rFonts w:ascii="IRNazanin" w:hAnsi="IRNazanin" w:eastAsia="IRNazanin"/>
          <w:color w:val="111111"/>
          <w:sz w:val="28"/>
          <w:sz w:val="28"/>
          <w:szCs w:val="28"/>
          <w:rtl w:val="true"/>
          <w:lang w:bidi="fa-IR"/>
        </w:rPr>
        <w:t xml:space="preserve">ولکی نعرف القاعدة العملیّة الأساسیة التی نجیب فی ضوئها علی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الاحتیاط تجاه 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 أن نرجع إلی المصدر الذی یفرض علینا إطاعة الشارع ، ونلاحظ أنّ هذا المصدر هل یفرض علینا الاحتیاط فی حالة الشکّ وعدم وجود دلیل علی الحرمة ، أوْ لا؟</w:t>
      </w:r>
    </w:p>
    <w:p>
      <w:pPr>
        <w:pStyle w:val="BookText"/>
        <w:rPr/>
      </w:pPr>
      <w:r>
        <w:rPr>
          <w:rFonts w:ascii="IRNazanin" w:hAnsi="IRNazanin" w:eastAsia="IRNazanin"/>
          <w:color w:val="111111"/>
          <w:sz w:val="28"/>
          <w:sz w:val="28"/>
          <w:szCs w:val="28"/>
          <w:rtl w:val="true"/>
          <w:lang w:bidi="fa-IR"/>
        </w:rPr>
        <w:t>ولکی نرجع إلی المصدر الذی یفرض علینا إطاعة المولی سبحانه لابدّ لنا أن نحدِّده ، فما هو المصدر الذی یفرض علینا إطاعة الشارع ویجب أن نستفتیه فی موقفنا هذا؟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المصدر هو العقل ؛ لأنّ الإنسان یدرک بعقله أنّ لله سبحانه حقّ الطاعة علی عبیده ، وعلی أساس حقّ الطاعة هذا یحکم العقل علی الإنسان بوجوب إطاعة الشارع لکی یؤدّی إلیه حقّه ، فنحن إذن نطیع الله تعالی ونمتثل أحکام الشریعة ؛ لأنّ العقل یفرض علینا ذلک ، لَالأنّ الشارع أمرنا بإطاعته ، وإلاّ لأعدنا السؤال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نمتثل أمر الشارع لنا بإطاعة أوامره؟ وما هو المصدر الذی یفرض علینا امتثاله؟ وهکذا حتّی نصل إلی حکم العقل بوجوب الإطاعة القائم علی أساس ما یدرکه من حقّ الطاعة لله سبحانه علی الإنسان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العقل هو الذی یفرض إطاعة الشارع علی أساس إدراکه لحقّ الطاعة فیجب الرجوع إلی العقل فی تحدید الجواب علی السؤال المطروح ، ویتحتّم علینا عندئذٍ أن ندرس حقّ الطاعة الذی یدرکه العقل وحدوده ، فهل هو حقّ لله </w:t>
      </w:r>
    </w:p>
    <w:p>
      <w:pPr>
        <w:pStyle w:val="BookText"/>
        <w:rPr/>
      </w:pPr>
      <w:r>
        <w:rPr>
          <w:rFonts w:ascii="IRNazanin" w:hAnsi="IRNazanin" w:eastAsia="IRNazanin"/>
          <w:color w:val="111111"/>
          <w:sz w:val="28"/>
          <w:sz w:val="28"/>
          <w:szCs w:val="28"/>
          <w:rtl w:val="true"/>
          <w:lang w:bidi="fa-IR"/>
        </w:rPr>
        <w:t>سبحانه فی نطاق التکالیف المعلومة فقط بمعنی أنّ الله سبحانه لیس له حقّ الطاعة علی الإنسان إلاّفی التکالیف التی یعلم بها ، وأمّا التکالیف التی یشکّ فیها ولا علم له بها فلا یمتدّ إلیها حقّ الطاعة ، أو أنّ حقّ الطاعة کما یدرکه العقل فی نطاق التکالیف المعلومة یدرکه أیضاً فی نطاق التکالیف المحتملة ، بمعنی أنّ من حقّ الله علی الإنسان أن یطیعه فی التکالیف المعلومة والمحتملة ، فإذا علم بتکلیفٍ کان من حقّ الله علیه أن یمتثله ، وإذا احتمل تکلیفاً کان من حقّ الله أن یحتاط ، فیترک ما یحتمل حرمته أو یفعل ما یحتمل وجوبه؟</w:t>
      </w:r>
    </w:p>
    <w:p>
      <w:pPr>
        <w:pStyle w:val="BookText"/>
        <w:rPr/>
      </w:pPr>
      <w:r>
        <w:rPr>
          <w:rFonts w:ascii="IRNazanin" w:hAnsi="IRNazanin" w:eastAsia="IRNazanin"/>
          <w:color w:val="111111"/>
          <w:sz w:val="28"/>
          <w:sz w:val="28"/>
          <w:szCs w:val="28"/>
          <w:rtl w:val="true"/>
          <w:lang w:bidi="fa-IR"/>
        </w:rPr>
        <w:t xml:space="preserve">والصحیح فی رأینا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کلّ تکلیفٍ محتملٍ هو الاحتیاط ؛ نتیجةً لشمول حقّ الطاعة للتکالیف المحتملة ، فإنّ العقل یدرک أنّ للمولی علی الإنسان حقَّ الطاعة لا فی التکالیف المعلومة فحسب ، بل فی التکالیف المحتملة أیضاً ، ما لم یثبت بدلیلٍ أنّ المولی لا یهتمّ بالتکلیف المحتمل إلی الدرجة التی تدعو إلی إلزام المکلّف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الأصل بصورةٍ مبدئیةٍ کلّما احتملنا حرمةً أو وجوباً هو أن نحتاط ، فنترک ما نحتمل حرمته ونفعل ما نحتمل وجوبه ، ولا نخرج عن هذا الأصل إلاّ إذا ثبت بالدلیل أنّ الشارع لا یهتمّ بالتکلیف المحتمل إلی الدرجة التی تفرض الاحتیاط ؛ ویرضی بترک الاحتیاط ، فإنّ المکلّف یصبح حینئذٍ غیر مسؤولٍ عن التکلیف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فالاحتیاط إذن واجب عقلاً فی موارد الشکّ ، ویسمّی هذا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الاشتغال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اشتغال ذمّة الإنسان بالتکلیف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ونخرج عن هذا الأصل حین نعرف أنّ الشارع یرضی بترک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تکون أصالة الاحتیاط هی القاعدة العملیة الأساسیة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ویخالف فی ذلک کثیر من الاصولیّین ؛ إیماناً منهم بأنّ الأصل فی المکلّف أن لا </w:t>
      </w:r>
    </w:p>
    <w:p>
      <w:pPr>
        <w:pStyle w:val="BookText"/>
        <w:rPr/>
      </w:pPr>
      <w:r>
        <w:rPr>
          <w:rFonts w:ascii="IRNazanin" w:hAnsi="IRNazanin" w:eastAsia="IRNazanin"/>
          <w:color w:val="111111"/>
          <w:sz w:val="28"/>
          <w:sz w:val="28"/>
          <w:szCs w:val="28"/>
          <w:rtl w:val="true"/>
          <w:lang w:bidi="fa-IR"/>
        </w:rPr>
        <w:t xml:space="preserve">یکون مسؤولاً عن التکالیف المشکوکة ولو احتمل أهمّیتها بدرجةٍ کبیرة ، ویری هؤلاء الأعلام أنّ العقل هو الذی یحکم بنفی المسؤولیة ؛ لأنّه یدرک قبح العقاب من المولی علی مخالفة المکلّف للتکلیف الذی لم یصل إلیه ، ولأجل هذا یطلقون علی الأصل من وجهة نظرهم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العقل یحکم بأنّ عقاب المولی للمکلّف علی مخالفة التکلیف المشکوک قبیح ، وما دام المکلّف مأموناً من العقاب فهو غیر مسؤولٍ ولا 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ویستشهد لذلک بما استقرَّت علیه سیرة العقلاء من عدم إدانة الموالی للمکلَّفین فی حالات الشکّ ، وعدم قیام الدلیل ، فإنّ هذا یدلّ علی قبح العقاب بلا بیانٍ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ندرک أنّ العقل هل یحکم بقبح معاقبة الله تعالی للمکلّف علی مخالفة التکلیف المشکوک ، أوْ لا؟ یجب أن نعرف حدود حقّ الطاعة الثابت لله تعالی ، فإذا کان هذا الحقّ یشمل التکالیف المشکوکة التی یحتمل المکلّف أهمّیتها بدرجةٍ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عقاب الله للمکلّف إذا خالفها قبیحاً ؛ لأنّه بمخالفتها یفرِّط فی حقّ مولاه 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استشهد به من سیرة العقلاء فلا دلالة له فی المقام ، لأنّه إنّما یثبت أنّ حقّ الطاعة فی الموالی العرفیِّین یختصّ بالتکالیف المعلومة ، وهذا لا یستلزم أن یکون حقّ الطاعة لله تعالی کذلک أیضاً ، إذ أیّ محذورٍ فی التفکیک بین الحقّین والالتزام بأنّ أحدهما أوسع من الآخر؟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فالقاعدة الأوّلیة إذن هی أصالة الاحتیاط</w:t>
      </w:r>
      <w:r>
        <w:rPr>
          <w:rFonts w:eastAsia="IRNazanin" w:cs="IRNazanin"/>
          <w:color w:val="111111"/>
          <w:sz w:val="28"/>
          <w:szCs w:val="28"/>
          <w:rtl w:val="true"/>
          <w:lang w:bidi="fa-IR"/>
        </w:rPr>
        <w:t xml:space="preserve">. </w:t>
      </w:r>
      <w:bookmarkStart w:id="252" w:name="pg14075_144520"/>
    </w:p>
    <w:p>
      <w:pPr>
        <w:pStyle w:val="Heading5"/>
        <w:numPr>
          <w:ilvl w:val="4"/>
          <w:numId w:val="1"/>
        </w:numPr>
        <w:rPr/>
      </w:pPr>
      <w:bookmarkStart w:id="253" w:name="__RefHeading___Toc508780_1738255347"/>
      <w:bookmarkStart w:id="254" w:name="_Toc83"/>
      <w:bookmarkEnd w:id="252"/>
      <w:bookmarkEnd w:id="253"/>
      <w:r>
        <w:rPr/>
        <w:t>2</w:t>
      </w:r>
      <w:r>
        <w:rPr>
          <w:rtl w:val="true"/>
        </w:rPr>
        <w:t xml:space="preserve">- </w:t>
      </w:r>
      <w:r>
        <w:rPr>
          <w:rtl w:val="true"/>
        </w:rPr>
        <w:t>القاعدة العملیّة الثانویة</w:t>
      </w:r>
      <w:bookmarkEnd w:id="254"/>
    </w:p>
    <w:p>
      <w:pPr>
        <w:pStyle w:val="BookText"/>
        <w:rPr/>
      </w:pPr>
      <w:r>
        <w:rPr>
          <w:rFonts w:ascii="IRNazanin" w:hAnsi="IRNazanin" w:eastAsia="IRNazanin"/>
          <w:color w:val="111111"/>
          <w:sz w:val="28"/>
          <w:sz w:val="28"/>
          <w:szCs w:val="28"/>
          <w:rtl w:val="true"/>
          <w:lang w:bidi="fa-IR"/>
        </w:rPr>
        <w:t>وقد انقلبت بحکم الشارع تلک القاعدة العملیة الأساسیة إلی قاعدةٍ عملیةٍ ثانویة ، وهی أصالة البراءة القائلة بعدم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هذا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علمنا عن طریق البیان الشرعیّ أنّ الشارع لایهتمّ بالتکالیف المحتملة إلی الدرجة التی تُحتِّم الاحتیاط علی المکلّف ، بل یرضی بترک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شرعیة متعدّدة ، من أشهرها النصّ النبویّ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بل استدلّ ببعض الآیات علی ذلک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 یُفهَم کمثالٍ علی البیان والدلیل ، فتدلّ الآیة علی أنّه لا عقاب بدون دلیل ، وهکذا أصبحت القاعدة العملیة هی عدم وجوب الاحتیاط بدلاً عن وجوبه ، وأصالة البراءة شرعاً بدلاً عن أصالة الاشتغال عقلاً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وتشمل هذه القاعدة العملیة الثانویة موارد الشکّ فی الوجوب وموارد الشکّ فی الحرمة علی السواء ؛ لأنّ النصّ النبویّ مطلق ، ویسمَّی الشکّ فی الوجوب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والشکّ فی الحرمة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تشمل القاعدة أیضاً الشکّ مهما کان سببه ؛ ولأجل هذا نتمسّک بالبراءة إذا شککنا فی التکلیف ، سواء نشأ شکّنا فی ذلک من عدم وضوح أصل جعل الشارع للتکلیف ، أو من عدم العلم بتحقّق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شکّنا فی وجوب صلاة العید ، أو فی حرمة التدخین ، ویسمّی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شکّنا فی وجوب الحجّ لعدم العلم بتوفّر الاستطاعة ، مع علمنا بأنّ الشارع جعل وجوب الحجّ علی المستطیع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بالشبهة الموضوعیّة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فی الشبهة الحکمیة یشکّ فی الجعل ، وفی الشبهة الموضوعیة یشکّ فی المجعول ، وکلّ منهما مجریً للبراءة شرعاً</w:t>
      </w:r>
      <w:r>
        <w:rPr>
          <w:rFonts w:eastAsia="IRNazanin" w:cs="IRNazanin"/>
          <w:color w:val="111111"/>
          <w:sz w:val="28"/>
          <w:szCs w:val="28"/>
          <w:rtl w:val="true"/>
          <w:lang w:bidi="fa-IR"/>
        </w:rPr>
        <w:t xml:space="preserve">. </w:t>
      </w:r>
      <w:bookmarkStart w:id="255" w:name="pg14075_144522"/>
    </w:p>
    <w:p>
      <w:pPr>
        <w:pStyle w:val="Heading5"/>
        <w:numPr>
          <w:ilvl w:val="4"/>
          <w:numId w:val="1"/>
        </w:numPr>
        <w:rPr/>
      </w:pPr>
      <w:bookmarkStart w:id="256" w:name="__RefHeading___Toc508782_1738255347"/>
      <w:bookmarkStart w:id="257" w:name="_Toc84"/>
      <w:bookmarkEnd w:id="255"/>
      <w:bookmarkEnd w:id="256"/>
      <w:r>
        <w:rPr/>
        <w:t>3</w:t>
      </w:r>
      <w:r>
        <w:rPr>
          <w:rtl w:val="true"/>
        </w:rPr>
        <w:t xml:space="preserve">- </w:t>
      </w:r>
      <w:r>
        <w:rPr>
          <w:rtl w:val="true"/>
        </w:rPr>
        <w:t>قاعدة منجّزیة العلم الإجمالی</w:t>
      </w:r>
      <w:bookmarkEnd w:id="257"/>
    </w:p>
    <w:p>
      <w:pPr>
        <w:pStyle w:val="Heading6"/>
        <w:numPr>
          <w:ilvl w:val="5"/>
          <w:numId w:val="1"/>
        </w:numPr>
        <w:rPr/>
      </w:pPr>
      <w:bookmarkStart w:id="258" w:name="__RefHeading___Toc508784_1738255347"/>
      <w:bookmarkStart w:id="259" w:name="_Toc85"/>
      <w:bookmarkEnd w:id="258"/>
      <w:r>
        <w:rPr>
          <w:rtl w:val="true"/>
        </w:rPr>
        <w:t>تمهید</w:t>
      </w:r>
      <w:bookmarkEnd w:id="259"/>
    </w:p>
    <w:p>
      <w:pPr>
        <w:pStyle w:val="BookText"/>
        <w:rPr/>
      </w:pPr>
      <w:r>
        <w:rPr>
          <w:rFonts w:ascii="IRNazanin" w:hAnsi="IRNazanin" w:eastAsia="IRNazanin"/>
          <w:color w:val="111111"/>
          <w:sz w:val="28"/>
          <w:sz w:val="28"/>
          <w:szCs w:val="28"/>
          <w:rtl w:val="true"/>
          <w:lang w:bidi="fa-IR"/>
        </w:rPr>
        <w:t xml:space="preserve">قد تعلم أنّ أخاک الأکبر قد سافر إلی مکّة ، وقد تشکّ فی سفره ، لکنّک تعلم علی أیِّ حالٍ أنّ أحد أخویک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 أو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سافر فعلاً إلی مکّة ، وقد تشکّ فی سفرهما معاً ولا تدری هل سافر واحد منهما إلی مکّة ، أوْ لا؟</w:t>
      </w:r>
    </w:p>
    <w:p>
      <w:pPr>
        <w:pStyle w:val="BookText"/>
        <w:rPr/>
      </w:pPr>
      <w:r>
        <w:rPr>
          <w:rFonts w:ascii="IRNazanin" w:hAnsi="IRNazanin" w:eastAsia="IRNazanin"/>
          <w:color w:val="111111"/>
          <w:sz w:val="28"/>
          <w:sz w:val="28"/>
          <w:szCs w:val="28"/>
          <w:rtl w:val="true"/>
          <w:lang w:bidi="fa-IR"/>
        </w:rPr>
        <w:t xml:space="preserve">فهذه حالات ثلاث ، ویطلق علی الحالة الاولی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لأنّک فی الحالة الاولی تعلم أنّ أخاک الأکبر قد سافر إلی مکّة ، ولیس لدیک فی هذه الحقیقة أیُّ تردّدٍ أو غموض ، فلهذا کان العلم تفصیلیاً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علی الحالة الثانیة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لأنّک فی هذه الحالة تجد فی نفسک عنصرین مزدوجین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عنصر الوضوح ، والآخر عنصر الخفاء ، فعنصر الوضوح یتمثَّل فی علمک بأنّ أحد أخویک قد سافر فعلاً ، فأنت لا تشکّ فی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وعنصر الخفاء والغموض یتمثّل فی شکِّک وتردّدک فی تعیین هذا الأخ ، ولهذا تسمّی هذه الحالة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علم ، لأنّک لا تشکّ فی سفر أحد أخویک ، وهی إجمال وشکّ ، لأنّک لا تدری أیّ أخویک قد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کلّ من سفر الأخ الأکبر وسفر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الإجمالی ؛ لأنّک تعلم أنّ أحدهما لا علی سبیل التعیین قد سافر بالفعل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صیغةٍ لغویةٍ تمثِّل هیکل العلم الإجمالیّ ومحتواه النفسیّ بکلا عنصریه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تقول فی المثال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 إمّا أخی الأکبر ، وإمّا </w:t>
      </w:r>
    </w:p>
    <w:p>
      <w:pPr>
        <w:pStyle w:val="BookText"/>
        <w:rPr/>
      </w:pPr>
      <w:r>
        <w:rPr>
          <w:rFonts w:ascii="IRNazanin" w:hAnsi="IRNazanin" w:eastAsia="IRNazanin"/>
          <w:color w:val="111111"/>
          <w:sz w:val="28"/>
          <w:sz w:val="28"/>
          <w:szCs w:val="28"/>
          <w:rtl w:val="true"/>
          <w:lang w:bidi="fa-IR"/>
        </w:rPr>
        <w:t>أخی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جانب الإثبات فی هذه الصیغة یمثّل عنصر الوضوح والعلم ، وجانب التردّد الذی تصوّره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عنصر الخفاء والشکّ ، وکلّما أمکن استخدام صیغةٍ من هذا القبیل دلّ ذلک علی وجود علمٍ إجمالیٍّ فی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علی الحالة الثالثة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شکّ محض غیر ممتزجٍ بأیِّ لونٍ من العلم ، ویسمّی بالشکّ الابتدائیّ أو البدوی تمییزاً له عن الشکّ فی طرف العلم الإجمالی ؛ لأنّ الشکّ فی طرف العلم الإجمالیّ یوجد نتیجةً للعلم نفسه ، فأنت تشکّ فی أنّ المسافر هل هو أخوک الأکبر ، أو الأصغر؟ نتیجةً لعلمک بأنّ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سافر حتماً ، وأمّا الشکّ فی الحالة الثالثة فیوجد بصورةٍ ابتدائیة دون علمٍ مسبق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الحالات الثلاث توجد فی نفوسنا تجاه الحکم الشرعی ، فوجوب صلاة الصبح معلوم تفصیلاً ، ووجوب صلاة الظهر فی یوم الجمعة مشکوک شکّاً ناتجاً عن العلم الإجمالیّ بوجوب الظهر أو الجمعة فی ذلک الیوم ، ووجوب صلاة العید مشکوک ابتدائیّ غیر مقترنٍ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الأمثلة کلّها من الشبهة الحکمیة ، ونفس الأمثلة یمکن تحصیلها من الشبهة الموضوعیة ، فتکون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عالماً تفصیلاً بوقوع قطرة دمٍ فی هذا الإناء ، واخری عالماً إجمالاً بوقوعها فی أحد إناءین ، وثالثةً شاکّاً فی أصل وقوعها شکّاً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حدیثنا عن القاعدة العملیة الثانویة التی قلّبت القاعدة العملیة الأساسیة کنّا نتحدّث عن الحالة الثالثة ، أی حالة الشکّ البدویّ الذی لم یقترن بالعلم الإجمالی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ندرس حالة الشکّ الناتج عن العلم الإجمالی ، أی الشکّ فی الحالة الثانیة من الحالات الثلاث السابقة ، وهذا یعنی أنّنا درسنا الشکّ بصورته الساذجة ، </w:t>
      </w:r>
      <w:bookmarkStart w:id="260" w:name="pg14075_144524"/>
    </w:p>
    <w:p>
      <w:pPr>
        <w:pStyle w:val="BookText"/>
        <w:rPr/>
      </w:pPr>
      <w:bookmarkEnd w:id="260"/>
      <w:r>
        <w:rPr>
          <w:rFonts w:ascii="IRNazanin" w:hAnsi="IRNazanin" w:eastAsia="IRNazanin"/>
          <w:color w:val="111111"/>
          <w:sz w:val="28"/>
          <w:sz w:val="28"/>
          <w:szCs w:val="28"/>
          <w:rtl w:val="true"/>
          <w:lang w:bidi="fa-IR"/>
        </w:rPr>
        <w:t>وندرسه الآن بعد أن نُضیف إلیه عنصراً جدیداً وهو العلم الإجمالی ، فهل تجری فیه القاعدة العملیة الثانویة کما کانت تجری فی موارد الشکّ البدویّ ، أوْ لا؟</w:t>
      </w:r>
    </w:p>
    <w:p>
      <w:pPr>
        <w:pStyle w:val="Heading6"/>
        <w:numPr>
          <w:ilvl w:val="5"/>
          <w:numId w:val="1"/>
        </w:numPr>
        <w:rPr/>
      </w:pPr>
      <w:bookmarkStart w:id="261" w:name="__RefHeading___Toc508786_1738255347"/>
      <w:bookmarkStart w:id="262" w:name="_Toc86"/>
      <w:bookmarkEnd w:id="261"/>
      <w:r>
        <w:rPr>
          <w:rtl w:val="true"/>
        </w:rPr>
        <w:t>منجّزیة العلم الإجمالی</w:t>
      </w:r>
      <w:bookmarkEnd w:id="262"/>
    </w:p>
    <w:p>
      <w:pPr>
        <w:pStyle w:val="BookText"/>
        <w:rPr/>
      </w:pPr>
      <w:r>
        <w:rPr>
          <w:rFonts w:ascii="IRNazanin" w:hAnsi="IRNazanin" w:eastAsia="IRNazanin"/>
          <w:color w:val="111111"/>
          <w:sz w:val="28"/>
          <w:sz w:val="28"/>
          <w:szCs w:val="28"/>
          <w:rtl w:val="true"/>
          <w:lang w:bidi="fa-IR"/>
        </w:rPr>
        <w:t>وعلی ضوء ما سبق یمکننا تحلیل العلم الإجمالیّ إلی علمٍ بأحد الأمرین ، وشکٍّ فی هذا ، وشکٍّ فی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یوم الجمعة نعلم بوجوب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 أو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ونشکّ فی وجوب الظهر کما نشکّ فی وجوب الجمعة ، والعلم بوجوب أحد الأمرین بوصفه علماً تشمله قاعدة حجّیة القطع التی درسناها فی بحثٍ سابق </w:t>
      </w:r>
      <w:r>
        <w:rPr>
          <w:rStyle w:val="FootnoteAnchor"/>
          <w:rtl w:val="true"/>
        </w:rPr>
        <w:footnoteReference w:id="43"/>
      </w:r>
      <w:r>
        <w:rPr>
          <w:rFonts w:ascii="IRNazanin" w:hAnsi="IRNazanin" w:eastAsia="IRNazanin"/>
          <w:color w:val="111111"/>
          <w:sz w:val="28"/>
          <w:sz w:val="28"/>
          <w:szCs w:val="28"/>
          <w:rtl w:val="true"/>
          <w:lang w:bidi="fa-IR"/>
        </w:rPr>
        <w:t xml:space="preserve">، فلا یسمح لنا العقل لأجل ذلک بترک الأمرین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والجمعة ؛ لأنّنا لو ترکناهما معاً لخالفنا علمنا بوجوب أحد الأمرین ، والعلم حجّة عقلاً فی جمیع الأحوال ، سواء کان إجمالیاً أو تفصیلیاً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ویؤمن الرأی الاصولیّ السائد فی مورد العلم الإجمالی لا بثبوت الحجّیة للعلم بأحد الأمرین فحسب ، بل بعدم إمکان انتزاع هذه الحجّیة منه أیضاً واستحالة ترخیص الشارع فی مخالفته بترک الأمرین معاً ، کما لا یمکن للشارع أن ینتزع الحجّیة من العلم التفصیلیّ ویرخّص فی مخالفته ، وفقاً لما تقدم فی بحث القطع </w:t>
      </w:r>
      <w:r>
        <w:rPr>
          <w:rStyle w:val="FootnoteAnchor"/>
          <w:rtl w:val="true"/>
        </w:rPr>
        <w:footnoteReference w:id="44"/>
      </w:r>
      <w:r>
        <w:rPr>
          <w:rFonts w:ascii="Amiri" w:hAnsi="Amiri" w:eastAsia="Amiri" w:cs="Amiri"/>
          <w:color w:val="111111"/>
          <w:sz w:val="28"/>
          <w:sz w:val="28"/>
          <w:szCs w:val="28"/>
          <w:rtl w:val="true"/>
          <w:lang w:bidi="ar-SA"/>
        </w:rPr>
        <w:t>من استحالة صدور الردع من الشارع عن القطع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کلّ واحدٍ من طرفی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الظهر بمفرده ووجوب الجمعة بمفرده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تکلیف مشکوک ولیس معلوماً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یبدو لأوّل وهلةٍ أنّ بالإمکان أن تشمله القاعدة العملیة الثانویة ، أی أصالة البراءة النافیة للاحتیاط فی التکالیف المشکوکة ؛ لأنّ کلاًّ من الطرفین تکلیف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الرأی السائد فی علم الاصول یقول بعدم إمکان شمول القاعدة العملیة الثانویة لطرف العلم الإجمالی ، بدلیل أنّ شمولها لکلا الطرفین معاً یؤدّی إلی براءة الذمّة من الظهر والجمعة وجواز ترکهما معاً ، وهذا یتعارض مع حجّیة القطع بوجوب أحد الأمرین ؛ لأنّ حجّیة هذا القطع تفرض علینا أن نأتی بأحد الأمرین علی أقلّ تقدیر ، فلو حکم الشارع بالبراءة فی کلٍّ من الطرفین لکان معنی ذلک الترخیص منه فی مخالفة العلم ، وهو مستحیل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وشمول القاعدة لأحد الطرفین دون الآخر وإن لم یؤدِّ إلی الترخیص فی ترک الأمرین معاً لکنّه غیر ممکنٍ أیضاً ؛ لأنّنا نتساءل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الطرفین نفترض شمول القاعدة له ونرجِّحه علی الآخر؟ وسوف نجد أنَّا لا نملک مبرِّراً لترجیح أیٍّ من الطرفین علی الآخر ؛ لأنّ صلة القاعدة بهما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ینتج عن هذا الاستدلال القول بعدم شمول القاعدة العملیة الثانویة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واحدٍ من الطرفین ، ویعنی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طرفٍ من أطراف العلم الإجمالیّ یظلّ مندرجاً ضمن نطاق القاعدة العملیة الأساسیة القائلة بالاحتیاط ما دامت القاعدة الثانویة عاجزةً عن 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ندرک الفرق بین الشکّ البدویّ والشکّ الناتج عن العلم الإجمالی ، فالأوّل یدخل فی نطاق القاعدة الثانویة وهی أصالة البراءة ، والثانی یدخل فی نطاق القاعدة الأوّلیة وهی أصالة الاحتیاط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ذلک نعرف أنّ الواجب علینا عقلاً فی موارد العلم الإجمالیّ هو الإتیان بکلا الطرفین ، أی الظهر والجمعة فی المثال السابق ؛ لأنّ کلاًّ منهما داخل فی </w:t>
      </w:r>
      <w:bookmarkStart w:id="263" w:name="pg14075_144526"/>
    </w:p>
    <w:p>
      <w:pPr>
        <w:pStyle w:val="BookText"/>
        <w:rPr/>
      </w:pPr>
      <w:bookmarkEnd w:id="263"/>
      <w:r>
        <w:rPr>
          <w:rFonts w:ascii="IRNazanin" w:hAnsi="IRNazanin" w:eastAsia="IRNazanin"/>
          <w:color w:val="111111"/>
          <w:sz w:val="28"/>
          <w:sz w:val="28"/>
          <w:szCs w:val="28"/>
          <w:rtl w:val="true"/>
          <w:lang w:bidi="fa-IR"/>
        </w:rPr>
        <w:t>نطاق أصالة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فی علم الاصول علی الإتیان بالطرفین معاً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المکلّف عند إتیانه بهما معاً یقطع بأنّه وافق تکلیف المولی ، کما یطلق علی ترک الطرفین معاً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الإتیان بأحدهما وترک الآخر فیطلق علیهما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المکلّف فی هذه الحالة یحتمل أنّه وافق تکلیف المولی ، ویحتمل أنّه خالفه</w:t>
      </w:r>
      <w:r>
        <w:rPr>
          <w:rFonts w:eastAsia="IRNazanin" w:cs="IRNazanin"/>
          <w:color w:val="111111"/>
          <w:sz w:val="28"/>
          <w:szCs w:val="28"/>
          <w:rtl w:val="true"/>
          <w:lang w:bidi="fa-IR"/>
        </w:rPr>
        <w:t>.</w:t>
      </w:r>
    </w:p>
    <w:p>
      <w:pPr>
        <w:pStyle w:val="Heading6"/>
        <w:numPr>
          <w:ilvl w:val="5"/>
          <w:numId w:val="1"/>
        </w:numPr>
        <w:rPr/>
      </w:pPr>
      <w:bookmarkStart w:id="264" w:name="__RefHeading___Toc508788_1738255347"/>
      <w:bookmarkStart w:id="265" w:name="_Toc87"/>
      <w:bookmarkEnd w:id="264"/>
      <w:r>
        <w:rPr>
          <w:rtl w:val="true"/>
        </w:rPr>
        <w:t>انحلال العلم الإجمالی</w:t>
      </w:r>
      <w:bookmarkEnd w:id="265"/>
    </w:p>
    <w:p>
      <w:pPr>
        <w:pStyle w:val="BookText"/>
        <w:rPr/>
      </w:pPr>
      <w:r>
        <w:rPr>
          <w:rFonts w:ascii="IRNazanin" w:hAnsi="IRNazanin" w:eastAsia="IRNazanin"/>
          <w:color w:val="111111"/>
          <w:sz w:val="28"/>
          <w:sz w:val="28"/>
          <w:szCs w:val="28"/>
          <w:rtl w:val="true"/>
          <w:lang w:bidi="fa-IR"/>
        </w:rPr>
        <w:t xml:space="preserve">إذا وجدتَ کأسین من ماءٍ قد یکون کلاهما نجساً وقد یکون أحدهما نجساً فقط ، ولکنّک تعلم علی أیّ حالٍ بأ نّهما لیسا طاهرین معاً ، فینشأ فی نفسک علم إجمالیّ بنجاسة أحد الکأسین لا علی سبیل التعیین ، فإذا اتّفق لک بعد ذلک أنِ اکتشفت نجاسةً فی أحد الکأسین وعلمت أنّ هذا الکأس المعیّن نجس ، فسوف یزول علمک الإجمالیّ بسبب هذا العلم التفصیلی ؛ لأنّک الآن بعد اکتشافک نجاسة ذلک الکأس المعیّن لا تعلم إجمالاً بنجاسة أحد الکأسین لا علی سبیل التعیین ، بل تعلم بنجاسة ذلک الکأس المعیّن علماً تفصیلیاً وتشکّ فی نجاسة الآخر ، لأجل هذا لا تستطیع أن تستعمل الصیغة اللغویة التی تعبّر عن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یمکنک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هذا نجس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هذا نجس جزماً ، وذاک لا تدری بنجاسته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ویعبّر عن ذلک فی العرف الاصولیّ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إلی العلم التفصیلیّ بأحد الطرفین والشکّ البدویّ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نجاسة ذلک الکأس المعیّن أصبحت معلومةً بالتفصیل ، ونجاسة الآخر أصبحت مشکوکةً شکّاً ابتدائیاً بعد أن </w:t>
      </w:r>
      <w:bookmarkStart w:id="266" w:name="pg14075_144527"/>
    </w:p>
    <w:p>
      <w:pPr>
        <w:pStyle w:val="BookText"/>
        <w:rPr/>
      </w:pPr>
      <w:bookmarkEnd w:id="266"/>
      <w:r>
        <w:rPr>
          <w:rFonts w:ascii="IRNazanin" w:hAnsi="IRNazanin" w:eastAsia="IRNazanin"/>
          <w:color w:val="111111"/>
          <w:sz w:val="28"/>
          <w:sz w:val="28"/>
          <w:szCs w:val="28"/>
          <w:rtl w:val="true"/>
          <w:lang w:bidi="fa-IR"/>
        </w:rPr>
        <w:t>زال العلم الإجمالی ، فیأخذ العلم التفصیلیّ مفعوله من الحجّیة ، وتجری بالنسبة إلی الشکّ الابتدائیّ أصالة البراءة ، أی القاعدة العملیة الثانویة التی تجری فی جمیع موارد الشکّ الابتدائی</w:t>
      </w:r>
      <w:r>
        <w:rPr>
          <w:rFonts w:eastAsia="IRNazanin" w:cs="IRNazanin"/>
          <w:color w:val="111111"/>
          <w:sz w:val="28"/>
          <w:szCs w:val="28"/>
          <w:rtl w:val="true"/>
          <w:lang w:bidi="fa-IR"/>
        </w:rPr>
        <w:t>.</w:t>
      </w:r>
    </w:p>
    <w:p>
      <w:pPr>
        <w:pStyle w:val="Heading6"/>
        <w:numPr>
          <w:ilvl w:val="5"/>
          <w:numId w:val="1"/>
        </w:numPr>
        <w:rPr/>
      </w:pPr>
      <w:bookmarkStart w:id="267" w:name="__RefHeading___Toc508790_1738255347"/>
      <w:bookmarkStart w:id="268" w:name="_Toc88"/>
      <w:bookmarkEnd w:id="267"/>
      <w:r>
        <w:rPr>
          <w:rtl w:val="true"/>
        </w:rPr>
        <w:t>موارد التردّد</w:t>
      </w:r>
      <w:bookmarkEnd w:id="268"/>
    </w:p>
    <w:p>
      <w:pPr>
        <w:pStyle w:val="BookText"/>
        <w:rPr/>
      </w:pPr>
      <w:r>
        <w:rPr>
          <w:rFonts w:ascii="IRNazanin" w:hAnsi="IRNazanin" w:eastAsia="IRNazanin"/>
          <w:color w:val="111111"/>
          <w:sz w:val="28"/>
          <w:sz w:val="28"/>
          <w:szCs w:val="28"/>
          <w:rtl w:val="true"/>
          <w:lang w:bidi="fa-IR"/>
        </w:rPr>
        <w:t>عرفنا أنّ الشکّ إذا کان بدویاً حکمت فیه القاعدة العملیة الثانویة القائلة بأصالة البراءة ، وإذا کان مقترناً بالعلم الإجمالیّ حکمت فیه القاعدة العملیة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یخفی أحیاناً نوع الشکّ فلا یعلم أهو من الشکّ الابتدائی ، أو من الشکّ المقترن بالعلم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الناتج عنه بتعبیرٍ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مسألة دوران الأمر بین الأقلّ والأکثر کما یسمّیها الاصولیّون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وجوب شرعیّ بعملیةٍ مرکّبةٍ من أجزاءٍ کالصلاة ، ونعلم باشتمال العملیة علی تسعة أجزاءٍ معیّنةٍ ونشکّ فی اشتمالها علی جزءٍ عاشرٍ ولا یوجد دلیل یثبت أو ینفی ، ففی هذه الحالة یحاول الفقیه أن یحدّد الموقف العملی ، فیتساءل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الاحتیاط علی المکلّف فیأتی بالتسعة ویضیف إلیها هذا العاشر الذی یحتمل دخوله فی نطاق الواجب ، لکی یکون مؤدّیاً للواجب علی کلّ تقدیر ، أو یکفیه الإتیان بالتسعة التی یعلم بوجوبها ولا یطالب بالعاشر المجهول وجوبه؟</w:t>
      </w:r>
    </w:p>
    <w:p>
      <w:pPr>
        <w:pStyle w:val="BookText"/>
        <w:rPr/>
      </w:pPr>
      <w:r>
        <w:rPr>
          <w:rFonts w:ascii="IRNazanin" w:hAnsi="IRNazanin" w:eastAsia="IRNazanin"/>
          <w:color w:val="111111"/>
          <w:sz w:val="28"/>
          <w:sz w:val="28"/>
          <w:szCs w:val="28"/>
          <w:rtl w:val="true"/>
          <w:lang w:bidi="fa-IR"/>
        </w:rPr>
        <w:t>وللُاصولیِّین جوابان مختلفان علی هذا السؤال یمثّل کلّ منهما اتّجاهاً فی تفسیر الموقف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فأحد الاتّجاهین یقول بوجوب الاحتیاط تطبیقاً للقاعدة العملیة الأوّلیة ؛ لأنّ الشکّ فی العاشر مقترن بالعلم الإجمالی ، وهذا العلم الإجمالیّ هو علم المکلّف بأنّ الشارع أوجب مرکّباً مّا ، ولا یدری أهو المرکّب من تسعةٍ ، أو المرکّب من عشرة ، أی من تلک التسعة بإضافة واحد؟ </w:t>
      </w:r>
    </w:p>
    <w:p>
      <w:pPr>
        <w:pStyle w:val="BookText"/>
        <w:rPr/>
      </w:pPr>
      <w:r>
        <w:rPr>
          <w:rFonts w:ascii="IRNazanin" w:hAnsi="IRNazanin" w:eastAsia="IRNazanin"/>
          <w:color w:val="111111"/>
          <w:sz w:val="28"/>
          <w:sz w:val="28"/>
          <w:szCs w:val="28"/>
          <w:rtl w:val="true"/>
          <w:lang w:bidi="fa-IR"/>
        </w:rPr>
        <w:t xml:space="preserve">والاتّجاه الآخر یطبِّق علی الشکّ فی وجوب العاشر القاعدة العملیة الثانویة بوصفه شکّاً ابتدائیاً غیر مقترنٍ بالعلم الإجمالی ؛ لأنّ ذلک العلم الإجمالیّ الذی یزعمه أصحاب الاتّجاه الأوّل منحلّ بعلمٍ تفصیلی ، وهو علم المکلّف بوجوب التسعة علی أیّ حال ؛ لأنّها واجبة ، سواء کان معها جزء عاشر أوْ لا ، فهذا العلم التفصیلیّ یؤدیّ إلی انحلال ذلک العلم الإجمالی ، ولهذا لا یمکن أن نستعمل الصیغة اللغویة التی تعبِّر عن العلم الإجمالی ، فلا یمکن القول بأ نَّا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التسعة ، أو بوجوب العشرة ، بل نحن نعلم بوجوب التسعة علی أیِّ حالٍ ونشکّ فی وجوب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یصبح الشکّ فی وجوب العاشر شکّاًابتدائیاً بعد انحلال العلم الإجمالی ، فتجری البراءة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بالبراءة عن غیر الأجزاء المعلومة من الأشیاء التی یشکّ فی دخولها ضمن نطاق الواجب ، کما ذکرناه</w:t>
      </w:r>
      <w:r>
        <w:rPr>
          <w:rFonts w:eastAsia="IRNazanin" w:cs="IRNazanin"/>
          <w:color w:val="111111"/>
          <w:sz w:val="28"/>
          <w:szCs w:val="28"/>
          <w:rtl w:val="true"/>
          <w:lang w:bidi="fa-IR"/>
        </w:rPr>
        <w:t xml:space="preserve">. </w:t>
      </w:r>
      <w:bookmarkStart w:id="269" w:name="pg14075_144529"/>
    </w:p>
    <w:p>
      <w:pPr>
        <w:pStyle w:val="Heading5"/>
        <w:numPr>
          <w:ilvl w:val="4"/>
          <w:numId w:val="1"/>
        </w:numPr>
        <w:rPr/>
      </w:pPr>
      <w:bookmarkStart w:id="270" w:name="__RefHeading___Toc508792_1738255347"/>
      <w:bookmarkStart w:id="271" w:name="_Toc89"/>
      <w:bookmarkEnd w:id="269"/>
      <w:bookmarkEnd w:id="270"/>
      <w:r>
        <w:rPr/>
        <w:t>4</w:t>
      </w:r>
      <w:r>
        <w:rPr>
          <w:rtl w:val="true"/>
        </w:rPr>
        <w:t xml:space="preserve">- </w:t>
      </w:r>
      <w:r>
        <w:rPr>
          <w:rtl w:val="true"/>
        </w:rPr>
        <w:t>الاستصحاب</w:t>
      </w:r>
      <w:bookmarkEnd w:id="271"/>
    </w:p>
    <w:p>
      <w:pPr>
        <w:pStyle w:val="Heading6"/>
        <w:numPr>
          <w:ilvl w:val="5"/>
          <w:numId w:val="1"/>
        </w:numPr>
        <w:rPr/>
      </w:pPr>
      <w:bookmarkStart w:id="272" w:name="__RefHeading___Toc508794_1738255347"/>
      <w:bookmarkStart w:id="273" w:name="_Toc90"/>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علی ضوء ما سبق نعرف أنّ أصل البراءة یجری فی موارد الشبهة البدویة دون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فی الشریعة أصل آخر نظیر أصل البراءة ، وهو ما یطلق علیه الاصولیون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علی المکلّف بالالتزام عملیاً بکلّ شیءٍ کان علی یقینٍ منه ثمّ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یقینٍ من أنّ الماء بطبیعته طاهر ، فإذا أصابه شیء متنجِّس نشکّ فی بقاء طهارته ؛ لأنّنا لا نعلم أنّ الماء هل یتنجّس بإصابة المتنجِّس له ، أوْ لا؟</w:t>
      </w:r>
    </w:p>
    <w:p>
      <w:pPr>
        <w:pStyle w:val="BookText"/>
        <w:rPr/>
      </w:pPr>
      <w:r>
        <w:rPr>
          <w:rFonts w:ascii="IRNazanin" w:hAnsi="IRNazanin" w:eastAsia="IRNazanin"/>
          <w:color w:val="111111"/>
          <w:sz w:val="28"/>
          <w:sz w:val="28"/>
          <w:szCs w:val="28"/>
          <w:rtl w:val="true"/>
          <w:lang w:bidi="fa-IR"/>
        </w:rPr>
        <w:t>والاستصحاب یحکم علی المکلّف بالالتزام عملیاً بنفس الحالة السابقة التی کان علی یقینٍ بها ، وهی طهارة الماء 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الالتزام عملیاً بالحالة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آثار الحالة السابقة من الناحیة العملیة ، فإذا کانت الحالة السابقة هی الطهارة نتصرّف فعلاً کما إذا کانت الطهارة باقیة ، وإذا کانت الحالة السابقة هی الوجوب نتصرّف فعلاً کما إذا کان الوجوب باقیاً ، وهکذا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الاستصحاب هو قول الإمام الصادق علیه‌السلام فی صحیحة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بالشکّ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74" w:name="pg14075_144530"/>
    </w:p>
    <w:p>
      <w:pPr>
        <w:pStyle w:val="BookText"/>
        <w:rPr/>
      </w:pPr>
      <w:bookmarkEnd w:id="274"/>
      <w:r>
        <w:rPr>
          <w:rFonts w:ascii="Amiri" w:hAnsi="Amiri" w:eastAsia="Amiri" w:cs="Amiri"/>
          <w:color w:val="111111"/>
          <w:sz w:val="28"/>
          <w:sz w:val="28"/>
          <w:szCs w:val="28"/>
          <w:rtl w:val="true"/>
          <w:lang w:bidi="ar-SA"/>
        </w:rPr>
        <w:t xml:space="preserve">ونستخلص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حالةٍ من الشکّ البدویّ یتوفّر فیها القطع بشیءٍ أوّلاً والشکّ فی بقائه ثانیاً یجری فیها الاستصحاب</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08796_1738255347"/>
      <w:bookmarkStart w:id="276" w:name="_Toc91"/>
      <w:bookmarkEnd w:id="275"/>
      <w:r>
        <w:rPr>
          <w:rtl w:val="true"/>
        </w:rPr>
        <w:t>الحالة السابقة المتیقّنة</w:t>
      </w:r>
      <w:bookmarkEnd w:id="276"/>
    </w:p>
    <w:p>
      <w:pPr>
        <w:pStyle w:val="BookText"/>
        <w:rPr/>
      </w:pPr>
      <w:r>
        <w:rPr>
          <w:rFonts w:ascii="IRNazanin" w:hAnsi="IRNazanin" w:eastAsia="IRNazanin"/>
          <w:color w:val="111111"/>
          <w:sz w:val="28"/>
          <w:sz w:val="28"/>
          <w:szCs w:val="28"/>
          <w:rtl w:val="true"/>
          <w:lang w:bidi="fa-IR"/>
        </w:rPr>
        <w:t xml:space="preserve">عرفنا أنّ وجود حالةٍ سابقةٍ متیقّنةٍ شرط أساسیّ لجریان الاستصحاب ، والحالة السابقة قد تکون حکماً عامّاً نعلم بجعل الشارع له وثبوته فی العالم التشریعیّ ؛ ولا ندری حدود هذا الحکم المفروضة له فی جعله ، ومدی امتداده فی عالمه التشریعی ، فتکون الشبهة حکمیة ، ویجری الاستصحاب فی نفس الحکم ، کاستصحاب بقاء طهارة الماء بعد إصابة المتنجِّس له ،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الحالة السابقة شیئاً من أشیاء العالم التکوینیّ نعلم بوجوده سابقاً ، ولا ندری باستمراره وهو موضوع للحکم الشرعی ، فتکون الشبهة موضوعیةً ویجری الاستصحاب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عدالة الإمام الذی یشکّ فی طروء فسقه ، واستصحاب نجاسة الثوب الذی یشکّ فی طروء المطهِّر علیه ،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استصحاب موضوعٍ لحکمٍ شرعی ، وهو جواز الائتمام فی الأوّل ، وعدم جواز الصلاة فی الثانی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علم الاصول اتّجاه ینکر جریان الاستصحاب فی الشبهة الحکمیة ویخصّه بالشبهة الموضوعیة ، ولا شکّ فی أنّ الاستصحاب فی الشبهة الموضوعیة هو المتیقّن من دلیله ؛ لأنّ صحیحة زرارة التی ورد فیها إعطاء الإمام للاستصحاب تتضمّن شبهةً موضوعیةً وهی الشک فی طروء النوم الناقض ، ولکنّ هذا لایمنع عن التمسّک بإطلاق کلام الإمام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عموم القاعدة لجمیع الحالات ، فعلی مدّعی الاختصاص أن </w:t>
      </w:r>
      <w:bookmarkStart w:id="277" w:name="pg14075_144531"/>
    </w:p>
    <w:p>
      <w:pPr>
        <w:pStyle w:val="BookText"/>
        <w:rPr/>
      </w:pPr>
      <w:bookmarkEnd w:id="277"/>
      <w:r>
        <w:rPr>
          <w:rFonts w:ascii="IRNazanin" w:hAnsi="IRNazanin" w:eastAsia="IRNazanin"/>
          <w:color w:val="111111"/>
          <w:sz w:val="28"/>
          <w:sz w:val="28"/>
          <w:szCs w:val="28"/>
          <w:rtl w:val="true"/>
          <w:lang w:bidi="fa-IR"/>
        </w:rPr>
        <w:t>یبرز قرینةً علی تقیید هذا الإطلاق</w:t>
      </w:r>
      <w:r>
        <w:rPr>
          <w:rFonts w:eastAsia="IRNazanin" w:cs="IRNazanin"/>
          <w:color w:val="111111"/>
          <w:sz w:val="28"/>
          <w:szCs w:val="28"/>
          <w:rtl w:val="true"/>
          <w:lang w:bidi="fa-IR"/>
        </w:rPr>
        <w:t>.</w:t>
      </w:r>
    </w:p>
    <w:p>
      <w:pPr>
        <w:pStyle w:val="Heading6"/>
        <w:numPr>
          <w:ilvl w:val="5"/>
          <w:numId w:val="1"/>
        </w:numPr>
        <w:rPr/>
      </w:pPr>
      <w:bookmarkStart w:id="278" w:name="__RefHeading___Toc508798_1738255347"/>
      <w:bookmarkStart w:id="279" w:name="_Toc92"/>
      <w:bookmarkEnd w:id="278"/>
      <w:r>
        <w:rPr>
          <w:rtl w:val="true"/>
        </w:rPr>
        <w:t>الشکّ فی البقاء</w:t>
      </w:r>
      <w:bookmarkEnd w:id="279"/>
    </w:p>
    <w:p>
      <w:pPr>
        <w:pStyle w:val="BookText"/>
        <w:rPr/>
      </w:pPr>
      <w:r>
        <w:rPr>
          <w:rFonts w:ascii="IRNazanin" w:hAnsi="IRNazanin" w:eastAsia="IRNazanin"/>
          <w:color w:val="111111"/>
          <w:sz w:val="28"/>
          <w:sz w:val="28"/>
          <w:szCs w:val="28"/>
          <w:rtl w:val="true"/>
          <w:lang w:bidi="fa-IR"/>
        </w:rPr>
        <w:t>والشکّ فی البقاء هو الشرط الأساسیّ الآخر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الاصولیّون الشکّ فی البقاء إلی قسمین تبعاً لطبیعة الحالة السابقة التی نشکّ فی بقائها ؛ لأنّ الحالة السابقة قد تکون قابلةً بطبیعتها للامتداد زمانیاً ، وإنّما نشکّ فی بقائها نتیجةً لاحتمال وجود عاملٍ خارجیٍّ أدّی إلی 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 فإنّ طهارة الماء تستمرّ بطبیعتها وتمتدّ إذا لم یتدخّل عامل خارجی ، وإنّما نشکّ فی بقائها لدخول عاملٍ خارجیٍّ فی الموقف ، وهو إصابة المتنجِّس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نجاسة الثوب ، فإنّ الثوب إذا تنجّس تبقی نجاسته وتمتدّ ما لم یوجد عامل خارجیّ وهو الغسل ، ویسمّی الشکّ فی بقاء الحالة السابقة التی من هذا القبیل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الحالة السابقة غیر قادرةٍ علی الامتداد زمانیاً ، بل تنتهی بطبیعتها فی وقتٍ معیّنٍ ونشکّ فی بقائها نتیجةً لاحتمال انتهائها بطبیعتها دون تدخّل عاملٍ خارجیٍّ فی الموقف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شهر رمضان الذی یجب فیه الصوم إذا شکّ الصائم فی بقاء النهار ، فإنّ النهار ینتهی بطبیعته ولا یمکن أن یمتدَّ زمانیاً ، فالشکّ فی بقائه لا ینتج عن احتمال وجود عاملٍ خارجی ، وإنّما هو نتیجة لاحتمال انتهاء النهار بطبیعته واستنفاده لطاقته وقدرته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الشکّ فی بقاء الحالة السابقة التی من هذا القبیل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الشکّ فی مدی اقتضاء النهار واستعداده للبقاء</w:t>
      </w:r>
      <w:r>
        <w:rPr>
          <w:rFonts w:eastAsia="IRNazanin" w:cs="IRNazanin"/>
          <w:color w:val="111111"/>
          <w:sz w:val="28"/>
          <w:szCs w:val="28"/>
          <w:rtl w:val="true"/>
          <w:lang w:bidi="fa-IR"/>
        </w:rPr>
        <w:t xml:space="preserve">. </w:t>
      </w:r>
      <w:bookmarkStart w:id="280" w:name="pg14075_144532"/>
    </w:p>
    <w:p>
      <w:pPr>
        <w:pStyle w:val="BookText"/>
        <w:rPr/>
      </w:pPr>
      <w:bookmarkEnd w:id="280"/>
      <w:r>
        <w:rPr>
          <w:rFonts w:ascii="IRNazanin" w:hAnsi="IRNazanin" w:eastAsia="IRNazanin"/>
          <w:color w:val="111111"/>
          <w:sz w:val="28"/>
          <w:sz w:val="28"/>
          <w:szCs w:val="28"/>
          <w:rtl w:val="true"/>
          <w:lang w:bidi="fa-IR"/>
        </w:rPr>
        <w:t xml:space="preserve">ویوجد فی علم الاصول اتّجاه ینکر جریان الاستصحاب إذا کان الشکّ فی بقاء الحالة السابقة من نوع الشکّ فی المقتضی ، ویخصّه بحالات الشکّ فی الرافع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الاختصاص تمسّکاً بإطلاق دلیل الاستصحاب</w:t>
      </w:r>
      <w:r>
        <w:rPr>
          <w:rFonts w:eastAsia="IRNazanin" w:cs="IRNazanin"/>
          <w:color w:val="111111"/>
          <w:sz w:val="28"/>
          <w:szCs w:val="28"/>
          <w:rtl w:val="true"/>
          <w:lang w:bidi="fa-IR"/>
        </w:rPr>
        <w:t>.</w:t>
      </w:r>
    </w:p>
    <w:p>
      <w:pPr>
        <w:pStyle w:val="Heading6"/>
        <w:numPr>
          <w:ilvl w:val="5"/>
          <w:numId w:val="1"/>
        </w:numPr>
        <w:rPr/>
      </w:pPr>
      <w:bookmarkStart w:id="281" w:name="__RefHeading___Toc508800_1738255347"/>
      <w:bookmarkStart w:id="282" w:name="_Toc93"/>
      <w:bookmarkEnd w:id="281"/>
      <w:r>
        <w:rPr>
          <w:rtl w:val="true"/>
        </w:rPr>
        <w:t>وحدة الموضوع فی الاستصحاب</w:t>
      </w:r>
      <w:bookmarkEnd w:id="282"/>
    </w:p>
    <w:p>
      <w:pPr>
        <w:pStyle w:val="BookText"/>
        <w:rPr/>
      </w:pPr>
      <w:r>
        <w:rPr>
          <w:rFonts w:ascii="IRNazanin" w:hAnsi="IRNazanin" w:eastAsia="IRNazanin"/>
          <w:color w:val="111111"/>
          <w:sz w:val="28"/>
          <w:sz w:val="28"/>
          <w:szCs w:val="28"/>
          <w:rtl w:val="true"/>
          <w:lang w:bidi="fa-IR"/>
        </w:rPr>
        <w:t>ویتّفق الاصولیّون علی أنّ من شروط الاستصحاب وحدة الموضوع ، ویعنون بذلک أن یکون الشکّ منصبّاً علی نفس الحالة التی کنّا علی یقینٍ بها ، فلا یجری الاستصحاب إذا کان المشکوک والمتیقَّن متغایرین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علی یقینٍ بنجاسة الماء ؛ ثمّ صار بخاراً وشککنا فی نجاسة هذا البخار لم یجرِ هذا الاستصحاب ؛ لأنّ ما کنّا علی یقینٍ بنجاسته هو الماءُ ، وما نشکّ فعلاً فی نجاسته هو البخار ؛ والبخار غیر الماء فلم یکن مصبّ الیقین والشکّ واحداً</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4075_144534"/>
      <w:bookmarkStart w:id="284" w:name="pg14075_144534"/>
      <w:bookmarkEnd w:id="284"/>
    </w:p>
    <w:p>
      <w:pPr>
        <w:pStyle w:val="Heading3"/>
        <w:numPr>
          <w:ilvl w:val="2"/>
          <w:numId w:val="1"/>
        </w:numPr>
        <w:rPr/>
      </w:pPr>
      <w:bookmarkStart w:id="285" w:name="pg14075_144534"/>
      <w:bookmarkStart w:id="286" w:name="__RefHeading___Toc508802_1738255347"/>
      <w:bookmarkStart w:id="287" w:name="_Toc94"/>
      <w:bookmarkEnd w:id="285"/>
      <w:bookmarkEnd w:id="286"/>
      <w:r>
        <w:rPr>
          <w:rtl w:val="true"/>
        </w:rPr>
        <w:t>تعارض الأدلّة</w:t>
      </w:r>
      <w:bookmarkEnd w:id="287"/>
    </w:p>
    <w:p>
      <w:pPr>
        <w:pStyle w:val="Heading4"/>
        <w:numPr>
          <w:ilvl w:val="3"/>
          <w:numId w:val="1"/>
        </w:numPr>
        <w:rPr/>
      </w:pPr>
      <w:bookmarkStart w:id="288" w:name="__RefHeading___Toc508804_1738255347"/>
      <w:bookmarkStart w:id="289" w:name="_Toc95"/>
      <w:bookmarkEnd w:id="288"/>
      <w:r>
        <w:rPr>
          <w:rtl w:val="true"/>
        </w:rPr>
        <w:t>اشارة</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النوعین</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075_144536"/>
      <w:bookmarkStart w:id="291" w:name="pg14075_144536"/>
      <w:bookmarkEnd w:id="291"/>
    </w:p>
    <w:p>
      <w:pPr>
        <w:pStyle w:val="BookText"/>
        <w:rPr/>
      </w:pPr>
      <w:bookmarkStart w:id="292" w:name="pg14075_144536"/>
      <w:bookmarkEnd w:id="292"/>
      <w:r>
        <w:rPr>
          <w:rFonts w:ascii="IRNazanin" w:hAnsi="IRNazanin" w:eastAsia="IRNazanin"/>
          <w:color w:val="111111"/>
          <w:sz w:val="28"/>
          <w:sz w:val="28"/>
          <w:szCs w:val="28"/>
          <w:rtl w:val="true"/>
          <w:lang w:bidi="fa-IR"/>
        </w:rPr>
        <w:t xml:space="preserve">عرفنا فی ما سبق أنّ الأدلّة علی قسمین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المحرزة ، والاصول العملیة ، ومن هنا یقع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التعارض بین دلیلین من الأدلّة المحرزة ، واخری فی التعارض بین أصلین عملیَّین ، وثالثةً فی التعارض بین دلیلٍ محرزٍ وأصلٍ عملی ، فالکلام فی ثلاث نقاطٍ نذکرها فی ما یلی تباعاً إن شاء الله تعالی</w:t>
      </w:r>
      <w:r>
        <w:rPr>
          <w:rFonts w:eastAsia="IRNazanin" w:cs="IRNazanin"/>
          <w:color w:val="111111"/>
          <w:sz w:val="28"/>
          <w:szCs w:val="28"/>
          <w:rtl w:val="true"/>
          <w:lang w:bidi="fa-IR"/>
        </w:rPr>
        <w:t>.</w:t>
      </w:r>
    </w:p>
    <w:p>
      <w:pPr>
        <w:pStyle w:val="Heading4"/>
        <w:numPr>
          <w:ilvl w:val="3"/>
          <w:numId w:val="1"/>
        </w:numPr>
        <w:rPr/>
      </w:pPr>
      <w:bookmarkStart w:id="293" w:name="__RefHeading___Toc508806_1738255347"/>
      <w:bookmarkStart w:id="294" w:name="_Toc96"/>
      <w:bookmarkEnd w:id="293"/>
      <w:r>
        <w:rPr/>
        <w:t>1</w:t>
      </w:r>
      <w:r>
        <w:rPr>
          <w:rtl w:val="true"/>
        </w:rPr>
        <w:t xml:space="preserve"> - </w:t>
      </w:r>
      <w:r>
        <w:rPr>
          <w:rtl w:val="true"/>
        </w:rPr>
        <w:t>التعارض بین الأدلّة المحرزة</w:t>
      </w:r>
      <w:bookmarkEnd w:id="294"/>
    </w:p>
    <w:p>
      <w:pPr>
        <w:pStyle w:val="Heading5"/>
        <w:numPr>
          <w:ilvl w:val="4"/>
          <w:numId w:val="1"/>
        </w:numPr>
        <w:rPr/>
      </w:pPr>
      <w:bookmarkStart w:id="295" w:name="__RefHeading___Toc508808_1738255347"/>
      <w:bookmarkStart w:id="296" w:name="_Toc97"/>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 xml:space="preserve">والتعارض بین دلیلین محرزین معناه التنافی بین مدلولیهما ، وهو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فی نطاق الدلیل الشرعیّ اللفظیّ بین کلامین صادرین من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یحصل بین دلیلٍ شرعیٍّ لفظیٍّ ودلیلٍ 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بین دلیلین عقلیَّین</w:t>
      </w:r>
      <w:r>
        <w:rPr>
          <w:rFonts w:eastAsia="IRNazanin" w:cs="IRNazanin"/>
          <w:color w:val="111111"/>
          <w:sz w:val="28"/>
          <w:szCs w:val="28"/>
          <w:rtl w:val="true"/>
          <w:lang w:bidi="fa-IR"/>
        </w:rPr>
        <w:t>.</w:t>
      </w:r>
    </w:p>
    <w:p>
      <w:pPr>
        <w:pStyle w:val="Heading5"/>
        <w:numPr>
          <w:ilvl w:val="4"/>
          <w:numId w:val="1"/>
        </w:numPr>
        <w:rPr/>
      </w:pPr>
      <w:bookmarkStart w:id="297" w:name="__RefHeading___Toc508810_1738255347"/>
      <w:bookmarkStart w:id="298" w:name="_Toc98"/>
      <w:bookmarkEnd w:id="297"/>
      <w:r>
        <w:rPr>
          <w:rtl w:val="true"/>
        </w:rPr>
        <w:t>حالة التعارض بین دلیلین لفظیَّین</w:t>
      </w:r>
      <w:bookmarkEnd w:id="298"/>
    </w:p>
    <w:p>
      <w:pPr>
        <w:pStyle w:val="BookText"/>
        <w:rPr/>
      </w:pPr>
      <w:r>
        <w:rPr>
          <w:rFonts w:ascii="IRNazanin" w:hAnsi="IRNazanin" w:eastAsia="IRNazanin"/>
          <w:color w:val="111111"/>
          <w:sz w:val="28"/>
          <w:sz w:val="28"/>
          <w:szCs w:val="28"/>
          <w:rtl w:val="true"/>
          <w:lang w:bidi="fa-IR"/>
        </w:rPr>
        <w:t xml:space="preserve">فی حالة التعارض بین دلیلین لفظیّین توجد قواعد ، نستعرض فی ما یلی عدداً منها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المستحیل أن یوجد کلامان للمعصوم یکشف کلّ منهما بصورةٍ قطعیةٍ عن نوعٍ من الحکم یختلف عن الحکم الذی یکشف عنه الکلام الآخر ؛ لأنّ التعارض بین کلامین صریحین من هذا القبیل یؤدّی إلی وقوع المعصوم فی التناقض ، </w:t>
      </w:r>
    </w:p>
    <w:p>
      <w:pPr>
        <w:pStyle w:val="BookText"/>
        <w:rPr/>
      </w:pPr>
      <w:r>
        <w:rPr>
          <w:rFonts w:ascii="IRNazanin" w:hAnsi="IRNazanin" w:eastAsia="IRNazanin"/>
          <w:color w:val="111111"/>
          <w:sz w:val="28"/>
          <w:sz w:val="28"/>
          <w:szCs w:val="28"/>
          <w:rtl w:val="true"/>
          <w:lang w:bidi="fa-IR"/>
        </w:rPr>
        <w:t>وهو مستحیل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أحد الکلامین الصادرین من المعصوم نصّاً صریحاً وقطعیاً ، ویدلّ الآخر بظهوره علی ما ینافی المعنی الصریح لذلک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الشارع فی حدیثٍ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للصائم أن یرتمس فی الماء حال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ترتمس فی الماء وأنت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فالکلام الأوّل دالّ بصراحةٍ علی إباحة الارتماس للصائم ، والکلام الثانی یشتمل علی صیغة نهی ، وهی تدلّ بظهورها علی الحرمة ؛ لأنّ الحرمة هی أقرب المعانی إلی صیغة النهی وإن أمکن استعمالها فی الکراهة مجازاً ، فینشأ التعارض بین صراحة النصّ الأوّل فی الإباحة وظهور النصّ الثانی فی الحرمة ؛ لأنّ الإباحة والحرمة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یجب الأخذ بالکلام الصریح القطعی ؛ لأنّه یؤدّی إلی العلم بالحکم الشرعی ، فنفسّر الکلام الآخر علی ضوئه ونحمل صیغة النهی فیه علی الکراهة ؛ لکی ینسجم مع النصّ الصریح القطعیّ الدالّ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یتّبع الفقیه فی استنباطه قاعدةً عامّة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بدلیل الإباحة والرخصة إذا عارضه دلیل آخر یدلّ علی الحرمة أو الوجوب بصیغة نهیٍ أو أمر ؛ لأنّ الصیغة لیست صریحة ، ودلیل الإباحة والرخصة صریح غالباً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موضوع الحکم الذی یدلّ علیه أحد الکلامین أضیقَ نطاقاً وأخصَّ دائرةً من موضوع الحکم الذی یدلّ علیه الکلام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فی 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فی نصٍّ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بین الوالد وولده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فالحرمة التی یدلّ علیها النصّ الأوّل موضوعها عامّ ؛ لأنّها تمنع بإطلاقها عن التعامل الربویّ مع أیّ شخص ، والإباحة فی النصّ الثانی موضوعها خاصّ ؛ لأنّها تسمح بالربا بین الوالد وولده خاصّة ، وفی هذه الحالة تقدّم النصّ الثانی علی الأوّل ؛ لأ نّه یعتبر بوصفه أخصَّ موضوعاً من الأوّل قرینةً علیه ، بدلیل أنّ المتکلِّم لو </w:t>
      </w:r>
    </w:p>
    <w:p>
      <w:pPr>
        <w:pStyle w:val="BookText"/>
        <w:rPr/>
      </w:pPr>
      <w:r>
        <w:rPr>
          <w:rFonts w:ascii="IRNazanin" w:hAnsi="IRNazanin" w:eastAsia="IRNazanin"/>
          <w:color w:val="111111"/>
          <w:sz w:val="28"/>
          <w:sz w:val="28"/>
          <w:szCs w:val="28"/>
          <w:rtl w:val="true"/>
          <w:lang w:bidi="fa-IR"/>
        </w:rPr>
        <w:t xml:space="preserve">أوصَل کلامه الثانی بکلامه الأوّل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فی التعامل مع أیّ شخصٍ حرام ، ولا بأس به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لأبطل الخاصّ مفعول العامِّ وظهوره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عرفنا سابقاً </w:t>
      </w:r>
      <w:r>
        <w:rPr>
          <w:rStyle w:val="FootnoteAnchor"/>
          <w:rtl w:val="true"/>
        </w:rPr>
        <w:footnoteReference w:id="48"/>
      </w:r>
      <w:r>
        <w:rPr>
          <w:rFonts w:ascii="Amiri" w:hAnsi="Amiri" w:eastAsia="Amiri" w:cs="Amiri"/>
          <w:color w:val="111111"/>
          <w:sz w:val="28"/>
          <w:sz w:val="28"/>
          <w:szCs w:val="28"/>
          <w:rtl w:val="true"/>
          <w:lang w:bidi="ar-SA"/>
        </w:rPr>
        <w:t>أنّ القرینة تُقدَّم علی ذی القرینة ، سواء کانت متّصلةً أو منفصلة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ویسمّی تقدیم الخاصِّ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 إذا کان عمومه ثابتاً بأداةٍ من أدوات العموم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إذا کان عمومه ثابتاً بالإطلاق وعدم ذکر القید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ویسمّی الخاصّ فی الحالة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الحالة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هذا الأساس یتَّبع الفقیه فی الاستنباط قاعدةً عامة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بالمخصِّص والمقیِّد وتقدیمهما علی العامّ والمطلق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العام والمطلق یظلّ حجّةً فی غیر ما خرج بالتخصیص والتقیید ، إذ لا یجوز رفع الید عن الحجّة إلاّبمقدار ما تقوم الحجّة الأقوی علی الخلاف ، لا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أحد الکلامین دالاّ علی ثبوت حکمٍ لموضوع ، والکلام الآخر ینفی ذلک فی حالةٍ معیّنةٍ بنفی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فی 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فی کلامٍ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 لیس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فالکلام الأوّل یوجب الحجّ علی موضوعٍ محدّدٍ وهو المستطیع ، والکلام الثانی ینفی صفة المستطیع عن المَدِین ، فیؤخذ بالثانی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 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القواعد التی اقتضت تقدیم أحد الدلیلین علی الآخر فی هذه الفقرة والفقرتین السابقتین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الجمع العرفی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یوجد فی النصّین المتعارضین کلام صریح قطعی ، ولا ما یصلح أن </w:t>
      </w:r>
      <w:bookmarkStart w:id="299" w:name="pg14075_144539"/>
    </w:p>
    <w:p>
      <w:pPr>
        <w:pStyle w:val="BookText"/>
        <w:rPr/>
      </w:pPr>
      <w:bookmarkEnd w:id="299"/>
      <w:r>
        <w:rPr>
          <w:rFonts w:ascii="IRNazanin" w:hAnsi="IRNazanin" w:eastAsia="IRNazanin"/>
          <w:color w:val="111111"/>
          <w:sz w:val="28"/>
          <w:sz w:val="28"/>
          <w:szCs w:val="28"/>
          <w:rtl w:val="true"/>
          <w:lang w:bidi="fa-IR"/>
        </w:rPr>
        <w:t>یکون قرینةً علی تفسیر الآخر ومخصِّصاً له أو مقیِّداً أو حاکماً علیه فلا یجوز العمل بأیِّ واحدٍ من الدلیلین المتعارضین ؛ لأنّهما علی مستویً واحدٍ ولا ترجیح لأحدهما علی الآخر</w:t>
      </w:r>
      <w:r>
        <w:rPr>
          <w:rFonts w:eastAsia="IRNazanin" w:cs="IRNazanin"/>
          <w:color w:val="111111"/>
          <w:sz w:val="28"/>
          <w:szCs w:val="28"/>
          <w:rtl w:val="true"/>
          <w:lang w:bidi="fa-IR"/>
        </w:rPr>
        <w:t>.</w:t>
      </w:r>
    </w:p>
    <w:p>
      <w:pPr>
        <w:pStyle w:val="Heading5"/>
        <w:numPr>
          <w:ilvl w:val="4"/>
          <w:numId w:val="1"/>
        </w:numPr>
        <w:rPr/>
      </w:pPr>
      <w:bookmarkStart w:id="300" w:name="__RefHeading___Toc508812_1738255347"/>
      <w:bookmarkStart w:id="301" w:name="_Toc99"/>
      <w:bookmarkEnd w:id="300"/>
      <w:r>
        <w:rPr>
          <w:rtl w:val="true"/>
        </w:rPr>
        <w:t>حالات التعارض الاخری</w:t>
      </w:r>
      <w:bookmarkEnd w:id="301"/>
    </w:p>
    <w:p>
      <w:pPr>
        <w:pStyle w:val="BookText"/>
        <w:rPr/>
      </w:pPr>
      <w:r>
        <w:rPr>
          <w:rFonts w:ascii="IRNazanin" w:hAnsi="IRNazanin" w:eastAsia="IRNazanin"/>
          <w:color w:val="111111"/>
          <w:sz w:val="28"/>
          <w:sz w:val="28"/>
          <w:szCs w:val="28"/>
          <w:rtl w:val="true"/>
          <w:lang w:bidi="fa-IR"/>
        </w:rPr>
        <w:t xml:space="preserve">وحالات التعارض بین دلیلٍ لفظیٍّ ودلیلٍ من نوعٍ آخر ، أو دلیلین من غیر الأدلّة اللفظیة لها قواعد أیضاً نشیر إلیها ضمن النقاط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اللفظیّ القطعیّ لا یمکن أن یعارضه دلیل عقلیّ قطعی ؛ لأنّ دلیلاً من هذا القبیل إذا عارض نصّاً صریحاً من المعصوم علیه‌السلام أدّی ذلک إلی تکذیب المعصوم علیه‌السلام وتخطئته ،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یقول علماء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المستحیل أن یوجَد أیّ تعارضٍ بین النصوص الشرعیة الصریحة وأدلّة العقل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لا تفرضها العقیدة فحسب ، بل یبرهن علیها الاستقراء فی النصوص الشرعیة ودراسة المعطیات القطعیة للکتاب والسنّة ، فإنّها جمیعاً تتّفق مع العقل ، ولا یوجد فیها ما یتعارض مع أحکام العقل القطعیة إطلاقاً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تعارض بین دلیلٍ لفظیٍّ ودلیلٍ آخر لیس لفظیاً ولا قطعیاً قدّمنا الدلیل اللفظی ؛ لأنّه حجّة ، وأمّا الدلیل غیر اللفظیّ فهو لیس حجّةً ما دام لا یؤدّی إلی القطع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عارض الدلیل اللفظیّ غیر الصریح دلیلاً عقلیاً قطعیاً قُدِّم العقلیّ علی اللفظی ؛ لأنّ العقلیّ یؤدّی إلی العلم بالحکم الشرعی ، وأمّا الدلیل اللفظیّ غیر الصریح فهو إنّما یدلّ بالظهور ، والظهور إنّما یکون حجّةً بحکم الشارع إذا لم نعلم ببطلانه ، ونحن هنا علی ضوء الدلیل العقلیّ القطعیّ نعلم بأنّ الدلیل اللفظیّ لم یَرِدِ </w:t>
      </w:r>
      <w:bookmarkStart w:id="302" w:name="pg14075_144540"/>
    </w:p>
    <w:p>
      <w:pPr>
        <w:pStyle w:val="BookText"/>
        <w:rPr/>
      </w:pPr>
      <w:bookmarkEnd w:id="302"/>
      <w:r>
        <w:rPr>
          <w:rFonts w:ascii="IRNazanin" w:hAnsi="IRNazanin" w:eastAsia="IRNazanin"/>
          <w:color w:val="111111"/>
          <w:sz w:val="28"/>
          <w:sz w:val="28"/>
          <w:szCs w:val="28"/>
          <w:rtl w:val="true"/>
          <w:lang w:bidi="fa-IR"/>
        </w:rPr>
        <w:t>المعصوم علیه‌السلام منه معناه الظاهر الذی یتعارض مع دلیل العقل ، فلا مجال للأخذ بالظهور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دلیلان من غیر الأدلّة اللفظیة فمن المستحیل أن یکون کلاهما قطعیاً ؛ لأنّ ذلک یؤدّی إلی التناقض ، وإنّما قد یکون أحدهما قطعیاً دون الآخر ، فیؤخذ بالدلیل القطعی</w:t>
      </w:r>
      <w:r>
        <w:rPr>
          <w:rFonts w:eastAsia="IRNazanin" w:cs="IRNazanin"/>
          <w:color w:val="111111"/>
          <w:sz w:val="28"/>
          <w:szCs w:val="28"/>
          <w:rtl w:val="true"/>
          <w:lang w:bidi="fa-IR"/>
        </w:rPr>
        <w:t>.</w:t>
      </w:r>
    </w:p>
    <w:p>
      <w:pPr>
        <w:pStyle w:val="Heading4"/>
        <w:numPr>
          <w:ilvl w:val="3"/>
          <w:numId w:val="1"/>
        </w:numPr>
        <w:rPr/>
      </w:pPr>
      <w:bookmarkStart w:id="303" w:name="__RefHeading___Toc508814_1738255347"/>
      <w:bookmarkStart w:id="304" w:name="_Toc100"/>
      <w:bookmarkEnd w:id="303"/>
      <w:r>
        <w:rPr/>
        <w:t>2</w:t>
      </w:r>
      <w:r>
        <w:rPr>
          <w:rtl w:val="true"/>
        </w:rPr>
        <w:t xml:space="preserve"> - </w:t>
      </w:r>
      <w:r>
        <w:rPr>
          <w:rtl w:val="true"/>
        </w:rPr>
        <w:t>التعارض بین الاصول</w:t>
      </w:r>
      <w:bookmarkEnd w:id="304"/>
    </w:p>
    <w:p>
      <w:pPr>
        <w:pStyle w:val="BookText"/>
        <w:rPr/>
      </w:pPr>
      <w:r>
        <w:rPr>
          <w:rFonts w:ascii="IRNazanin" w:hAnsi="IRNazanin" w:eastAsia="IRNazanin"/>
          <w:color w:val="111111"/>
          <w:sz w:val="28"/>
          <w:sz w:val="28"/>
          <w:szCs w:val="28"/>
          <w:rtl w:val="true"/>
          <w:lang w:bidi="fa-IR"/>
        </w:rPr>
        <w:t xml:space="preserve">وأمّا التعارض بین الاصول فالحالة البارزة له هی التعارض بین البراءة والاستصحاب ، 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بوجوب الصوم عند طلوع الفجر من نهار شهر رمضان حتّی غروب الشمس ، ونشکّ فی بقاء الوجوب بعد الغروب إلی غیاب الحمرة ، ففی هذه الحالة تتوفّر أرکان الاستصحاب من الیقین بالوجوب أوّلاً ، والشک فی بقائه ثانیاً ، وبحکم الاستصحاب یتعیّن الالتزام عملیاً ببقاء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نلاحظ أنّ الحالة تندرج ضمن نطاق أصل البراءة ؛ لأنّها شبهة بدویة فی التکلیف غیر مقترنةٍ بالعلم الإجمالی ، وأصل البراءة ینفی وجوب الاحتیاط ویرفع عنّا الوجوب عملیاً ، فبأیّ الأصلین نأخذ؟</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نأخذ بالاستصحاب ونقدِّمه علی أصل البراءة ، وهذا متّفق علیه بین الاصولیِّین ، والرأی السائد بینهم لتبریر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حاکم علی دلیل أصل البراءة ؛ لأنّ دلیل أصل البراءة هو النصّ النبویّ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وموضوعه کلّ ما لا یعلم ، ودلیل الاستصحاب هو النصّ </w:t>
      </w:r>
      <w:bookmarkStart w:id="305" w:name="pg14075_144541"/>
    </w:p>
    <w:p>
      <w:pPr>
        <w:pStyle w:val="BookText"/>
        <w:rPr/>
      </w:pPr>
      <w:bookmarkEnd w:id="305"/>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وبالتدقیق فی النصّین نلاحظ أنّ دلیل الاستصحاب یلغی الشکّ ، ویفترض کأنّ الیقین باقٍ علی حاله ، فیرفع بذلک موضوع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مثال وجوب الصوم لا یمکن أن نستند إلی أصل البراءة عن وجوب الصوم بعد غروب الشمس بوصفه وجوباً مشکوکاً ؛ لأنّ الاستصحاب یفترض هذا الوجوب معلوماً ، فیکون دلیل الاستصحاب حاکماً علی دلیل البراءة ؛ لأنّه ینفی موضوع البراءة</w:t>
      </w:r>
      <w:r>
        <w:rPr>
          <w:rFonts w:eastAsia="IRNazanin" w:cs="IRNazanin"/>
          <w:color w:val="111111"/>
          <w:sz w:val="28"/>
          <w:szCs w:val="28"/>
          <w:rtl w:val="true"/>
          <w:lang w:bidi="fa-IR"/>
        </w:rPr>
        <w:t>.</w:t>
      </w:r>
    </w:p>
    <w:p>
      <w:pPr>
        <w:pStyle w:val="Heading4"/>
        <w:numPr>
          <w:ilvl w:val="3"/>
          <w:numId w:val="1"/>
        </w:numPr>
        <w:rPr/>
      </w:pPr>
      <w:bookmarkStart w:id="306" w:name="__RefHeading___Toc508816_1738255347"/>
      <w:bookmarkStart w:id="307" w:name="_Toc101"/>
      <w:bookmarkEnd w:id="306"/>
      <w:r>
        <w:rPr/>
        <w:t>3</w:t>
      </w:r>
      <w:r>
        <w:rPr>
          <w:rtl w:val="true"/>
        </w:rPr>
        <w:t xml:space="preserve"> - </w:t>
      </w:r>
      <w:r>
        <w:rPr>
          <w:rtl w:val="true"/>
        </w:rPr>
        <w:t>التعارض بین النوعین</w:t>
      </w:r>
      <w:bookmarkEnd w:id="307"/>
    </w:p>
    <w:p>
      <w:pPr>
        <w:pStyle w:val="BookText"/>
        <w:rPr/>
      </w:pPr>
      <w:r>
        <w:rPr>
          <w:rFonts w:ascii="IRNazanin" w:hAnsi="IRNazanin" w:eastAsia="IRNazanin"/>
          <w:color w:val="111111"/>
          <w:sz w:val="28"/>
          <w:sz w:val="28"/>
          <w:szCs w:val="28"/>
          <w:rtl w:val="true"/>
          <w:lang w:bidi="fa-IR"/>
        </w:rPr>
        <w:t>ونصل الآن إلی فرضیة التعارض بین دلیلٍ محرزٍ وأصلٍ عملی کأصل البراءة أو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الدلیل إذا کان قطعیاً فالتعارض غیر متصوّرٍ عقلاً بینه وبین الأصل ؛ لأنّ الدلیل القطعیّ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العلم بالحکم الشرعی ، ومع العلم بالحکم الشرعیّ لا مجال للاستناد إلی أیّ قاعدةٍ عملیة ؛ لأنّ القواعد العملیة إنّما تجری فی ظرف الشکّ ، إذ قد عرفنا سابقاً أنّ أصل البراءة موضوعه کلّ ما لا یعلم ، والاستصحاب موضوعه أن نشکَّ فی بقاء ما کنّا علی یقینٍ منه ، فإذا کان الدلیل قطعیّاً لم یبقَ موضوع هذه الاصول والقواعد العملیة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یمکن افتراض لونٍ من التعارض بین الدلیل والأصل إذا لم یکن الدلیل قطعیاً ، کما إذا دلّ خبر الثقة علی الوجوب أو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الثقة کما مرَّ بنا </w:t>
      </w:r>
      <w:r>
        <w:rPr>
          <w:rStyle w:val="FootnoteAnchor"/>
          <w:rtl w:val="true"/>
        </w:rPr>
        <w:footnoteReference w:id="51"/>
      </w:r>
      <w:r>
        <w:rPr>
          <w:rFonts w:ascii="IRNazanin" w:hAnsi="IRNazanin" w:eastAsia="IRNazanin"/>
          <w:color w:val="111111"/>
          <w:sz w:val="28"/>
          <w:sz w:val="28"/>
          <w:szCs w:val="28"/>
          <w:rtl w:val="true"/>
          <w:lang w:bidi="fa-IR"/>
        </w:rPr>
        <w:t xml:space="preserve">دلیل </w:t>
      </w:r>
    </w:p>
    <w:p>
      <w:pPr>
        <w:pStyle w:val="BookText"/>
        <w:rPr/>
      </w:pPr>
      <w:r>
        <w:rPr>
          <w:rFonts w:ascii="Amiri" w:hAnsi="Amiri" w:eastAsia="Amiri" w:cs="Amiri"/>
          <w:color w:val="111111"/>
          <w:sz w:val="28"/>
          <w:sz w:val="28"/>
          <w:szCs w:val="28"/>
          <w:rtl w:val="true"/>
          <w:lang w:bidi="ar-SA"/>
        </w:rPr>
        <w:t xml:space="preserve">ظنّیّ حکم الشارع بوجوب اتّباعه واتّخاذه دلیلاً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أصل البراءة من ناحیةٍ اخری یوسِّع ویرخِّص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الدالّ علی حرمة الارتماس علی الصائم ، فإنّ هذه الحرمة إذا لاحظناها من ناحیة الخبر فهی حکم شرعیّ قد قام علیه الدلیل الظنّی ، وإذا لاحظناها بوصفها تکلیفاً غیر معلومٍ نجد أنّ دلیل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یشملها ، فهل یحدّد الفقیه فی هذه الحالة موقفه علی أساس الدلیل الظنّیّ المعتبر ، أو علی أساس الأصل العملی؟</w:t>
      </w:r>
    </w:p>
    <w:p>
      <w:pPr>
        <w:pStyle w:val="BookText"/>
        <w:rPr/>
      </w:pPr>
      <w:r>
        <w:rPr>
          <w:rFonts w:ascii="IRNazanin" w:hAnsi="IRNazanin" w:eastAsia="IRNazanin"/>
          <w:color w:val="111111"/>
          <w:sz w:val="28"/>
          <w:sz w:val="28"/>
          <w:szCs w:val="28"/>
          <w:rtl w:val="true"/>
          <w:lang w:bidi="fa-IR"/>
        </w:rPr>
        <w:t xml:space="preserve">ویسمّی الاصولیون الدلیل الظنّیّ بالأمارة ، ویطلقون علی هذه الحالة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بین الأمارات والاصول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هذه الحالة لدی علماء الاصول فی تقدیم خبر الثقة وما إلیه من الأدلّة الظنّیة المعتبرة علی أصل البراءة ونحوه من الاصول العملیة ؛ لأنّ الدلیل الظنّیّ الذی حکم الشارع بحجّیته یؤدّی بحکم الشارع هذا دور الدلیل القطعی ، فکما أنّ الدلیل القطعیّ ینفی موضوع الأصل ولا یبقی مجالاً لأیّ قاعدةٍ عملیة فکذلک الدلیل الظنّی الذی أسند إلیه الشارع نفس الدور وأمرنا باتّخاذه دلیلاً ، ولهذا یقال 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الأمارة حاکمة علی الاصول العملیة</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4075_144544"/>
      <w:bookmarkStart w:id="309" w:name="pg14075_144544"/>
      <w:bookmarkEnd w:id="309"/>
    </w:p>
    <w:p>
      <w:pPr>
        <w:pStyle w:val="BookText"/>
        <w:rPr/>
      </w:pPr>
      <w:bookmarkStart w:id="310" w:name="pg14075_144544"/>
      <w:bookmarkEnd w:id="310"/>
      <w:r>
        <w:rPr>
          <w:rFonts w:ascii="IRNazanin" w:hAnsi="IRNazanin" w:eastAsia="IRNazanin"/>
          <w:color w:val="111111"/>
          <w:sz w:val="28"/>
          <w:sz w:val="28"/>
          <w:szCs w:val="28"/>
          <w:rtl w:val="true"/>
          <w:lang w:bidi="fa-IR"/>
        </w:rPr>
        <w:t>دروس فی علم الاصول</w:t>
      </w:r>
    </w:p>
    <w:p>
      <w:pPr>
        <w:pStyle w:val="Heading2"/>
        <w:numPr>
          <w:ilvl w:val="1"/>
          <w:numId w:val="1"/>
        </w:numPr>
        <w:rPr/>
      </w:pPr>
      <w:bookmarkStart w:id="311" w:name="__RefHeading___Toc508818_1738255347"/>
      <w:bookmarkStart w:id="312" w:name="_Toc102"/>
      <w:bookmarkEnd w:id="311"/>
      <w:r>
        <w:rPr>
          <w:rtl w:val="true"/>
        </w:rPr>
        <w:t>الحلقة الثانیة</w:t>
      </w:r>
      <w:bookmarkEnd w:id="312"/>
    </w:p>
    <w:p>
      <w:pPr>
        <w:pStyle w:val="Heading3"/>
        <w:numPr>
          <w:ilvl w:val="2"/>
          <w:numId w:val="1"/>
        </w:numPr>
        <w:rPr/>
      </w:pPr>
      <w:bookmarkStart w:id="313" w:name="__RefHeading___Toc508820_1738255347"/>
      <w:bookmarkStart w:id="314" w:name="_Toc103"/>
      <w:bookmarkEnd w:id="313"/>
      <w:r>
        <w:rPr>
          <w:rtl w:val="true"/>
        </w:rPr>
        <w:t>اشارة</w:t>
      </w:r>
      <w:bookmarkEnd w:id="3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دراسیّ فی علم اصول الفقه اعدّ لطلبة المرحلة الثانیة من دراسة هذا العلم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4075_144546"/>
      <w:bookmarkStart w:id="316" w:name="pg14075_144546"/>
      <w:bookmarkEnd w:id="316"/>
    </w:p>
    <w:p>
      <w:pPr>
        <w:pStyle w:val="Heading3"/>
        <w:numPr>
          <w:ilvl w:val="2"/>
          <w:numId w:val="1"/>
        </w:numPr>
        <w:rPr/>
      </w:pPr>
      <w:bookmarkStart w:id="317" w:name="pg14075_144546"/>
      <w:bookmarkStart w:id="318" w:name="__RefHeading___Toc508822_1738255347"/>
      <w:bookmarkStart w:id="319" w:name="_Toc104"/>
      <w:bookmarkEnd w:id="317"/>
      <w:bookmarkEnd w:id="318"/>
      <w:r>
        <w:rPr>
          <w:rtl w:val="true"/>
        </w:rPr>
        <w:t>التمهید</w:t>
      </w:r>
      <w:bookmarkEnd w:id="319"/>
    </w:p>
    <w:p>
      <w:pPr>
        <w:pStyle w:val="Heading4"/>
        <w:numPr>
          <w:ilvl w:val="3"/>
          <w:numId w:val="1"/>
        </w:numPr>
        <w:rPr/>
      </w:pPr>
      <w:bookmarkStart w:id="320" w:name="__RefHeading___Toc508824_1738255347"/>
      <w:bookmarkStart w:id="321" w:name="_Toc105"/>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الاصول وفائدته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تنویع البحوث الاصولیة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حجّیّة القطع وأحکامه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4075_144548"/>
      <w:bookmarkStart w:id="323" w:name="pg14075_144548"/>
      <w:bookmarkEnd w:id="323"/>
    </w:p>
    <w:p>
      <w:pPr>
        <w:pStyle w:val="BookText"/>
        <w:rPr/>
      </w:pPr>
      <w:bookmarkStart w:id="324" w:name="pg14075_144548"/>
      <w:bookmarkEnd w:id="324"/>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25" w:name="__RefHeading___Toc508826_1738255347"/>
      <w:bookmarkStart w:id="326" w:name="_Toc106"/>
      <w:bookmarkEnd w:id="325"/>
      <w:r>
        <w:rPr>
          <w:rtl w:val="true"/>
        </w:rPr>
        <w:t>تعریف علم الاصول</w:t>
      </w:r>
      <w:bookmarkEnd w:id="326"/>
    </w:p>
    <w:p>
      <w:pPr>
        <w:pStyle w:val="BookText"/>
        <w:rPr/>
      </w:pPr>
      <w:r>
        <w:rPr>
          <w:rFonts w:ascii="IRNazanin" w:hAnsi="IRNazanin" w:eastAsia="IRNazanin"/>
          <w:color w:val="111111"/>
          <w:sz w:val="28"/>
          <w:sz w:val="28"/>
          <w:szCs w:val="28"/>
          <w:rtl w:val="true"/>
          <w:lang w:bidi="fa-IR"/>
        </w:rPr>
        <w:t xml:space="preserve">یُعرَّف علم الاصول عادةً بأ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لاستنباط الحکم الشرعی</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وتوضیح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الفقیه فی استنباطه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للحکم بوجوب ردّ التحیّة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یستعین بظهور صیغة الأمر فی الوجوب ، وحجّیّة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قاعدتان ممهّدتان لاستنباط الحکم الشرعیّ بوجوب ردّ التحیّة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یلاحظ علی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القاعدة بوصف التمهید یعنی أنّها تکتسب اصولیّتها من تمهیدها وتدوینها لغرض الاستنباط ، مع أنّنا نطلب من التعریف إبداء الضابط الموضوعیّ الذی بموجبه یدوّن علماء الاصول فی علمهم هذه المسألة دون تلک ، ولهذا قد تحذف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العلم بالقواعد التی تقع فی طریق الاستنباط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یبقی هناک اعتراض أهمّ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یحقّق الضابط المطلوب ؛ لأنّ مسائل اللغة کظهور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طریق الاستنباط أیضاً ، ولهذا کان الأولی تعریف علم الاصول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بالعناصر المشترکة فی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ونقصد بالاشتراک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العنصر للدخول فی استنباط حکم أیِّ موردٍ من الموارد التی یتصدّی الفقیه لاستنباط حکمها ، مثل ظهور صیغة الأمر فی الوجوب فإنّه قابل لِأنْ یُستنبَط منه وجوب الصلاة أو وجوب الصوم ، وهکذا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تخرج أمثال مسألة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الاصول ؛ لأنّها عنصر خاصّ لا یصلح للدخول فی استنباط حکمٍ غیر متعلّقٍ بمادة الصعید</w:t>
      </w:r>
      <w:r>
        <w:rPr>
          <w:rFonts w:eastAsia="IRNazanin" w:cs="IRNazanin"/>
          <w:color w:val="111111"/>
          <w:sz w:val="28"/>
          <w:szCs w:val="28"/>
          <w:rtl w:val="true"/>
          <w:lang w:bidi="fa-IR"/>
        </w:rPr>
        <w:t xml:space="preserve">. </w:t>
      </w:r>
      <w:bookmarkStart w:id="327" w:name="pg14075_144550"/>
    </w:p>
    <w:p>
      <w:pPr>
        <w:pStyle w:val="Heading4"/>
        <w:numPr>
          <w:ilvl w:val="3"/>
          <w:numId w:val="1"/>
        </w:numPr>
        <w:rPr/>
      </w:pPr>
      <w:bookmarkStart w:id="328" w:name="__RefHeading___Toc508828_1738255347"/>
      <w:bookmarkStart w:id="329" w:name="_Toc107"/>
      <w:bookmarkEnd w:id="327"/>
      <w:bookmarkEnd w:id="328"/>
      <w:r>
        <w:rPr>
          <w:rtl w:val="true"/>
        </w:rPr>
        <w:t>موضوع علمِ الاصول و فائدته</w:t>
      </w:r>
      <w:bookmarkEnd w:id="329"/>
    </w:p>
    <w:p>
      <w:pPr>
        <w:pStyle w:val="Heading5"/>
        <w:numPr>
          <w:ilvl w:val="4"/>
          <w:numId w:val="1"/>
        </w:numPr>
        <w:rPr/>
      </w:pPr>
      <w:bookmarkStart w:id="330" w:name="__RefHeading___Toc508830_1738255347"/>
      <w:bookmarkStart w:id="331" w:name="_Toc108"/>
      <w:bookmarkEnd w:id="330"/>
      <w:r>
        <w:rPr>
          <w:rtl w:val="true"/>
        </w:rPr>
        <w:t>موضوع علم الاصول</w:t>
      </w:r>
      <w:bookmarkEnd w:id="331"/>
    </w:p>
    <w:p>
      <w:pPr>
        <w:pStyle w:val="BookText"/>
        <w:rPr/>
      </w:pPr>
      <w:r>
        <w:rPr>
          <w:rFonts w:ascii="IRNazanin" w:hAnsi="IRNazanin" w:eastAsia="IRNazanin"/>
          <w:color w:val="111111"/>
          <w:sz w:val="28"/>
          <w:sz w:val="28"/>
          <w:szCs w:val="28"/>
          <w:rtl w:val="true"/>
          <w:lang w:bidi="fa-IR"/>
        </w:rPr>
        <w:t>یذکر لکلِّ علمٍ موضوع عادة ، ویراد به ما یکون جامعاً بین موضوعات مسائله ، وینصبّ البحث فی المسائل علی أحوال ذلک الموضوع وشؤونه ، کالکلمة العربیّة بالنسبة إلی علم النحو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حاول علماءُ الاصول تحدید موضوعٍ لعلم الاصول ، فذکر المتقدِّمون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موضوعه هو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والإجماع والعقل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الأدلّة الأربعة لیست عنواناً جامعاً بین موضوعات مسائله جمیعاً ، فمسائل الاستلزامات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الحکم ، إذ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بالوجوب علی شیءٍ هل یستلزم تحریم ضدّه ، أوْ لا؟ ومسائل حجّیة الأمارات الظنّیّة کثیراً ما یکون موضوعها الذی یبحث عن حجّیّته شیئاً خارجاً عن الأدلّة الأربعة ، کالشهرة ، وخبر الواحد ، ومسائل الاصول العملیّة موضوعها الشکّ فی التکلیف علی أنحائه ، وهو أجنبیّ عن الأدلّة الأربعة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ذکر جملة من الاصولیّین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لیس له موضوع واحد ، ولیس من الضروریّ أن یکون للعلم موضوع واحد جامع بین موضوعات مسائله</w:t>
      </w:r>
      <w:r>
        <w:rPr>
          <w:rFonts w:eastAsia="IRNazanin" w:cs="IRNazanin"/>
          <w:color w:val="111111"/>
          <w:sz w:val="28"/>
          <w:szCs w:val="28"/>
          <w:rtl w:val="true"/>
          <w:lang w:bidi="fa-IR"/>
        </w:rPr>
        <w:t xml:space="preserve">. </w:t>
      </w:r>
      <w:bookmarkStart w:id="332" w:name="pg14075_144551"/>
    </w:p>
    <w:p>
      <w:pPr>
        <w:pStyle w:val="BookText"/>
        <w:rPr/>
      </w:pPr>
      <w:bookmarkEnd w:id="332"/>
      <w:r>
        <w:rPr>
          <w:rFonts w:ascii="IRNazanin" w:hAnsi="IRNazanin" w:eastAsia="IRNazanin"/>
          <w:color w:val="111111"/>
          <w:sz w:val="28"/>
          <w:sz w:val="28"/>
          <w:szCs w:val="28"/>
          <w:rtl w:val="true"/>
          <w:lang w:bidi="fa-IR"/>
        </w:rPr>
        <w:t xml:space="preserve">غیر أنّ بالإمکان توجیه ما قیل أوّلاً من کون الأدلّة هی الموضوع مع عدم الالتزام بحصرها فی الأدلّة الأربعة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الاصول هو کلّ ما یترقّب أن یکون دلیلاً وعنصراً مشترکاً فی عملیّة استنباط الحکم الشرعیّ والاستدلال علیه ، والبحث فی کلّ مسألةٍ اصولیّةٍ إنّما یتناول شیئاً ممّا یترقّب أن یکون کذلک ، ویتّجه إلی تحقیق دلیلیّته والاستدلال علیها إثباتاً ونفیاً ، فالبحث فی حجّیة الظهور أو خبر الواحد أو الشهرة بحث فی دلیلیّتها ، والبحث فی أنّ الحکم بالوجوب علی شیءٍ هل یستلزم تحریم ضدّه؟ بحث فی دلیلیّة الحکم بوجوب شیءٍ علی حرمة الضدّ ، ومسائل الاصول العملیّة یبحث فیها عن دلیلیّة الشکّ وعدم البیان علی المعذّریّة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أنّ موضوع علم الاصول هو الأدلّة المشترکة فی الاستدلال الفقهیّ ، والبحث الاصولیّ یدور دائماً حول دلیلیّتها</w:t>
      </w:r>
      <w:r>
        <w:rPr>
          <w:rFonts w:eastAsia="IRNazanin" w:cs="IRNazanin"/>
          <w:color w:val="111111"/>
          <w:sz w:val="28"/>
          <w:szCs w:val="28"/>
          <w:rtl w:val="true"/>
          <w:lang w:bidi="fa-IR"/>
        </w:rPr>
        <w:t>.</w:t>
      </w:r>
    </w:p>
    <w:p>
      <w:pPr>
        <w:pStyle w:val="Heading5"/>
        <w:numPr>
          <w:ilvl w:val="4"/>
          <w:numId w:val="1"/>
        </w:numPr>
        <w:rPr/>
      </w:pPr>
      <w:bookmarkStart w:id="333" w:name="__RefHeading___Toc508832_1738255347"/>
      <w:bookmarkStart w:id="334" w:name="_Toc109"/>
      <w:bookmarkEnd w:id="333"/>
      <w:r>
        <w:rPr>
          <w:rtl w:val="true"/>
        </w:rPr>
        <w:t>فائدة علم الاصول</w:t>
      </w:r>
      <w:bookmarkEnd w:id="334"/>
    </w:p>
    <w:p>
      <w:pPr>
        <w:pStyle w:val="BookText"/>
        <w:rPr/>
      </w:pPr>
      <w:r>
        <w:rPr>
          <w:rFonts w:ascii="Amiri" w:hAnsi="Amiri" w:eastAsia="Amiri" w:cs="Amiri"/>
          <w:color w:val="111111"/>
          <w:sz w:val="28"/>
          <w:sz w:val="28"/>
          <w:szCs w:val="28"/>
          <w:rtl w:val="true"/>
          <w:lang w:bidi="ar-SA"/>
        </w:rPr>
        <w:t xml:space="preserve">اتّضح ممّا سبق أنّ لعلم الاصول فائدةً کبیرةً للاستدلال الفقهیّ ؛ وذلک أنّ الفقیه فی کلّ مسألةٍ فقهیّةٍ یعتمد علی نمطین من المقدّمات فی استدلاله الفقهیّ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خاصّة بتلک المسألة ، من قبیل الروایة التی وردت فی حکمها ، وظهورها فی إثبات الحکم المقصود ، وعدم وجود معارضٍ لها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مشترکة تدخل فی الاستدلال علی حکم تلک المسألة ، وفی الاستدلال علی حکم مسائل اخری کثیرةٍ فی مختلف أبواب الفقه ،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الواحد الثقة حجّة ، وأنّ ظهور الکلام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والنمط الأوّل من المقدّمات یستوعبه الفقیه بحثاً فی نفس تلک المسألة ؛ لأنّ ذلک النمط من المقدّمات مرتبط بها خاصّة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النمط الثانی فهو بحکم عدم اختصاصه بمسألةٍ دون اخری انیط ببحثٍ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خارج نطاق البحث الفقهی فی هذه المسألة وتلک ، وهذا البحث الآخر هو الذی یعبّر عنه علم الاصول ، وبقدر ما اتّسع الالتفات تدریجاً من خلال البحث الفقهیّ إلی العناصر المشترکة اتّسع علم الاصول وازداد أهمیّةً ، وبذلک صحّ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دور علم الاصول بالنسبة إلی الاستدلال الفقهیّ یشابه دور علم المنطق بالنسبة إلی الاستدلال بوجهٍ عامّ ، حیث إنّ علم المنطق یزوّد الاستدلال بوجهٍ عامٍّ بالعناصر المشترکة التی لا تختصّ ببابٍ من أبواب التفکیر دون باب ، وعلم الاصول یزوّد الاستدلال الفقهیّ خاصّةً بالعناصر المشترکة التی لا تختصّ ببابٍ من أبواب الفقه دون باب</w:t>
      </w:r>
      <w:r>
        <w:rPr>
          <w:rFonts w:eastAsia="IRNazanin" w:cs="IRNazanin"/>
          <w:color w:val="111111"/>
          <w:sz w:val="28"/>
          <w:szCs w:val="28"/>
          <w:rtl w:val="true"/>
          <w:lang w:bidi="fa-IR"/>
        </w:rPr>
        <w:t xml:space="preserve">. </w:t>
      </w:r>
      <w:bookmarkStart w:id="335" w:name="pg14075_144553"/>
    </w:p>
    <w:p>
      <w:pPr>
        <w:pStyle w:val="Heading4"/>
        <w:numPr>
          <w:ilvl w:val="3"/>
          <w:numId w:val="1"/>
        </w:numPr>
        <w:rPr/>
      </w:pPr>
      <w:bookmarkStart w:id="336" w:name="__RefHeading___Toc508834_1738255347"/>
      <w:bookmarkStart w:id="337" w:name="_Toc110"/>
      <w:bookmarkEnd w:id="335"/>
      <w:bookmarkEnd w:id="336"/>
      <w:r>
        <w:rPr>
          <w:rtl w:val="true"/>
        </w:rPr>
        <w:t>الحکم الشرعیّ و تقسیمه</w:t>
      </w:r>
      <w:bookmarkEnd w:id="337"/>
    </w:p>
    <w:p>
      <w:pPr>
        <w:pStyle w:val="Heading5"/>
        <w:numPr>
          <w:ilvl w:val="4"/>
          <w:numId w:val="1"/>
        </w:numPr>
        <w:rPr/>
      </w:pPr>
      <w:bookmarkStart w:id="338" w:name="__RefHeading___Toc508836_1738255347"/>
      <w:bookmarkStart w:id="339" w:name="_Toc111"/>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التشریع الصادر من الله تعالی لتنظیم حیاة الإنسان وتوجیهه ، وهو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التکلیفیّة التی تتعلّق بأفعال الإنسان ولها توجیه عملیّ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الوضعیّة التی لیس لها توجیه عملیّ مباشر ، وکثیراً ما تقع موضوعاً لحکمٍ تکلیفی ، کالزوجیّة التی تقع موضوعاً لوجوب النفقة مثلاً</w:t>
      </w:r>
      <w:r>
        <w:rPr>
          <w:rFonts w:eastAsia="IRNazanin" w:cs="IRNazanin"/>
          <w:color w:val="111111"/>
          <w:sz w:val="28"/>
          <w:szCs w:val="28"/>
          <w:rtl w:val="true"/>
          <w:lang w:bidi="fa-IR"/>
        </w:rPr>
        <w:t>.</w:t>
      </w:r>
    </w:p>
    <w:p>
      <w:pPr>
        <w:pStyle w:val="Heading5"/>
        <w:numPr>
          <w:ilvl w:val="4"/>
          <w:numId w:val="1"/>
        </w:numPr>
        <w:rPr/>
      </w:pPr>
      <w:bookmarkStart w:id="340" w:name="__RefHeading___Toc508838_1738255347"/>
      <w:bookmarkStart w:id="341" w:name="_Toc112"/>
      <w:bookmarkEnd w:id="340"/>
      <w:r>
        <w:rPr>
          <w:rtl w:val="true"/>
        </w:rPr>
        <w:t>مبادئ الحکم التکلیفی</w:t>
      </w:r>
      <w:bookmarkEnd w:id="341"/>
    </w:p>
    <w:p>
      <w:pPr>
        <w:pStyle w:val="BookText"/>
        <w:rPr/>
      </w:pPr>
      <w:r>
        <w:rPr>
          <w:rFonts w:ascii="IRNazanin" w:hAnsi="IRNazanin" w:eastAsia="IRNazanin"/>
          <w:color w:val="111111"/>
          <w:sz w:val="28"/>
          <w:sz w:val="28"/>
          <w:szCs w:val="28"/>
          <w:rtl w:val="true"/>
          <w:lang w:bidi="fa-IR"/>
        </w:rPr>
        <w:t xml:space="preserve">ونحن إذا حلّلنا عملیّة الحکم التکلیفیّ کالوجوب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یمارسها أیّ مولیً فی حیاتنا الاعتیادیّة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أنّها تنقسم إلی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مرحلة الثبوت للحکم ، والاخری مرحلة الإثبات والإبراز ، فالمولی فی مرحلة الثبوت یحدِّد ما یشتمل علیه الفعل من مصلحة ، وهی ما یسمّی بالملاک ، حتی إذا أدرک وجود مصلحةٍ بدرجةٍ معیّنةٍ فیه تولّدت إرادة لذلک الفعل بدرجةٍ تتناسب مع المصلحة المدرکة ، وبعد ذلک یصوغ المولی إرادته صیاغةً جعلیّةً من نوع الاعتبار ، فیعتبر الفعل علی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إذن فی مرحلة الثبوت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الاعتبار عنصراً ضروریّاً فی مرحلة الثبوت ، بل یستخدم غالباً کعملٍ تنظیمیٍّ وصیاغیٍّ اعتاده المشرِّعون والعقلاء ، وقد سار الشارع علی طریقتهم فی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اکتمال مرحلة الثبوت بعناصرها الثلاثة أو بعنصرَیها الأوّلین علی أقلّ </w:t>
      </w:r>
    </w:p>
    <w:p>
      <w:pPr>
        <w:pStyle w:val="BookText"/>
        <w:rPr/>
      </w:pPr>
      <w:r>
        <w:rPr>
          <w:rFonts w:ascii="Amiri" w:hAnsi="Amiri" w:eastAsia="Amiri" w:cs="Amiri"/>
          <w:color w:val="111111"/>
          <w:sz w:val="28"/>
          <w:sz w:val="28"/>
          <w:szCs w:val="28"/>
          <w:rtl w:val="true"/>
          <w:lang w:bidi="ar-SA"/>
        </w:rPr>
        <w:t xml:space="preserve">تقدیرٍ تبدأ مرحلة الإثبات ، وهی المرحلة التی یُبرِز فیها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إنشائیّةٍ أو خبریّةٍ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الثبوت بدافعٍ من الملاک والإرادة ، وهذا الإبراز قد یتعلّق بالإرادة مباشرةً ، کما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ارید منکم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یتعلّق بالاعتبار الکاشف عن الإرادة ، کما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تمّ هذا الإ براز من المولی أصبح من حقّه علی العبد قضاءً لحقّ مولویّته الإتیان بالفعل ، وانتزع العقل عن إبراز المولی لإرادته الصادر منه بقصد التوصّل إلی مراده عناوین متعدّدةً ، من قبیل البعث والتحریک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یُطلق علی الملاک والإرادة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العنصران اللازمان فی مرحلة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بافتراض أنّ الحکم نفسه هو العنصر الثالث من مرحلة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والملاک والإرادة مبادئ له ، وإن کان روح الحکم وحقیقته التی بها یقع موضوعاً لحکم العقل بوجوب الامتثال هی نفس الملاک والإرادة إذا تصدّی المولی لإبرازهما بقصد التوصّل إلی مراده ، سواء أنشأ اعتباراً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 الأحکام التکلیفیّة الخمسة مبادئ تتّفق مع طبیعته ، فمبادئ الوجوب هی الإرادة الشدیدة ، ومن ورائها المصلحة البالغة درجةً عالیةً تأبی عن الترخیص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ومبادئ الحرمة هی المبغوضیّة الشدیدة ، ومن ورائها المفسدة البالغة إلی الدرجة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والاستحباب والکراهة یتولّدان عن مبادئ من نفس النوع ، ولکنّها أضعف درجةً بنحوٍ یسمح المولی معها بترک المستحبّ وبارتکاب المکروه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الإباحة فهی بمعنیین </w:t>
      </w:r>
      <w:r>
        <w:rPr>
          <w:rFonts w:eastAsia="IRNazanin" w:cs="IRNazanin"/>
          <w:color w:val="111111"/>
          <w:sz w:val="28"/>
          <w:szCs w:val="28"/>
          <w:rtl w:val="true"/>
          <w:lang w:bidi="fa-IR"/>
        </w:rPr>
        <w:t xml:space="preserve">: </w:t>
      </w:r>
      <w:bookmarkStart w:id="342" w:name="pg14075_144555"/>
    </w:p>
    <w:p>
      <w:pPr>
        <w:pStyle w:val="BookText"/>
        <w:rPr/>
      </w:pPr>
      <w:bookmarkEnd w:id="342"/>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بالمعنی الأخصّ التی تعتبر نوعاً خامساً من الأحکام التکلیفیّة ، وهی تعبّر عن مساواة الفعل والترک فی نظر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بالمعنی الأعمّ ، وقدیطلق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الوجوب والحرمة ، فتشمل المستحبّات والمکروهات مضافاً إلی المباحات بالمعنی الأخصّ ؛ لاشتراکها جمیعاً فی عدم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والإباحة قد تنشأ عن خلوِّ الفعل المباح من أیّ ملاکٍ یدعو إلی الالزام فعلاً أو ترکاً ، وقد تنشأ عن وجود ملاکٍ فی أن یکون المکلّف مطلق العنان ، وملاکها علی الأوّل لا اقتضائیّ ، وعلی الثانی اقتضائیّ</w:t>
      </w:r>
      <w:r>
        <w:rPr>
          <w:rFonts w:eastAsia="IRNazanin" w:cs="IRNazanin"/>
          <w:color w:val="111111"/>
          <w:sz w:val="28"/>
          <w:szCs w:val="28"/>
          <w:rtl w:val="true"/>
          <w:lang w:bidi="fa-IR"/>
        </w:rPr>
        <w:t>.</w:t>
      </w:r>
    </w:p>
    <w:p>
      <w:pPr>
        <w:pStyle w:val="Heading5"/>
        <w:numPr>
          <w:ilvl w:val="4"/>
          <w:numId w:val="1"/>
        </w:numPr>
        <w:rPr/>
      </w:pPr>
      <w:bookmarkStart w:id="343" w:name="__RefHeading___Toc508840_1738255347"/>
      <w:bookmarkStart w:id="344" w:name="_Toc113"/>
      <w:bookmarkEnd w:id="343"/>
      <w:r>
        <w:rPr>
          <w:rtl w:val="true"/>
        </w:rPr>
        <w:t>التضادّ بین الأحکام التکلیفیة</w:t>
      </w:r>
      <w:bookmarkEnd w:id="344"/>
    </w:p>
    <w:p>
      <w:pPr>
        <w:pStyle w:val="BookText"/>
        <w:rPr/>
      </w:pPr>
      <w:r>
        <w:rPr>
          <w:rFonts w:ascii="IRNazanin" w:hAnsi="IRNazanin" w:eastAsia="IRNazanin"/>
          <w:color w:val="111111"/>
          <w:sz w:val="28"/>
          <w:sz w:val="28"/>
          <w:szCs w:val="28"/>
          <w:rtl w:val="true"/>
          <w:lang w:bidi="fa-IR"/>
        </w:rPr>
        <w:t>وحین نلاحظ أنواع الحکم التکلیفیّ التی مرّت بنا نجد أنّ بینها تنافیاً وتضادّاً یؤدّی إلی استحالة اجتماع نوعین منها فی فعلٍ واحد ، ومردّ هذا التنافی إلی التنافر بین مبادئ تلک الأحکام ، وأمّا علی مستوی الاعتبار فقط فلا یوجد تنافر ، إذ لا تنافی بین الاعتبارات إذا جرّدت عن الملاک والإرادة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أیضاً لا یمکن أن یجتمع فی فعلٍ واحدٍ فردانِ من نوعٍ واحد ، فمن المستحیل أن یتّصف شیء واحد بوجوبین ؛ لأنّ ذلک یعنی اجتماع إرادتین علی مرادٍ واحد ، وهو من قبیل اجتماع المثلین ؛ لأنّ الإرادة لا تتکرّر علی شیءٍ واحد ، وإنّما تقوی وتشتدّ ، والمحذور هنا أیضاً بلحاظ المبادئ ، لا بلحاظ الاعتبار نفسه</w:t>
      </w:r>
      <w:r>
        <w:rPr>
          <w:rFonts w:eastAsia="IRNazanin" w:cs="IRNazanin"/>
          <w:color w:val="111111"/>
          <w:sz w:val="28"/>
          <w:szCs w:val="28"/>
          <w:rtl w:val="true"/>
          <w:lang w:bidi="fa-IR"/>
        </w:rPr>
        <w:t xml:space="preserve">. </w:t>
      </w:r>
      <w:bookmarkStart w:id="345" w:name="pg14075_144556"/>
    </w:p>
    <w:p>
      <w:pPr>
        <w:pStyle w:val="Heading5"/>
        <w:numPr>
          <w:ilvl w:val="4"/>
          <w:numId w:val="1"/>
        </w:numPr>
        <w:rPr/>
      </w:pPr>
      <w:bookmarkStart w:id="346" w:name="__RefHeading___Toc508842_1738255347"/>
      <w:bookmarkStart w:id="347" w:name="_Toc114"/>
      <w:bookmarkEnd w:id="345"/>
      <w:bookmarkEnd w:id="346"/>
      <w:r>
        <w:rPr>
          <w:rtl w:val="true"/>
        </w:rPr>
        <w:t>شمول الحکم الشرعیّ لجمیع وقائع الحیاة</w:t>
      </w:r>
      <w:bookmarkEnd w:id="347"/>
    </w:p>
    <w:p>
      <w:pPr>
        <w:pStyle w:val="BookText"/>
        <w:rPr/>
      </w:pPr>
      <w:r>
        <w:rPr>
          <w:rFonts w:ascii="IRNazanin" w:hAnsi="IRNazanin" w:eastAsia="IRNazanin"/>
          <w:color w:val="111111"/>
          <w:sz w:val="28"/>
          <w:sz w:val="28"/>
          <w:szCs w:val="28"/>
          <w:rtl w:val="true"/>
          <w:lang w:bidi="fa-IR"/>
        </w:rPr>
        <w:t xml:space="preserve">ولمّا کان الله تعالی عالماً بجمیع المصالح والمفاسد التی ترتبط بحیاة الإنسان فی مختلف مجالاته الحیاتیّة فمن اللطف اللائق برحمته أن یشرِّع للإنسان التشریع الأفضل وفقاً لتلک المصالح والمفاسد فی شتّی جوانب الحیاة ، وقد أکّدت ذلک نصوص کثیرة وردت عن أئمّة أهل البیت علیهم‌السلام </w:t>
      </w:r>
      <w:r>
        <w:rPr>
          <w:rStyle w:val="FootnoteAnchor"/>
          <w:rtl w:val="true"/>
        </w:rPr>
        <w:footnoteReference w:id="57"/>
      </w:r>
      <w:r>
        <w:rPr>
          <w:rFonts w:ascii="IRNazanin" w:hAnsi="IRNazanin" w:eastAsia="IRNazanin"/>
          <w:color w:val="111111"/>
          <w:sz w:val="28"/>
          <w:sz w:val="28"/>
          <w:szCs w:val="28"/>
          <w:rtl w:val="true"/>
          <w:lang w:bidi="fa-IR"/>
        </w:rPr>
        <w:t xml:space="preserve">، وخلاصتها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الواقعة لا تخلو من حکم</w:t>
      </w:r>
      <w:r>
        <w:rPr>
          <w:rFonts w:eastAsia="IRNazanin" w:cs="IRNazanin"/>
          <w:color w:val="111111"/>
          <w:sz w:val="28"/>
          <w:szCs w:val="28"/>
          <w:rtl w:val="true"/>
          <w:lang w:bidi="fa-IR"/>
        </w:rPr>
        <w:t>.</w:t>
      </w:r>
    </w:p>
    <w:p>
      <w:pPr>
        <w:pStyle w:val="Heading5"/>
        <w:numPr>
          <w:ilvl w:val="4"/>
          <w:numId w:val="1"/>
        </w:numPr>
        <w:rPr/>
      </w:pPr>
      <w:bookmarkStart w:id="348" w:name="__RefHeading___Toc508844_1738255347"/>
      <w:bookmarkStart w:id="349" w:name="_Toc115"/>
      <w:bookmarkEnd w:id="348"/>
      <w:r>
        <w:rPr>
          <w:rtl w:val="true"/>
        </w:rPr>
        <w:t>الحکم الواقعیّ و الحکم الظاهری</w:t>
      </w:r>
      <w:bookmarkEnd w:id="349"/>
    </w:p>
    <w:p>
      <w:pPr>
        <w:pStyle w:val="BookText"/>
        <w:rPr/>
      </w:pPr>
      <w:r>
        <w:rPr>
          <w:rFonts w:ascii="Amiri" w:hAnsi="Amiri" w:eastAsia="Amiri" w:cs="Amiri"/>
          <w:color w:val="111111"/>
          <w:sz w:val="28"/>
          <w:sz w:val="28"/>
          <w:szCs w:val="28"/>
          <w:rtl w:val="true"/>
          <w:lang w:bidi="ar-SA"/>
        </w:rPr>
        <w:t xml:space="preserve">ینقسم الحکم الشرعیّ إلی واقعیٍّ وظاهری ، فالحکم الواقعیّ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حکمٍ لم یفترض فی موضوعه الشکّ فی حکمٍ شرعیٍّ مسبق ، والحکم الظاهریّ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حکمٍ افترض فی موضوعه الشکّ فی حکمٍ شرعیٍّ مسبق ، من قبیل أصالة الحلّ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لکَ حلال حتّی تعلم أنّه حرام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وسائر الاصول العملیّة الاخری ، ومن قبیل أمره بتصدیق الثقة والعمل علی وفق خبره ، وأمره بتصدیق سائر الأمارات الاخری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یقال عن الأحکام الظاهریّة بأ نّها متأخّرة رتبةً عن الأحکام الواقعیّة ؛ لأنّها قد افترض فی موردها الشکّ فی الحکم </w:t>
      </w:r>
      <w:bookmarkStart w:id="350" w:name="pg14075_144557"/>
    </w:p>
    <w:p>
      <w:pPr>
        <w:pStyle w:val="BookText"/>
        <w:rPr/>
      </w:pPr>
      <w:bookmarkEnd w:id="350"/>
      <w:r>
        <w:rPr>
          <w:rFonts w:ascii="IRNazanin" w:hAnsi="IRNazanin" w:eastAsia="IRNazanin"/>
          <w:color w:val="111111"/>
          <w:sz w:val="28"/>
          <w:sz w:val="28"/>
          <w:szCs w:val="28"/>
          <w:rtl w:val="true"/>
          <w:lang w:bidi="fa-IR"/>
        </w:rPr>
        <w:t>الواقعیّ ، ولولا وجود الأحکام الواقعیّة فی الشریعة لمَا کانت هناک أحکام ظاهریّة</w:t>
      </w:r>
      <w:r>
        <w:rPr>
          <w:rFonts w:eastAsia="IRNazanin" w:cs="IRNazanin"/>
          <w:color w:val="111111"/>
          <w:sz w:val="28"/>
          <w:szCs w:val="28"/>
          <w:rtl w:val="true"/>
          <w:lang w:bidi="fa-IR"/>
        </w:rPr>
        <w:t>.</w:t>
      </w:r>
    </w:p>
    <w:p>
      <w:pPr>
        <w:pStyle w:val="Heading5"/>
        <w:numPr>
          <w:ilvl w:val="4"/>
          <w:numId w:val="1"/>
        </w:numPr>
        <w:rPr/>
      </w:pPr>
      <w:bookmarkStart w:id="351" w:name="__RefHeading___Toc508846_1738255347"/>
      <w:bookmarkStart w:id="352" w:name="_Toc116"/>
      <w:bookmarkEnd w:id="351"/>
      <w:r>
        <w:rPr>
          <w:rtl w:val="true"/>
        </w:rPr>
        <w:t>الأمارات و الاصول</w:t>
      </w:r>
      <w:bookmarkEnd w:id="352"/>
    </w:p>
    <w:p>
      <w:pPr>
        <w:pStyle w:val="BookText"/>
        <w:rPr/>
      </w:pPr>
      <w:r>
        <w:rPr>
          <w:rFonts w:ascii="IRNazanin" w:hAnsi="IRNazanin" w:eastAsia="IRNazanin"/>
          <w:color w:val="111111"/>
          <w:sz w:val="28"/>
          <w:sz w:val="28"/>
          <w:szCs w:val="28"/>
          <w:rtl w:val="true"/>
          <w:lang w:bidi="fa-IR"/>
        </w:rPr>
        <w:t xml:space="preserve">والأحکام الظاهریّة تصنّف عادةً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المرتبط بکشف دلیلٍ ظنیٍّ معیّنٍ علی نحوٍ یکون کشف ذلک الدلیل هو الملاک التامّ لجعله ، کالحکم الظاهریّ بوجوب تصدیق خبر الثقة والعمل علی طبقه ، سواء کان ذلک الدلیل الظنّیّ مفیداً للظنّ الفعلیّ دائماً ، أو غالباً وفی حالاتٍ کثیرة ، وفی هذه الحالة یسمّی ذلک الدلیل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 الحکم الظاهریّ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جعل الحجّیّة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الذی اخذ فیه بعین الاعتبار نوع الحکم المشکوک ، سواء لم یؤخذ أیّ کشفٍ معیّنٍ بعین الاعتبار فی مقام جعله ، أو اخذ ولکن لا بنحوٍ یکون هو الملاک التامّ ، بل منضمّاً إلی نوع الحکم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 فإنّ الملحوظ فیها کون الحکم المشکوک والمجهول مردّداً بین الحرمة والإباحة ولم یلحظ فیها وجود کشفٍ معیّنٍ عن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الفراغ ، فإنّ التعبّد فی هذه القاعدة بصحّة العمل المفروغ عنه یرتبط بکاشفٍ معیّنٍ عن الصحّة ، وهو غلبة الانتباه وعدم النسیان فی الإنسان ، ولکنّ هذا الکاشف لیس هو کلّ الملاک ، بل هناک دخل لکون المشکوک مرتبطاً بعملٍ تمّ الفراغ عنه ، ولهذا لا یتعبّدنا الشارع بعدم النسیان فی جمیع الحالات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وتسمّی الأحکام الظاهریّة فی هذا القسم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ویطلق علی الاصول العملیّة فی الحالة الاولی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وعلیها فی </w:t>
      </w:r>
      <w:bookmarkStart w:id="353" w:name="pg14075_144558"/>
    </w:p>
    <w:p>
      <w:pPr>
        <w:pStyle w:val="BookText"/>
        <w:rPr/>
      </w:pPr>
      <w:bookmarkEnd w:id="353"/>
      <w:r>
        <w:rPr>
          <w:rFonts w:ascii="IRNazanin" w:hAnsi="IRNazanin" w:eastAsia="IRNazanin"/>
          <w:color w:val="111111"/>
          <w:sz w:val="28"/>
          <w:sz w:val="28"/>
          <w:szCs w:val="28"/>
          <w:rtl w:val="true"/>
          <w:lang w:bidi="fa-IR"/>
        </w:rPr>
        <w:t xml:space="preserve">الحالة الثانیة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التنزیلیّة</w:t>
      </w:r>
      <w:r>
        <w:rPr>
          <w:rFonts w:eastAsia="IRNazanin" w:cs="IRNazanin"/>
          <w:color w:val="111111"/>
          <w:sz w:val="28"/>
          <w:szCs w:val="28"/>
          <w:rtl w:val="true"/>
          <w:lang w:bidi="fa-IR"/>
        </w:rPr>
        <w:t>».</w:t>
      </w:r>
    </w:p>
    <w:p>
      <w:pPr>
        <w:pStyle w:val="Heading5"/>
        <w:numPr>
          <w:ilvl w:val="4"/>
          <w:numId w:val="1"/>
        </w:numPr>
        <w:rPr/>
      </w:pPr>
      <w:bookmarkStart w:id="354" w:name="__RefHeading___Toc508848_1738255347"/>
      <w:bookmarkStart w:id="355" w:name="_Toc117"/>
      <w:bookmarkEnd w:id="354"/>
      <w:r>
        <w:rPr>
          <w:rtl w:val="true"/>
        </w:rPr>
        <w:t>اجتماع الحکم الواقعیّ و الظاهری</w:t>
      </w:r>
      <w:bookmarkEnd w:id="355"/>
    </w:p>
    <w:p>
      <w:pPr>
        <w:pStyle w:val="BookText"/>
        <w:rPr/>
      </w:pPr>
      <w:r>
        <w:rPr>
          <w:rFonts w:ascii="IRNazanin" w:hAnsi="IRNazanin" w:eastAsia="IRNazanin"/>
          <w:color w:val="111111"/>
          <w:sz w:val="28"/>
          <w:sz w:val="28"/>
          <w:szCs w:val="28"/>
          <w:rtl w:val="true"/>
          <w:lang w:bidi="fa-IR"/>
        </w:rPr>
        <w:t xml:space="preserve">وبناءً علی ما تقدّم یمکن أن یجتمع فی واقعةٍ واحدةٍ 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واقعیّ ، والآخر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الدعاء عند رؤیة الهلال واجباً واقعاً ، وقامت الأمارة علی إباحته ، فحکم الشارع بحجّیّة الأمارة وبأنّ الفعل المذکور مباح فی حقّ من یشکّ فی وجوبه ، فقد اجتمع حکمان تکلیفیّان علی واقعةٍ واحدة ، أحدهما واقعیّ وهو الوجوب ، والآخر ظاهریّ وهو الإباحة ، وما دام أحدهما من سنخ الأحکام الواقعیّة والآخر من سنخ الأحکام الظاهریّة فلا محذور فی اجتماعهما ، وإنّما المستحیل أن یجتمع فی واقعةٍ واحدةٍ وجوب واقعیّ وإباحة واقعیّة</w:t>
      </w:r>
      <w:r>
        <w:rPr>
          <w:rFonts w:eastAsia="IRNazanin" w:cs="IRNazanin"/>
          <w:color w:val="111111"/>
          <w:sz w:val="28"/>
          <w:szCs w:val="28"/>
          <w:rtl w:val="true"/>
          <w:lang w:bidi="fa-IR"/>
        </w:rPr>
        <w:t>.</w:t>
      </w:r>
    </w:p>
    <w:p>
      <w:pPr>
        <w:pStyle w:val="Heading5"/>
        <w:numPr>
          <w:ilvl w:val="4"/>
          <w:numId w:val="1"/>
        </w:numPr>
        <w:rPr/>
      </w:pPr>
      <w:bookmarkStart w:id="356" w:name="__RefHeading___Toc508850_1738255347"/>
      <w:bookmarkStart w:id="357" w:name="_Toc118"/>
      <w:bookmarkEnd w:id="356"/>
      <w:r>
        <w:rPr>
          <w:rtl w:val="true"/>
        </w:rPr>
        <w:t>القضیّة الحقیقیّة و القضیّة الخارجیّة للأحکام</w:t>
      </w:r>
      <w:bookmarkEnd w:id="357"/>
    </w:p>
    <w:p>
      <w:pPr>
        <w:pStyle w:val="BookText"/>
        <w:rPr/>
      </w:pPr>
      <w:r>
        <w:rPr>
          <w:rFonts w:ascii="IRNazanin" w:hAnsi="IRNazanin" w:eastAsia="IRNazanin"/>
          <w:color w:val="111111"/>
          <w:sz w:val="28"/>
          <w:sz w:val="28"/>
          <w:szCs w:val="28"/>
          <w:rtl w:val="true"/>
          <w:lang w:bidi="fa-IR"/>
        </w:rPr>
        <w:t xml:space="preserve">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یجعل علی نحو القضیّة الخارجیّة ، واخری یجعل علی 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المشرِّع تارةً یشیر إلی الأفراد الموجودین فعلاً من العلماء مثلاً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یفترض وجود العالم ویحکم بوجوب إکرامه ولو لم یکن هناک عالم موجود فعلاً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عالم فأکرمه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فی الحالة الاولی مجعول علی نحو القضیّة الخارجیّة ، وفی الحالة الثانیة مجعول علی نحو القضیّة الحقیقیّة ، وما هو المفترض فیها نطلق علیه اسم </w:t>
      </w:r>
    </w:p>
    <w:p>
      <w:pPr>
        <w:pStyle w:val="BookText"/>
        <w:rPr/>
      </w:pPr>
      <w:r>
        <w:rPr>
          <w:rFonts w:ascii="IRNazanin" w:hAnsi="IRNazanin" w:eastAsia="IRNazanin"/>
          <w:color w:val="111111"/>
          <w:sz w:val="28"/>
          <w:sz w:val="28"/>
          <w:szCs w:val="28"/>
          <w:rtl w:val="true"/>
          <w:lang w:bidi="fa-IR"/>
        </w:rPr>
        <w:t>الموضوع للقضیّة الحقیقیّة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والفارق النظری بین القضیّتین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بموجب القضیّة الحقیقیّة نستطیع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ازداد عدد العلماء لوجب إکرامهم جمیعاً ؛ لأنّ موضوع هذه القضیّة العالم المفترض ، وأیّ فردٍ جدیدٍ من العالم یحقّق الافتراض المذکور ، ولا نستطیع أن نؤکّد القول نفسه بلحاظ القضیّة الخارجیّة ؛ لأنّ المولی فی هذه القضیّة أحصی عدداً معیَّناً وأمر بإکرامهم ، ولیس فی القضیّة ما یفترض تعمیم الحکم لو ازداد العدد</w:t>
      </w:r>
      <w:r>
        <w:rPr>
          <w:rFonts w:eastAsia="IRNazanin" w:cs="IRNazanin"/>
          <w:color w:val="111111"/>
          <w:sz w:val="28"/>
          <w:szCs w:val="28"/>
          <w:rtl w:val="true"/>
          <w:lang w:bidi="fa-IR"/>
        </w:rPr>
        <w:t xml:space="preserve">. </w:t>
      </w:r>
      <w:bookmarkStart w:id="358" w:name="pg14075_144560"/>
    </w:p>
    <w:p>
      <w:pPr>
        <w:pStyle w:val="Heading4"/>
        <w:numPr>
          <w:ilvl w:val="3"/>
          <w:numId w:val="1"/>
        </w:numPr>
        <w:rPr/>
      </w:pPr>
      <w:bookmarkStart w:id="359" w:name="__RefHeading___Toc508852_1738255347"/>
      <w:bookmarkStart w:id="360" w:name="_Toc119"/>
      <w:bookmarkEnd w:id="358"/>
      <w:bookmarkEnd w:id="359"/>
      <w:r>
        <w:rPr>
          <w:rtl w:val="true"/>
        </w:rPr>
        <w:t>تنویعُ البحث</w:t>
      </w:r>
      <w:bookmarkEnd w:id="360"/>
    </w:p>
    <w:p>
      <w:pPr>
        <w:pStyle w:val="BookText"/>
        <w:rPr/>
      </w:pPr>
      <w:r>
        <w:rPr>
          <w:rFonts w:ascii="IRNazanin" w:hAnsi="IRNazanin" w:eastAsia="IRNazanin"/>
          <w:color w:val="111111"/>
          <w:sz w:val="28"/>
          <w:sz w:val="28"/>
          <w:szCs w:val="28"/>
          <w:rtl w:val="true"/>
          <w:lang w:bidi="fa-IR"/>
        </w:rPr>
        <w:t xml:space="preserve">حینما یستنبط الفقیه الحکم الشرعیّ ویستدلّ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علی دلیلٍ یکشف عن ثبوت الحکم الشرعیّ فیعوّل علی کشفه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علی دلیلٍ یحدّد الموقف العملیّ والوظیفة العملیّة تجاه الواقعة المجهول حکمها ، وهذا ما یکون فی الاصول العملیّة التی هی أدلّة علی الوظیفة العملیّة ، ولیست أدلّةً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سوف نصنِّف بحوث علم الاصول إلی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الأدلّة من القسم الأوّل ، أی العناصر المشترکة فی عملیّة الاستنباط التی تتّخذ أدلّةً باعتبار کشفها عن الحکم الشرعیّ ، ونسمّیها بالأدلّة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الاصول العملیّة ، وهی الأدلّة من القسم الثانی ، أی العناصر المشترکة فی عملیّة الاستنباط التی تتّخذ أدلّةً علی تحدید الوظیفة العملیّة تجاه الحکم الشرعیّ المجهول ، ونسمّیها بالأدلّة العملیّة ، أو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یستند إلیه الفقیه فی استدلاله الفقهیّ واستنباطه للحکم الشرعیّ لا یخرج عن أحد هذین القسمین من الأدلّة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علی العموم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واقعةٍ یعالج الفقیه حکمها یوجد فیها أساساً دلیل من القسم الثانی ، أی أصل عملیّ یحدّد الوظیفة العملیّة ، فإن توفّر للفقیه الحصول علی دلیلٍ محرز أخذ به وترک الأصل العملیّ ؛ وفقاً لقاعدة تقدّم الأدلّة </w:t>
      </w:r>
    </w:p>
    <w:p>
      <w:pPr>
        <w:pStyle w:val="BookText"/>
        <w:rPr/>
      </w:pPr>
      <w:r>
        <w:rPr>
          <w:rFonts w:ascii="IRNazanin" w:hAnsi="IRNazanin" w:eastAsia="IRNazanin"/>
          <w:color w:val="111111"/>
          <w:sz w:val="28"/>
          <w:sz w:val="28"/>
          <w:szCs w:val="28"/>
          <w:rtl w:val="true"/>
          <w:lang w:bidi="fa-IR"/>
        </w:rPr>
        <w:t xml:space="preserve">المحرزة علی الاصول العملیّة ، کما یأتی </w:t>
      </w:r>
      <w:r>
        <w:rPr>
          <w:rStyle w:val="FootnoteAnchor"/>
          <w:rtl w:val="true"/>
        </w:rPr>
        <w:footnoteReference w:id="60"/>
      </w:r>
      <w:r>
        <w:rPr>
          <w:rFonts w:ascii="IRNazanin" w:hAnsi="IRNazanin" w:eastAsia="IRNazanin"/>
          <w:color w:val="111111"/>
          <w:sz w:val="28"/>
          <w:sz w:val="28"/>
          <w:szCs w:val="28"/>
          <w:rtl w:val="true"/>
          <w:lang w:bidi="fa-IR"/>
        </w:rPr>
        <w:t>إن شاء الله تعالی ، وإن لم یتوفّر دلیل محرز أخذ بالأصل العملیّ ، فهو المرجع العامّ للفقیه حیث لا یوجد دلیل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عنصر مشترک یدخل فی جمیع عملیّات استنباط الحکم الشرعیّ ، سواء ما استند فیه الفقیه إلی دلیلٍ من القسم الأوّل أو إلی دلیلٍ من القسم الثانی ، وهذا العنصر هو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ونرید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قضیّةٍ بدرجةٍ لا یشوبها شکّ ، ومعنی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منجِّزاً ، أی مصحّحاً للعقاب إذا خالف العبد مولاه فی تکلیفٍ مقطوعٍ به لدیه ، وکونه معذِّراً ، أی نافیاً لاستحقاق العقاب عن العبد إذا خالف مولاه نتیجة عمله بقطعه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أنّ حجّیة القطع بهذا المعنی لا یستغنی عنها جمیع عملیّات الاستنباط ؛ لأنّها إنّما تؤدّی إلی القطع بالحکم الشرعیّ أو بالموقف العملیّ تجاهه ، ولکی تکون هذه النتیجة ذات أثرٍ لابدّ من الاعتراف مسبقاً بحجّیّة القطع ، بل إنّ حجّیّة القطع ممّا یحتاجها الاصولیّ فی الاستدلال علی القواعد الاصولیّة نفسها ؛ لأنّه مهما استُدلّ علی ظهور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یحصل علی أحسن تقدیرٍ إلاّعلی القطع بظهورها فی ذلک ، وهذا لا یفید إلاّمع افتراض حجّیّة القطع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بعد افتراض تحدید الأدلّة العامّة والعناصر المشترکة فی عملیّة الاستنباط قد یواجه الفقیه حالات التعارض بینها ، سواء کان التعارض بین دلیلٍ من القسم الأوّل ودلیلٍ من القسم الثانی ، کالتعارض بین الأمارة والأصل ، أو بین دلیلین من قسمٍ واحد ، سواء کانا من نوعٍ واحدٍ ، کخبرین لثقتین ، أو من نوعین ، کالتعارض بین خبر الثقة وظهور الآیة ، أو بین أصالة الحلّ والاستصحاب</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ذلک سنبدأ فی ما یلی بحجّیّة القطع ، ثمّ نتکلّم عن القسم الأوّل من الأدلّة ، ثمّ عن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ونختم بأحکام تعارض الأدلّة إن شاء الله تعالی ، ومنه نستمدّ التوفیق</w:t>
      </w:r>
      <w:r>
        <w:rPr>
          <w:rFonts w:eastAsia="IRNazanin" w:cs="IRNazanin"/>
          <w:color w:val="111111"/>
          <w:sz w:val="28"/>
          <w:szCs w:val="28"/>
          <w:rtl w:val="true"/>
          <w:lang w:bidi="fa-IR"/>
        </w:rPr>
        <w:t xml:space="preserve">. </w:t>
      </w:r>
      <w:bookmarkStart w:id="361" w:name="pg14075_144563"/>
    </w:p>
    <w:p>
      <w:pPr>
        <w:pStyle w:val="Heading4"/>
        <w:numPr>
          <w:ilvl w:val="3"/>
          <w:numId w:val="1"/>
        </w:numPr>
        <w:rPr/>
      </w:pPr>
      <w:bookmarkStart w:id="362" w:name="__RefHeading___Toc508854_1738255347"/>
      <w:bookmarkStart w:id="363" w:name="_Toc120"/>
      <w:bookmarkEnd w:id="361"/>
      <w:bookmarkEnd w:id="362"/>
      <w:r>
        <w:rPr>
          <w:rtl w:val="true"/>
        </w:rPr>
        <w:t>حجّیة القطع</w:t>
      </w:r>
      <w:bookmarkEnd w:id="363"/>
    </w:p>
    <w:p>
      <w:pPr>
        <w:pStyle w:val="Heading5"/>
        <w:numPr>
          <w:ilvl w:val="4"/>
          <w:numId w:val="1"/>
        </w:numPr>
        <w:rPr/>
      </w:pPr>
      <w:bookmarkStart w:id="364" w:name="__RefHeading___Toc508856_1738255347"/>
      <w:bookmarkStart w:id="365" w:name="_Toc121"/>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للقطع کاشفیّة بذاته عن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نتیجة لهذه الکاشفیّة محرکیّة نحو ما یوافق الغرض الشخصیّ للقاطع إذا انکشف له بالقطع ، فالعطشان إذا قطع بوجود الماء خلفه تحرّک نحو تلک الجهة طلباً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الکاشفیّة والمحرکیة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خصوصیّة ثالثة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أنّ القطع بالتکلیف ینجِّز ذلک التکلیف ، أی یجعله موضوعاً لحکم العقل بوجوب امتثاله وصحّة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والخصوصیّة الاولی والثانیة بدیهیّتان ولم یقع بحث فیهما ، ولا تفیان بمفردهما بغرض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تنجیز التکلیف الشرعیّ علی المکلّف بالقطع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یفی بذلک الخصوصیّة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شکّ فی أنّ الخصوصیّة الاولی هی عین حقیقة القطع ؛ لأنّ القطع هو عین الانکشاف والإراءة ، لا أنّه شیء من صفاته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أیضاً فی أنّ الخصوصیّة الثانیة من الآثار التکوینیة للقطع بما یکون متعلّقاً للغرض الشخصی ، فالعطشان الذی یتعلّق غرض شخصیّ له بالماء حینما یقطع بوجوده فی جهةٍ یتحرّک نحو تلک الجهة لا محالة ، والمحرّک هنا هو الغرض ، والمکمِّل لمحرِّکیّة الغرض هو قطعه بوجود الماء ، وبإمکان استیفاء الغرض فی تلک الجهة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الخصوصیّة الثالثة وهی حجّیّة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منجِّزیّته للتکلیف بالمعنی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شیء ثالث غیر مستبطنٍ فی الخصوصیّتین السابقتین ، فلا یکون التسلیم بهما من الناحیة المنطقیّة تسلیماً ضمنیّاً بالخصوصیّة الثالثة ، ولیس التسلیم </w:t>
      </w:r>
    </w:p>
    <w:p>
      <w:pPr>
        <w:pStyle w:val="BookText"/>
        <w:rPr/>
      </w:pPr>
      <w:r>
        <w:rPr>
          <w:rFonts w:ascii="Amiri" w:hAnsi="Amiri" w:eastAsia="Amiri" w:cs="Amiri"/>
          <w:color w:val="111111"/>
          <w:sz w:val="28"/>
          <w:sz w:val="28"/>
          <w:szCs w:val="28"/>
          <w:rtl w:val="true"/>
          <w:lang w:bidi="ar-SA"/>
        </w:rPr>
        <w:t>بهما مع إنکار الخصوصیّة الثالثة تناقضاً منطقیّاً ، فلا بدّ إذن من استئناف نظرٍ خاصٍّ فی الخصوصیّة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هذا المجال یقال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لازم ذاتیّ للقطع ، کما أنّ الحرارة لازم ذاتیّ للنار ، فالقطع بذاته یستلزم الحجّیّة والمنجّزیّة ، ولأجل ذلک لا یمکن أن تُلغی حجّیّته ومنجّزیّته فی حالٍ من الأحوال ، حتّی من قبل المولی نفسه ؛ لأنّ لازم الشیء لا یمکن أن ینفکّ عنه ، وإنّما الممکن للمولی أن یزیل القطع عن القاطع ، فیخرجه عن کونه قاطعاً بدلاً عن أن یفکّک بین القطع والحجّیّة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ویتلخّص هذا الکلام فی قضیّتین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الحجّیّة والمنجّزیّة ثابتة للقطع ؛ لأنّها من لوازمه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یستحیل أن تنفکّ عنه ؛ لأنّ اللازم لا ینفکّ عن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القضیّة الاولی فیمکن أن نتساءل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 هذا الذی تکون المنجّزیّة من لوازمه؟ هل هو القطع بتکلیف المولی ، أو القطع بتکلیف أیِّ آمر؟</w:t>
      </w:r>
    </w:p>
    <w:p>
      <w:pPr>
        <w:pStyle w:val="BookText"/>
        <w:rPr/>
      </w:pPr>
      <w:r>
        <w:rPr>
          <w:rFonts w:ascii="IRNazanin" w:hAnsi="IRNazanin" w:eastAsia="IRNazanin"/>
          <w:color w:val="111111"/>
          <w:sz w:val="28"/>
          <w:sz w:val="28"/>
          <w:szCs w:val="28"/>
          <w:rtl w:val="true"/>
          <w:lang w:bidi="fa-IR"/>
        </w:rPr>
        <w:t xml:space="preserve">ومن الواضح أنّ الجواب هو الأوّل ؛ لأنّ غیر المولی إذا أمر لا یکون تکلیفه منجّزاً علی المأمور ولو قطع به ، فالمنجّزیّة إذن تابعة للقطع بتکلیف المولی ، فنحن إذن نفترض أوّلاً أنّ الآمر مولی ، ثمّ نفترض القطع بصدور التکلیف منه ، وهنا نتساءل من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المولی؟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هو مَن له حقّ الطاعة ، أی من یحکم العقل بوجوب امتثاله واستحقاق العقاب علی مخالفته ، وهذا یعنی أنّ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بوجوب الامتثال واستحقاق العقاب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افترضناها مسبقاً بمجرّد افتراض أنّ الآمر مولی ، فهی إذن من شؤون کون الآمر مولی ، ومستبطنة فی نفس افتراض المولویّة ، فحینما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بتکلیف المولی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امتثاله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بتکلیف مَن یجب امتثاله یجب امتثاله ، وهذا تکرار لما هو المفترض ، فلا بدّ أن نأخذ نفس حقّ الطاعة والمنجّزیّة المفترضة </w:t>
      </w:r>
    </w:p>
    <w:p>
      <w:pPr>
        <w:pStyle w:val="BookText"/>
        <w:rPr/>
      </w:pPr>
      <w:r>
        <w:rPr>
          <w:rFonts w:ascii="IRNazanin" w:hAnsi="IRNazanin" w:eastAsia="IRNazanin"/>
          <w:color w:val="111111"/>
          <w:sz w:val="28"/>
          <w:sz w:val="28"/>
          <w:szCs w:val="28"/>
          <w:rtl w:val="true"/>
          <w:lang w:bidi="fa-IR"/>
        </w:rPr>
        <w:t>فی نفس کون الآمر مولی ، لنری مدی ما للمولی من حقّ الطاعة علی المأمور ، وهل له حقّ الطاعة فی کلّ ما یقطع به من تکالیفه ، أو أوسع من ذلک بأن یفترض حقّ الطاعة فی کلّ ما ینکشف لدیه من تکالیفه ولو بالظنّ أو الاحتمال ، أو أضیق من ذلک بأن یفترض حقّ الطاعة فی بعض ما یقطع به من التکالیف خاصّة؟</w:t>
      </w:r>
    </w:p>
    <w:p>
      <w:pPr>
        <w:pStyle w:val="BookText"/>
        <w:rPr/>
      </w:pPr>
      <w:r>
        <w:rPr>
          <w:rFonts w:ascii="IRNazanin" w:hAnsi="IRNazanin" w:eastAsia="IRNazanin"/>
          <w:color w:val="111111"/>
          <w:sz w:val="28"/>
          <w:sz w:val="28"/>
          <w:szCs w:val="28"/>
          <w:rtl w:val="true"/>
          <w:lang w:bidi="fa-IR"/>
        </w:rPr>
        <w:t>وهکذا یبدو أنّ البحث فی حقیقته بحثٌ عن حدود مولویّة المولی ، وما نؤمن به له مسبقاً من حقّ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الأوّل تکون المنجّزیّة ثابتةً فی حالات القطع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الثانی تکون ثابتةً فی کلّ حالات القطع والظنّ والاحتمال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تکون ثابتةً فی بعض حالات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ندرکه بعقولنا أنّ مولانا سبحانه وتعالی له حقّ الطاعة فی کلّ ما ینکشف لنا من تکالیفه بالقطع أو بالظنّ أو بالاحتمال ما لم یرخّص هو نفسه فی عدم التحفّظ ، وهذا یعنی أنّ المنجّزیّة لیست ثابتةً للقطع بما هو قطع ، بل بما هو انکشاف ، وأنّ کلّ انکشافٍ منجِّز مهما کانت درجته ما لم یحرز ترخیص الشارع نفسه فی عدم الاهتمام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کلّما کان الانکشاف بدرجةٍ أکبر کانت الإدانة وقبح المخالفة أشدّ ، فالقطع بالتکلیف یستتبع لا محالة مرتبةً أشدّ من التنجّز والإدانة ؛ لأنّه المرتبة العلیا من الانکشاف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القضیّة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المنجّزیّة لا تنفکّ عن القطع بالتکلیف ، ولیس بإمکان المولی نفسه أن یتدخّل بالترخیص فی مخالفة القطع وتجریده من 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صحیحة ، ودلیلها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الترخیص إمّا حکم واقعیّ ، أو حکم ظاهریّ ، والأوّل مستحیل ؛ لأنّ التکلیف الواقعیّ مقطوع به ، فإذا ثبتت أیضاً إباحة واقعیّة لزم اجتماع الضدّین ؛ لِمَا تقدّم من التنافی والتضادّ بین الأحکام التکلیفیة الواقعیة</w:t>
      </w:r>
      <w:r>
        <w:rPr>
          <w:rFonts w:eastAsia="IRNazanin" w:cs="IRNazanin"/>
          <w:color w:val="111111"/>
          <w:sz w:val="28"/>
          <w:szCs w:val="28"/>
          <w:rtl w:val="true"/>
          <w:lang w:bidi="fa-IR"/>
        </w:rPr>
        <w:t xml:space="preserve">. </w:t>
      </w:r>
      <w:bookmarkStart w:id="366" w:name="pg14075_144566"/>
    </w:p>
    <w:p>
      <w:pPr>
        <w:pStyle w:val="BookText"/>
        <w:rPr/>
      </w:pPr>
      <w:bookmarkEnd w:id="366"/>
      <w:r>
        <w:rPr>
          <w:rFonts w:ascii="IRNazanin" w:hAnsi="IRNazanin" w:eastAsia="IRNazanin"/>
          <w:color w:val="111111"/>
          <w:sz w:val="28"/>
          <w:sz w:val="28"/>
          <w:szCs w:val="28"/>
          <w:rtl w:val="true"/>
          <w:lang w:bidi="fa-IR"/>
        </w:rPr>
        <w:t xml:space="preserve">والثانی مستحیل أیضاً ؛ لأنّ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فی موضوعه الشکّ ، ولا شکّ مع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القطع لا یتمیّز عن الظنّ والاحتمال فی أصل المنجّزیّة ، وإنّما یتمیّز عنهما فی عدم إمکان تجریده عن تلک المنجّزیّة ؛ لأنّ الترخیص فی مورده مستحیل کما عرفت ، ولیس کذلک فی حالات الظنّ والاحتمال ، فإنّ الترخیص الظاهریّ فیها ممکن ؛ لأنّه لا یتطلّب أکثر من فرض الشکّ ، والشکّ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منجّزیّة القطع غیر معلّقة ، بل ثابتة علی الإطلاق ، وإنّ منجّزیّة غیره من الظنّ والاحتمال معلّقة ؛ لأنّها مشروطة بعدم إحراز الترخیص الظاهریّ فی ترک التحفّظ</w:t>
      </w:r>
      <w:r>
        <w:rPr>
          <w:rFonts w:eastAsia="IRNazanin" w:cs="IRNazanin"/>
          <w:color w:val="111111"/>
          <w:sz w:val="28"/>
          <w:szCs w:val="28"/>
          <w:rtl w:val="true"/>
          <w:lang w:bidi="fa-IR"/>
        </w:rPr>
        <w:t>.</w:t>
      </w:r>
    </w:p>
    <w:p>
      <w:pPr>
        <w:pStyle w:val="Heading5"/>
        <w:numPr>
          <w:ilvl w:val="4"/>
          <w:numId w:val="1"/>
        </w:numPr>
        <w:rPr/>
      </w:pPr>
      <w:bookmarkStart w:id="367" w:name="__RefHeading___Toc508858_1738255347"/>
      <w:bookmarkStart w:id="368" w:name="_Toc122"/>
      <w:bookmarkEnd w:id="367"/>
      <w:r>
        <w:rPr>
          <w:rtl w:val="true"/>
        </w:rPr>
        <w:t>معذّریّة القطع</w:t>
      </w:r>
      <w:bookmarkEnd w:id="368"/>
    </w:p>
    <w:p>
      <w:pPr>
        <w:pStyle w:val="BookText"/>
        <w:rPr/>
      </w:pPr>
      <w:r>
        <w:rPr>
          <w:rFonts w:ascii="IRNazanin" w:hAnsi="IRNazanin" w:eastAsia="IRNazanin"/>
          <w:color w:val="111111"/>
          <w:sz w:val="28"/>
          <w:sz w:val="28"/>
          <w:szCs w:val="28"/>
          <w:rtl w:val="true"/>
          <w:lang w:bidi="fa-IR"/>
        </w:rPr>
        <w:t xml:space="preserve">کنّا نتحدّث حتّی الآن عن الجانب التنجیزیّ والتسجیلیّ من حجّیّة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والآن نشیر إلی الجانب الآخر من الحجّیّة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کون القطع بعدم التکلیف معذّراً للمکلّف علی نحوٍ لو کان مخطئاً فی قطعه لمَا صحّت معاقبته علی المخالفة ، وهذه المعذّریّة تستند إلی تحقیق حدود مولویّة المولی وحقّ الطاعة ؛ وذلک لأنّ حقّ الطاعة هل موضوعه الذی تفرض طاعته ، تکالیف المولی بوجودها فی الشریعة بقطع النظر عن قطع المکلّف بها وشکّه فیها ، أو قطعه بعدمها ، أی أنّها تستتبع حقّ الطاعة فی جمیع هذه الحالات ، أو أنّ موضوع حقّ الطاعة تکالیف المولی المنکشفة للمکلّف ولو بدرجةٍ احتمالیّةٍ من الانکشاف؟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لا یکون القطع معذّراً إذا خالف الواقع ، وکان التکلیف ثابتاً علی </w:t>
      </w:r>
      <w:bookmarkStart w:id="369" w:name="pg14075_144567"/>
    </w:p>
    <w:p>
      <w:pPr>
        <w:pStyle w:val="BookText"/>
        <w:rPr/>
      </w:pPr>
      <w:bookmarkEnd w:id="369"/>
      <w:r>
        <w:rPr>
          <w:rFonts w:ascii="IRNazanin" w:hAnsi="IRNazanin" w:eastAsia="IRNazanin"/>
          <w:color w:val="111111"/>
          <w:sz w:val="28"/>
          <w:sz w:val="28"/>
          <w:szCs w:val="28"/>
          <w:rtl w:val="true"/>
          <w:lang w:bidi="fa-IR"/>
        </w:rPr>
        <w:t>خلاف ما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القطع معذّراً ، إذ لا حقّ طاعةٍ للمولی فی حالة عدم انکشاف التکلیف ولو انکشافاً احتمالیّاً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 هذین الاحتمالین غیر صحیح ؛ لأنّ حقّ الطاعة من المستحیل أن یحکم به العقل بالنسبة إلی تکلیفٍ یقطع المکلّف بعدمه ، إذ لا یمکن للمکلّف أن یتحرّک عنه فکیف یحکم العقل بلزوم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الاحتمال الثانی ، ومعه یکون القطع بعدم التکلیف معذّراً عنه ؛ لأنّه یخرج فی هذه الحالة عن دائرة حقّ الطاعة ، أی عن نطاق حکم العقل بوجوب الامتثال</w:t>
      </w:r>
      <w:r>
        <w:rPr>
          <w:rFonts w:eastAsia="IRNazanin" w:cs="IRNazanin"/>
          <w:color w:val="111111"/>
          <w:sz w:val="28"/>
          <w:szCs w:val="28"/>
          <w:rtl w:val="true"/>
          <w:lang w:bidi="fa-IR"/>
        </w:rPr>
        <w:t>.</w:t>
      </w:r>
    </w:p>
    <w:p>
      <w:pPr>
        <w:pStyle w:val="Heading5"/>
        <w:numPr>
          <w:ilvl w:val="4"/>
          <w:numId w:val="1"/>
        </w:numPr>
        <w:rPr/>
      </w:pPr>
      <w:bookmarkStart w:id="370" w:name="__RefHeading___Toc508860_1738255347"/>
      <w:bookmarkStart w:id="371" w:name="_Toc123"/>
      <w:bookmarkEnd w:id="370"/>
      <w:r>
        <w:rPr>
          <w:rtl w:val="true"/>
        </w:rPr>
        <w:t>التجرّی</w:t>
      </w:r>
      <w:bookmarkEnd w:id="371"/>
    </w:p>
    <w:p>
      <w:pPr>
        <w:pStyle w:val="BookText"/>
        <w:rPr/>
      </w:pPr>
      <w:r>
        <w:rPr>
          <w:rFonts w:ascii="IRNazanin" w:hAnsi="IRNazanin" w:eastAsia="IRNazanin"/>
          <w:color w:val="111111"/>
          <w:sz w:val="28"/>
          <w:sz w:val="28"/>
          <w:szCs w:val="28"/>
          <w:rtl w:val="true"/>
          <w:lang w:bidi="fa-IR"/>
        </w:rPr>
        <w:t>إذا قطع المکلّف بوجوبٍ أو تحریمٍ فخالفه وکان التکلیف ثابتاً فی الواقع اعتبر عاصیاً ، وأمّا إذا قطع بالتکلیف وخالفه ولم یکن التکلیف ثابتاً واقعاً سمّی متجرّیاً ، وقد وقع البحث فی أنّه هل یُدانُ مثل هذا المکلّف المتجرّی بحکم العقل ویستحقّ العقاب کالعاصی ، أوْ لا؟</w:t>
      </w:r>
    </w:p>
    <w:p>
      <w:pPr>
        <w:pStyle w:val="BookText"/>
        <w:rPr/>
      </w:pPr>
      <w:r>
        <w:rPr>
          <w:rFonts w:ascii="IRNazanin" w:hAnsi="IRNazanin" w:eastAsia="IRNazanin"/>
          <w:color w:val="111111"/>
          <w:sz w:val="28"/>
          <w:sz w:val="28"/>
          <w:szCs w:val="28"/>
          <w:rtl w:val="true"/>
          <w:lang w:bidi="fa-IR"/>
        </w:rPr>
        <w:t>ومرّةً اخری یجب أن نرجع إلی حقّ الطاعة الذی تمثّله مولویّة المولی لنحدّد موضوعه ، فهل موضوعه هو التکلیف المنکشف للمکلّف ، أو مجرّد الانکشاف ولو لم یکن مصیباً؟ بمعنی أنّ حقّ المولی علی الإنسان هل فی أن یطیعه فی تکالیفه التی انکشفت لدیه ، أو فی کلّ ما یُتراءی له من تکالیفه ، سواءکان هناک تکلیف حقّاً أوْ لا؟</w:t>
      </w:r>
    </w:p>
    <w:p>
      <w:pPr>
        <w:pStyle w:val="BookText"/>
        <w:rPr/>
      </w:pPr>
      <w:r>
        <w:rPr>
          <w:rFonts w:ascii="IRNazanin" w:hAnsi="IRNazanin" w:eastAsia="IRNazanin"/>
          <w:color w:val="111111"/>
          <w:sz w:val="28"/>
          <w:sz w:val="28"/>
          <w:szCs w:val="28"/>
          <w:rtl w:val="true"/>
          <w:lang w:bidi="fa-IR"/>
        </w:rPr>
        <w:t>فعلی الأوّل لا یکون المکلّف المتجرّی قد أخلّ بحقّ الطاعة ، إذ لا تکلیف ، وعلی الثانی یکون قد أخلّ به فیستحقّ العقاب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هو الثانی ؛ لأنّ حقّ الطاعة ینشأ من لزوم احترام المولی عقلاً </w:t>
      </w:r>
      <w:bookmarkStart w:id="372" w:name="pg14075_144568"/>
    </w:p>
    <w:p>
      <w:pPr>
        <w:pStyle w:val="BookText"/>
        <w:rPr/>
      </w:pPr>
      <w:bookmarkEnd w:id="372"/>
      <w:r>
        <w:rPr>
          <w:rFonts w:ascii="IRNazanin" w:hAnsi="IRNazanin" w:eastAsia="IRNazanin"/>
          <w:color w:val="111111"/>
          <w:sz w:val="28"/>
          <w:sz w:val="28"/>
          <w:szCs w:val="28"/>
          <w:rtl w:val="true"/>
          <w:lang w:bidi="fa-IR"/>
        </w:rPr>
        <w:t>ورعایة حرمته ، ولا شکّ فی أنّه من الناحیة الاحترامیّة ورعایة الحرمة لا فرق بین التحدّی الذی یقع من العاصی والتحدّی الذی یقع من المتجرّی ، فالمتجرّی إذن یستحقّ العقاب کالعاصی</w:t>
      </w:r>
      <w:r>
        <w:rPr>
          <w:rFonts w:eastAsia="IRNazanin" w:cs="IRNazanin"/>
          <w:color w:val="111111"/>
          <w:sz w:val="28"/>
          <w:szCs w:val="28"/>
          <w:rtl w:val="true"/>
          <w:lang w:bidi="fa-IR"/>
        </w:rPr>
        <w:t>.</w:t>
      </w:r>
    </w:p>
    <w:p>
      <w:pPr>
        <w:pStyle w:val="Heading5"/>
        <w:numPr>
          <w:ilvl w:val="4"/>
          <w:numId w:val="1"/>
        </w:numPr>
        <w:rPr/>
      </w:pPr>
      <w:bookmarkStart w:id="373" w:name="__RefHeading___Toc508862_1738255347"/>
      <w:bookmarkStart w:id="374" w:name="_Toc124"/>
      <w:bookmarkEnd w:id="373"/>
      <w:r>
        <w:rPr>
          <w:rtl w:val="true"/>
        </w:rPr>
        <w:t>العلم الإجمالی</w:t>
      </w:r>
      <w:bookmarkEnd w:id="374"/>
    </w:p>
    <w:p>
      <w:pPr>
        <w:pStyle w:val="BookText"/>
        <w:rPr/>
      </w:pPr>
      <w:r>
        <w:rPr>
          <w:rFonts w:ascii="IRNazanin" w:hAnsi="IRNazanin" w:eastAsia="IRNazanin"/>
          <w:color w:val="111111"/>
          <w:sz w:val="28"/>
          <w:sz w:val="28"/>
          <w:szCs w:val="28"/>
          <w:rtl w:val="true"/>
          <w:lang w:bidi="fa-IR"/>
        </w:rPr>
        <w:t xml:space="preserve">القطع تارةً یتعلّق بشیءٍ محدّدٍ ویسمّی بالعلم التفصیلی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بوجوب صلاة الفجر ، أو العلم بنجاسة هذا الإناء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یتعلّق بأحد شیئین لا علی وجه التعیین ، ویسمّی بالعلم الإجمالی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بوجوب صلاةٍمّا فی ظهر الجمعة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الظهر أوالجمعة دون أن تقدر علی تعیین الوجوب فی إحداهما بالضبط ، أو العلم بنجاسة أحد الإناءین بدون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إذا حلّلنا العلم الإجمالیّ نجد أنّه مزدوج من العلم بالجامع بین الشیئین ، ومن شکوکٍ واحتمالاتٍ بعدد الأطراف التی یتردّد بینها ذلک الجامع ، ففی المثال الأوّل یوجد عندنا علم بوجوب صلاةٍ مّا ، وعندنا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صلاة الظهر خاصّة ، ولوجوب صلاة الجمعة خاصّة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العلم بالجامع منجّز ، وأنّ الاحتمال فی کلّ طرفٍ منجّز أیضاً ، وفقاً لما تقدّم من أنّ کلّ انکشافٍ منجّز مهما کانت درجته ، ولکنّ منجّزیّة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معلّقة ، ومنجّزیّة الاحتمال معلّقة ، ومن هنا کان بإمکان المولی فی حالات العلم الإجمالیّ أن یبطل منجّزیّة احتمال هذا الطرف أو ذاک ، وذلک بالترخیص الظاهریّ فی عدم التحفّظ ، فإذا رخّص فقط فی إهمال احتمال وجوب صلاة الظهر بطلت منجّزیّة هذا الاحتمال ، وظلّت منجّزیّة احتمال وجوب الجمعة علی حالها ، وکذلک منجّزیّة العلم بالجامع فإنّها تظلّ ثابتةً أیضاً ، بمعنی أنّ المکلّف لا یمکنه أن یترک کلتا الصلاتین رأساً</w:t>
      </w:r>
      <w:r>
        <w:rPr>
          <w:rFonts w:eastAsia="IRNazanin" w:cs="IRNazanin"/>
          <w:color w:val="111111"/>
          <w:sz w:val="28"/>
          <w:szCs w:val="28"/>
          <w:rtl w:val="true"/>
          <w:lang w:bidi="fa-IR"/>
        </w:rPr>
        <w:t xml:space="preserve">. </w:t>
      </w:r>
      <w:bookmarkStart w:id="375" w:name="pg14075_144569"/>
    </w:p>
    <w:p>
      <w:pPr>
        <w:pStyle w:val="BookText"/>
        <w:rPr/>
      </w:pPr>
      <w:bookmarkEnd w:id="375"/>
      <w:r>
        <w:rPr>
          <w:rFonts w:ascii="IRNazanin" w:hAnsi="IRNazanin" w:eastAsia="IRNazanin"/>
          <w:color w:val="111111"/>
          <w:sz w:val="28"/>
          <w:sz w:val="28"/>
          <w:szCs w:val="28"/>
          <w:rtl w:val="true"/>
          <w:lang w:bidi="fa-IR"/>
        </w:rPr>
        <w:t>وإذا رخّص المولی فقط فی إهمال احتمال وجوب صلاة الجمعة بطلت منجّزیّة هذاالاحتمال ، وظلّت منجّزیّة الباقی کماتقدّم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وبإمکان المولی أن یرخّص فی کلٍ من الطرفین معاً بترخیصین ظاهریَّین ، وبهذا تبطل کلّ المنجّزیّات بما فیها منجّزیّة العلم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بالجامع فرد من القطع ، وقد تقدّم أنّ منجّزیّة القطع غیر معلّقة ، فکیف ترتفع منجّزیّة العلم بالجامع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الذی تکون منجّزیّته غیر معلّقةٍ هو العلم التفصیلیّ ، إذ لا مجال للترخیص الظاهریّ فی مورده ؛ لأنّ الترخیص الظاهریّ لا یمکن إلاّفی حالة الشکّ ، ولا شکّ مع العلم التفصیلیّ ، ولکن فی حالة العلم الإجمالیّ حیث إنّ الشکّ فی کلّ طرفٍ موجود فهناک مجال للترخیص الظاهریّ ، فتکون منجّزیّة العلم الإجمالیِّ معلّقةً علی عدم إحراز الترخیص الظاهریّ فی 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الناحیة النظریّةثبوتاً ، وأمّا من الناحیة الواقعیّة إثباتاً وأ نّه هل صدر من الشارع ترخیص فی کلّ من طرفی العلم الإجمالی؟ فهذا ما یقع البحث عنه فی الاصول العملیّة</w:t>
      </w:r>
      <w:r>
        <w:rPr>
          <w:rFonts w:eastAsia="IRNazanin" w:cs="IRNazanin"/>
          <w:color w:val="111111"/>
          <w:sz w:val="28"/>
          <w:szCs w:val="28"/>
          <w:rtl w:val="true"/>
          <w:lang w:bidi="fa-IR"/>
        </w:rPr>
        <w:t>.</w:t>
      </w:r>
    </w:p>
    <w:p>
      <w:pPr>
        <w:pStyle w:val="Heading5"/>
        <w:numPr>
          <w:ilvl w:val="4"/>
          <w:numId w:val="1"/>
        </w:numPr>
        <w:rPr/>
      </w:pPr>
      <w:bookmarkStart w:id="376" w:name="__RefHeading___Toc508864_1738255347"/>
      <w:bookmarkStart w:id="377" w:name="_Toc125"/>
      <w:bookmarkEnd w:id="376"/>
      <w:r>
        <w:rPr>
          <w:rtl w:val="true"/>
        </w:rPr>
        <w:t>القطع الطریقیّ و الموضوعی</w:t>
      </w:r>
      <w:bookmarkEnd w:id="3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یحکم الشارع بحرمة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فیقطع المکلّف بالحرمة ، ویقطع بأنّ هذا خمر ، وبذلک یصبح التکلیف منجَّزاً علیه ، کما تقدّم </w:t>
      </w:r>
      <w:r>
        <w:rPr>
          <w:rStyle w:val="FootnoteAnchor"/>
          <w:rtl w:val="true"/>
        </w:rPr>
        <w:footnoteReference w:id="62"/>
      </w:r>
      <w:r>
        <w:rPr>
          <w:rFonts w:ascii="IRNazanin" w:hAnsi="IRNazanin" w:eastAsia="IRNazanin"/>
          <w:color w:val="111111"/>
          <w:sz w:val="28"/>
          <w:sz w:val="28"/>
          <w:szCs w:val="28"/>
          <w:rtl w:val="true"/>
          <w:lang w:bidi="fa-IR"/>
        </w:rPr>
        <w:t xml:space="preserve">، ویسمّی القطع فی هذه الحالة بالقطع الطریقیّ بالنسبة إلی تلک الحرمة ؛ لأنّه مجرّد طریقٍ وکاشفٍ عنها ؛ ولیس له دخل وتأثیر فی وجودها واقعاً ؛ لأنّ الحرمة ثابتة للخمر علی أیّ حال ، </w:t>
      </w:r>
      <w:bookmarkStart w:id="378" w:name="pg14075_144570"/>
    </w:p>
    <w:p>
      <w:pPr>
        <w:pStyle w:val="BookText"/>
        <w:rPr/>
      </w:pPr>
      <w:bookmarkEnd w:id="378"/>
      <w:r>
        <w:rPr>
          <w:rFonts w:ascii="Amiri" w:hAnsi="Amiri" w:eastAsia="Amiri" w:cs="Amiri"/>
          <w:color w:val="111111"/>
          <w:sz w:val="28"/>
          <w:sz w:val="28"/>
          <w:szCs w:val="28"/>
          <w:rtl w:val="true"/>
          <w:lang w:bidi="ar-SA"/>
        </w:rPr>
        <w:t>سواء قطع المکلّف بأنّ هذا خمر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 یحکم الشارع بأنّ ما تقطع بأ نّه خمر حرام ، فلا یحرم الخمر إلاّإذا قطع المکلّف بأ نّه خمر ، ویسمّی القطع فی هذه الحالة بالقطع الموضوعیّ ؛ لأنّه دخیل فی وجود الحرمة ، وثبوتها للخمر ، فهو بمثابة الموضوع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والقطع إنّما ینجّز التکلیف إذا کان قطعاً طریقیّاً بالنسبة إلیه ؛ لأنّ منجّزیّته إنّما هی من أجل کاشفیّته ، وهو إنّما یکشف عمّا یکون قطعاً طریقیّاً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التکلیف الذی یکون القطع موضوعاً له ودخیلاً فی أصل ثبوته فهو لا یتنجّز بذلک القطع ، ففی المثال المتقدّم للقطع الموضوعیّ لا یکون القطع بالخمریّة منجّزاً للحرمة ؛ لأ نّه لا یکشف عنها ، وإنّما یولّدها ، بل الذی ینجّز الحرمة فی هذا المثال القطع بحرمة 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ینجّز کلّ قطعٍ ما یکون کاشفاً عنه وطریقاً إلیه من التکالیف ، دون ما یکون موضوعاً ومولّداً له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یتّفق أن یکون قطع واحد طریقیّاً بالنسبة إلی تکلیفٍ وموضوعیّاً بالنسبة إلی تکلیفٍ آخر ، کما 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بحرمة الخمر فیحرم علیه بیعه ، فإنّ القطع بحرمة الخمر قطع طریقیّ بالنسبة إلی حرمة الخمر ، وقطع موضوعیّ بالنسبة إلی حرمة بیع الخمر</w:t>
      </w:r>
      <w:r>
        <w:rPr>
          <w:rFonts w:eastAsia="IRNazanin" w:cs="IRNazanin"/>
          <w:color w:val="111111"/>
          <w:sz w:val="28"/>
          <w:szCs w:val="28"/>
          <w:rtl w:val="true"/>
          <w:lang w:bidi="fa-IR"/>
        </w:rPr>
        <w:t>.</w:t>
      </w:r>
    </w:p>
    <w:p>
      <w:pPr>
        <w:pStyle w:val="Heading5"/>
        <w:numPr>
          <w:ilvl w:val="4"/>
          <w:numId w:val="1"/>
        </w:numPr>
        <w:rPr/>
      </w:pPr>
      <w:bookmarkStart w:id="379" w:name="__RefHeading___Toc508866_1738255347"/>
      <w:bookmarkStart w:id="380" w:name="_Toc126"/>
      <w:bookmarkEnd w:id="379"/>
      <w:r>
        <w:rPr>
          <w:rtl w:val="true"/>
        </w:rPr>
        <w:t>جواز الإسناد إلی المولی</w:t>
      </w:r>
      <w:bookmarkEnd w:id="380"/>
    </w:p>
    <w:p>
      <w:pPr>
        <w:pStyle w:val="BookText"/>
        <w:rPr/>
      </w:pPr>
      <w:r>
        <w:rPr>
          <w:rFonts w:ascii="IRNazanin" w:hAnsi="IRNazanin" w:eastAsia="IRNazanin"/>
          <w:color w:val="111111"/>
          <w:sz w:val="28"/>
          <w:sz w:val="28"/>
          <w:szCs w:val="28"/>
          <w:rtl w:val="true"/>
          <w:lang w:bidi="fa-IR"/>
        </w:rPr>
        <w:t>وهناک جانب ثالث فی القطع غیر المنجّزیّة والمعذّریّة ، وهو جواز إسناد الحکم المقطوع إلی المولی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المنجّزیّة والمعذّریّة ترتبطان بالجانب العملی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بالحرمة منجّز لها ، بمعنی أنّه لابدّ للقاطع أن لا یرتکب ما قطع بحرمته ، وإنّ القطع بعدم الحرمة معذّر عنها ، بمعنی أنّ له أن یرتکب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شیء آخر وهو </w:t>
      </w:r>
      <w:bookmarkStart w:id="381" w:name="pg14075_144571"/>
    </w:p>
    <w:p>
      <w:pPr>
        <w:pStyle w:val="BookText"/>
        <w:rPr/>
      </w:pPr>
      <w:bookmarkEnd w:id="381"/>
      <w:r>
        <w:rPr>
          <w:rFonts w:ascii="IRNazanin" w:hAnsi="IRNazanin" w:eastAsia="IRNazanin"/>
          <w:color w:val="111111"/>
          <w:sz w:val="28"/>
          <w:sz w:val="28"/>
          <w:szCs w:val="28"/>
          <w:rtl w:val="true"/>
          <w:lang w:bidi="fa-IR"/>
        </w:rPr>
        <w:t xml:space="preserve">إسناد الحرمة نفسها إلی المولی ، فإنّ القطع بحرمة الخمر یؤدّی إلی جواز إسناد الحرمة إلی المولی ، بأن یقول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حرّم الخمر ؛ لأنّه قول بعلم ، وقد أذن الشارع فی القول بعلمٍ وحرّم القول بلا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وبالتدبّر فی ما بیّنّاه من التمییز بین القطع الطریقیّ والقطع الموضوعیّ یتّضح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القطع بالنسبة إلی جواز الإسناد قطع موضوعیّ لا طریقیّ ؛ لأنّ جواز الإسناد حکم شرعیّ اخذ فی موضوعه القطع بما یسند إلی المولی</w:t>
      </w:r>
      <w:r>
        <w:rPr>
          <w:rFonts w:eastAsia="IRNazanin" w:cs="IRNazanin"/>
          <w:color w:val="111111"/>
          <w:sz w:val="28"/>
          <w:szCs w:val="28"/>
          <w:rtl w:val="true"/>
          <w:lang w:bidi="fa-IR"/>
        </w:rPr>
        <w:t>.</w:t>
      </w:r>
    </w:p>
    <w:p>
      <w:pPr>
        <w:pStyle w:val="Heading5"/>
        <w:numPr>
          <w:ilvl w:val="4"/>
          <w:numId w:val="1"/>
        </w:numPr>
        <w:rPr/>
      </w:pPr>
      <w:bookmarkStart w:id="382" w:name="__RefHeading___Toc508868_1738255347"/>
      <w:bookmarkStart w:id="383" w:name="_Toc127"/>
      <w:bookmarkEnd w:id="382"/>
      <w:r>
        <w:rPr>
          <w:rtl w:val="true"/>
        </w:rPr>
        <w:t>تلخیص و مقارنة</w:t>
      </w:r>
      <w:bookmarkEnd w:id="383"/>
    </w:p>
    <w:p>
      <w:pPr>
        <w:pStyle w:val="BookText"/>
        <w:rPr/>
      </w:pPr>
      <w:r>
        <w:rPr>
          <w:rFonts w:ascii="IRNazanin" w:hAnsi="IRNazanin" w:eastAsia="IRNazanin"/>
          <w:color w:val="111111"/>
          <w:sz w:val="28"/>
          <w:sz w:val="28"/>
          <w:szCs w:val="28"/>
          <w:rtl w:val="true"/>
          <w:lang w:bidi="fa-IR"/>
        </w:rPr>
        <w:t xml:space="preserve">اتّضح ممّا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تنجّز التکلیف المقطوع لمّا کان من شؤون حقّ الطاعة للمولی سبحانه ، وکان حقّ الطاعة له یشمل کلّ ما ینکشف من تکالیفه ولو انکشافاً احتمالیّاً فالمنجّزیّة إذن لیست مختصّةً بالقطع ، بل تشمل کلّ انکشافٍ مهما کانت درجته ، وإن کانت بالقطع تصبح مؤکّدةً وغیر معلّقة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لذلک مسلک من افترض المنجّزیّة والحجّیّة لازماً ذاتیّاً للقطع ، فإنّه ادّعی أنّها من خواصّ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لا قطع ولا علم لا منجّزیّة ، فکلّ تکلیفٍ لم ینکشف بالقطع والیقین فهو غیر منجّزٍ ولا یصحّ العقاب علیه ، وسمّی ذلک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بلا قطعٍ وعلم </w:t>
      </w:r>
      <w:r>
        <w:rPr>
          <w:rStyle w:val="FootnoteAnchor"/>
          <w:rtl w:val="true"/>
        </w:rPr>
        <w:footnoteReference w:id="63"/>
      </w:r>
      <w:r>
        <w:rPr>
          <w:rFonts w:ascii="IRNazanin" w:hAnsi="IRNazanin" w:eastAsia="IRNazanin"/>
          <w:color w:val="111111"/>
          <w:sz w:val="28"/>
          <w:sz w:val="28"/>
          <w:szCs w:val="28"/>
          <w:rtl w:val="true"/>
          <w:lang w:bidi="fa-IR"/>
        </w:rPr>
        <w:t>، وفاته أنّ هذا فی الحقیقة تحدید لمولویّة المولی وحقّ الطاعة 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مسلکان یحدّد کلّ منهما الطریق فی کثیرٍ من المسائل المتفرّعة ، ویوضّح للفقیه منهجاً مغایراً من الناحیة النظریّة لمنهج المسلک الآخر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ونسمّی المسلک المختار بمسلک حقّ الطاعة ، والآخربمسلک قبح العقاب بلابیان</w:t>
      </w:r>
      <w:r>
        <w:rPr>
          <w:rFonts w:eastAsia="IRNazanin" w:cs="IRNazanin"/>
          <w:color w:val="111111"/>
          <w:sz w:val="28"/>
          <w:szCs w:val="28"/>
          <w:rtl w:val="true"/>
          <w:lang w:bidi="fa-IR"/>
        </w:rPr>
        <w:t xml:space="preserve">. </w:t>
      </w:r>
      <w:bookmarkStart w:id="384" w:name="pg14075_144572"/>
    </w:p>
    <w:p>
      <w:pPr>
        <w:pStyle w:val="Heading3"/>
        <w:numPr>
          <w:ilvl w:val="2"/>
          <w:numId w:val="1"/>
        </w:numPr>
        <w:rPr/>
      </w:pPr>
      <w:bookmarkStart w:id="385" w:name="__RefHeading___Toc508870_1738255347"/>
      <w:bookmarkStart w:id="386" w:name="_Toc128"/>
      <w:bookmarkEnd w:id="384"/>
      <w:bookmarkEnd w:id="385"/>
      <w:r>
        <w:rPr>
          <w:rtl w:val="true"/>
        </w:rPr>
        <w:t>الأدلّة</w:t>
      </w:r>
      <w:bookmarkEnd w:id="386"/>
    </w:p>
    <w:p>
      <w:pPr>
        <w:pStyle w:val="Heading4"/>
        <w:numPr>
          <w:ilvl w:val="3"/>
          <w:numId w:val="1"/>
        </w:numPr>
        <w:rPr/>
      </w:pPr>
      <w:bookmarkStart w:id="387" w:name="__RefHeading___Toc508872_1738255347"/>
      <w:bookmarkStart w:id="388" w:name="_Toc12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العملیّة ، أو الأدلّة العملیّة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075_144574"/>
      <w:bookmarkStart w:id="390" w:name="pg14075_144574"/>
      <w:bookmarkEnd w:id="390"/>
    </w:p>
    <w:p>
      <w:pPr>
        <w:pStyle w:val="Heading4"/>
        <w:numPr>
          <w:ilvl w:val="3"/>
          <w:numId w:val="1"/>
        </w:numPr>
        <w:rPr/>
      </w:pPr>
      <w:bookmarkStart w:id="391" w:name="pg14075_144574"/>
      <w:bookmarkStart w:id="392" w:name="__RefHeading___Toc508874_1738255347"/>
      <w:bookmarkStart w:id="393" w:name="_Toc130"/>
      <w:bookmarkEnd w:id="391"/>
      <w:bookmarkEnd w:id="392"/>
      <w:r>
        <w:rPr>
          <w:rtl w:val="true"/>
        </w:rPr>
        <w:t>تحدید المنهج فی الأدلّة و الاصول</w:t>
      </w:r>
      <w:bookmarkEnd w:id="393"/>
    </w:p>
    <w:p>
      <w:pPr>
        <w:pStyle w:val="Heading5"/>
        <w:numPr>
          <w:ilvl w:val="4"/>
          <w:numId w:val="1"/>
        </w:numPr>
        <w:rPr/>
      </w:pPr>
      <w:bookmarkStart w:id="394" w:name="__RefHeading___Toc508876_1738255347"/>
      <w:bookmarkStart w:id="395" w:name="_Toc131"/>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 xml:space="preserve">عرفنا سابقاً أنّ الأدلّة التی یستند إلیها الفقیه فی استدلاله الفقهیّ واستنباطه للحکم الشرعیّ علی قسمین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أدلّة محرزة یطلب بها کشف الواقع ، وإمّا أدلّة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 الوظیفة العملیّة للشاکّ الذی لا یعلم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علی العموم بأنّ کلّ واقعةٍ یعالج الفقیه حکمها یوجد فیها دلیل من القسم الثانی ، أی أصل عملیّ یحدّد لغیر العالم الوظیفة العملیّة ، فإن توفّر للفقیه الحصول علی دلیلٍ محرزٍ أخذ به ، وترک الأصل العملیّ وفقاً لقاعدة تقدّم الأدلّة المحرزة علی الاصول العملیّة ، 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یتوفّر دلیل محرز أخذ بالأصل العملی ، فهو المرجع العامّ للفقیه حیث لا یوجد دلیل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وتختلف الأدلّة المحرزة عن الاصول العملیّة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تکون أدلّةً ومستَنَداً للفقیه بلحاظ کاشفیّتها عن الواقع وإحرازها للحکم الشرعی ، وأمّا هذه فتکون أدلّةً من الوجهة العملیّة فقط ، بمعنی أنّها تحدّد کیف یتصرّف الإنسان الذی لا یعرف الحکم الشرعیّ للواقعة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الأدلّة المحرزة تختلف فیما بینها ؛ لأنّ بعضها أدلّة قطعیّة تؤدّی إلی القطع بالحکم الشرعی ، وبعضها أدلّة ظنّیّة تؤدّی إلی کشفٍ ناقصٍ محتملِ الخطأ عن الحکم الشرعیّ ، وهذه الأدلّة الظنّیّة هی التی تسمّی بالأمارات</w:t>
      </w:r>
      <w:r>
        <w:rPr>
          <w:rFonts w:eastAsia="Amiri" w:cs="Amiri" w:ascii="Amiri" w:hAnsi="Amiri"/>
          <w:color w:val="111111"/>
          <w:sz w:val="28"/>
          <w:szCs w:val="28"/>
          <w:rtl w:val="true"/>
          <w:lang w:bidi="ar-SA"/>
        </w:rPr>
        <w:t xml:space="preserve">. </w:t>
      </w:r>
      <w:bookmarkStart w:id="396" w:name="pg14075_144575"/>
    </w:p>
    <w:p>
      <w:pPr>
        <w:pStyle w:val="Heading5"/>
        <w:numPr>
          <w:ilvl w:val="4"/>
          <w:numId w:val="1"/>
        </w:numPr>
        <w:rPr/>
      </w:pPr>
      <w:bookmarkStart w:id="397" w:name="__RefHeading___Toc508878_1738255347"/>
      <w:bookmarkStart w:id="398" w:name="_Toc132"/>
      <w:bookmarkEnd w:id="396"/>
      <w:bookmarkEnd w:id="397"/>
      <w:r>
        <w:rPr>
          <w:rtl w:val="true"/>
        </w:rPr>
        <w:t>المنهج علی مسلک حقّ الطاعة</w:t>
      </w:r>
      <w:bookmarkEnd w:id="398"/>
    </w:p>
    <w:p>
      <w:pPr>
        <w:pStyle w:val="BookText"/>
        <w:rPr/>
      </w:pPr>
      <w:r>
        <w:rPr>
          <w:rFonts w:ascii="IRNazanin" w:hAnsi="IRNazanin" w:eastAsia="IRNazanin"/>
          <w:color w:val="111111"/>
          <w:sz w:val="28"/>
          <w:sz w:val="28"/>
          <w:szCs w:val="28"/>
          <w:rtl w:val="true"/>
          <w:lang w:bidi="fa-IR"/>
        </w:rPr>
        <w:t xml:space="preserve">وأعمّ الاصول العملیّة بناءً علی مسلک حقّ الطاعة هو أصالة اشتغال الذمّة ، وهذا أصل یحکم به العقل ، ومفاده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تکلیفٍ یحتمل وجوده ولم یثبت إذن الشارع فی ترک التحفّظ تجاهه فهو منجّز وتشتغل به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ذلک إلی ما تقدّم من أنّ حقّ الطاعة للمولی یشمل کلّ ما ینکشف من التکالیف ولوانکشافاً ظنّیاً أو احتمالیّاً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الأصل هو المستَنَد العامّ للفقیه ، ولا یرفع یده عنه إلاّفی بعض الحالات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دلیل محرز قطعیّ علی نفی التکلیف کان القطع معذّراً بحکم العقل ، کما تقدّم ، فیرفع یده عن أصالة الاشتغال إذ لا یبقی لها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دلیل محرز قطعیّ علی إثبات التکلیف فالتنجّز یظلّ علی حاله ، ولکنّه یکون بدرجةٍ أقوی وأشدّ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یتوفّر له القطع بالتکلیف لا نفیاً ولا إثباتاً ، ولکن حصل له القطع بترخیصٍ ظاهریٍّ من الشارع فی ترک التحفّظ ، فحیث إنّ منجّزیّة الاحتمال والظنّ معلّقة علی عدم ثبوت إذنٍ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ثبوته لا منجّزیّة ، فیرفع یده عن أصالة الاشتغال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یثبت بجعل الشارع الحجّیّة للأمارة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المحرز غیر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إذا أخبر الثقة المظنونُ الصدقَ بعدم الوجوب ، فقال لنا الشارع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یثبت بجعل الشارع لأصلٍ عملیٍّ من قبله ، کأصالة الحلّ الشرعیّة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والبراءة الشرعیّة </w:t>
      </w:r>
      <w:bookmarkStart w:id="399" w:name="pg14075_144576"/>
    </w:p>
    <w:p>
      <w:pPr>
        <w:pStyle w:val="BookText"/>
        <w:rPr/>
      </w:pPr>
      <w:bookmarkEnd w:id="399"/>
      <w:r>
        <w:rPr>
          <w:rFonts w:ascii="IRNazanin" w:hAnsi="IRNazanin" w:eastAsia="IRNazanin"/>
          <w:color w:val="111111"/>
          <w:sz w:val="28"/>
          <w:sz w:val="28"/>
          <w:szCs w:val="28"/>
          <w:rtl w:val="true"/>
          <w:lang w:bidi="fa-IR"/>
        </w:rPr>
        <w:t xml:space="preserve">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وقد تقدّم الفرق بین الأمارة والأصل العملی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یتوفّر له القطع بالتکلیف لا نفیاً ولا إثباتاً ، ولکن حصل له القطع بأنّ الشارع لا یأذن فی ترک التحفّظ فهذا یعنی أنّ منجّزیّة الاحتمال والظنّ تظل ثابتةً ؛ غیر أنّها آکد وأشدّ ممّا إذا کان الإذن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یثبت عدم الإذن من الشارع فی ترک التحفّظ بجعل الشارع الحجّیّة للأمارة ، کما إذا أخبر الثقة المظنونُ الصدقَ بالوجوب ، فقال الشارع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التشکیک فی ما یخبر به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یثبت بجعل الشارع لأصلٍ عملیٍّ من قبله ، کأصالة الاحتیاط الشرعیّة المجعولة فی بعض الحالات</w:t>
      </w:r>
      <w:r>
        <w:rPr>
          <w:rFonts w:eastAsia="IRNazanin" w:cs="IRNazanin"/>
          <w:color w:val="111111"/>
          <w:sz w:val="28"/>
          <w:szCs w:val="28"/>
          <w:rtl w:val="true"/>
          <w:lang w:bidi="fa-IR"/>
        </w:rPr>
        <w:t>.</w:t>
      </w:r>
    </w:p>
    <w:p>
      <w:pPr>
        <w:pStyle w:val="Heading5"/>
        <w:numPr>
          <w:ilvl w:val="4"/>
          <w:numId w:val="1"/>
        </w:numPr>
        <w:rPr/>
      </w:pPr>
      <w:bookmarkStart w:id="400" w:name="__RefHeading___Toc508880_1738255347"/>
      <w:bookmarkStart w:id="401" w:name="_Toc133"/>
      <w:bookmarkEnd w:id="400"/>
      <w:r>
        <w:rPr>
          <w:rtl w:val="true"/>
        </w:rPr>
        <w:t>فائدة المنجّزیّة و المعذّریّة الشرعیّة</w:t>
      </w:r>
      <w:bookmarkEnd w:id="40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ذکرناه ظهر أنّه فی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والثانیة لا معنی لتدخّل الشارع فی إیجاد معذّریّةٍ أو منجّزیّة ؛ لأنّ القطع ثابت ، وله معذّریّة ومنجّزیّة کاملة ، وفی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والرابعة یمکن للشارع أن یتدخّل فی ذلک ، فإذا ثبت عنه جعل الحجّیّة للأمارة النافیة للتکلیف ، أو جعل أصلٍ مرخّصٍ کأصالة الحلّ ارتفعت بذلک منجّزیّة الاحتمال أو الظنّ ؛ لأنّ هذا الجعل منه إذن فی ترک التحفّظ ، والمنجّزیّة المذکورة معلّقة علی عدم ثبوت الإذن المذکور ، وإذاثبت عنه جعل الحجّیّة لأمارةٍ مثبتةٍللتکلیف ، أو لأصلٍ یحکم بالتحفّظ تأکّدت بذلک منجّزیّة الاحتمال ؛ لأنّ ثبوت ذلک الجعل معناه العلم بعدم الإذن فی ترک التحفّظ ، ونفی لأصالة الحلّ ونحوها</w:t>
      </w:r>
      <w:r>
        <w:rPr>
          <w:rFonts w:eastAsia="IRNazanin" w:cs="IRNazanin"/>
          <w:color w:val="111111"/>
          <w:sz w:val="28"/>
          <w:szCs w:val="28"/>
          <w:rtl w:val="true"/>
          <w:lang w:bidi="fa-IR"/>
        </w:rPr>
        <w:t xml:space="preserve">. </w:t>
      </w:r>
      <w:bookmarkStart w:id="402" w:name="pg14075_144577"/>
    </w:p>
    <w:p>
      <w:pPr>
        <w:pStyle w:val="Heading5"/>
        <w:numPr>
          <w:ilvl w:val="4"/>
          <w:numId w:val="1"/>
        </w:numPr>
        <w:rPr/>
      </w:pPr>
      <w:bookmarkStart w:id="403" w:name="__RefHeading___Toc508882_1738255347"/>
      <w:bookmarkStart w:id="404" w:name="_Toc134"/>
      <w:bookmarkEnd w:id="402"/>
      <w:bookmarkEnd w:id="403"/>
      <w:r>
        <w:rPr>
          <w:rtl w:val="true"/>
        </w:rPr>
        <w:t>المنهج علی مسلک قبح العقاب بلا بیان</w:t>
      </w:r>
      <w:bookmarkEnd w:id="404"/>
    </w:p>
    <w:p>
      <w:pPr>
        <w:pStyle w:val="BookText"/>
        <w:rPr/>
      </w:pPr>
      <w:r>
        <w:rPr>
          <w:rFonts w:ascii="IRNazanin" w:hAnsi="IRNazanin" w:eastAsia="IRNazanin"/>
          <w:color w:val="111111"/>
          <w:sz w:val="28"/>
          <w:sz w:val="28"/>
          <w:szCs w:val="28"/>
          <w:rtl w:val="true"/>
          <w:lang w:bidi="fa-IR"/>
        </w:rPr>
        <w:t xml:space="preserve">وما تقدّم کان بناءً علی مسلک حقّ الطاعة ، وأمّا بناءً علی مسلک قبح العقاب بلا بیان فالأمر علی العکس تماماً والبدایة مختلفة ، فإنّ أعمّ الاصول العملیّة حینئذٍ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وتسمّی أیضاً بالبراءة العقلیّة ، ومفادها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غیر ملزمٍ عقلاً بالتحفّظ تجاه أیّ تکلیفٍ ما لم ینکشف بالقطع والیقین ، وهذا الأصل لا یرفع الفقیه یده عنه إلاّفی بعض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ولنستعرض الحالات الأربع المتقدّمة ؛ لنری حال الفقیه فیها بناءً علی مسلک قبح العقاب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الحالة الاولی فیظلّ فیها قبح العقاب ثابتاً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أنّه یتأکّد بحصول القطع بعدم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الحالة الثانیة فیرتفع فیها موضوع البراءة العقلیّة ؛ لأنّ عدم البیان علی التکلیف تبدّل إلی البیان والقطع فیتنجّز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الحالة الثالثة فیظلّ فیها قبح العقاب ثابتاً ، غیر أنّه یتأکّد بثبوت الإذن من الشارع فی ترک التحفّظ</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الحالة الرابعة فأصحاب هذا المسلک یلتزمون عملیّاً فیها بأنّ التکلیف یتنجّز علی الرغم من أنّه غیر معلوم ، ویتحیّرون نظریّاً فی کیفیّة تخریج ذلک علی قاعدتهم القائلة بقبح العقاب بلا بیان ، بمعنی أنّ الأمارة المثبتة للتکلیف بعد جعل الحجّیّة لها أو أصالة الاحتیاط کیف تقوم مقام القطع الطریقیّ فتنجِّز التکلیف ، مع أنّه لا یزال مشکوکاً وداخلاً فی نطاق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الحلقة التالیة </w:t>
      </w:r>
      <w:r>
        <w:rPr>
          <w:rStyle w:val="FootnoteAnchor"/>
          <w:rtl w:val="true"/>
        </w:rPr>
        <w:footnoteReference w:id="67"/>
      </w:r>
      <w:r>
        <w:rPr>
          <w:rFonts w:ascii="IRNazanin" w:hAnsi="IRNazanin" w:eastAsia="IRNazanin"/>
          <w:color w:val="111111"/>
          <w:sz w:val="28"/>
          <w:sz w:val="28"/>
          <w:szCs w:val="28"/>
          <w:rtl w:val="true"/>
          <w:lang w:bidi="fa-IR"/>
        </w:rPr>
        <w:t>بعض أوجه العلاج للمشکلة عند أصحاب هذا المسلک</w:t>
      </w:r>
      <w:r>
        <w:rPr>
          <w:rFonts w:eastAsia="IRNazanin" w:cs="IRNazanin"/>
          <w:color w:val="111111"/>
          <w:sz w:val="28"/>
          <w:szCs w:val="28"/>
          <w:rtl w:val="true"/>
          <w:lang w:bidi="fa-IR"/>
        </w:rPr>
        <w:t xml:space="preserve">. </w:t>
      </w:r>
      <w:bookmarkStart w:id="405" w:name="pg14075_144578"/>
    </w:p>
    <w:p>
      <w:pPr>
        <w:pStyle w:val="Heading4"/>
        <w:numPr>
          <w:ilvl w:val="3"/>
          <w:numId w:val="1"/>
        </w:numPr>
        <w:rPr/>
      </w:pPr>
      <w:bookmarkStart w:id="406" w:name="__RefHeading___Toc508884_1738255347"/>
      <w:bookmarkStart w:id="407" w:name="_Toc135"/>
      <w:bookmarkEnd w:id="405"/>
      <w:bookmarkEnd w:id="406"/>
      <w:r>
        <w:rPr>
          <w:rtl w:val="true"/>
        </w:rPr>
        <w:t>الأدلّة المُحْرِزَة</w:t>
      </w:r>
      <w:bookmarkEnd w:id="407"/>
    </w:p>
    <w:p>
      <w:pPr>
        <w:pStyle w:val="Heading5"/>
        <w:numPr>
          <w:ilvl w:val="4"/>
          <w:numId w:val="1"/>
        </w:numPr>
        <w:rPr/>
      </w:pPr>
      <w:bookmarkStart w:id="408" w:name="__RefHeading___Toc508886_1738255347"/>
      <w:bookmarkStart w:id="409" w:name="_Toc136"/>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تمهید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4075_144580"/>
      <w:bookmarkStart w:id="411" w:name="pg14075_144580"/>
      <w:bookmarkEnd w:id="411"/>
    </w:p>
    <w:p>
      <w:pPr>
        <w:pStyle w:val="Heading5"/>
        <w:numPr>
          <w:ilvl w:val="4"/>
          <w:numId w:val="1"/>
        </w:numPr>
        <w:rPr/>
      </w:pPr>
      <w:bookmarkStart w:id="412" w:name="pg14075_144580"/>
      <w:bookmarkStart w:id="413" w:name="__RefHeading___Toc508888_1738255347"/>
      <w:bookmarkStart w:id="414" w:name="_Toc137"/>
      <w:bookmarkEnd w:id="412"/>
      <w:bookmarkEnd w:id="413"/>
      <w:r>
        <w:rPr>
          <w:rtl w:val="true"/>
        </w:rPr>
        <w:t>[</w:t>
      </w:r>
      <w:r>
        <w:rPr>
          <w:rtl w:val="true"/>
        </w:rPr>
        <w:t>تمهید</w:t>
      </w:r>
      <w:r>
        <w:rPr>
          <w:rtl w:val="true"/>
        </w:rPr>
        <w:t>]</w:t>
      </w:r>
      <w:bookmarkEnd w:id="414"/>
    </w:p>
    <w:p>
      <w:pPr>
        <w:pStyle w:val="Heading6"/>
        <w:numPr>
          <w:ilvl w:val="5"/>
          <w:numId w:val="1"/>
        </w:numPr>
        <w:rPr/>
      </w:pPr>
      <w:bookmarkStart w:id="415" w:name="__RefHeading___Toc508890_1738255347"/>
      <w:bookmarkStart w:id="416" w:name="_Toc138"/>
      <w:bookmarkEnd w:id="415"/>
      <w:r>
        <w:rPr>
          <w:rtl w:val="true"/>
        </w:rPr>
        <w:t>تقسیم البحث فی الأدلّة المحرزة</w:t>
      </w:r>
      <w:bookmarkEnd w:id="416"/>
    </w:p>
    <w:p>
      <w:pPr>
        <w:pStyle w:val="BookText"/>
        <w:rPr/>
      </w:pPr>
      <w:r>
        <w:rPr>
          <w:rFonts w:ascii="IRNazanin" w:hAnsi="IRNazanin" w:eastAsia="IRNazanin"/>
          <w:color w:val="111111"/>
          <w:sz w:val="28"/>
          <w:sz w:val="28"/>
          <w:szCs w:val="28"/>
          <w:rtl w:val="true"/>
          <w:lang w:bidi="fa-IR"/>
        </w:rPr>
        <w:t>یعتمد الفقیه فی عملیّة الاستنباط علی عناصر مشترکةٍ تسمّی بالأدلّة المحرزة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أدلّة قطعیّة بمعنی أنها تؤدّی إلی القطع بالحکم فتکون حجّةً علی أساس حجّیّة القطع الناتج عنها ، وإمّا أدلّة ظنّیة ویقوم دلیل قطعیّ علی حجّیتها شرعاً ، کما إذا علمنا بأنّ المولی أمر باتّباعها فتکون حجّةً بموجب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المحرز فی الفقه سواء کان قطعیّاً أوْ لا 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الشرعیّ ، ونعنی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یصدر من الشارع ممّا له دلالة علی الحکم ، ککلام الله سبحانه ، أو کلام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 ونعنی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التی یدرکها العقل ویمکن أن یستنبط منها حکم شرعیّ ، کالقضیّة العقلیّة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إیجاب شیء یستلزم إیجاب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الأوّل ینقسم بدوره إلی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 ، وهو کلام المعصوم کتاباً أو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غیر اللفظیّ ، ویتمثّل فی فعل المعصوم ، سواء کان تصرّفاً مستقلاًّ ، أو موقفاً إمضائیّاً تجاه سلوکٍ معیَّن ، وهو الذی یسمّی بالتقریر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فی هذا القسم بکلا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یقع فی تحدید دلالات الدلیل </w:t>
      </w:r>
      <w:bookmarkStart w:id="417" w:name="pg14075_144581"/>
    </w:p>
    <w:p>
      <w:pPr>
        <w:pStyle w:val="BookText"/>
        <w:rPr/>
      </w:pPr>
      <w:bookmarkEnd w:id="417"/>
      <w:r>
        <w:rPr>
          <w:rFonts w:ascii="IRNazanin" w:hAnsi="IRNazanin" w:eastAsia="IRNazanin"/>
          <w:color w:val="111111"/>
          <w:sz w:val="28"/>
          <w:sz w:val="28"/>
          <w:szCs w:val="28"/>
          <w:rtl w:val="true"/>
          <w:lang w:bidi="fa-IR"/>
        </w:rPr>
        <w:t>الشرعی ، واخری فی ثبوت صغراه ، وثالثةً فی حجّیّة تلک الدلالة ووجوب الأخذ بها ، ففی الدلیل الشرعیّ إذن ثلاثة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البدء بهذه الأبحاث علی الترتیب المذکور نستعرض بعض المبادئ والقواعد العامّة فی الأدلّة المحرزة</w:t>
      </w:r>
      <w:r>
        <w:rPr>
          <w:rFonts w:eastAsia="IRNazanin" w:cs="IRNazanin"/>
          <w:color w:val="111111"/>
          <w:sz w:val="28"/>
          <w:szCs w:val="28"/>
          <w:rtl w:val="true"/>
          <w:lang w:bidi="fa-IR"/>
        </w:rPr>
        <w:t>.</w:t>
      </w:r>
    </w:p>
    <w:p>
      <w:pPr>
        <w:pStyle w:val="Heading6"/>
        <w:numPr>
          <w:ilvl w:val="5"/>
          <w:numId w:val="1"/>
        </w:numPr>
        <w:rPr/>
      </w:pPr>
      <w:bookmarkStart w:id="418" w:name="__RefHeading___Toc508892_1738255347"/>
      <w:bookmarkStart w:id="419" w:name="_Toc139"/>
      <w:bookmarkEnd w:id="418"/>
      <w:r>
        <w:rPr>
          <w:rtl w:val="true"/>
        </w:rPr>
        <w:t>الأصل عند الشکّ فی الحجّیّة</w:t>
      </w:r>
      <w:bookmarkEnd w:id="419"/>
    </w:p>
    <w:p>
      <w:pPr>
        <w:pStyle w:val="BookText"/>
        <w:rPr/>
      </w:pPr>
      <w:r>
        <w:rPr>
          <w:rFonts w:ascii="IRNazanin" w:hAnsi="IRNazanin" w:eastAsia="IRNazanin"/>
          <w:color w:val="111111"/>
          <w:sz w:val="28"/>
          <w:sz w:val="28"/>
          <w:szCs w:val="28"/>
          <w:rtl w:val="true"/>
          <w:lang w:bidi="fa-IR"/>
        </w:rPr>
        <w:t xml:space="preserve">عرفنا أنّ للشارع دخلاً فی جعل الحجّیّة للأدلّة المحرزة غیر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أحرزنا جعل الشارع الحجّیة لأمارةٍ فهو ، وإذا شککنا فی ذلک لم یکن بالإمکان التعویل علی تلک الأمارة لمجرّد احتمال جعل الشارع الحجّیة لها ؛ لأ 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نافیةً للتکلیف ونرید أن نثبت بها المعذّریّة فمن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ذلک ما لم نحرز جعل الحجّیة لها ، الذی یعنی إذن الشارع فی ترک التحفّظ تجاه التکلیف المشکوک ، إذ بدون إحراز هذا الإذن تکون منجّزیّة الاحتمال للتکلیف الواقعیّ قائمةً بحکم العقل ، ولا ترتفع هذه المنجّزیّة إلاّبإحراز الإذن فی ترک التحفّظ ، ومع الشکّ فی الحجّیة لا إحراز للإذن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الأمارة مثبتةً للتکلیف ونرید أن نثبت بها المنجّزیّة خروجاً عن أصلٍ معذّرٍ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الحلّ المقرّرة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أیضاً أنَّا ما لم نقطع بحجّیتها لا یمکن رفع الید بها عن دلیل أصالة الحلّ مثلاً ، فدلیل الأصل الجاری فی الواقعة والمؤمّن عن التکلیف المشکوک هو المرجع ما لم یقطع بحجّیة الأمارة المثبتة للتکلیف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صحّ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عند الشکّ فی الحجّیة عدم الحجّیة ، بمعنی أنّ الأصل نفوذ الحالة المفترضة لولا تلک الأمارة من منجّزیةٍ أو معذّریّة</w:t>
      </w:r>
      <w:r>
        <w:rPr>
          <w:rFonts w:eastAsia="IRNazanin" w:cs="IRNazanin"/>
          <w:color w:val="111111"/>
          <w:sz w:val="28"/>
          <w:szCs w:val="28"/>
          <w:rtl w:val="true"/>
          <w:lang w:bidi="fa-IR"/>
        </w:rPr>
        <w:t xml:space="preserve">. </w:t>
      </w:r>
      <w:bookmarkStart w:id="420" w:name="pg14075_144582"/>
    </w:p>
    <w:p>
      <w:pPr>
        <w:pStyle w:val="Heading6"/>
        <w:numPr>
          <w:ilvl w:val="5"/>
          <w:numId w:val="1"/>
        </w:numPr>
        <w:rPr/>
      </w:pPr>
      <w:bookmarkStart w:id="421" w:name="__RefHeading___Toc508894_1738255347"/>
      <w:bookmarkStart w:id="422" w:name="_Toc140"/>
      <w:bookmarkEnd w:id="420"/>
      <w:bookmarkEnd w:id="421"/>
      <w:r>
        <w:rPr>
          <w:rtl w:val="true"/>
        </w:rPr>
        <w:t>مقدار ما یثبت بالأدلّة المحرزة</w:t>
      </w:r>
      <w:bookmarkEnd w:id="422"/>
    </w:p>
    <w:p>
      <w:pPr>
        <w:pStyle w:val="BookText"/>
        <w:rPr/>
      </w:pPr>
      <w:r>
        <w:rPr>
          <w:rFonts w:ascii="IRNazanin" w:hAnsi="IRNazanin" w:eastAsia="IRNazanin"/>
          <w:color w:val="111111"/>
          <w:sz w:val="28"/>
          <w:sz w:val="28"/>
          <w:szCs w:val="28"/>
          <w:rtl w:val="true"/>
          <w:lang w:bidi="fa-IR"/>
        </w:rPr>
        <w:t xml:space="preserve">الدلیل المحرز له مدلول مطابقیّ ومدلول التزامیّ ، فکلّما کان الدلیل المحرز حجّةً ثبت بذلک مدلوله المطابقیّ ، وأمّا مدلوله الالتزامیّ ففیه بحث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المحرز إذا کان قطعیّاً فلا شکّ فی ثبوت مدلولاته الالتزامیّة به ؛ لأنّها تکون قطعیّة أیضاً ، فتثبت بالقطع کما یثبت المدلول المطابقیّ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الدلیل ظنّیاً وقد ثبتت حجّیته بجعل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الأمارة ، مثل خبر الثقة وظهور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موضوع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حکم الشارع بأ نّه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علی الدلالة الالتزامیّة کصدقه علی الدلالة المطابقیّة ، 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دلیل علی حجّیة خبر الثقة ، ویقال بأنّ الإخبار عن شیءٍ إخبار عن لوازمه ، وفی هذه الحالة یثبت المدلول الالتزامیّ ؛ لأنّه ممّا أخبر عنه الثقة بالدلالة الالتزامیّة ، فیشمله دلیل الحجّیة المتکفّل للأمر بالعمل بکلّ ما أخبر به الثقة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موضوع الحجّیة صادقاً علی الدلالة الالتزامیّة ، 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دلیل علی حجّیة ظهور اللفظ ، فإنّ الدلالة الالتزامیّة غیر العرفیّة لیست ظهوراً لفظیّاً ؛ فلا تشکِّل فرداً من موضوع دلیل الحجّیة ، فمن هنا یقع البحث فی حجّیة الدلیل لإثبات المدلول الالتزامیّ فی حالةٍ من هذا القبیل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یُستشکَل فی ثبوت هذه الحجّیة بدلیل حجّیة الظهور ؛ لأنّ دلیل حجّیة الظهور لا یثبت الحجّیة إلاّلظهور اللفظ ، والدلالة الالتزامیّة لهذا الظهور لیست ظهوراً لفظیّاً فلا تکون حجّة ، ومجرّد علمنا من الخارج بأنّ ظهور اللفظ إذا کان صادقاً فدلالته الالتزامیّة صادقة أیضاً لا یبرِّر استفادة الحجّیة للدلالة الالتزامیّة ؛ لأنّ الحجّیة حکم شرعیّ وقد یخصّصه بإحدی الدلالتین دون الاخری علی الرغم </w:t>
      </w:r>
    </w:p>
    <w:p>
      <w:pPr>
        <w:pStyle w:val="BookText"/>
        <w:rPr/>
      </w:pPr>
      <w:r>
        <w:rPr>
          <w:rFonts w:ascii="IRNazanin" w:hAnsi="IRNazanin" w:eastAsia="IRNazanin"/>
          <w:color w:val="111111"/>
          <w:sz w:val="28"/>
          <w:sz w:val="28"/>
          <w:szCs w:val="28"/>
          <w:rtl w:val="true"/>
          <w:lang w:bidi="fa-IR"/>
        </w:rPr>
        <w:t>من تلازمهما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فی هذا المجال اتّجاهان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للمشهور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الحجّیة کلّما استُفِید منه جعل الحجّیة لشیءٍ بوصفه أمارةً علی الحکم الشرعیّ کان ذلک کافیاً لإثبات لوازمه ومدلولاته الالتزامیّة ، وعلی هذا الأساس وضعوا قاعدةً مؤدّاها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مثبتات الأمارات حجّة ، أی أنّ الأمارة کما یعتبر إثباتها لمدلولها المطابقیّ حجّةً ، کذلک إثباتها لمدلولها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والاتّجاه الآخر للسیّد الاستاذ </w:t>
      </w:r>
      <w:r>
        <w:rPr>
          <w:rStyle w:val="FootnoteAnchor"/>
          <w:rtl w:val="true"/>
        </w:rPr>
        <w:footnoteReference w:id="68"/>
      </w:r>
      <w:r>
        <w:rPr>
          <w:rFonts w:ascii="IRNazanin" w:hAnsi="IRNazanin" w:eastAsia="IRNazanin"/>
          <w:color w:val="111111"/>
          <w:sz w:val="28"/>
          <w:sz w:val="28"/>
          <w:szCs w:val="28"/>
          <w:rtl w:val="true"/>
          <w:lang w:bidi="fa-IR"/>
        </w:rPr>
        <w:t xml:space="preserve">، حیث ذهب إلی أنّ مجرّد قیام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أمارةٍ علی أساس ما لها من کشفٍ عن الحکم الشرعیّ لا یکفی لذلک ، إذ من الممکن ثبوتاً أنّ الشارع یتعبّد المکلّف بالمدلول المطابقی من الأمارة فقط ، کما یمکنه أن یتعبّده بکلّ ما تکشف عنه مطابقةً أو التزاماً ، وما دام کلا هذین الوجهین ممکناً ثبوتاً فلا بدّ لتعیین الأخیر منهما من وجود إطلاقٍ فی دلیل الحجّیة یقتضی امتداد التعبّد وسریانه إلی المدالیل الالتزامیّة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هو الاتّجاه الأوّل ؛ وذلک لأنّنا عرفنا سابقاً </w:t>
      </w:r>
      <w:r>
        <w:rPr>
          <w:rStyle w:val="FootnoteAnchor"/>
          <w:rtl w:val="true"/>
        </w:rPr>
        <w:footnoteReference w:id="69"/>
      </w:r>
      <w:r>
        <w:rPr>
          <w:rFonts w:ascii="IRNazanin" w:hAnsi="IRNazanin" w:eastAsia="IRNazanin"/>
          <w:color w:val="111111"/>
          <w:sz w:val="28"/>
          <w:sz w:val="28"/>
          <w:szCs w:val="28"/>
          <w:rtl w:val="true"/>
          <w:lang w:bidi="fa-IR"/>
        </w:rPr>
        <w:t xml:space="preserve">أنّ الأمارة معناها الدلیل الظنّیّ الذی یُستظهر من دلیل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تمام الملاک لحجّیته </w:t>
      </w:r>
      <w:r>
        <w:rPr>
          <w:rStyle w:val="FootnoteAnchor"/>
          <w:rtl w:val="true"/>
        </w:rPr>
        <w:footnoteReference w:id="70"/>
      </w:r>
      <w:r>
        <w:rPr>
          <w:rFonts w:ascii="IRNazanin" w:hAnsi="IRNazanin" w:eastAsia="IRNazanin"/>
          <w:color w:val="111111"/>
          <w:sz w:val="28"/>
          <w:sz w:val="28"/>
          <w:szCs w:val="28"/>
          <w:rtl w:val="true"/>
          <w:lang w:bidi="fa-IR"/>
        </w:rPr>
        <w:t>هو کشفه بدون نظرٍ إلی نوع المنکشف ، وهذا الاستظهار متی ما تمّ فی دلیل الحجّیة کان کافیاً لإثبات الحجّیة فی المدلولات الالتزامیّة أیضاً ؛ لأنّ نسبة کشف الأمارة إلی المدلول المطابقیّ والالتزامیّ بدرجةٍ واحدةٍ دائماً ، وما دام الکشف هو تمام الملاک للحجّیة بحسب الفرض فیعرف من دلیل الحجّیة أنّ مثبتات الأمارة کلّها حجّة</w:t>
      </w:r>
      <w:r>
        <w:rPr>
          <w:rFonts w:eastAsia="IRNazanin" w:cs="IRNazanin"/>
          <w:color w:val="111111"/>
          <w:sz w:val="28"/>
          <w:szCs w:val="28"/>
          <w:rtl w:val="true"/>
          <w:lang w:bidi="fa-IR"/>
        </w:rPr>
        <w:t xml:space="preserve">. </w:t>
      </w:r>
      <w:bookmarkStart w:id="423" w:name="pg14075_144584"/>
    </w:p>
    <w:p>
      <w:pPr>
        <w:pStyle w:val="BookText"/>
        <w:rPr/>
      </w:pPr>
      <w:bookmarkEnd w:id="423"/>
      <w:r>
        <w:rPr>
          <w:rFonts w:ascii="IRNazanin" w:hAnsi="IRNazanin" w:eastAsia="IRNazanin"/>
          <w:color w:val="111111"/>
          <w:sz w:val="28"/>
          <w:sz w:val="28"/>
          <w:szCs w:val="28"/>
          <w:rtl w:val="true"/>
          <w:lang w:bidi="fa-IR"/>
        </w:rPr>
        <w:t xml:space="preserve">وعلی خلاف ذلک الاصول العملیّة تنزیلیّةً أو غیرها ، فإنّها لمّا کانت مبنیّةً علی ملاحظة نوع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یستفاد من دلیلها إسراء التعبّد إلی کلّ اللوازم إلاّبعنایةٍ خاصّةٍ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الاصول العملیّة لیست حجّةً فی مثبتاتها </w:t>
      </w:r>
      <w:r>
        <w:rPr>
          <w:rStyle w:val="FootnoteAnchor"/>
          <w:rtl w:val="true"/>
        </w:rPr>
        <w:footnoteReference w:id="71"/>
      </w:r>
      <w:r>
        <w:rPr>
          <w:rFonts w:ascii="IRNazanin" w:hAnsi="IRNazanin" w:eastAsia="IRNazanin"/>
          <w:color w:val="111111"/>
          <w:sz w:val="28"/>
          <w:sz w:val="28"/>
          <w:szCs w:val="28"/>
          <w:rtl w:val="true"/>
          <w:lang w:bidi="fa-IR"/>
        </w:rPr>
        <w:t xml:space="preserve">، أی فی مدلولاتها الالتزامیّة ، وسیأتی تفصیل الکلام عن ذلک فی أبحاث الاصول العملیّة </w:t>
      </w:r>
      <w:r>
        <w:rPr>
          <w:rStyle w:val="FootnoteAnchor"/>
          <w:rtl w:val="true"/>
        </w:rPr>
        <w:footnoteReference w:id="7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424" w:name="__RefHeading___Toc508896_1738255347"/>
      <w:bookmarkStart w:id="425" w:name="_Toc141"/>
      <w:bookmarkEnd w:id="424"/>
      <w:r>
        <w:rPr>
          <w:rtl w:val="true"/>
        </w:rPr>
        <w:t>تبعیّة الدلالة الالتزامیّة للمطابقیّة</w:t>
      </w:r>
      <w:bookmarkEnd w:id="425"/>
    </w:p>
    <w:p>
      <w:pPr>
        <w:pStyle w:val="BookText"/>
        <w:rPr/>
      </w:pPr>
      <w:r>
        <w:rPr>
          <w:rFonts w:ascii="IRNazanin" w:hAnsi="IRNazanin" w:eastAsia="IRNazanin"/>
          <w:color w:val="111111"/>
          <w:sz w:val="28"/>
          <w:sz w:val="28"/>
          <w:szCs w:val="28"/>
          <w:rtl w:val="true"/>
          <w:lang w:bidi="fa-IR"/>
        </w:rPr>
        <w:t xml:space="preserve">عرفنا أنّ الأمارات حجّة فی المدلول المطابقیّ والمدلول الالتزامیّ معاً ، والمدلول الالتزامیّ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مساویاً للمدلول المطابقیّ ، واخری یکون أعمَّ منه ، ففی حالة المساواة إذا علم بأنّ المدلول المطابقیّ باطل فقد علم ببطلان المدلول الالتزامیّ أیضاً ، وبذلک تسقط الأمارة بکلا مدلولَیها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اللازم أعمّ وبطل المدلول المطابقیّ فالمدلول الالتزامیّ یظلّ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یأتی البحث التالی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الأمارة فی إثبات المدلول الالتزامیّ هل ترتبط بحجّیتها فی إثبات المدلول المطابقیّ ، أوْ لا؟</w:t>
      </w:r>
    </w:p>
    <w:p>
      <w:pPr>
        <w:pStyle w:val="BookText"/>
        <w:rPr/>
      </w:pPr>
      <w:r>
        <w:rPr>
          <w:rFonts w:ascii="IRNazanin" w:hAnsi="IRNazanin" w:eastAsia="IRNazanin"/>
          <w:color w:val="111111"/>
          <w:sz w:val="28"/>
          <w:sz w:val="28"/>
          <w:szCs w:val="28"/>
          <w:rtl w:val="true"/>
          <w:lang w:bidi="fa-IR"/>
        </w:rPr>
        <w:t xml:space="preserve">فالارتباط یعنی أنّها إذا سقطت عن الحجّیة فی المدلول المطابقیّ ، للعلم ببطلانه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أیضاً عن الحجّیة فی المدلول الالتزامیّ ، وهو معنی التبعیّة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الارتباط یعنی أنّ کلاًّ من الدلالة المطابقیّة والدلالة الالتزامیّة حجّة ما لم یعلم ببطلان مفادها بالخصوص ، ومجرّد العلم ببطلان المدلول المطابقیّ لا یوجد </w:t>
      </w:r>
      <w:bookmarkStart w:id="426" w:name="pg14075_144585"/>
    </w:p>
    <w:p>
      <w:pPr>
        <w:pStyle w:val="BookText"/>
        <w:rPr/>
      </w:pPr>
      <w:bookmarkEnd w:id="426"/>
      <w:r>
        <w:rPr>
          <w:rFonts w:ascii="IRNazanin" w:hAnsi="IRNazanin" w:eastAsia="IRNazanin"/>
          <w:color w:val="111111"/>
          <w:sz w:val="28"/>
          <w:sz w:val="28"/>
          <w:szCs w:val="28"/>
          <w:rtl w:val="true"/>
          <w:lang w:bidi="fa-IR"/>
        </w:rPr>
        <w:t>خللاً فی حجّیة الدلالة الالتزامیة مادام المدلول الالتزامیّ محتملاً ولم یتّضح بطلانه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الارتباط بأحد الوجهین التالیین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الالتزامیّة متفرّعة فی وجودها علی الدلالة المطابقیّة ، فتکون متفرّعةً فی حجّیتها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التفرّع فی ا لوجود لماذا یستلزم التفرّع فی الحجّیة؟ أوَ لایمکن أن نفترض أنّ کلّ واحدةٍ من الدلالتین موضوع مستقلّ للحجّیة بلحاظ کاشفیّتها؟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السبب الذی یوجب سقوط الدلالة المطابقیّة عن الحجّیة یوجب دائماً سقوط الدلالة الالتزامیّة ، فإذا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المدلول المطابقیّ وسقطت بذلک حجّیة الدلالة المطابقیّة ، فإنّ هذا العلم بنفسه یعنی العلم أیضاً بعدم ثبوت المدلول الالتزامیّ ؛ لأنّ ما تحکی عنه الدلالة الالتزامیّة دائماً حصّة خاصّة من اللازم ، وهی الحصّة الناشئة أو الملازمة للمدلول المطابقیّ ، لا طبیعیّ اللازم علی الإطلاق ، وتلک الحصّة مساویة للمدلول المطابقیّ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اللازم وإن کان أعمّ أحیاناً ولکنّه بما هو مدلول التزامیّ مساوٍ دائماً للمدلول المطابقیّ ، فلا یتصوّر ثبوته بدونه ، فموت زیدٍ وإن کان أعمَّ من احتراقه بالنار ولکنّ مَن أخبر باحتراقه بالمطابقة فهو لا یخبر التزاماً بالموت الأعمّ ولو کان بالسمّ ، بل مدلوله الالتزامیّ هو الموت الناشئ من الاحتراق خاصّة ، فإذا کنّا نعلم بعدم الاحتراق فکیف نعمل بالمدلول الالتزامیّ؟ وسیأتی تکمیل البحث عن ذلک وتعمیقه فی الحلقة الآتیة إن شاء الله تعالی</w:t>
      </w:r>
      <w:r>
        <w:rPr>
          <w:rFonts w:eastAsia="IRNazanin" w:cs="IRNazanin"/>
          <w:color w:val="111111"/>
          <w:sz w:val="28"/>
          <w:szCs w:val="28"/>
          <w:rtl w:val="true"/>
          <w:lang w:bidi="fa-IR"/>
        </w:rPr>
        <w:t>.</w:t>
      </w:r>
    </w:p>
    <w:p>
      <w:pPr>
        <w:pStyle w:val="Heading6"/>
        <w:numPr>
          <w:ilvl w:val="5"/>
          <w:numId w:val="1"/>
        </w:numPr>
        <w:rPr/>
      </w:pPr>
      <w:bookmarkStart w:id="427" w:name="__RefHeading___Toc508898_1738255347"/>
      <w:bookmarkStart w:id="428" w:name="_Toc142"/>
      <w:bookmarkEnd w:id="427"/>
      <w:r>
        <w:rPr>
          <w:rtl w:val="true"/>
        </w:rPr>
        <w:t>وفاءُ الدلیل بدور القطع الموضوعی</w:t>
      </w:r>
      <w:bookmarkEnd w:id="4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المحرز إذا کان قطعیّاً فهو یفی بما یقتضیه القطع الطریقیّ من منجّزیّةٍ ومعذّریّة ؛ لأنّه یوجد القطع فی نفس المکلّف بالحکم الشرعی ، کما أنّه یفی بما یترتّب </w:t>
      </w:r>
    </w:p>
    <w:p>
      <w:pPr>
        <w:pStyle w:val="BookText"/>
        <w:rPr/>
      </w:pPr>
      <w:r>
        <w:rPr>
          <w:rFonts w:ascii="IRNazanin" w:hAnsi="IRNazanin" w:eastAsia="IRNazanin"/>
          <w:color w:val="111111"/>
          <w:sz w:val="28"/>
          <w:sz w:val="28"/>
          <w:szCs w:val="28"/>
          <w:rtl w:val="true"/>
          <w:lang w:bidi="fa-IR"/>
        </w:rPr>
        <w:t>علی القطع الموضوعیّ من أحکام شرعیّة ؛ لأنّ هذه الأحکام یتحقّق موضوعها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المحرز غیر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 بما یقتضیه القطع الطریقیّ من منجّزیّةٍ ومعذّریّة ، فالأمارة الحجّة شرعاً إذا دلّت علی ثبوت التکلیف أکّدت منجّزیّته ، وإذا دلّت علی نفی التکلیف کانت معذّراً عنه ورفعت أصالة الاشتغال ، کما لو حصل القطع الطریقیّ بنفی التکلیف ، کما تقدّم </w:t>
      </w:r>
      <w:r>
        <w:rPr>
          <w:rStyle w:val="FootnoteAnchor"/>
          <w:rtl w:val="true"/>
        </w:rPr>
        <w:footnoteReference w:id="73"/>
      </w:r>
      <w:r>
        <w:rPr>
          <w:rFonts w:ascii="IRNazanin" w:hAnsi="IRNazanin" w:eastAsia="IRNazanin"/>
          <w:color w:val="111111"/>
          <w:sz w:val="28"/>
          <w:sz w:val="28"/>
          <w:szCs w:val="28"/>
          <w:rtl w:val="true"/>
          <w:lang w:bidi="fa-IR"/>
        </w:rPr>
        <w:t>توضیحه ، وهذا معناه قیام الأمارة مقام القطع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تفی الأمارة بالقیام مقام القطع الموضوعیّ؟ فیه بحث وخلاف ، فلو قال المولی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قطعتَ بأ نّه خمر فأرقْهُ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وقامت الأمارة الحجّة شرعاً علی أنّ هذا خمر ولم یحصل القطع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یترتّب وجوب الإراقة علی هذه الأمارة کما یترتّب علی القطع ، أوْ لا؟</w:t>
      </w:r>
    </w:p>
    <w:p>
      <w:pPr>
        <w:pStyle w:val="BookText"/>
        <w:rPr/>
      </w:pPr>
      <w:r>
        <w:rPr>
          <w:rFonts w:ascii="IRNazanin" w:hAnsi="IRNazanin" w:eastAsia="IRNazanin"/>
          <w:color w:val="111111"/>
          <w:sz w:val="28"/>
          <w:sz w:val="28"/>
          <w:szCs w:val="28"/>
          <w:rtl w:val="true"/>
          <w:lang w:bidi="fa-IR"/>
        </w:rPr>
        <w:t xml:space="preserve">وهنا تفصیل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تارةً نفهم من دلیل وجوب إراقة مقطوع الخمریّة أنّ مقصود هذا الدلیل من المقطوع ما قامت حجّة منجّزة علی خمریّته ؛ ولیس القطع إلاّ کمثال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نفهم منه إناطة الحکم بوجوب الإراقة بالقطع بوصفه کاشفاً تامّاً لا یشوبه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تقوم الأمارة الحجّة مقام القطع الموضوعیّ ، ویترتّب علیها وجوب الإراقة ؛ لأنّها تحقّق موضوع هذا الوجوب وجداناً وهو الحجّة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الحالة الثانیة لا یکفی مجرّد کون الأمارة حجّةً وقیام دلیلٍ علی حجّیّتها ووجوب العمل بها لکی تقوم مقام القطع الموضوعی ؛ لأنّ وجوب الإراقة منوط بالقطع بما هو کاشف تامّ ، والأمارة وإن أصبحت حجّةً ومنجّزةً لمؤدّاها بجعل الشارع ولکنّها لیست کاشفاً تامّاً علی أیّ حال ، فلا یترتّب علیها وجوب الإراقة </w:t>
      </w:r>
      <w:bookmarkStart w:id="429" w:name="pg14075_144587"/>
    </w:p>
    <w:p>
      <w:pPr>
        <w:pStyle w:val="BookText"/>
        <w:rPr/>
      </w:pPr>
      <w:bookmarkEnd w:id="429"/>
      <w:r>
        <w:rPr>
          <w:rFonts w:ascii="IRNazanin" w:hAnsi="IRNazanin" w:eastAsia="IRNazanin"/>
          <w:color w:val="111111"/>
          <w:sz w:val="28"/>
          <w:sz w:val="28"/>
          <w:szCs w:val="28"/>
          <w:rtl w:val="true"/>
          <w:lang w:bidi="fa-IR"/>
        </w:rPr>
        <w:t xml:space="preserve">إلاّ إذا ثبت فی دلیل الحجّیة أو فی دلیلٍ آخر أنّ المولی أعمل عنایةً ونزّل الأمارة منزلة الکاشف التامّ فی أحکامه الشرعیّة ، کما نزّل الطواف منزلة الصلاة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وهذه عنایة إضافیّة لایستبطنها مجرّد جعل الحجّیة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صحّ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حجّیة الأمارة بمجرّد افتراضه الحجّیة لا یفی لإقامتها مقام القطع الموضوعیّ</w:t>
      </w:r>
      <w:r>
        <w:rPr>
          <w:rFonts w:eastAsia="IRNazanin" w:cs="IRNazanin"/>
          <w:color w:val="111111"/>
          <w:sz w:val="28"/>
          <w:szCs w:val="28"/>
          <w:rtl w:val="true"/>
          <w:lang w:bidi="fa-IR"/>
        </w:rPr>
        <w:t>.</w:t>
      </w:r>
    </w:p>
    <w:p>
      <w:pPr>
        <w:pStyle w:val="Heading6"/>
        <w:numPr>
          <w:ilvl w:val="5"/>
          <w:numId w:val="1"/>
        </w:numPr>
        <w:rPr/>
      </w:pPr>
      <w:bookmarkStart w:id="430" w:name="__RefHeading___Toc508900_1738255347"/>
      <w:bookmarkStart w:id="431" w:name="_Toc143"/>
      <w:bookmarkEnd w:id="430"/>
      <w:r>
        <w:rPr>
          <w:rtl w:val="true"/>
        </w:rPr>
        <w:t>إثبات الدلیل لجواز الإسناد</w:t>
      </w:r>
      <w:bookmarkEnd w:id="431"/>
    </w:p>
    <w:p>
      <w:pPr>
        <w:pStyle w:val="BookText"/>
        <w:rPr/>
      </w:pPr>
      <w:r>
        <w:rPr>
          <w:rFonts w:ascii="IRNazanin" w:hAnsi="IRNazanin" w:eastAsia="IRNazanin"/>
          <w:color w:val="111111"/>
          <w:sz w:val="28"/>
          <w:sz w:val="28"/>
          <w:szCs w:val="28"/>
          <w:rtl w:val="true"/>
          <w:lang w:bidi="fa-IR"/>
        </w:rPr>
        <w:t>من المقرّر فقهیّاً أنّ إسناد حکم إلی الشارع بدون علمٍ غیر جائز ، وعلی هذا الأساس فإذا قام علی الحکم دلیل وکان الدلیل قطعیّاً فلا شکّ فی جواز إسناد مؤدّاه إلی الشارع ؛ لأنّه إسناد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الدلیل غیر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الأمارة التی قد جعل الشارع لها الحجّیة وأمر باتّباعها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هنا إسناد الحکم إلی الشارع؟</w:t>
      </w:r>
    </w:p>
    <w:p>
      <w:pPr>
        <w:pStyle w:val="BookText"/>
        <w:rPr/>
      </w:pPr>
      <w:r>
        <w:rPr>
          <w:rFonts w:ascii="IRNazanin" w:hAnsi="IRNazanin" w:eastAsia="IRNazanin"/>
          <w:color w:val="111111"/>
          <w:sz w:val="28"/>
          <w:sz w:val="28"/>
          <w:szCs w:val="28"/>
          <w:rtl w:val="true"/>
          <w:lang w:bidi="fa-IR"/>
        </w:rPr>
        <w:t>لا ریب فی جواز إسناد نفس الحجّیة والحکم الظاهریّ إلی الشارع ؛ لأنّه معلوم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الواقعیّ الذی تحکی عنه الأمارة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إسناده غیر جائزٍ ؛ لأنّه لا یزال غیر معلوم ، ومجرّد جعل الحجّیة للأمارة لا یبرِّر الإسناد بدون علم ، وإنّما یجعلها منجّزةً ومعذّرةً من الوجهة العملیّة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مرتبط بالبحث السابق فی قیام الأمارة مقام القطع الموضوعیّ ؛ لأنّ القطع اخذ موضوعاً لجواز إسناد الحکم إلی المولی ، فإذا استفیدت من دلیل الحجّیة تلک العنایة الإضافیّة التی تقوم الأمارة بموجبها مقام القطع الموضوعیّ ترتّب علیها جواز إسناد مؤدّی الأمارة إلی الشارع ، وإلاّ فلا</w:t>
      </w:r>
      <w:r>
        <w:rPr>
          <w:rFonts w:eastAsia="IRNazanin" w:cs="IRNazanin"/>
          <w:color w:val="111111"/>
          <w:sz w:val="28"/>
          <w:szCs w:val="28"/>
          <w:rtl w:val="true"/>
          <w:lang w:bidi="fa-IR"/>
        </w:rPr>
        <w:t xml:space="preserve">. </w:t>
      </w:r>
      <w:bookmarkStart w:id="432" w:name="pg14075_144588"/>
    </w:p>
    <w:p>
      <w:pPr>
        <w:pStyle w:val="BookText"/>
        <w:rPr/>
      </w:pPr>
      <w:bookmarkEnd w:id="4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p>
    <w:p>
      <w:pPr>
        <w:pStyle w:val="Heading5"/>
        <w:numPr>
          <w:ilvl w:val="4"/>
          <w:numId w:val="1"/>
        </w:numPr>
        <w:rPr/>
      </w:pPr>
      <w:bookmarkStart w:id="433" w:name="__RefHeading___Toc508902_1738255347"/>
      <w:bookmarkStart w:id="434" w:name="_Toc144"/>
      <w:bookmarkEnd w:id="433"/>
      <w:r>
        <w:rPr>
          <w:rtl w:val="true"/>
        </w:rPr>
        <w:t>الدلیل الشرعیّ</w:t>
      </w:r>
      <w:bookmarkEnd w:id="434"/>
    </w:p>
    <w:p>
      <w:pPr>
        <w:pStyle w:val="Heading6"/>
        <w:numPr>
          <w:ilvl w:val="5"/>
          <w:numId w:val="1"/>
        </w:numPr>
        <w:rPr/>
      </w:pPr>
      <w:bookmarkStart w:id="435" w:name="__RefHeading___Toc508904_1738255347"/>
      <w:bookmarkStart w:id="436" w:name="_Toc145"/>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تحدید دلالات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صغری الدلیل الشرعی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حجّیة الدلالة فی الدلیل الشرعی</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4075_144590"/>
      <w:bookmarkStart w:id="438" w:name="pg14075_144590"/>
      <w:bookmarkEnd w:id="438"/>
    </w:p>
    <w:p>
      <w:pPr>
        <w:pStyle w:val="BookText"/>
        <w:rPr/>
      </w:pPr>
      <w:bookmarkStart w:id="439" w:name="pg14075_144590"/>
      <w:bookmarkEnd w:id="43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Heading6"/>
        <w:numPr>
          <w:ilvl w:val="5"/>
          <w:numId w:val="1"/>
        </w:numPr>
        <w:rPr/>
      </w:pPr>
      <w:bookmarkStart w:id="440" w:name="__RefHeading___Toc508906_1738255347"/>
      <w:bookmarkStart w:id="441" w:name="_Toc146"/>
      <w:bookmarkEnd w:id="440"/>
      <w:r>
        <w:rPr>
          <w:rtl w:val="true"/>
        </w:rPr>
        <w:t>تحدید دلالات الدلیل الشرعی</w:t>
      </w:r>
      <w:bookmarkEnd w:id="441"/>
    </w:p>
    <w:p>
      <w:pPr>
        <w:pStyle w:val="Heading6"/>
        <w:numPr>
          <w:ilvl w:val="5"/>
          <w:numId w:val="1"/>
        </w:numPr>
        <w:rPr/>
      </w:pPr>
      <w:bookmarkStart w:id="442" w:name="__RefHeading___Toc508908_1738255347"/>
      <w:bookmarkStart w:id="443" w:name="_Toc147"/>
      <w:bookmarkEnd w:id="442"/>
      <w:r>
        <w:rPr>
          <w:rtl w:val="true"/>
        </w:rPr>
        <w:t>اشارة</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4075_144592"/>
      <w:bookmarkStart w:id="445" w:name="pg14075_144592"/>
      <w:bookmarkEnd w:id="445"/>
    </w:p>
    <w:p>
      <w:pPr>
        <w:pStyle w:val="Heading6"/>
        <w:numPr>
          <w:ilvl w:val="5"/>
          <w:numId w:val="1"/>
        </w:numPr>
        <w:rPr/>
      </w:pPr>
      <w:bookmarkStart w:id="446" w:name="pg14075_144592"/>
      <w:bookmarkStart w:id="447" w:name="__RefHeading___Toc508910_1738255347"/>
      <w:bookmarkStart w:id="448" w:name="_Toc148"/>
      <w:bookmarkEnd w:id="446"/>
      <w:bookmarkEnd w:id="447"/>
      <w:r>
        <w:rPr/>
        <w:t>1</w:t>
      </w:r>
      <w:r>
        <w:rPr>
          <w:rtl w:val="true"/>
        </w:rPr>
        <w:t xml:space="preserve"> - </w:t>
      </w:r>
      <w:r>
        <w:rPr>
          <w:rtl w:val="true"/>
        </w:rPr>
        <w:t>الدلیل الشرعیّ اللفظیّ</w:t>
      </w:r>
      <w:bookmarkEnd w:id="448"/>
    </w:p>
    <w:p>
      <w:pPr>
        <w:pStyle w:val="Heading6"/>
        <w:numPr>
          <w:ilvl w:val="5"/>
          <w:numId w:val="1"/>
        </w:numPr>
        <w:rPr/>
      </w:pPr>
      <w:bookmarkStart w:id="449" w:name="__RefHeading___Toc508912_1738255347"/>
      <w:bookmarkStart w:id="450" w:name="_Toc149"/>
      <w:bookmarkEnd w:id="449"/>
      <w:r>
        <w:rPr>
          <w:rtl w:val="true"/>
        </w:rPr>
        <w:t>تمهید</w:t>
      </w:r>
      <w:bookmarkEnd w:id="450"/>
    </w:p>
    <w:p>
      <w:pPr>
        <w:pStyle w:val="Heading6"/>
        <w:numPr>
          <w:ilvl w:val="5"/>
          <w:numId w:val="1"/>
        </w:numPr>
        <w:rPr/>
      </w:pPr>
      <w:bookmarkStart w:id="451" w:name="__RefHeading___Toc508914_1738255347"/>
      <w:bookmarkStart w:id="452" w:name="_Toc150"/>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لمّا کان الدلیل الشرعیّ اللفظیّ یتمثّل فی ألفاظٍ یحکمها نظام اللغة ناسب ذلک أن نبحث فی مستهلِّ الکلام عن العلاقات اللغویّة بین الألفاظ والمعانی ، ونصنِّف اللغة بالصورة التی تساعد علی ممارسة الدلیل اللفظیّ والتمییز بین درجاتٍ من الظهور اللفظی</w:t>
      </w:r>
      <w:r>
        <w:rPr>
          <w:rFonts w:eastAsia="IRNazanin" w:cs="IRNazanin"/>
          <w:color w:val="111111"/>
          <w:sz w:val="28"/>
          <w:szCs w:val="28"/>
          <w:rtl w:val="true"/>
          <w:lang w:bidi="fa-IR"/>
        </w:rPr>
        <w:t>.</w:t>
      </w:r>
    </w:p>
    <w:p>
      <w:pPr>
        <w:pStyle w:val="Heading6"/>
        <w:numPr>
          <w:ilvl w:val="5"/>
          <w:numId w:val="1"/>
        </w:numPr>
        <w:rPr/>
      </w:pPr>
      <w:bookmarkStart w:id="453" w:name="__RefHeading___Toc508916_1738255347"/>
      <w:bookmarkStart w:id="454" w:name="_Toc151"/>
      <w:bookmarkEnd w:id="453"/>
      <w:r>
        <w:rPr>
          <w:rtl w:val="true"/>
        </w:rPr>
        <w:t>الظهور التصوّریّ و الظهور التصدیقی</w:t>
      </w:r>
      <w:bookmarkEnd w:id="454"/>
    </w:p>
    <w:p>
      <w:pPr>
        <w:pStyle w:val="BookText"/>
        <w:rPr/>
      </w:pPr>
      <w:r>
        <w:rPr>
          <w:rFonts w:ascii="IRNazanin" w:hAnsi="IRNazanin" w:eastAsia="IRNazanin"/>
          <w:color w:val="111111"/>
          <w:sz w:val="28"/>
          <w:sz w:val="28"/>
          <w:szCs w:val="28"/>
          <w:rtl w:val="true"/>
          <w:lang w:bidi="fa-IR"/>
        </w:rPr>
        <w:t xml:space="preserve">إذا سمعنا کلمةً مفردةً کالماء من آلةٍ ، انتقل ذهننا إلی تصوّر المعنی ، وکذلک إذا سمعناها من إنسانٍ ملتفت ، ولکنّنا فی هذه الحالة لا نتصوّر المعنی فحسب ، بل نستکشف من اللفظ أنّ الإنسان قصد بتلفّظه أن یخطر ذلک المعنی فی ذهننا ، بینما لا معنی لهذا الاستکشاف حینما تصدر الکلمة من آلة ، فهناک إذن دلالتان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الثابتة حتّی فی حالة الصدور من آلة ، وتسمّی بالدلالة التصوریّة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التی توجد عند صدور الکلمة من المتلفِّظ الملتفت ، وتسمّی بالدلالة التصدیقیّة</w:t>
      </w:r>
      <w:r>
        <w:rPr>
          <w:rFonts w:eastAsia="IRNazanin" w:cs="IRNazanin"/>
          <w:color w:val="111111"/>
          <w:sz w:val="28"/>
          <w:szCs w:val="28"/>
          <w:rtl w:val="true"/>
          <w:lang w:bidi="fa-IR"/>
        </w:rPr>
        <w:t xml:space="preserve">. </w:t>
      </w:r>
      <w:bookmarkStart w:id="455" w:name="pg14075_144593"/>
    </w:p>
    <w:p>
      <w:pPr>
        <w:pStyle w:val="BookText"/>
        <w:rPr/>
      </w:pPr>
      <w:bookmarkEnd w:id="455"/>
      <w:r>
        <w:rPr>
          <w:rFonts w:ascii="IRNazanin" w:hAnsi="IRNazanin" w:eastAsia="IRNazanin"/>
          <w:color w:val="111111"/>
          <w:sz w:val="28"/>
          <w:sz w:val="28"/>
          <w:szCs w:val="28"/>
          <w:rtl w:val="true"/>
          <w:lang w:bidi="fa-IR"/>
        </w:rPr>
        <w:t xml:space="preserve">وإذا ضَمَّ المتلفّظ الملتفت کلمةً اخری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استکشفنا أنّه یرید أن یخطر فی ذهننا معنی الماء ، ومعنی بارد ، ومعنی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 یرید أن نتصوّر ذلک کلّه؟</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تلفّظه بهذه الجملة یدلّ عادةً علی أنّ المتکلّم یرید بذلک أن یخبرنا ببرودة الماء ویقصد الحکایة عن ذلک ، بینما فی بعض الحالات لا یکون قاصداً ذلک ، کما فی حالات الهزل ، فإنّ الهازل لا یقصد إلاّإخطار صورة المعنی فی ذهن السامع فقط ، علی خلاف المتکلّم الجادّ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فالمتکلّم الجادّ حینما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یکتسب کلامه ثلاث دلالات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التصوّریّة المتقدّمة ، والدلالة التصدیقیّة المتقدّمة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ولنسمِّها بالدلالة التصدیقیّة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ودلالة ثالثة هی الدلالة علی قصد الحکایة والإخبار عن برودة الماء ، وتسمّی بالدلالة علی المراد الجدّی ، کما تسمّی بالدلالة التصدیقیة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الهازل حین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فلکلامه دلالة تصوریّة ودلالة تصدیقیّة اولی دون الدلالة التصدیقیّة الثانیة ؛ لأنّه لیس جادّاً ولا یرید الإخبار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الآلة حین تردّد الجملة ذاتها فلیس لها إلاّدلالة تصوّریّة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أمکن التمییز بین ثلاثة أقسامٍ من الدلالة</w:t>
      </w:r>
      <w:r>
        <w:rPr>
          <w:rFonts w:eastAsia="IRNazanin" w:cs="IRNazanin"/>
          <w:color w:val="111111"/>
          <w:sz w:val="28"/>
          <w:szCs w:val="28"/>
          <w:rtl w:val="true"/>
          <w:lang w:bidi="fa-IR"/>
        </w:rPr>
        <w:t>.</w:t>
      </w:r>
    </w:p>
    <w:p>
      <w:pPr>
        <w:pStyle w:val="Heading6"/>
        <w:numPr>
          <w:ilvl w:val="5"/>
          <w:numId w:val="1"/>
        </w:numPr>
        <w:rPr/>
      </w:pPr>
      <w:bookmarkStart w:id="456" w:name="__RefHeading___Toc508918_1738255347"/>
      <w:bookmarkStart w:id="457" w:name="_Toc152"/>
      <w:bookmarkEnd w:id="456"/>
      <w:r>
        <w:rPr>
          <w:rtl w:val="true"/>
        </w:rPr>
        <w:t>الوضع و علاقته بالدلالات المتقدّمة</w:t>
      </w:r>
      <w:bookmarkEnd w:id="457"/>
    </w:p>
    <w:p>
      <w:pPr>
        <w:pStyle w:val="BookText"/>
        <w:rPr/>
      </w:pPr>
      <w:r>
        <w:rPr>
          <w:rFonts w:ascii="IRNazanin" w:hAnsi="IRNazanin" w:eastAsia="IRNazanin"/>
          <w:color w:val="111111"/>
          <w:sz w:val="28"/>
          <w:sz w:val="28"/>
          <w:szCs w:val="28"/>
          <w:rtl w:val="true"/>
          <w:lang w:bidi="fa-IR"/>
        </w:rPr>
        <w:t xml:space="preserve">والدلالة التصوریّة هی فی حقیقتها علاقة سببیّة بین تصوّر اللفظ وتصوّر المعنی ، ولمّا کانت السببیّة بین شیئین لا تحصل بدون مبرِّرٍ اتّجه البحث إلی تبریرها ، ومن هنا نشأت عدّة احتمالات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السببیّة الذاتیّة بأن یکون اللفظ بذاته دالاًّ علی المعنی وسبباً لإحضار صورته ، ولا شکّ فی سقوط هذا الاحتمال ؛ لما هو معروف بالخبرة </w:t>
      </w:r>
    </w:p>
    <w:p>
      <w:pPr>
        <w:pStyle w:val="BookText"/>
        <w:rPr/>
      </w:pPr>
      <w:r>
        <w:rPr>
          <w:rFonts w:ascii="IRNazanin" w:hAnsi="IRNazanin" w:eastAsia="IRNazanin"/>
          <w:color w:val="111111"/>
          <w:sz w:val="28"/>
          <w:sz w:val="28"/>
          <w:szCs w:val="28"/>
          <w:rtl w:val="true"/>
          <w:lang w:bidi="fa-IR"/>
        </w:rPr>
        <w:t>والملاحظة من عدم وجود أیّة دلالةٍ لِلَّفظ لدی الإنسان قبل الاکتساب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أنّ السببیّة المذکورة نشأت من وضع الواضع اللفظَ للمعنی ، والوضع نوع اعتبارٍ یجعله الواضع وإن اختلف المحقّقون فی نوعیّة المعتبَر </w:t>
      </w:r>
      <w:r>
        <w:rPr>
          <w:rStyle w:val="FootnoteAnchor"/>
          <w:rtl w:val="true"/>
        </w:rPr>
        <w:footnoteReference w:id="75"/>
      </w:r>
      <w:r>
        <w:rPr>
          <w:rFonts w:ascii="IRNazanin" w:hAnsi="IRNazanin" w:eastAsia="IRNazanin"/>
          <w:color w:val="111111"/>
          <w:sz w:val="28"/>
          <w:sz w:val="28"/>
          <w:szCs w:val="28"/>
          <w:rtl w:val="true"/>
          <w:lang w:bidi="fa-IR"/>
        </w:rPr>
        <w:t xml:space="preserve">، فهناک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سببیّة اللفظ لتصوّر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 اللفظ أداةً لتفهیم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 اللفظ علی المعنی ، کما توضع الأعمدة علی رؤوس الفراسخ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المسلک بکلّ محتملاته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سببیّة اللفظ لتصوّر المعنی سببیّة واقعیّة بعد الوضع ، ومجرّد اعتبار کون شیءٍ سبباً لشیءٍ أو اعتبار ما یقارب هذا المعنی لا یحقِّق السببیّة واقعاً ، فلا بدّ لأصحاب مسلک الاعتبار فی الوضع أن یفسِّروا کیفیّة نشوء السببیّة الواقعیّة من الاعتبار المذکور ، وقد یکون عجز هذا المسلک عن تفسیر ذلک أدّی بآخرینَ إلی اختیار الاحتمال الثالث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اللفظ تنشأ من الوضع ، والوضع لیس اعتباراً ، بل هو تعهّد من الواضع بأن لا یأتی باللفظ إلاّعند قصد تفهیم المعنی ، وبذلک تنشأ ملازمة بین الإتیان باللفظ وقصد تفهیم المعنی </w:t>
      </w:r>
      <w:r>
        <w:rPr>
          <w:rStyle w:val="FootnoteAnchor"/>
          <w:rtl w:val="true"/>
        </w:rPr>
        <w:footnoteReference w:id="76"/>
      </w:r>
      <w:r>
        <w:rPr>
          <w:rFonts w:ascii="IRNazanin" w:hAnsi="IRNazanin" w:eastAsia="IRNazanin"/>
          <w:color w:val="111111"/>
          <w:sz w:val="28"/>
          <w:sz w:val="28"/>
          <w:szCs w:val="28"/>
          <w:rtl w:val="true"/>
          <w:lang w:bidi="fa-IR"/>
        </w:rPr>
        <w:t>، ولازم ذلک أن یکون الوضع هو السبب فی الدلالة التصدیقیّة المستبطنة ضمناً للدلالة التصوّریّة ، بینما علی مسلک الاعتبار لا یکون الوضع سبباً إلاّللدلالة التصوّریّة ، وهذا فرق مهمّ بین المسلکین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فرق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علی التعهّد یجب افتراض کلّ متکلّمٍ متعهّداً وواضعاً لکی تتمّ الملازمة فی کلامه ، وأمّا بناءً علی مسلک الاعتبار فیفترض أنّ الوضع إذا صدر فی البدایة من المؤسِّس أوجب دلالةً تصوّریّةً عامّةً لکلّ من علم به ، بدون حاجةٍ إلی تکرار عملیّة الوضع من الجمیع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ویرد علی مسلک التعهّد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لا یتعهّد عادةً بأن لا یأتیَ باللفظ إلاّإذا قصد تفهیم المعنی الذی یرید وضع اللفظ له ؛ لأنّ هذا یعنی التزامه ضمناً بأن لا یستعمله مجازاً ، مع أنّ کلّ متکلّمٍ کثیراً مّا یأتی باللفظ ویقصد به تفهیم المعنی المجازیّ ، فلا یحتمل صدور الالتزام الضمنیّ المذکور من کلّ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اللفظیّة والعلقة اللغویّة بموجب هذا المسلک تتضمّن استدلالاً منطقیّاً ، وإدراکاً للملازمة ، وانتقالاً من أحد طرفیها إلی الآخر ، مع أنّ وجودها فی حیاة الإنسان یبدأ منذ الأدوار الاولی لطفولته وقبل أن ینضج أیّ فکرٍ استدلالیٍّ له ، وهذا یبرهن علی أنّها أبسط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یقوم علی أساس قانونٍ تکوینیٍّ للذهن البشریّ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ارتبط شیئان فی تصوّر الإنسان ارتباطاً مؤکّداً أصبح بعد ذلک تصوّر أحدهما مستدعیاً لتصوّر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الربط بین تصوّرین تارةً یحصل بصورةٍ عفویّة ، کالربط بین سماع الزئیر وتصوّر الأسد الذی حصل نتیجة التقارن الطبیعیّ المتکرّر بین سماع الزئیر ورؤیة الأسد ، واخری یحصل بالعنایة التی یقوم بها الواضع ، إذ یربط بین اللفظ وتصوّر معنیً مخصوصٍ فی ذهن الناس فینتقلون من سماع اللفظ إلی تصوّر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والاعتبار الذی تحدّثنا عنه فی الاحتمال الثانی لیس إلاّطریقة یستعملها الواضع فی إیجاد ذلک الربط والقرن المخصوص بین اللفظ وصورة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فمسلک الاعتبار هو الصحیح ، ولکن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قرن مخصوص بین تصوّر اللفظ وتصوّر المعنی بنحوٍ أکیدٍ لکی یستتبع حالة إثارة أحدهما للآخر فی الذهن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نعرف أنّ الوضع لیس سبباً إلاّللدلالة التصوّریّة ، وأمّا الدلالتان </w:t>
      </w:r>
      <w:bookmarkStart w:id="458" w:name="pg14075_144596"/>
    </w:p>
    <w:p>
      <w:pPr>
        <w:pStyle w:val="BookText"/>
        <w:rPr/>
      </w:pPr>
      <w:bookmarkEnd w:id="458"/>
      <w:r>
        <w:rPr>
          <w:rFonts w:ascii="IRNazanin" w:hAnsi="IRNazanin" w:eastAsia="IRNazanin"/>
          <w:color w:val="111111"/>
          <w:sz w:val="28"/>
          <w:sz w:val="28"/>
          <w:szCs w:val="28"/>
          <w:rtl w:val="true"/>
          <w:lang w:bidi="fa-IR"/>
        </w:rPr>
        <w:t>التصدیقیّتان الاولی والثانیة فمنشؤهما الظهور الحالیّ والسیاقیّ للکلام ، لا الوضع</w:t>
      </w:r>
      <w:r>
        <w:rPr>
          <w:rFonts w:eastAsia="IRNazanin" w:cs="IRNazanin"/>
          <w:color w:val="111111"/>
          <w:sz w:val="28"/>
          <w:szCs w:val="28"/>
          <w:rtl w:val="true"/>
          <w:lang w:bidi="fa-IR"/>
        </w:rPr>
        <w:t>.</w:t>
      </w:r>
    </w:p>
    <w:p>
      <w:pPr>
        <w:pStyle w:val="Heading6"/>
        <w:numPr>
          <w:ilvl w:val="5"/>
          <w:numId w:val="1"/>
        </w:numPr>
        <w:rPr/>
      </w:pPr>
      <w:bookmarkStart w:id="459" w:name="__RefHeading___Toc508920_1738255347"/>
      <w:bookmarkStart w:id="460" w:name="_Toc153"/>
      <w:bookmarkEnd w:id="459"/>
      <w:r>
        <w:rPr>
          <w:rtl w:val="true"/>
        </w:rPr>
        <w:t>الوضع التعیینیّ و التعیّنی</w:t>
      </w:r>
      <w:bookmarkEnd w:id="460"/>
    </w:p>
    <w:p>
      <w:pPr>
        <w:pStyle w:val="BookText"/>
        <w:rPr/>
      </w:pPr>
      <w:r>
        <w:rPr>
          <w:rFonts w:ascii="IRNazanin" w:hAnsi="IRNazanin" w:eastAsia="IRNazanin"/>
          <w:color w:val="111111"/>
          <w:sz w:val="28"/>
          <w:sz w:val="28"/>
          <w:szCs w:val="28"/>
          <w:rtl w:val="true"/>
          <w:lang w:bidi="fa-IR"/>
        </w:rPr>
        <w:t xml:space="preserve">وقد قسّم الوضع من ناحیة سببه إلی تعیینیٍّ وتعیّنی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العلاقة بین اللفظ والمعنی إن نشأت من جعلٍ خاصٍّ فالوضع تعیینیّ ، وإن نشأت من کثرة الاستعمال بدرجةٍ توجب الالفة الکاملة بین اللفظ والمعنی فالوضع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الوضع إذا کان هو الاعتبار أو التعهّد فلا یمکن أن ینشأ عن کثرة الاستعمال مباشرةً ؛ لوضوح أنّ الاستعمال المتکرّر لا یولِّد بمجرّده اعتباراً ولا تعهّداً ، فلا بدّ من افتراض أنّ کثرة الاستعمال تکشف عن تکوّن هذا الاعتبار أو التعهّد ، فالفرق بین الوضعین فی نوعیّة الکاشف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الملاحظة لا ترد علی ما ذکرناه فی حقیقة الوضع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تصوّر اللفظ وتصوّر المعنی ، فإنّ حالة القرن الأکید تحصل بکثرة الاستعمال أیضاً ؛ لأنّها تؤدّی إلی تکرّر الاقتران بین تصوّر اللفظ وتصوّر المعنی ، فیکون القرن بینهما أکیداً بهذا التکرّر إلی أن یبلغ إلی درجةٍ تجعل أحد التصوّرین صالحاً لتولید التصوّر الآخر ، فیتمّ بذلک الوضع التعیّنی</w:t>
      </w:r>
      <w:r>
        <w:rPr>
          <w:rFonts w:eastAsia="IRNazanin" w:cs="IRNazanin"/>
          <w:color w:val="111111"/>
          <w:sz w:val="28"/>
          <w:szCs w:val="28"/>
          <w:rtl w:val="true"/>
          <w:lang w:bidi="fa-IR"/>
        </w:rPr>
        <w:t>.</w:t>
      </w:r>
    </w:p>
    <w:p>
      <w:pPr>
        <w:pStyle w:val="Heading6"/>
        <w:numPr>
          <w:ilvl w:val="5"/>
          <w:numId w:val="1"/>
        </w:numPr>
        <w:rPr/>
      </w:pPr>
      <w:bookmarkStart w:id="461" w:name="__RefHeading___Toc508922_1738255347"/>
      <w:bookmarkStart w:id="462" w:name="_Toc154"/>
      <w:bookmarkEnd w:id="461"/>
      <w:r>
        <w:rPr>
          <w:rtl w:val="true"/>
        </w:rPr>
        <w:t>توقّف الوضع علی تصوّر المعنی</w:t>
      </w:r>
      <w:bookmarkEnd w:id="4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فی کلّ وضعٍ یباشره الواضع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یتصوّر الواضع المعنی الذی یرید أن یضع اللفظ له ؛ لأنّ الوضع بمثابة الحکم علی المعنی واللفظ ، وکلّ حاکمٍ لا بُدّ له من </w:t>
      </w:r>
    </w:p>
    <w:p>
      <w:pPr>
        <w:pStyle w:val="BookText"/>
        <w:rPr/>
      </w:pPr>
      <w:r>
        <w:rPr>
          <w:rFonts w:ascii="IRNazanin" w:hAnsi="IRNazanin" w:eastAsia="IRNazanin"/>
          <w:color w:val="111111"/>
          <w:sz w:val="28"/>
          <w:sz w:val="28"/>
          <w:szCs w:val="28"/>
          <w:rtl w:val="true"/>
          <w:lang w:bidi="fa-IR"/>
        </w:rPr>
        <w:t>استحضار موضوع حکمه عند جعل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وتصوّر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باستحضاره مباشرةً ، واخری باستحضار عنوانٍ منطبقٍ علیه وملاحظته بما هو حاکٍ عن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یتحقّق فی ثلاث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الواضع معنیً کلّیّاً کالإنسان ویضع اللفظ بإزائه ، ویُسمّی بالوضع العامِّ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یتصوّر الواضع معنیً جزئیّاً کزیدٍ ویضع اللفظ بإزائه ، ویسمّی بالوضع الخاصِّ والموضوع له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الواضع عنواناًمشیراً إلی فرده ویضع اللفظ بإزاء الفرد الملحوظ من خلال ذلک العنوان المشیر ، ویسمّی بالوضع العامِّ والموضوع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حالة رابعة لا یتوفّر فیها الشرط المذکور ویطلق علیها اسم الوضع الخاصّ والموضوع له العامّ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الفرد ویضع اللفظ لمعنیً جامع ، وهذا مستحیل ؛ لأنّ الفرد والخاصّ لیس عنواناً منطبقاً علی ذلک المعنی الجامع لیکون مشیراً إلیه ، فالمعنی الجامع فی هذه الحالة لا یکون مستحضراً بنفسه ، ولا بعنوانٍ مشیرٍ إلیه ومنطبقٍ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الأجناس ، ومثال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الشخصیّة ، وأمّا الحالة الثالثة فقد وقع الخلاف فی جعل الحروف مثالاً لها ، وسیأتی الکلام عن ذلک فی بحثٍ مقبِلٍ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الوضع علی تصوّر اللفظ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یتوقّف الوضع علی تصوّر المعنی کذلک یتوقّف علی تصوّر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بنفسه فیُسَمّی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بعنوانٍ مشیرٍ إلیه فیسمّی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نوعیّاً</w:t>
      </w:r>
      <w:r>
        <w:rPr>
          <w:rFonts w:eastAsia="Amiri" w:cs="Amiri" w:ascii="Amiri" w:hAnsi="Amiri"/>
          <w:color w:val="111111"/>
          <w:sz w:val="28"/>
          <w:szCs w:val="28"/>
          <w:rtl w:val="true"/>
          <w:lang w:bidi="ar-SA"/>
        </w:rPr>
        <w:t xml:space="preserve">». </w:t>
      </w:r>
      <w:bookmarkStart w:id="463" w:name="pg14075_144598"/>
    </w:p>
    <w:p>
      <w:pPr>
        <w:pStyle w:val="BookText"/>
        <w:rPr/>
      </w:pPr>
      <w:bookmarkEnd w:id="463"/>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أسماء الأجناس ، 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الهیئة المحفوظة فی ضمن کلّ أسماء الفاعلین لمعنی هیئة اسم الفاعل ، فإنّ الهیئة لَمَّا کانت لا تنفصل فی مقام التصوّر عن المادة ؛ وکان من الصعب إحضار تمام الموادّ عند وضع اسم الفاعل اعتاد الواضع أن یُحضِر الهیئة فی ضمن مادّةٍ معیّنةٍ کفاعل ، ویضع کلّ ما کان علی هذه الوتیرة للمعنی الفلانیّ فیکون الوضع نوعیّاً</w:t>
      </w:r>
      <w:r>
        <w:rPr>
          <w:rFonts w:eastAsia="IRNazanin" w:cs="IRNazanin"/>
          <w:color w:val="111111"/>
          <w:sz w:val="28"/>
          <w:szCs w:val="28"/>
          <w:rtl w:val="true"/>
          <w:lang w:bidi="fa-IR"/>
        </w:rPr>
        <w:t>.</w:t>
      </w:r>
    </w:p>
    <w:p>
      <w:pPr>
        <w:pStyle w:val="Heading6"/>
        <w:numPr>
          <w:ilvl w:val="5"/>
          <w:numId w:val="1"/>
        </w:numPr>
        <w:rPr/>
      </w:pPr>
      <w:bookmarkStart w:id="464" w:name="__RefHeading___Toc508924_1738255347"/>
      <w:bookmarkStart w:id="465" w:name="_Toc155"/>
      <w:bookmarkEnd w:id="464"/>
      <w:r>
        <w:rPr>
          <w:rtl w:val="true"/>
        </w:rPr>
        <w:t>المجاز</w:t>
      </w:r>
      <w:bookmarkEnd w:id="465"/>
    </w:p>
    <w:p>
      <w:pPr>
        <w:pStyle w:val="BookText"/>
        <w:rPr/>
      </w:pPr>
      <w:r>
        <w:rPr>
          <w:rFonts w:ascii="IRNazanin" w:hAnsi="IRNazanin" w:eastAsia="IRNazanin"/>
          <w:color w:val="111111"/>
          <w:sz w:val="28"/>
          <w:sz w:val="28"/>
          <w:szCs w:val="28"/>
          <w:rtl w:val="true"/>
          <w:lang w:bidi="fa-IR"/>
        </w:rPr>
        <w:t>یکتسب اللفظ بسبب وضعه للمعنی الحقیقیّ صلاحیّة الدلالة علی المعنی الحقیقیّ من أجل الاقتران الخاصّ بینهما ، کما یکتسب صلاحیّة الدلالة علی کلّ معنیً مقترنٍ بالمعنی الحقیقیّ اقتراناً خاصّاً ، کالمعانی المجازیّة المشابهة ، غیر أنّها صلاحیّة بدرجةٍ أضعف ؛ لأنّها تقوم علی أساس مجموع اقترانین ، ومع اقتران اللفظ بالقرینة علی المعنی المجازیّ تصبح هذه الصلاحیّة فعلیّة ؛ ویکون اللفظ دالاًّ فعلاً علی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حالة عدم وجود القرینة فالذی ینسبق إلی الذهن من اللفظ تصوّر المعنی الموضوع له ، ومن 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الکلام فی مرحلة المدلول التصوّریّ یتعلَّق بالمعنی الموضوع له دائماً ، بمعنی أنّه هو الذی تأتی صورته إلی الذهن بمجرّد سماع اللفظ دون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من اکتساب اللفظ صلاحیّة الدلالة علی المعنی المجازیّ لا یحتاج إلی وضعٍ خاصٍّ وراء وضع اللفظ لمعناه الحقیقیّ ، وإنّما یحصل بسبب وضعه للمعنی الحقیقی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الکلام فی أنّه هل یصحّ استعمال اللفظ فی المعنی المجازیّ ما دام أصبح صالحاً للدلالة علیه ، أو تتوقّف صحّته علی وضعٍ معیّن؟ </w:t>
      </w:r>
      <w:bookmarkStart w:id="466" w:name="pg14075_144599"/>
    </w:p>
    <w:p>
      <w:pPr>
        <w:pStyle w:val="BookText"/>
        <w:rPr/>
      </w:pPr>
      <w:bookmarkEnd w:id="466"/>
      <w:r>
        <w:rPr>
          <w:rFonts w:ascii="IRNazanin" w:hAnsi="IRNazanin" w:eastAsia="IRNazanin"/>
          <w:color w:val="111111"/>
          <w:sz w:val="28"/>
          <w:sz w:val="28"/>
          <w:szCs w:val="28"/>
          <w:rtl w:val="true"/>
          <w:lang w:bidi="fa-IR"/>
        </w:rPr>
        <w:t xml:space="preserve">وعلی تقدیر القول بالتوقّف لابدّ من تصویر الوضع المصحّح للاستعمال المجازیّ بنحوٍ یختلف عن الوضع للمعنی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لانقلب المعنی المجازیّ إلی حقیقیٍّ وهو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ویحفظ الطولیّة بین الوضعین علی نحوٍ یفسّر أسبقیّة المعنی الحقیقیّ إلی الذهن عند سماع اللفظ المجرّد عن القرینة ، وذلک بأن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المنضمّ إلی القرینة للمعنی المجازیّ ، فحیث لا قرینة تنحصر علاقة اللفظ بالمعنی الحقیقیّ ولا یزاحمه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الاحتیاج إلی وضعٍ فی المجاز لتصحیح الاستعمال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بصحّة الاستعمال حسنه فواضح أنّ کلّ لفظٍ له صلاحیّة الدلالة علی معنیً یحسن استعماله فیه وقصد تفهیمه به ، واللفظ له هذه الصلاحیّة بالنسبة إلی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بصحّة الاستعمال انتسابه إلی اللغة التی یرید المتکلِّم التکلّم بها فیکفی فی ذلک أن یکون الاستعمال مبنیّاً علی صلاحیّةٍ فی اللفظ للدلالة علی المعنی ناشئةٍ من أوضاع تلک اللغة</w:t>
      </w:r>
      <w:r>
        <w:rPr>
          <w:rFonts w:eastAsia="IRNazanin" w:cs="IRNazanin"/>
          <w:color w:val="111111"/>
          <w:sz w:val="28"/>
          <w:szCs w:val="28"/>
          <w:rtl w:val="true"/>
          <w:lang w:bidi="fa-IR"/>
        </w:rPr>
        <w:t>.</w:t>
      </w:r>
    </w:p>
    <w:p>
      <w:pPr>
        <w:pStyle w:val="Heading6"/>
        <w:numPr>
          <w:ilvl w:val="5"/>
          <w:numId w:val="1"/>
        </w:numPr>
        <w:rPr/>
      </w:pPr>
      <w:bookmarkStart w:id="467" w:name="__RefHeading___Toc508926_1738255347"/>
      <w:bookmarkStart w:id="468" w:name="_Toc156"/>
      <w:bookmarkEnd w:id="467"/>
      <w:r>
        <w:rPr>
          <w:rtl w:val="true"/>
        </w:rPr>
        <w:t>علامات الحقیقة و المجاز</w:t>
      </w:r>
      <w:bookmarkEnd w:id="468"/>
    </w:p>
    <w:p>
      <w:pPr>
        <w:pStyle w:val="BookText"/>
        <w:rPr/>
      </w:pPr>
      <w:r>
        <w:rPr>
          <w:rFonts w:ascii="IRNazanin" w:hAnsi="IRNazanin" w:eastAsia="IRNazanin"/>
          <w:color w:val="111111"/>
          <w:sz w:val="28"/>
          <w:sz w:val="28"/>
          <w:szCs w:val="28"/>
          <w:rtl w:val="true"/>
          <w:lang w:bidi="fa-IR"/>
        </w:rPr>
        <w:t xml:space="preserve">ذکر المشهور عدّةَ علاماتٍ لتمییز المعنی الحقیقیّ عن المجازی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من اللفظ ، أی انسباق المعنی إلی الذهن منه ؛ لأنّ المعنی المجازیّ لا یتبادر من اللفظ إلاّبضمِّ القرینة ، فإذا حصل التبادر بدون قرینةٍ کشف عن کون المتبادر معنیً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تبادر المعنی الحقیقیّ من اللفظ یتوقّف علی علم الشخص بالوضع ، فإذا توقّف علمه بالوضع علی هذه العلامة لزم الدور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التبادر یتوقّف علی العلم الارتکازیِّ بالمعنی ، وهو </w:t>
      </w:r>
    </w:p>
    <w:p>
      <w:pPr>
        <w:pStyle w:val="BookText"/>
        <w:rPr/>
      </w:pPr>
      <w:r>
        <w:rPr>
          <w:rFonts w:ascii="IRNazanin" w:hAnsi="IRNazanin" w:eastAsia="IRNazanin"/>
          <w:color w:val="111111"/>
          <w:sz w:val="28"/>
          <w:sz w:val="28"/>
          <w:szCs w:val="28"/>
          <w:rtl w:val="true"/>
          <w:lang w:bidi="fa-IR"/>
        </w:rPr>
        <w:t>العلم المترسّخ فی النفس الذی یلتئم مع الغفلة عنه فعلاً ، والمطلوب من التبادر العلم الفعلیّ المتقوّم بالالتفات ، فلا دَور ، کما أنّ افتراض کون التبادر عند العالم ، علامةً عند الجاهل لا دَور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الاعتراض بالدور لا محلّ له أساساً ؛ لأنّه مبنیّ علی افتراض أنّ انتقال الذهن إلی المعنی من اللفظ فرع العلم بالوضع ، مع أنّه فرع نفس الوضع ، أی وجود عملیّة القرن الأکید بین تصوّر اللفظ وتصوّر المعنی فی ذهن الشخص ، فالطفل الرضیع الذی اقترنت عنده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برؤیة امّه یکفی نفس هذا الاقتران الأکید لیتصوّر امّه عندما یسمع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لیس عالماً بالوضع ؛ إذ لا یعرف معنی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فالتبادر إذن یتوقّف علی وجود عملیّة القرن الأکید بین التصوّرَین فی ذهن الشخص ، والمطلوب من التبادر تحصیل العلم بالوضع ، أی العلم بذلک القرن الأکید ،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 فإن صحّ الحمل الأوّلیّ الذاتیّ لِلَّفظ المراد استعلام حاله علی معنیً ثبت کونه هو المعنی الموضوع له ، وإن صحّ الحمل الشائع ثبت کون المحمول علیه مصداقاً لعنوانٍ هو المعنی الموضوع له اللفظ ، وإذا لم یصحّ کلا الحملین ثبت عدم کون المحمول علیه نفس المعنی الموضوع له ، ولا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الحمل إنّما تکون علامةً علی کون المحمول علیه هو نفس المعنی المراد فی المحمول ، أو مصداق المعنی المراد ، أمّا أنّ هذا المعنی المراد فی جانب المحمول هل هو معنیً حقیقیّ لِلَّفظ ، أو مجازیّ؟ فلا سبیل إلی تعیین ذلک عن طریق صحّة الحمل ، بل لا بدّ أن یرجع الإنسان إلی مرتکزاته لکی یعیّن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یصحّ استعمال اللفظ فی المعنی المشکوک کونه حقیقیّاً فی جمیع الحالات وبلحاظ أیّ فردٍ من أفراد ذلک المعنی ، فیدلّ الاطِّراد فی </w:t>
      </w:r>
      <w:bookmarkStart w:id="469" w:name="pg14075_144601"/>
    </w:p>
    <w:p>
      <w:pPr>
        <w:pStyle w:val="BookText"/>
        <w:rPr/>
      </w:pPr>
      <w:bookmarkEnd w:id="469"/>
      <w:r>
        <w:rPr>
          <w:rFonts w:ascii="IRNazanin" w:hAnsi="IRNazanin" w:eastAsia="IRNazanin"/>
          <w:color w:val="111111"/>
          <w:sz w:val="28"/>
          <w:sz w:val="28"/>
          <w:szCs w:val="28"/>
          <w:rtl w:val="true"/>
          <w:lang w:bidi="fa-IR"/>
        </w:rPr>
        <w:t>صحّة الاستعمال علی کونه هو المعنی الحقیقیّ لِلَّفظ ، إذ لا اطّراد فی صحّة الاستعمال فی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فی معنیً إذا صحّ مجازاً ولو فی حالٍ وبلحاظ فردٍ صحّ دائماً وبلحاظ سائر الأفراد ، مع الحفاظ علی کلّ الخصوصیّات والشؤون التی بها صحّ الاستعمال فی تلک الحالة أو فی ذلک الفرد ، فالاطِّراد ثابت إذن فی المعانی المجازیّة أیضاً ؛ مع الحفاظ علی الخصوصیّات التی بها صحّ الاستعمال</w:t>
      </w:r>
      <w:r>
        <w:rPr>
          <w:rFonts w:eastAsia="IRNazanin" w:cs="IRNazanin"/>
          <w:color w:val="111111"/>
          <w:sz w:val="28"/>
          <w:szCs w:val="28"/>
          <w:rtl w:val="true"/>
          <w:lang w:bidi="fa-IR"/>
        </w:rPr>
        <w:t>.</w:t>
      </w:r>
    </w:p>
    <w:p>
      <w:pPr>
        <w:pStyle w:val="Heading6"/>
        <w:numPr>
          <w:ilvl w:val="5"/>
          <w:numId w:val="1"/>
        </w:numPr>
        <w:rPr/>
      </w:pPr>
      <w:bookmarkStart w:id="470" w:name="__RefHeading___Toc508928_1738255347"/>
      <w:bookmarkStart w:id="471" w:name="_Toc157"/>
      <w:bookmarkEnd w:id="470"/>
      <w:r>
        <w:rPr>
          <w:rtl w:val="true"/>
        </w:rPr>
        <w:t>تحویل المجاز إلی حقیقة</w:t>
      </w:r>
      <w:bookmarkEnd w:id="471"/>
    </w:p>
    <w:p>
      <w:pPr>
        <w:pStyle w:val="BookText"/>
        <w:rPr/>
      </w:pPr>
      <w:r>
        <w:rPr>
          <w:rFonts w:ascii="IRNazanin" w:hAnsi="IRNazanin" w:eastAsia="IRNazanin"/>
          <w:color w:val="111111"/>
          <w:sz w:val="28"/>
          <w:sz w:val="28"/>
          <w:szCs w:val="28"/>
          <w:rtl w:val="true"/>
          <w:lang w:bidi="fa-IR"/>
        </w:rPr>
        <w:t xml:space="preserve">إذا استعمل الإنسان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للحیوان المفترس فی الرجل الشجاع فهذا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یحتال لتحویله إلی استعمالٍ حقیقیٍّ بأن یستعمله فی الحیوان المفترس ویطبّقه علی الرجل الشجاع بافتراض أنّه مصداق للحیوان المفترس ، إذ بالإمکان أن یفترض غیر المصداق مصداقاً بالاعتبار والعنایة ، ففی هذه الحالة لا یوجد تجوّز فی الکلمة ؛ لأنّها استعملت فی ما وضعت له ، وإنّما العنایة فی تطبیق مدلولها علی غیر مصداقه فهو مجاز عقلیّ لا لفظی</w:t>
      </w:r>
      <w:r>
        <w:rPr>
          <w:rFonts w:eastAsia="IRNazanin" w:cs="IRNazanin"/>
          <w:color w:val="111111"/>
          <w:sz w:val="28"/>
          <w:szCs w:val="28"/>
          <w:rtl w:val="true"/>
          <w:lang w:bidi="fa-IR"/>
        </w:rPr>
        <w:t>.</w:t>
      </w:r>
    </w:p>
    <w:p>
      <w:pPr>
        <w:pStyle w:val="Heading6"/>
        <w:numPr>
          <w:ilvl w:val="5"/>
          <w:numId w:val="1"/>
        </w:numPr>
        <w:rPr/>
      </w:pPr>
      <w:bookmarkStart w:id="472" w:name="__RefHeading___Toc508930_1738255347"/>
      <w:bookmarkStart w:id="473" w:name="_Toc158"/>
      <w:bookmarkEnd w:id="472"/>
      <w:r>
        <w:rPr>
          <w:rtl w:val="true"/>
        </w:rPr>
        <w:t>استعمال اللفظ و إرادة الخاصّ</w:t>
      </w:r>
      <w:bookmarkEnd w:id="473"/>
    </w:p>
    <w:p>
      <w:pPr>
        <w:pStyle w:val="BookText"/>
        <w:rPr/>
      </w:pPr>
      <w:r>
        <w:rPr>
          <w:rFonts w:ascii="IRNazanin" w:hAnsi="IRNazanin" w:eastAsia="IRNazanin"/>
          <w:color w:val="111111"/>
          <w:sz w:val="28"/>
          <w:sz w:val="28"/>
          <w:szCs w:val="28"/>
          <w:rtl w:val="true"/>
          <w:lang w:bidi="fa-IR"/>
        </w:rPr>
        <w:t xml:space="preserve">إذا استعمل اللفظ وارید به معنیً مباین لما وضع له فهو مجاز بلا شکّ ، وأمّا إذا کان المعنی الموضوع له اللفظ ذا حصصٍ وحالاتٍ کثیرةٍ وارید به بعض تلک الحصص ، کما إذا أتیت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وأردت ماء الفرات فهذا له حالتان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بمفردها فی تلک الحصّة بالذات ، أی فی ماء الفرات بماهو ماء خاصّ ، وهذایکون مجازاً ؛ لأنّ اللفظلم یوضع للخاصّ بماهو خاصّ</w:t>
      </w:r>
      <w:r>
        <w:rPr>
          <w:rFonts w:eastAsia="IRNazanin" w:cs="IRNazanin"/>
          <w:color w:val="111111"/>
          <w:sz w:val="28"/>
          <w:szCs w:val="28"/>
          <w:rtl w:val="true"/>
          <w:lang w:bidi="fa-IR"/>
        </w:rPr>
        <w:t xml:space="preserve">. </w:t>
      </w:r>
      <w:bookmarkStart w:id="474" w:name="pg14075_144602"/>
    </w:p>
    <w:p>
      <w:pPr>
        <w:pStyle w:val="BookText"/>
        <w:rPr/>
      </w:pPr>
      <w:bookmarkEnd w:id="474"/>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المشترک بین ماء الفرات وغیره وتأتی بلفظٍ آخر یدلّ علی خصوصیة الفرات بأن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فالحصّة الخاصّة قد افیدت بمجموع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وکلّ من الکلمتین قد استعملت فی معناها الموضوعة له فلا تجوز ، ونطلق علی إرادة الخاصِّ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تعدّد الدالِّ والمدلول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فطریقة تعدّد الدالِّ والمدلول نعنی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مجموعة من المعانی بمجموعةٍ من الدوال وبإزاء کلِّ دالٍّ واحد من تلک المعانی</w:t>
      </w:r>
      <w:r>
        <w:rPr>
          <w:rFonts w:eastAsia="IRNazanin" w:cs="IRNazanin"/>
          <w:color w:val="111111"/>
          <w:sz w:val="28"/>
          <w:szCs w:val="28"/>
          <w:rtl w:val="true"/>
          <w:lang w:bidi="fa-IR"/>
        </w:rPr>
        <w:t>.</w:t>
      </w:r>
    </w:p>
    <w:p>
      <w:pPr>
        <w:pStyle w:val="Heading6"/>
        <w:numPr>
          <w:ilvl w:val="5"/>
          <w:numId w:val="1"/>
        </w:numPr>
        <w:rPr/>
      </w:pPr>
      <w:bookmarkStart w:id="475" w:name="__RefHeading___Toc508932_1738255347"/>
      <w:bookmarkStart w:id="476" w:name="_Toc159"/>
      <w:bookmarkEnd w:id="475"/>
      <w:r>
        <w:rPr>
          <w:rtl w:val="true"/>
        </w:rPr>
        <w:t>الاشتراک و الترادف</w:t>
      </w:r>
      <w:bookmarkEnd w:id="476"/>
    </w:p>
    <w:p>
      <w:pPr>
        <w:pStyle w:val="BookText"/>
        <w:rPr/>
      </w:pPr>
      <w:r>
        <w:rPr>
          <w:rFonts w:ascii="IRNazanin" w:hAnsi="IRNazanin" w:eastAsia="IRNazanin"/>
          <w:color w:val="111111"/>
          <w:sz w:val="28"/>
          <w:sz w:val="28"/>
          <w:szCs w:val="28"/>
          <w:rtl w:val="true"/>
          <w:lang w:bidi="fa-IR"/>
        </w:rPr>
        <w:t xml:space="preserve">لا شکّ فی إمکان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وجود معنیین لِلَفظٍ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وجود لفظین 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غیر مسلک التعهّد فی تفسیر الوضع ، ومجرّد کون الاشتراک مؤدّیاً إلی الإجمال وتردّد السامع فی المعنی المقصود لا یوجب فقدان الوضع المتعدّد لحکمته ؛ لأنّ حکمته إنّما هی إیجاد ما یصلح للتفهیم فی مقام الاستعمال ولو بضمّ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مسلک التعهّد فلا یخلو تصویر الاشتراک والترادف من إشکال ؛ لأنّ التعهّد إذا 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بعدم الإتیان باللفظ إلاّإذا قصد تفهیم المعنی الذی یضع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الاشتراک المتضمّن لتعهّدین من هذا القبیل بالنسبة إلی لفظٍ واحد ، إذ یلزم أن یکون عند الإتیان باللفظ قاصداً لکلا المعنیین وفاءً بکلا التعهّدین ، وهو غیر مقصودٍ من المتعهّد جزماً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التعهّد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بالإتیان باللفظ عند قصد تفهیم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الترادف المتضمّن لتعهّدین من هذا القبیل بالنسبة إلی معنیً واحد ، إذ یلزم أن یأتی بکلا اللفظین عند قصد تفهیم المعنی ، وهو غیر مقصودٍ من المتعهّد جزماً</w:t>
      </w:r>
      <w:r>
        <w:rPr>
          <w:rFonts w:eastAsia="IRNazanin" w:cs="IRNazanin"/>
          <w:color w:val="111111"/>
          <w:sz w:val="28"/>
          <w:szCs w:val="28"/>
          <w:rtl w:val="true"/>
          <w:lang w:bidi="fa-IR"/>
        </w:rPr>
        <w:t xml:space="preserve">. </w:t>
      </w:r>
      <w:bookmarkStart w:id="477" w:name="pg14075_144603"/>
    </w:p>
    <w:p>
      <w:pPr>
        <w:pStyle w:val="BookText"/>
        <w:rPr/>
      </w:pPr>
      <w:bookmarkEnd w:id="477"/>
      <w:r>
        <w:rPr>
          <w:rFonts w:ascii="IRNazanin" w:hAnsi="IRNazanin" w:eastAsia="IRNazanin"/>
          <w:color w:val="111111"/>
          <w:sz w:val="28"/>
          <w:sz w:val="28"/>
          <w:szCs w:val="28"/>
          <w:rtl w:val="true"/>
          <w:lang w:bidi="fa-IR"/>
        </w:rPr>
        <w:t xml:space="preserve">وحلُّ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بافتراض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المتعهّد بأن یکون متعهّداً بعدم الإتیان باللفظ إلاّإذا قصد تفهیم أحد المعنیین بخصوصه ، أو متعهّداً عند قصد تفهیم المعنی بالإتیان بأحد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تعهّدَین مشروطَین علی نحوٍ یکون المتعهَّد به فی کلٍّ منهما مقیّداً بعدم الآخر</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508934_1738255347"/>
      <w:bookmarkStart w:id="479" w:name="_Toc160"/>
      <w:bookmarkEnd w:id="478"/>
      <w:r>
        <w:rPr>
          <w:rtl w:val="true"/>
        </w:rPr>
        <w:t>تصنیف اللغة</w:t>
      </w:r>
      <w:bookmarkEnd w:id="479"/>
    </w:p>
    <w:p>
      <w:pPr>
        <w:pStyle w:val="BookText"/>
        <w:rPr/>
      </w:pPr>
      <w:r>
        <w:rPr>
          <w:rFonts w:ascii="IRNazanin" w:hAnsi="IRNazanin" w:eastAsia="IRNazanin"/>
          <w:color w:val="111111"/>
          <w:sz w:val="28"/>
          <w:sz w:val="28"/>
          <w:szCs w:val="28"/>
          <w:rtl w:val="true"/>
          <w:lang w:bidi="fa-IR"/>
        </w:rPr>
        <w:t>تنقسم اللغة إلی کلمةٍ بسیطة ، وکلمةٍ مرکّبة ، وهیئةٍ ترکیبیّة تقوم بأکثر من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فالکلمة البسیطة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الکلمة الموضوعة بمادّة حروفها وترکیبها الخاصّ بوضعٍ واحدٍ للمعنی ، من قبیل أسماء الأجناس وأسماء الأعلام والحروف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والکلمة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الکلمة التی یکون لهیئتها وضع ولمادتها وضع آخر ، من قبیل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والهیئة 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الهیئة التی تحصل بانضمام کلمةٍ إلی اخری وتکون موضوعةً لمعنیً خاصّ</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والهیئات والحروف عموماً لا تستقلّ معانیها بنفسها ؛ لأنّها من سنخ النسب والارتباطات ، ففی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 إلی مکّة المکرّمة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خاصّةٍ بین السیر ومکّة ، حیث إنّ السیر ینتهی بمکّة ، وتدّل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وصفیّةٍ وهی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لمکّة ، وتدلّ هیئة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خاصّةٍ بین السیر وواجب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ثابت فعلاً للسیر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والنسبة التی یدلّ علیها الحرف غیر کافیةٍ بمفردها لتکوین جملةٍ تامّة ، ولهذا تسمّی بالنسبة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الهیئات فبعضها یدلّ علی النسبة الناقصة کهیئة الجملة الوصفیّة ، وبعضها یدلّ علی النسبة التی تتکوّن بها جملة تامّة ،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کهیئة الجملة الخبریّة ، أو هیئة الجملة الإنشائیة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ویصطلح اصولیّاً علی التعبیر بالمعنی الحرفیّ عن کلّ نسبة ، سواء کانت مدلولةً للحرف ، أو لهیئة الجملة الناقصة ، أو لهیئة الجملة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وبالمعنی الاسمیّ عمّا سوی ذلک من المدلولات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ویختلف المعنی الحرفیّ عن المعنی الاسمیّ فی امورٍ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باعتباره نسبةً وکلّ نسبةٍ متقوّمة بطرفیها ، فلا یمکن أن یلحظ دائماً إلاّضمن لحاظ طرفی النسبة ، وأمّا المعنی الاسمیّ فیمکن أن یلحظ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المحقّق النائینیّ رحمه‌الله إلی التفرقة بین المعانی الاسمیّة والمعانی الحرفیّة بأنّ الاولی إخطاریّة ، والثانیة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ظاهر کلمات مقرّری بحثه </w:t>
      </w:r>
      <w:r>
        <w:rPr>
          <w:rStyle w:val="FootnoteAnchor"/>
          <w:rtl w:val="true"/>
        </w:rPr>
        <w:footnoteReference w:id="79"/>
      </w:r>
      <w:r>
        <w:rPr>
          <w:rFonts w:ascii="IRNazanin" w:hAnsi="IRNazanin" w:eastAsia="IRNazanin"/>
          <w:color w:val="111111"/>
          <w:sz w:val="28"/>
          <w:sz w:val="28"/>
          <w:szCs w:val="28"/>
          <w:rtl w:val="true"/>
          <w:lang w:bidi="fa-IR"/>
        </w:rPr>
        <w:t xml:space="preserve">أنّ مراده بکون المعنی الاسمیّ إخطاریّاً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یدلّ علی معنیً ثابتٍ فی ذهن المتکلّم فی المرتبة السابقة علی الکلام ، ولیس دور الاسم إلاّالتعبیر عن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بکون المعنی الحرفیّ إیجادیّاً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الحرف أداة للربط بین مفردات الکلام ، فمدلوله هو نفس الربط الواقع فی مرحلة الکلام بین مفرداته ، ولا یعبّر عن معنیً أسبق رتبةً من هذه المرحلة ، ومن هنا یکون الحرف موجداً لمعناه ؛ لأنّ معناه لیس إلاّالربط الکلامیّ الذی یحصل به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من الإیجادیّة للحرف واضح البطلان ؛ لأنّ الحرف وإن کان </w:t>
      </w:r>
      <w:bookmarkStart w:id="480" w:name="pg14075_144605"/>
    </w:p>
    <w:p>
      <w:pPr>
        <w:pStyle w:val="BookText"/>
        <w:rPr/>
      </w:pPr>
      <w:bookmarkEnd w:id="480"/>
      <w:r>
        <w:rPr>
          <w:rFonts w:ascii="IRNazanin" w:hAnsi="IRNazanin" w:eastAsia="IRNazanin"/>
          <w:color w:val="111111"/>
          <w:sz w:val="28"/>
          <w:sz w:val="28"/>
          <w:szCs w:val="28"/>
          <w:rtl w:val="true"/>
          <w:lang w:bidi="fa-IR"/>
        </w:rPr>
        <w:t xml:space="preserve">یوجد الربط فی مرحلة الکلام ولکنّه إنّما یوجد ذلک بسبب دلالته علی معنی ، أی علی الجانب النسبیّ والربطیّ فی الصورة الذهنیة ، ونسبته إلی الربط القائم فی الصورة الذهنیّة علی حدّ ربط الاسم بالمعانی الاسمیّة </w:t>
      </w:r>
      <w:r>
        <w:rPr>
          <w:rStyle w:val="FootnoteAnchor"/>
          <w:rtl w:val="true"/>
        </w:rPr>
        <w:footnoteReference w:id="80"/>
      </w:r>
      <w:r>
        <w:rPr>
          <w:rFonts w:ascii="IRNazanin" w:hAnsi="IRNazanin" w:eastAsia="IRNazanin"/>
          <w:color w:val="111111"/>
          <w:sz w:val="28"/>
          <w:sz w:val="28"/>
          <w:szCs w:val="28"/>
          <w:rtl w:val="true"/>
          <w:lang w:bidi="fa-IR"/>
        </w:rPr>
        <w:t>الداخلة فی تلک الصورة ، فلا تصحّ التفرقة بین المعانی الاسمیّة والحرفیّة بالإخطاریّة والإیجادیّة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هناک معنیً آخر دقیق ولطیف لإیجادیّة المعانی الحرفیّة تتمیّز به عن المعانی الاسمیّة ؛ تأتی الإشارة إلیه فی الحلقة الثالثة إن شاء الله تعالی</w:t>
      </w:r>
      <w:r>
        <w:rPr>
          <w:rFonts w:eastAsia="IRNazanin" w:cs="IRNazanin"/>
          <w:color w:val="111111"/>
          <w:sz w:val="28"/>
          <w:szCs w:val="28"/>
          <w:rtl w:val="true"/>
          <w:lang w:bidi="fa-IR"/>
        </w:rPr>
        <w:t>.</w:t>
      </w:r>
    </w:p>
    <w:p>
      <w:pPr>
        <w:pStyle w:val="Heading6"/>
        <w:numPr>
          <w:ilvl w:val="5"/>
          <w:numId w:val="1"/>
        </w:numPr>
        <w:rPr/>
      </w:pPr>
      <w:bookmarkStart w:id="481" w:name="__RefHeading___Toc508936_1738255347"/>
      <w:bookmarkStart w:id="482" w:name="_Toc161"/>
      <w:bookmarkEnd w:id="481"/>
      <w:r>
        <w:rPr>
          <w:rtl w:val="true"/>
        </w:rPr>
        <w:t>المقارنة بین الحروف و الأسماء الموازیة لها</w:t>
      </w:r>
      <w:bookmarkEnd w:id="482"/>
    </w:p>
    <w:p>
      <w:pPr>
        <w:pStyle w:val="BookText"/>
        <w:rPr/>
      </w:pPr>
      <w:r>
        <w:rPr>
          <w:rFonts w:ascii="IRNazanin" w:hAnsi="IRNazanin" w:eastAsia="IRNazanin"/>
          <w:color w:val="111111"/>
          <w:sz w:val="28"/>
          <w:sz w:val="28"/>
          <w:szCs w:val="28"/>
          <w:rtl w:val="true"/>
          <w:lang w:bidi="fa-IR"/>
        </w:rPr>
        <w:t xml:space="preserve">کلّ حرفٍ نجد تعبیراً اسمیّاً موازیاً له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یوازیها فی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وعلی الرغم من الموازاة فإنّ الحرف والاسم الموازی له لَیسا مترادفَین ؛ بدلیل أنّه لا یمکن استبدال أحدهما فی موضع الآخر ؛ کما هو الشأن فی المترادفَین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یعود إلی أنّ الحرف یدلّ علی النسبة ، والاسم یدلّ علی مفهومٍ اسمیٍّ یوازی تلک النسبة ویلازمها ، ومن هنا لم یکن بالإمکان أن یفصل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طرفیه ویلحظ مستقلاًّ ؛ لأنّ النسبة لا تنفصل عن طَرَفَیها ، بینما بالإمکان أن نلحظ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بمفردها ونتصوّر معناها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الشیء نجده فی هیئات الجمل مع أسماءٍ موازیةٍ لها ،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بعلم زید ، فالإخبار بعلم زیدٍ تعبیر اسمیّ عن مدلول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إلاّأ نّه لا یرادفه ؛ لوضوح أنّک لو نطقت بهذا التعبیر الاسمیّ لکنت قد قلت </w:t>
      </w:r>
      <w:bookmarkStart w:id="483" w:name="pg14075_144606"/>
    </w:p>
    <w:p>
      <w:pPr>
        <w:pStyle w:val="BookText"/>
        <w:rPr/>
      </w:pPr>
      <w:bookmarkEnd w:id="483"/>
      <w:r>
        <w:rPr>
          <w:rFonts w:ascii="IRNazanin" w:hAnsi="IRNazanin" w:eastAsia="IRNazanin"/>
          <w:color w:val="111111"/>
          <w:sz w:val="28"/>
          <w:sz w:val="28"/>
          <w:szCs w:val="28"/>
          <w:rtl w:val="true"/>
          <w:lang w:bidi="fa-IR"/>
        </w:rPr>
        <w:t xml:space="preserve">جملةً ناقصةً لا یصحّ السکوت علیها ،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تامّة یصحّ السکوت علیها</w:t>
      </w:r>
      <w:r>
        <w:rPr>
          <w:rFonts w:eastAsia="IRNazanin" w:cs="IRNazanin"/>
          <w:color w:val="111111"/>
          <w:sz w:val="28"/>
          <w:szCs w:val="28"/>
          <w:rtl w:val="true"/>
          <w:lang w:bidi="fa-IR"/>
        </w:rPr>
        <w:t>.</w:t>
      </w:r>
    </w:p>
    <w:p>
      <w:pPr>
        <w:pStyle w:val="Heading6"/>
        <w:numPr>
          <w:ilvl w:val="5"/>
          <w:numId w:val="1"/>
        </w:numPr>
        <w:rPr/>
      </w:pPr>
      <w:bookmarkStart w:id="484" w:name="__RefHeading___Toc508938_1738255347"/>
      <w:bookmarkStart w:id="485" w:name="_Toc162"/>
      <w:bookmarkEnd w:id="484"/>
      <w:r>
        <w:rPr>
          <w:rtl w:val="true"/>
        </w:rPr>
        <w:t>تنوّع المدلول التصدیقیّ</w:t>
      </w:r>
      <w:bookmarkEnd w:id="485"/>
    </w:p>
    <w:p>
      <w:pPr>
        <w:pStyle w:val="BookText"/>
        <w:rPr/>
      </w:pPr>
      <w:r>
        <w:rPr>
          <w:rFonts w:ascii="IRNazanin" w:hAnsi="IRNazanin" w:eastAsia="IRNazanin"/>
          <w:color w:val="111111"/>
          <w:sz w:val="28"/>
          <w:sz w:val="28"/>
          <w:szCs w:val="28"/>
          <w:rtl w:val="true"/>
          <w:lang w:bidi="fa-IR"/>
        </w:rPr>
        <w:t>عرفنا فی ما سبق أنّ الألفاظ لها دلالة تصوّریّة تنشأ من الوضع ، ولها دلالة تصدیقیّة تنشأ من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التصدیقیّة الاولی تشترک فیها الکلمات والجمل الناقصة والجمل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التصدیقیّة الثانیة علی المراد الجدّیِّ تختصّ بها الجمل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وسنخ المدلول التصدیقیّ الأوّل واحد فی جمیع الألفاظ ؛ وهو قصد المتکلّم إخطار صورة المعنی فی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سنخ المدلول التصدیقیّ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المراد الجدّیّ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من جملةٍ تامّةٍ إلی جملةٍ تامّةٍ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الخبریّة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مدلولها الجدّیّ قصد الإخبار والحکایة عن النسبة التامّة التی تدلّ علیها هیئتها ، والجملة الاستفهامیّة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مدلولها الجدّیّ طلب الفهم والاطّلاع علی وقوع تلک النسبة التامّة ، والجملة الطلبیّة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مدلولها الجدّیّ طلب إیقاع النسبة التامّة 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وقوع الصلاة من المخاطب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ویختلف فی ذلک السید الاستاذ </w:t>
      </w:r>
      <w:r>
        <w:rPr>
          <w:rStyle w:val="FootnoteAnchor"/>
          <w:rtl w:val="true"/>
        </w:rPr>
        <w:footnoteReference w:id="81"/>
      </w:r>
      <w:r>
        <w:rPr>
          <w:rFonts w:ascii="IRNazanin" w:hAnsi="IRNazanin" w:eastAsia="IRNazanin"/>
          <w:color w:val="111111"/>
          <w:sz w:val="28"/>
          <w:sz w:val="28"/>
          <w:szCs w:val="28"/>
          <w:rtl w:val="true"/>
          <w:lang w:bidi="fa-IR"/>
        </w:rPr>
        <w:t xml:space="preserve">فإنّه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الوضع عبارة عن التعهّد ، وفرّع علیه أنّ الدلالة اللفظیّة الناشئة من الوضع دلالة تصدیقیّة ، لا تصوّریّة بحتة ، وعلی هذا الأساس اختار أنّ کلّ جملةٍ تامّةٍ موضوعة بالتعهّد لنفس مدلولها التصدیقیّ الجدّیّ مباشرةً ، وقد عرفت الحال فی مبناه سابقاً</w:t>
      </w:r>
      <w:r>
        <w:rPr>
          <w:rFonts w:eastAsia="IRNazanin" w:cs="IRNazanin"/>
          <w:color w:val="111111"/>
          <w:sz w:val="28"/>
          <w:szCs w:val="28"/>
          <w:rtl w:val="true"/>
          <w:lang w:bidi="fa-IR"/>
        </w:rPr>
        <w:t xml:space="preserve">. </w:t>
      </w:r>
      <w:bookmarkStart w:id="486" w:name="pg14075_144607"/>
    </w:p>
    <w:p>
      <w:pPr>
        <w:pStyle w:val="Heading6"/>
        <w:numPr>
          <w:ilvl w:val="5"/>
          <w:numId w:val="1"/>
        </w:numPr>
        <w:rPr/>
      </w:pPr>
      <w:bookmarkStart w:id="487" w:name="__RefHeading___Toc508940_1738255347"/>
      <w:bookmarkStart w:id="488" w:name="_Toc163"/>
      <w:bookmarkEnd w:id="486"/>
      <w:bookmarkEnd w:id="487"/>
      <w:r>
        <w:rPr>
          <w:rtl w:val="true"/>
        </w:rPr>
        <w:t>المقارنة بین الجمل التامّة و الناقصة</w:t>
      </w:r>
      <w:bookmarkEnd w:id="488"/>
    </w:p>
    <w:p>
      <w:pPr>
        <w:pStyle w:val="BookText"/>
        <w:rPr/>
      </w:pPr>
      <w:r>
        <w:rPr>
          <w:rFonts w:ascii="IRNazanin" w:hAnsi="IRNazanin" w:eastAsia="IRNazanin"/>
          <w:color w:val="111111"/>
          <w:sz w:val="28"/>
          <w:sz w:val="28"/>
          <w:szCs w:val="28"/>
          <w:rtl w:val="true"/>
          <w:lang w:bidi="fa-IR"/>
        </w:rPr>
        <w:t>لا شکّ فی أنّ المعنی الموضوع له للجملة التامّة یختلف عن المعنی الموضوع له للجملة الناقصة ؛ لأنّ الاولی یصحّ السکوت علیها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یوجد تفسیران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 المعنی الموضوع له هو المدلول التصدیقیّ مباشرةً ، کما اختاره السیّد الاستاذ تفریعاً علی تفسیره للوضع بالتعهّد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التامّة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لقصد الحکایة والإخبار عن ثبوت المحمول للموضوع ، والجملة الناقصة الوصفیّة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لقصد إخطار صورة هذه الحصّة الخاصّة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المعنی الموضوع له غیر المدلول التصدیقیّ ، بل هو المدلول التصوّریّ ، والمدلول التصوّریّ للحروف والهیئات هو النسبة ، فلابدّ من افتراض فرقٍ بین نحوین من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یکون مدلولاً للجملة التامّة ، والآخر مدلول للجملة الناقصة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والتفسیر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کلتا الجملتین موضوعة للنسبة ، ولکنّها فی إحداهما اندماجیّة وفی الاخری غیر اندماجیّة ، وکلّ جملةٍ موضوعة للنسبة الاندماجیّة فهی ناقصة ؛ لأنّها تحوِّل المفهومَین إلی مفهومٍ واحدٍ وتُصیّر الجملة فی قوّة کلمةٍ واحدة ، وکلّ جملةٍ موضوعة للنسبة غیر الاندماجیّة فهی جملة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الحلقة السابقة بعض الحدیث عن ذلک</w:t>
      </w:r>
      <w:r>
        <w:rPr>
          <w:rFonts w:eastAsia="IRNazanin" w:cs="IRNazanin"/>
          <w:color w:val="111111"/>
          <w:sz w:val="28"/>
          <w:szCs w:val="28"/>
          <w:rtl w:val="true"/>
          <w:lang w:bidi="fa-IR"/>
        </w:rPr>
        <w:t xml:space="preserve">. </w:t>
      </w:r>
      <w:bookmarkStart w:id="489" w:name="pg14075_144608"/>
    </w:p>
    <w:p>
      <w:pPr>
        <w:pStyle w:val="Heading6"/>
        <w:numPr>
          <w:ilvl w:val="5"/>
          <w:numId w:val="1"/>
        </w:numPr>
        <w:rPr/>
      </w:pPr>
      <w:bookmarkStart w:id="490" w:name="__RefHeading___Toc508942_1738255347"/>
      <w:bookmarkStart w:id="491" w:name="_Toc164"/>
      <w:bookmarkEnd w:id="489"/>
      <w:bookmarkEnd w:id="490"/>
      <w:r>
        <w:rPr>
          <w:rtl w:val="true"/>
        </w:rPr>
        <w:t>الدلالات الخاصّة و المشترکة</w:t>
      </w:r>
      <w:bookmarkEnd w:id="491"/>
    </w:p>
    <w:p>
      <w:pPr>
        <w:pStyle w:val="BookText"/>
        <w:rPr/>
      </w:pPr>
      <w:r>
        <w:rPr>
          <w:rFonts w:ascii="IRNazanin" w:hAnsi="IRNazanin" w:eastAsia="IRNazanin"/>
          <w:color w:val="111111"/>
          <w:sz w:val="28"/>
          <w:sz w:val="28"/>
          <w:szCs w:val="28"/>
          <w:rtl w:val="true"/>
          <w:lang w:bidi="fa-IR"/>
        </w:rPr>
        <w:t>هذه نبذة تمهیدیّة عن الدلالة اللفظیّة وعلاقات الألفاظ بالمعانی ؛ نکتفی بها للدخول فی الحدیث عن تحدید دلالات الدلیل الشرعیّ اللفظیّ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الدلالات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دلالات خاصّة ترتبط ببعض المسائل الفقهیّة ، کدلالة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وبعضها دلالات عامّة تصلح أن تکون عنصراً مشترکاً فی عملیّة الاستنباط فی مختلف أبواب الفقه ، کدلالة الأمر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سابقاً أنّ ما یدخل فی البحث الاصولیّ إنّما هو القسم الثانی ، ولهذا فسوف یکون البحث عن الدلالات العامّة للدلیل الشرعیّ اللفظی</w:t>
      </w:r>
      <w:r>
        <w:rPr>
          <w:rFonts w:eastAsia="IRNazanin" w:cs="IRNazanin"/>
          <w:color w:val="111111"/>
          <w:sz w:val="28"/>
          <w:szCs w:val="28"/>
          <w:rtl w:val="true"/>
          <w:lang w:bidi="fa-IR"/>
        </w:rPr>
        <w:t xml:space="preserve">. </w:t>
      </w:r>
      <w:bookmarkStart w:id="492" w:name="pg14075_144609"/>
    </w:p>
    <w:p>
      <w:pPr>
        <w:pStyle w:val="Heading6"/>
        <w:numPr>
          <w:ilvl w:val="5"/>
          <w:numId w:val="1"/>
        </w:numPr>
        <w:rPr/>
      </w:pPr>
      <w:bookmarkStart w:id="493" w:name="__RefHeading___Toc508944_1738255347"/>
      <w:bookmarkStart w:id="494" w:name="_Toc165"/>
      <w:bookmarkEnd w:id="492"/>
      <w:bookmarkEnd w:id="493"/>
      <w:r>
        <w:rPr>
          <w:rtl w:val="true"/>
        </w:rPr>
        <w:t>الأمرُ و النهی</w:t>
      </w:r>
      <w:bookmarkEnd w:id="494"/>
    </w:p>
    <w:p>
      <w:pPr>
        <w:pStyle w:val="Heading6"/>
        <w:numPr>
          <w:ilvl w:val="5"/>
          <w:numId w:val="1"/>
        </w:numPr>
        <w:rPr/>
      </w:pPr>
      <w:bookmarkStart w:id="495" w:name="__RefHeading___Toc508946_1738255347"/>
      <w:bookmarkStart w:id="496" w:name="_Toc166"/>
      <w:bookmarkEnd w:id="495"/>
      <w:r>
        <w:rPr>
          <w:rtl w:val="true"/>
        </w:rPr>
        <w:t>الأمر</w:t>
      </w:r>
      <w:bookmarkEnd w:id="496"/>
    </w:p>
    <w:p>
      <w:pPr>
        <w:pStyle w:val="BookText"/>
        <w:rPr/>
      </w:pPr>
      <w:r>
        <w:rPr>
          <w:rFonts w:ascii="IRNazanin" w:hAnsi="IRNazanin" w:eastAsia="IRNazanin"/>
          <w:color w:val="111111"/>
          <w:sz w:val="28"/>
          <w:sz w:val="28"/>
          <w:szCs w:val="28"/>
          <w:rtl w:val="true"/>
          <w:lang w:bidi="fa-IR"/>
        </w:rPr>
        <w:t xml:space="preserve">الأمرُ تارةً یستعمل بمادّته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بصیغته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مادّة الأمر فلا شکّ فی دلالتها بالوضع علی الطلب ، ولکن لا بنحوٍ تکون مرادفةً لِلَفظ الطلب ؛ لأنّ لفظ الطلب ینطبق بمفهومه علی الطلب التکوینیّ ، کطلب العطشان للماء ، والطلب التشریعیّ ، سواء صدر من العالی أو من غیره ، بینما الأمر لا یصدق إلاّعلی الطلب التشریعیّ من العالی ، سواء کان مستعلیاً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متظاهراً بعلوِّهِ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مادّة الأمر لا ینحصر معناها لغةً بالطلب ، بل ذکرت لها معانٍ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کالشیء ، والحادثة ، والغرض ، وعلی هذا الأساس تکون مشترکاً لفظیّاً ، وتعیین الطلب بحاجةٍ إلی قرینة ، ومتی دلّت القرینة علی ذلک یقع الکلام فی أنّ المادّة تدلّ علی الطلب بنحو الوجوب ، أو تلائم مع الاستحباب؟</w:t>
      </w:r>
    </w:p>
    <w:p>
      <w:pPr>
        <w:pStyle w:val="BookText"/>
        <w:rPr/>
      </w:pPr>
      <w:r>
        <w:rPr>
          <w:rFonts w:ascii="IRNazanin" w:hAnsi="IRNazanin" w:eastAsia="IRNazanin"/>
          <w:color w:val="111111"/>
          <w:sz w:val="28"/>
          <w:sz w:val="28"/>
          <w:szCs w:val="28"/>
          <w:rtl w:val="true"/>
          <w:lang w:bidi="fa-IR"/>
        </w:rPr>
        <w:t xml:space="preserve">فقد یستدلّ علی أنّها تدلّ علی الوجوب بوجوه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لو کان یشمل الطلب الاستحبابی لَما وقع علی إطلاقه موضوعاً للحذر من العقاب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علی امّتی لأمرتهم بالسواک</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لو کان یشمل الاستحباب لَما کان الأمر مستلزماً للمشقّة کما هو ظاهر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 فإنّ المفهوم عرفاً من کلام المولی حین یستعمل کلمة الأمر أنّه فی مقام الإیجاب والإلزام ، والتبادر 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صیغة الأمر فقد ذکرت لها عدّة معانٍ ، کالطلب ، والتمنّی ، والترجّی ، والتهدید ، والتعجیز ، وغیر ذلک ، وهذا فی الواقع خلط بین المدلول التصوّریّ للصیغة والمدلول التصدیقیّ الجدِّی لها باعتبارها جملةً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هیئة فعل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مدلول تصوّریّ ، ولا بدّ أن یکون من سنخ المعنی الحرفیّ ، کما هو الشأن فی سائر الهیئات والحروف ، فلا یصحّ أن یکون مدلولها نفس الطلب بما هو مفهوم اسمیّ ، ولا مفهوم الإرسال نحو المادّة ، بل نسبة طلبیّة أو إرسالیّة توازی مفهوم الطلب أو مفهوم الإرسال ، کما توازی النسبة التی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والعلاقة بین مدلول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معنیً حرفیّاً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الإرسال أو الطلب تُشابِه العلاقة بین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علاقة موازاة لا 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ونقصد بالنسبة الطلبیّة أو الإرسالیة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المخصوص الذی یحصل بالطلب أو بالإرسال بین المطلوب والمطلوب منه ، أو بین المرسَل والمرسَل إلیه ، وهذا هو المدلول التصوّریّ للصیغة الثابت بالوضع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وللصیغة باعتبارها جملةً تامّةً مکوّنةً من فعلٍ وفاعلٍ مدلولٌ تصدیقیّ جدّی </w:t>
      </w:r>
    </w:p>
    <w:p>
      <w:pPr>
        <w:pStyle w:val="BookText"/>
        <w:rPr/>
      </w:pPr>
      <w:r>
        <w:rPr>
          <w:rFonts w:ascii="IRNazanin" w:hAnsi="IRNazanin" w:eastAsia="IRNazanin"/>
          <w:color w:val="111111"/>
          <w:sz w:val="28"/>
          <w:sz w:val="28"/>
          <w:szCs w:val="28"/>
          <w:rtl w:val="true"/>
          <w:lang w:bidi="fa-IR"/>
        </w:rPr>
        <w:t>بحکم السیاق ، لا الوضع ، إذ تکشف سیاقاً عن أمرٍ ثابتٍ فی نفس المتکلّم هو الذی دعاه إلی استعمال الصیغة ، وفی هذه المرحلة تتعدّد الدواعی التی یمکن أن تدلّ علیها الصیغة بهذه الدلالة ، فتارةً یکون الداعی هو الطلب ، واخری الترجّی ، وثالثةً التعجیز ، وهکذا ؛ مع انحفاظ المدلول التصوّری للصیغة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المسلک المختار المشهور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الدلالة الوضعیّة هی 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مسلک التعهّد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الدلالة الوضعیّة هی الدلالة التصدیقیّة ، وأنّ المدلول الجدّیّ للجملة التامّة هو المعنی الموضوع له ابتداءً فلا بدّ من الالتزام بتعدّد المعنی فی تلک الموارد ؛ لاختلاف المدلول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الصیغة أنّ المدلول التصدیقیّ الجدّیّ هو الطلب دون سائر الدواعی الاخری ؛ وذلک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بأنّ المدلول التصوّریّ هو النسبة الطلبیّة فواضح أنّ الطلب مصداق حقیقیّ للمدلول التصوّریّ دون سائر الدواعی ، فیکون أقرب إلی المدلول التصوّریّ ، وظاهر کلّ کلامٍ أنّ مدلوله التصدیقیّ أقرب ما یکون للتطابق والمصداقیّة للمدلول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بأنّ المدلول التصوّریّ هو النسبة الإرسالیّة فلأنّ المصداق الحقیقیّ لهذه النسبة إنّما ینشأ من الطلب ، لا من سائر الدواعی ، فیتعین داعی الطلب بظهور الکلام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یتّفق أحیاناً أن یکون المدلول الجدّیّ هو قصد الإخبار عن حکمٍ شرعیٍّ آخر غیر طلب المادّة أو إنشاء ذلک الحکم وجعله ،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طلب الغسل ، إذ قد یتنجّس ثوب الشخص فیهمله ولا یغسله ولا إثم علیه ، وإنّما المراد بیان أنّ الثوب یتنجّس بالبول وهذا حکم وضعیّ ، وأ نّه یطهر بالغسل وهذا حکم وضعیّ آخر ، وفی هذه الحالة تسمّی الصیغة بالأمر الإرشادی ؛ لأنّها إرشاد وإخبار عن ذلک الحکم</w:t>
      </w:r>
      <w:r>
        <w:rPr>
          <w:rFonts w:eastAsia="IRNazanin" w:cs="IRNazanin"/>
          <w:color w:val="111111"/>
          <w:sz w:val="28"/>
          <w:szCs w:val="28"/>
          <w:rtl w:val="true"/>
          <w:lang w:bidi="fa-IR"/>
        </w:rPr>
        <w:t xml:space="preserve">. </w:t>
      </w:r>
      <w:bookmarkStart w:id="497" w:name="pg14075_144612"/>
    </w:p>
    <w:p>
      <w:pPr>
        <w:pStyle w:val="BookText"/>
        <w:rPr/>
      </w:pPr>
      <w:bookmarkEnd w:id="497"/>
      <w:r>
        <w:rPr>
          <w:rFonts w:ascii="IRNazanin" w:hAnsi="IRNazanin" w:eastAsia="IRNazanin"/>
          <w:color w:val="111111"/>
          <w:sz w:val="28"/>
          <w:sz w:val="28"/>
          <w:szCs w:val="28"/>
          <w:rtl w:val="true"/>
          <w:lang w:bidi="fa-IR"/>
        </w:rPr>
        <w:t>وکما أنّ المعروف فی دلالة مادّة الأمر علی الطلب أنّها تدلّ علی الطلب الوجوبیّ کذلک الحال فی صیغة الأمر ، بمعنی أنّها تدلّ علی النسبة الإرسالیّة الحاصلة من إرادةٍ لزومیّة ، وهذا هو الصحیح ، للتبادر بحسب الفهم العرفیّ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یستعمل غیر فعل الأمر من الأفعال فی إفادة الطلب ، إمّا بإدخال لام الأمر علیه ، فیکون الاستعمال بلا عنایة ، وإمّا بدون إدخاله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ویشتمل الاستعمال حینئذٍ علی عنایة ؛ لأنّ الجملة حینئذٍ خبریّة بطبیعتها وقد استعملت فی مقام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یدلّ علی الوجوب بنحو دلالة الصیغة علیه ، وفی الثانی یوجد خلاف فی الدلالة علی الوجوب ، ویأتی الکلام عن ذلک فی حلقةٍ مقبلةٍ إن شاء الله تعالی</w:t>
      </w:r>
      <w:r>
        <w:rPr>
          <w:rFonts w:eastAsia="IRNazanin" w:cs="IRNazanin"/>
          <w:color w:val="111111"/>
          <w:sz w:val="28"/>
          <w:szCs w:val="28"/>
          <w:rtl w:val="true"/>
          <w:lang w:bidi="fa-IR"/>
        </w:rPr>
        <w:t>.</w:t>
      </w:r>
    </w:p>
    <w:p>
      <w:pPr>
        <w:pStyle w:val="Heading6"/>
        <w:numPr>
          <w:ilvl w:val="5"/>
          <w:numId w:val="1"/>
        </w:numPr>
        <w:rPr/>
      </w:pPr>
      <w:bookmarkStart w:id="498" w:name="__RefHeading___Toc508948_1738255347"/>
      <w:bookmarkStart w:id="499" w:name="_Toc167"/>
      <w:bookmarkEnd w:id="498"/>
      <w:r>
        <w:rPr>
          <w:rtl w:val="true"/>
        </w:rPr>
        <w:t>دلالات اخری للأمر</w:t>
      </w:r>
      <w:bookmarkEnd w:id="499"/>
    </w:p>
    <w:p>
      <w:pPr>
        <w:pStyle w:val="BookText"/>
        <w:rPr/>
      </w:pPr>
      <w:r>
        <w:rPr>
          <w:rFonts w:ascii="IRNazanin" w:hAnsi="IRNazanin" w:eastAsia="IRNazanin"/>
          <w:color w:val="111111"/>
          <w:sz w:val="28"/>
          <w:sz w:val="28"/>
          <w:szCs w:val="28"/>
          <w:rtl w:val="true"/>
          <w:lang w:bidi="fa-IR"/>
        </w:rPr>
        <w:t>عرفنا أنّ الأمر یدلّ علی الطلب ، ویدلّ علی أنّ الطلب علی نحو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دلالات اخری محتملة وقع البحث عن ثبوتها له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نفی الحرمة بدلاً عن دلالته علی الطلب والوجوب فی حالةٍ معیّنة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عقیب التحریم ، أو فی حالةٍ یحتمل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علی مستوی المدلول التصوّری لا تتغیّر دلالتها فی هذه الحالة ، بل تظلّ دالّةً علی النسبة الطلبیّة ، غیر أنّ مدلولها التصدیقیّ هنا یصبح مجملاً ومردّداً بین الطلب الجدِّیّ وبین نفی التحریم ؛ لأنّ ورود الأمر فی إحدی الحالتین المذکورتین یوجب الإجمال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الأمر بالفعل الموقّت بوقتٍ محدّدٍ علی وجوب القضاء خارج الوقت علی من لم یأتِ بالواجب فی وقته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بالفعل الموقّت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أمراً واحداً </w:t>
      </w:r>
      <w:bookmarkStart w:id="500" w:name="pg14075_144613"/>
    </w:p>
    <w:p>
      <w:pPr>
        <w:pStyle w:val="BookText"/>
        <w:rPr/>
      </w:pPr>
      <w:bookmarkEnd w:id="500"/>
      <w:r>
        <w:rPr>
          <w:rFonts w:ascii="IRNazanin" w:hAnsi="IRNazanin" w:eastAsia="IRNazanin"/>
          <w:color w:val="111111"/>
          <w:sz w:val="28"/>
          <w:sz w:val="28"/>
          <w:szCs w:val="28"/>
          <w:rtl w:val="true"/>
          <w:lang w:bidi="fa-IR"/>
        </w:rPr>
        <w:t>بهذا الفعل المقیّد فلا یقتضی إلاّالإتیان به ، فإن لم یأتِ به حتّی انتهی الوقت فلا موجب من قِبَله للقضاء ، بل یحتاج إیجاب القضاء إلی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اخری یکون الأمر بالفعل الموقّت أمرین مجتمعین فی بیانٍ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أمر بذات الفعل علی الإطلاق ، والآخر أمر بإیقاعه فی الوقت الخاصّ ، فإن فات المکلّف امتثال الأمر الثانی بقی علیه الأمر الأوّل ، ویجب علیه أن یأتی بالفعل حینئذٍ ولو خرج الوقت ، فلا یحتاج إیجاب القضاء إلی 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دلیل الأمر بالموقّت هو وحدة الأمر ، فیحتاج إثبات تعدّده علی الوجه الثانی إلی 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الأمر بالأمر بشیءٍ علی الأمر بذلک الشیء مباشرةً ، بمعنی أنّ الآمر إذا أمر زیداً بأن یأمر خالداً بشیءٍ فهل یستفاد الأمر المباشر لخالدٍ من ذلک ، أوْ لا؟</w:t>
      </w:r>
    </w:p>
    <w:p>
      <w:pPr>
        <w:pStyle w:val="BookText"/>
        <w:rPr/>
      </w:pPr>
      <w:r>
        <w:rPr>
          <w:rFonts w:ascii="IRNazanin" w:hAnsi="IRNazanin" w:eastAsia="IRNazanin"/>
          <w:color w:val="111111"/>
          <w:sz w:val="28"/>
          <w:sz w:val="28"/>
          <w:szCs w:val="28"/>
          <w:rtl w:val="true"/>
          <w:lang w:bidi="fa-IR"/>
        </w:rPr>
        <w:t>فعلی الأوّل لو أنّ خالداً اطَّلع علی ذلک قبل أن یأمره زید لوجب علیه الإتیان بذلک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لا یکون ملزماً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الشارع لولیّ الصبیّ بأن یأمر الصبیّ بالصلاة ، فإن قیل بأنّ الأمر بالأمر بشیءٍ أمرٌ به کان أمر الشارع هذا أمراً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نحو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w:t>
      </w:r>
    </w:p>
    <w:p>
      <w:pPr>
        <w:pStyle w:val="Heading6"/>
        <w:numPr>
          <w:ilvl w:val="5"/>
          <w:numId w:val="1"/>
        </w:numPr>
        <w:rPr/>
      </w:pPr>
      <w:bookmarkStart w:id="501" w:name="__RefHeading___Toc508950_1738255347"/>
      <w:bookmarkStart w:id="502" w:name="_Toc168"/>
      <w:bookmarkEnd w:id="501"/>
      <w:r>
        <w:rPr>
          <w:rtl w:val="true"/>
        </w:rPr>
        <w:t>النهی</w:t>
      </w:r>
      <w:bookmarkEnd w:id="5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للأمر مادّةً وصیغةً کذلک الحال فی النهی ، فمادّته نفس کلمة النهی ، وصیغته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والمادّة تدلّ علی الزجر بمفهومه الاسمیّ ، والصیغة تدلّ علی الزجر والإمساک بنحو المعنی الحرفیّ ، وإن شئت عبِّر بالنسبة الزجریّة والإمساکیّة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وقع الخلاف بین جملةٍ من الاصولیِّین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النهی هل هو طلب الترک الذی هو مجرّد أمر عدمیّ ، أو طلب الکفّ عن الفعل الذی هو أمر وجودیّ؟</w:t>
      </w:r>
    </w:p>
    <w:p>
      <w:pPr>
        <w:pStyle w:val="BookText"/>
        <w:rPr/>
      </w:pPr>
      <w:r>
        <w:rPr>
          <w:rFonts w:ascii="IRNazanin" w:hAnsi="IRNazanin" w:eastAsia="IRNazanin"/>
          <w:color w:val="111111"/>
          <w:sz w:val="28"/>
          <w:sz w:val="28"/>
          <w:szCs w:val="28"/>
          <w:rtl w:val="true"/>
          <w:lang w:bidi="fa-IR"/>
        </w:rPr>
        <w:t xml:space="preserve">وقد یستدلّ للوجه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استمرار للعدم الأزلیّ الخارج عن القدرة فلا یمکن تعلّق الطلب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ویندفع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بقاءه مقدور فیعقل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حصل منه الترک بدون کفٍّ لا یعتبر عاصیاً للنهی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الوجهین باطل ؛ لأنّ النهی لیس طلباً لا للترک ولا للکفّ ، وإنّما هو زجر بنحو المعنی الاسمیّ کما فی مادّة النهی ، أو بنحو المعنی الحرفیّ کما فی صیغة النهی ، وهذا یعنی أنّ متعلّقه الفعل ، لا الترک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دلالة النهی مادّةً وصیغةً علی کون الحکم بدرجة التحریم ، ویثبت ذلک بالتبادر والفهم العرفیّ العامّ</w:t>
      </w:r>
      <w:r>
        <w:rPr>
          <w:rFonts w:eastAsia="IRNazanin" w:cs="IRNazanin"/>
          <w:color w:val="111111"/>
          <w:sz w:val="28"/>
          <w:szCs w:val="28"/>
          <w:rtl w:val="true"/>
          <w:lang w:bidi="fa-IR"/>
        </w:rPr>
        <w:t xml:space="preserve">. </w:t>
      </w:r>
      <w:bookmarkStart w:id="503" w:name="pg14075_144615"/>
    </w:p>
    <w:p>
      <w:pPr>
        <w:pStyle w:val="Heading6"/>
        <w:numPr>
          <w:ilvl w:val="5"/>
          <w:numId w:val="1"/>
        </w:numPr>
        <w:rPr/>
      </w:pPr>
      <w:bookmarkStart w:id="504" w:name="__RefHeading___Toc508952_1738255347"/>
      <w:bookmarkStart w:id="505" w:name="_Toc169"/>
      <w:bookmarkEnd w:id="503"/>
      <w:bookmarkEnd w:id="504"/>
      <w:r>
        <w:rPr>
          <w:rtl w:val="true"/>
        </w:rPr>
        <w:t>الاحتراز فی القُیود</w:t>
      </w:r>
      <w:bookmarkEnd w:id="505"/>
    </w:p>
    <w:p>
      <w:pPr>
        <w:pStyle w:val="BookText"/>
        <w:rPr/>
      </w:pPr>
      <w:r>
        <w:rPr>
          <w:rFonts w:ascii="IRNazanin" w:hAnsi="IRNazanin" w:eastAsia="IRNazanin"/>
          <w:color w:val="111111"/>
          <w:sz w:val="28"/>
          <w:sz w:val="28"/>
          <w:szCs w:val="28"/>
          <w:rtl w:val="true"/>
          <w:lang w:bidi="fa-IR"/>
        </w:rPr>
        <w:t xml:space="preserve">إذا ورد خطاب یشتمل علی حکمٍ وقیدٍ له ، فقد یکون هذا القید متعلّقاً للحکم ، کالإکرام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موضوعاً له ، کالفقیر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شرطاً ، کما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غایةً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وصفاً للموضوع ، کالعادل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هذه الحالات یوجد للکلام مدلول تصوّری ارید إخطاره فی ذهن السامع ، ومدلول تصدیقیّ جدِّیّ ، وهو الحکم الشرعیّ الذی ابرز وکُشف عنه بذلک الخطاب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الصورة التی نتصوّرها فی مرحلة المدلول التصوّری عند سماع الکلام المذکور هی صورة حکمٍ یرتبط بذلک القید علی نحوٍ من أنحاء الارتباط ، ونستکشف من دخول القید فی الصورة التی یدلّ علیها الکلام بالدلالة التصوّریّة دخوله أیضاً فی المدلول التصدیقیّ الجدّیّ ، بمعنی أنّ القید مأخوذ فی ذلک الحکم الشرعیّ الخاصّ الذی کشف عنه ذلک الکلام ، فحینما یقول المولی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أنّ الوجوب الذی أراد کشفه بهذا الخطاب قد جعل علی الفقیر العادل ، واخذت العدالة فی موضوعه وفقاً لأخذها فی المدلول التصوّریّ للکلام ؛ وذلک لأنّ المولی لو لم یکن قد أخذ العدالة قیداً فی موضوع ذلک الوجوب الذی جعله وأبرزه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هذا یعنی أنّه أخذ فی المدلول التصوریّ لکلامه قیداً ولم یأخذ ذلک القید فی المدلول الجدّیّ لذلک الکلام ، أی أنّه بیّن بالدلالة التصوّریة للکلام شیئاً وهو القید ، مع أنّه </w:t>
      </w:r>
    </w:p>
    <w:p>
      <w:pPr>
        <w:pStyle w:val="BookText"/>
        <w:rPr/>
      </w:pPr>
      <w:r>
        <w:rPr>
          <w:rFonts w:ascii="IRNazanin" w:hAnsi="IRNazanin" w:eastAsia="IRNazanin"/>
          <w:color w:val="111111"/>
          <w:sz w:val="28"/>
          <w:sz w:val="28"/>
          <w:szCs w:val="28"/>
          <w:rtl w:val="true"/>
          <w:lang w:bidi="fa-IR"/>
        </w:rPr>
        <w:t>لایدخل فی نطاق مراده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 ظهورٍ عرفیٍّ سیاقیّ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یبیّن بالکلام فی مرحلة المدلول التصوّریّ فهو داخل فی نطاق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یقوله یریده حقیقةً ، وبهذا الظهور نثبت قاعدة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احترازیّة القیود ، ومؤدّاها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قیدٍ یؤخذ فی المدلول التصوّریّ للکلام فالأصل فیه بحکم ذلک الظهور أن یکون قیداً فی المراد الجدّیّ أیضاً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فالفقر قید فی المراد الجدّی ؛ بمعنی کونه دخیلاً فی موضوع وجوب الإکرام الذی سِیقَ ذلک الکلام للکشف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الإنسان فقیراً فلا یشمله ذلک الوجوب ، ولکنّ هذا لا یعنی أن إکرامه لیس واجباً باعتبارٍ آخر ، فقد یکون هناک وجوب ثانٍ یخصّ الإنسان العالم أیضاً ، فإذا لم یکن الإنسان فقیراً وکان عالماً فقد یجب إکرامه بوجوب ثانٍ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نعرف أنّ قاعدة احترازیّة القیود تثبت أنّ شخص الحکم الذی یشکّل المدلول التصدیقیّ الجدّیّ للکلام المشتمل علی القید لا یشمل من انتفی عنه القید ، ولا تنفی وجود حکمٍ آخر یشمله</w:t>
      </w:r>
      <w:r>
        <w:rPr>
          <w:rFonts w:eastAsia="IRNazanin" w:cs="IRNazanin"/>
          <w:color w:val="111111"/>
          <w:sz w:val="28"/>
          <w:szCs w:val="28"/>
          <w:rtl w:val="true"/>
          <w:lang w:bidi="fa-IR"/>
        </w:rPr>
        <w:t xml:space="preserve">. </w:t>
      </w:r>
      <w:bookmarkStart w:id="506" w:name="pg14075_144617"/>
    </w:p>
    <w:p>
      <w:pPr>
        <w:pStyle w:val="Heading6"/>
        <w:numPr>
          <w:ilvl w:val="5"/>
          <w:numId w:val="1"/>
        </w:numPr>
        <w:rPr/>
      </w:pPr>
      <w:bookmarkStart w:id="507" w:name="__RefHeading___Toc508954_1738255347"/>
      <w:bookmarkStart w:id="508" w:name="_Toc170"/>
      <w:bookmarkEnd w:id="506"/>
      <w:bookmarkEnd w:id="507"/>
      <w:r>
        <w:rPr>
          <w:rtl w:val="true"/>
        </w:rPr>
        <w:t>الإطلاق</w:t>
      </w:r>
      <w:bookmarkEnd w:id="508"/>
    </w:p>
    <w:p>
      <w:pPr>
        <w:pStyle w:val="Heading6"/>
        <w:numPr>
          <w:ilvl w:val="5"/>
          <w:numId w:val="1"/>
        </w:numPr>
        <w:rPr/>
      </w:pPr>
      <w:bookmarkStart w:id="509" w:name="__RefHeading___Toc508956_1738255347"/>
      <w:bookmarkStart w:id="510" w:name="_Toc171"/>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الإطلاق یقابل التقیید ، فإن تصوّرت معنیً ولاحظت فیه وصفاً خاصّاً أو حالةً معینةً کان ذلک تقییداً ، وإن تصوّرته بدون أن تلحظ معه أیّ وصفٍ أو حالةٍ اخری کان ذلک إطلاقاً ، فالتقیید إذن هو لحاظ خصوصیّةٍ زائدةٍ فی الطبیعة ، والإطلاق عدم لحاظ الخصوصیّة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والطبیعة محفوظة فی کلتا الحالتین ، غیر أنّها تتمیّز فی الحالة الاولی بأمرٍ وجودیٍّ وهو لحاظ الخصوصیّة ، وتتمیّز فی الحالة الثانیة بأمرٍ عدمیٍّ وهو عدم لحاظ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یقع البحث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کلمةٍ مشابهةٍ هل هی موضوعة للطبیعة المحفوظة فی کلتا الحالتین ، فلا التقیید دخیل فی المعنی الموضوع له ولا الإطلاق ، بل الکلمة بمدلولها تلائم کلا الأمرین ، أو أنّ الکلمة موضوعة للطبیعة المطلقة ، فتدلّ الکلمة بالوضع علی الإطلاق وعدم لحاظ القید؟</w:t>
      </w:r>
    </w:p>
    <w:p>
      <w:pPr>
        <w:pStyle w:val="BookText"/>
        <w:rPr/>
      </w:pPr>
      <w:r>
        <w:rPr>
          <w:rFonts w:ascii="IRNazanin" w:hAnsi="IRNazanin" w:eastAsia="IRNazanin"/>
          <w:color w:val="111111"/>
          <w:sz w:val="28"/>
          <w:sz w:val="28"/>
          <w:szCs w:val="28"/>
          <w:rtl w:val="true"/>
          <w:lang w:bidi="fa-IR"/>
        </w:rPr>
        <w:t xml:space="preserve">وقد وقع الخلاف فی ذلک ، ویترتّب علی هذا الخلاف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وإرادة المقیّد علی طریقة تعدّد الدالِّ والمدلول یکون استعمالاً حقیقیّاً علی الوجه الأوّل ؛ لأنّ المعنی الحقیقیّ للکلمة محفوظ فی ضمن المقیّد والمطلق علی السواء ، ویکون مجازاً علی الوجه الثانی ؛ لأنّ الکلمة لم تستعمل فی المطلق مع أنّها موضوعة للمطلق ، أی للطبیعة التی لم یلحظ معها قید بحسب الفرض</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الکلمة إذا وقعت فی دلیل حکمٍ ، کما إذا اخذت موضوعاً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نعلم أنّ الحکم هل هو ثابت لمدلول الکلمة علی الإطلاق ، أو لحصّةٍ مقیّدةٍ منه؟ أمکن علی الوجه الثانی أن نستدلّ بالدلالة الوضعیّة لِلَّفظ علی </w:t>
      </w:r>
      <w:bookmarkStart w:id="511" w:name="pg14075_144618"/>
    </w:p>
    <w:p>
      <w:pPr>
        <w:pStyle w:val="BookText"/>
        <w:rPr/>
      </w:pPr>
      <w:bookmarkEnd w:id="511"/>
      <w:r>
        <w:rPr>
          <w:rFonts w:ascii="IRNazanin" w:hAnsi="IRNazanin" w:eastAsia="IRNazanin"/>
          <w:color w:val="111111"/>
          <w:sz w:val="28"/>
          <w:sz w:val="28"/>
          <w:szCs w:val="28"/>
          <w:rtl w:val="true"/>
          <w:lang w:bidi="fa-IR"/>
        </w:rPr>
        <w:t>الإطلاق ؛ لأنّه مأخوذ فی المعنی الموضوع له وقیدٌ له ، فیکون من القیود التی ذکرها المتکلّم ، فنطبِّق علیه قاعدة احترازیّة القیود ، فیثبت أنّ المراد الجدِّیّ 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الأوّل فلا دلالة وضعیّة لِلَّفظ علی ذلک ؛ لأنّ اللفظ موضوع بموجبه للطبیعة المحفوظة فی ضمن المطلق والمقیّد ، وکلّ من الإطلاق والتقیید خارج عن المدلول الوضعیّ لِلَّفظ ، فالمتکلّم لم یذکر فی کلامه التقیید ، ولا الإطلاق ، فلا یمکن بالطریقة السابقة أن نثبت الإطلاق ، بل لابدّ من طریقةٍ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الوجه الأوّل ؛ لأنّ الوجدان العرفیّ شاهد بأنّ استعمال الکلمة فی المقیّد علی طریقة تعدّد الدالّ والمدلول لیس فیه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نحتاج فی إثبات الإطلاق إلی طریقةٍ اخری ، إذ ما دام الإطلاق غیر مأخوذٍ فی مدلول اللفظ وضعاً فهو غیر مذکورٍ فی الکلام ، فلا یُتاحُ تطبیق قاعدة احترازیّة القیود علیه</w:t>
      </w:r>
      <w:r>
        <w:rPr>
          <w:rFonts w:eastAsia="IRNazanin" w:cs="IRNazanin"/>
          <w:color w:val="111111"/>
          <w:sz w:val="28"/>
          <w:szCs w:val="28"/>
          <w:rtl w:val="true"/>
          <w:lang w:bidi="fa-IR"/>
        </w:rPr>
        <w:t>.</w:t>
      </w:r>
    </w:p>
    <w:p>
      <w:pPr>
        <w:pStyle w:val="Heading6"/>
        <w:numPr>
          <w:ilvl w:val="5"/>
          <w:numId w:val="1"/>
        </w:numPr>
        <w:rPr/>
      </w:pPr>
      <w:bookmarkStart w:id="512" w:name="__RefHeading___Toc508958_1738255347"/>
      <w:bookmarkStart w:id="513" w:name="_Toc172"/>
      <w:bookmarkEnd w:id="512"/>
      <w:r>
        <w:rPr>
          <w:rtl w:val="true"/>
        </w:rPr>
        <w:t>[</w:t>
      </w:r>
      <w:r>
        <w:rPr>
          <w:rtl w:val="true"/>
        </w:rPr>
        <w:t>قرینة الحکمة</w:t>
      </w:r>
      <w:r>
        <w:rPr>
          <w:rtl w:val="true"/>
        </w:rPr>
        <w:t>]</w:t>
      </w:r>
      <w:bookmarkEnd w:id="513"/>
    </w:p>
    <w:p>
      <w:pPr>
        <w:pStyle w:val="BookText"/>
        <w:rPr/>
      </w:pPr>
      <w:r>
        <w:rPr>
          <w:rFonts w:ascii="IRNazanin" w:hAnsi="IRNazanin" w:eastAsia="IRNazanin"/>
          <w:color w:val="111111"/>
          <w:sz w:val="28"/>
          <w:sz w:val="28"/>
          <w:szCs w:val="28"/>
          <w:rtl w:val="true"/>
          <w:lang w:bidi="fa-IR"/>
        </w:rPr>
        <w:t xml:space="preserve">والطریقة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مایسمِّیها المحقّقون المتأخّرون بقرینة الحکمة ، وجوهرها التمسّک بدلالةٍ تصدیقیّةٍ لظهورٍ عرفیٍّ سیاقیٍّ آخر غیر ذلک الظهور الحالیِّ السیاقیِّ الذی تعتمد علیه قاعدة احترازیّة القیود ، فقد عرفنا سابقاً أنّ هذه القاعدة تعتمد علی ظهورٍ عرفیٍّ سیاقیٍّ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یقوله یریده حقیقة ، ویوجد ظهور عرفیّ سیاقیّ آخر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شیء دخیلاً وقیداً فی مراده الجدّیّ وحکمه ، ولا یبیِّنه باللفظ ؛ لأنّ ظاهر حال المتکلّم أنّه فی مقام بیان تمام مراده الجدّیّ بخطابه ، وحیث إنّ القید لیس مبیّناً فی حالة عدم نصب قرینةٍ علی التقیید فهو إذن لیس داخلاً فی المراد الجدّیّ والحکم الثابت ، وهذا هو الإطلاق المطلوب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نلاحظ أنّ کلاًّ من قرینة الحکمة التی تثبت الإطلاق وقاعدة </w:t>
      </w:r>
    </w:p>
    <w:p>
      <w:pPr>
        <w:pStyle w:val="BookText"/>
        <w:rPr/>
      </w:pPr>
      <w:r>
        <w:rPr>
          <w:rFonts w:ascii="IRNazanin" w:hAnsi="IRNazanin" w:eastAsia="IRNazanin"/>
          <w:color w:val="111111"/>
          <w:sz w:val="28"/>
          <w:sz w:val="28"/>
          <w:szCs w:val="28"/>
          <w:rtl w:val="true"/>
          <w:lang w:bidi="fa-IR"/>
        </w:rPr>
        <w:t>احترازیّة القیود تبتنی علی ظهورٍ عرفیٍّ سیاقیٍّ حالیٍّ غیر الظهور العرفیّ السیاقیّ الحالیّ الذی تعتمد علیه الاخری ، فالقاعدة تبتنی علی ظهور حال المتکلّم فی أنّ ما یقوله یریده ، وقرینة الحکمة تبتنی علی ظهور حال المتکلّم فی أنّ کلّ ما یکون قیداً فی مراده الجدّیّ یقوله فی الکلام الذی صدر منه لإبراز ذلک المراد الجدّیّ ، أی أنّه فی مقام بیان تمام مراده الجدّیّ بخطابه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قرینة الحکمة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اللفظ إذا لم یکن یدلّ بالوضع إلاّ علی الطبیعة المحفوظة فی ضمن المقیّد والمطلق معاً فلا دالَّ علی الإطلاق ، کما لا دالَّ علی التقیید ، مع أنّ أحدهما ثابت فی المراد الجدّیّ جزماً ؛ لأنّ موضوع الحکم فی المراد الجدّیّ إمّا مطلق ، وإمّا مقیّد ، وهذا یعنی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تمام مراده بخطابه ، ولا معیِّن حینئذٍ لافتراض الإطلاق فی مقابل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علی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الظهور الحالیّ السیاقیّ لا یعنی سوی أن یکون کلامه وافیاً بالدلالة علی تمام ما وقع تحت لحاظه من المعانی ؛ بحیث لا یکون هناک معنیً لحظه المتکلّم ولم یأتِ بما یدلّ علیه ، لا أنّ کلّ ما لم یلحظه لابدّ أن یأتی بما یدلّ علی عدم لحاظه ، فإنّ ذلک ممّا لا یقتضیه الظهور الحالیّ السیاقی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المتکلّم قد أراد المقیّد مع أنّه لم ینصب قرینةً علی القید فهذا یعنی وقوع أمرٍ تحت اللحاظ زائدٍ علی الطبیعة ، وهو تقیّدها بالقید ؛ لأنّ المقیّد یتمیّز بلحاظٍ زائد ، ولا یوجد فی الکلام ما یبیِّن هذا التقیید الذی وقع تحت اللحاظ</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المتکلّم قد أراد المطلق فهذا لا یعنی وقوع شیءٍ تحت اللحاظ زائداً علی الطبیعة ؛ لأنّ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عدم لحاظ القید ، فصحّ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لو کان قد أراد المقیّد لَما کان مبیّناً لتمام مرامه ؛ لأنّ القید واقع تحت اللحاظ ولیس مدلولاً لِلَّفظ ، وإذا کان مراده المطلق فقد بیّن تمام ما وقع تحت لحاظه ؛ لأنّ نفس الإطلاق لیس واقعاً تحت اللحاظ ، بل هو عدم لحاظ القید الزائد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بتوسّط قرینة الحکمة نثبت الإطلاق ، ونستغنی بذلک عن إثباته بالدلالة الوضعیّة عن طریق أخذه قیداً فی المعنی الموضوع له اللفظ ، ثمّ تطبیق قاعدة احترازیّة القیود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هناک فارق عملیّ بین إثبات الإطلاق بقرینة الحکمة وإثباته بالدلالة الوضعیّة وتطبیق قاعدة احترازیّة القیود ، وهذا الفارق العملیّ یظهر فی حالة اکتناف الکلام بملابساتٍ معیّنةٍ تفقده الظهور السیاقیّ الذی تعتمد علیه قرینة الحکمة ، فلا یعود لحال المتکلّم ظهور فی أنّه فی مقام بیان تمام مراده الجدّیّ بکلامه ، وأمکن أن یکون فی مقام بیان بعضه ، ففی هذه الحالة لا تتمّ قرینة الحکمة ، لبطلان الظهور الذی تعتمد علیه ، فلا یمکن إثبات الإطلاق لمن یستعمل قرینة الحکمة لإثباته ، وخلافاً لذلک مَن یُثبِت الإطلاق بالدلالة الوضعیة وتطبیق قاعدة احترازیّة القیود فإنّ بإمکانه أن یثبت الإطلاق فی هذه الحالة أیضاً ؛ لأنّ الظهور الذی تعتمد علیه هذه القاعدة غیر الظهور الذی تعتمد علیه قرینة الحکمة ، کما عرفنا سابقاً ، وهو ثابت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الإطلاق الثابت بقرینة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شمولیّاً ، أی مقتضیاً لاستیعاب الحکم لتمام أفراد الطبیعة ، واخری یکون بدلیّاً یکفی فی امتثال الحکم المجعول فیه إیجاد أحد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الکذب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أفرادیاً ، واخری یکون أحوالیاً ، والمقصود بالإطلاق الأفرادیّ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للمعنی أفراد فیثبت بقرینة الحکمة أنّه لم یرد به بعض الأفراد دون بعض ، والمقصود بالإطلاق الأحوالیّ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للمعنی أحوال ، کما فی أسماء الأعلام ، فإنّ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أفراد ولکن له أحوال متعدّدة ، فیثبت بقرینة الحکمة أنّه لم یرَد به حال دون حال</w:t>
      </w:r>
      <w:r>
        <w:rPr>
          <w:rFonts w:eastAsia="IRNazanin" w:cs="IRNazanin"/>
          <w:color w:val="111111"/>
          <w:sz w:val="28"/>
          <w:szCs w:val="28"/>
          <w:rtl w:val="true"/>
          <w:lang w:bidi="fa-IR"/>
        </w:rPr>
        <w:t xml:space="preserve">. </w:t>
      </w:r>
      <w:bookmarkStart w:id="514" w:name="pg14075_144621"/>
    </w:p>
    <w:p>
      <w:pPr>
        <w:pStyle w:val="Heading6"/>
        <w:numPr>
          <w:ilvl w:val="5"/>
          <w:numId w:val="1"/>
        </w:numPr>
        <w:rPr/>
      </w:pPr>
      <w:bookmarkStart w:id="515" w:name="__RefHeading___Toc508960_1738255347"/>
      <w:bookmarkStart w:id="516" w:name="_Toc173"/>
      <w:bookmarkEnd w:id="514"/>
      <w:bookmarkEnd w:id="515"/>
      <w:r>
        <w:rPr>
          <w:rtl w:val="true"/>
        </w:rPr>
        <w:t>الإطلاق فی المعانی الحرفیّة</w:t>
      </w:r>
      <w:bookmarkEnd w:id="516"/>
    </w:p>
    <w:p>
      <w:pPr>
        <w:pStyle w:val="BookText"/>
        <w:rPr/>
      </w:pPr>
      <w:r>
        <w:rPr>
          <w:rFonts w:ascii="Amiri" w:hAnsi="Amiri" w:eastAsia="Amiri" w:cs="Amiri"/>
          <w:color w:val="111111"/>
          <w:sz w:val="28"/>
          <w:sz w:val="28"/>
          <w:szCs w:val="28"/>
          <w:rtl w:val="true"/>
          <w:lang w:bidi="ar-SA"/>
        </w:rPr>
        <w:t xml:space="preserve">مرّ بنا سابقاً </w:t>
      </w:r>
      <w:r>
        <w:rPr>
          <w:rStyle w:val="FootnoteAnchor"/>
          <w:rtl w:val="true"/>
        </w:rPr>
        <w:footnoteReference w:id="85"/>
      </w:r>
      <w:r>
        <w:rPr>
          <w:rFonts w:ascii="IRNazanin" w:hAnsi="IRNazanin" w:eastAsia="IRNazanin"/>
          <w:color w:val="111111"/>
          <w:sz w:val="28"/>
          <w:sz w:val="28"/>
          <w:szCs w:val="28"/>
          <w:rtl w:val="true"/>
          <w:lang w:bidi="fa-IR"/>
        </w:rPr>
        <w:t xml:space="preserve">أنّ المعانی فی المصطلح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معانیَ اسمیّةً ، کمدلول 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معانی حرفیّة ، کمدلول صیغة الأمر فی نفس المثال ، ولا شکّ فی أنّ قرینة الحکمة تجری علی المعانی الاسمیّة ویثبت بها إطلاقها ، وأمّا المعانی الحرفیّة فقد وقع النزاع فی إمکان ذلک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شککنا فی أنّ الحکم بالوجوب هل هو مطلق وثابت فی کلّ الأحوال ، أو فی بعض الأحوال دون بعض ، فهل یمکن أن نطبّق قرینة الحکمة علی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وهو الوجوب المفاد علی نهج النسبة الطلبیّة والإرسالیّة لإثبات أنّه مطلق ، أو لا؟ وسیأتی توضیح الحال فی هذا النزاع فی الحلقة الثالثة </w:t>
      </w:r>
      <w:r>
        <w:rPr>
          <w:rStyle w:val="FootnoteAnchor"/>
          <w:rtl w:val="true"/>
        </w:rPr>
        <w:footnoteReference w:id="8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تطبیق مقدّمات الحکمة فی مثل ذلک</w:t>
      </w:r>
      <w:r>
        <w:rPr>
          <w:rFonts w:eastAsia="IRNazanin" w:cs="IRNazanin"/>
          <w:color w:val="111111"/>
          <w:sz w:val="28"/>
          <w:szCs w:val="28"/>
          <w:rtl w:val="true"/>
          <w:lang w:bidi="fa-IR"/>
        </w:rPr>
        <w:t>.</w:t>
      </w:r>
    </w:p>
    <w:p>
      <w:pPr>
        <w:pStyle w:val="Heading6"/>
        <w:numPr>
          <w:ilvl w:val="5"/>
          <w:numId w:val="1"/>
        </w:numPr>
        <w:rPr/>
      </w:pPr>
      <w:bookmarkStart w:id="517" w:name="__RefHeading___Toc508962_1738255347"/>
      <w:bookmarkStart w:id="518" w:name="_Toc174"/>
      <w:bookmarkEnd w:id="517"/>
      <w:r>
        <w:rPr>
          <w:rtl w:val="true"/>
        </w:rPr>
        <w:t>التقابل بین الإطلاق و التقیید</w:t>
      </w:r>
      <w:bookmarkEnd w:id="518"/>
    </w:p>
    <w:p>
      <w:pPr>
        <w:pStyle w:val="BookText"/>
        <w:rPr/>
      </w:pPr>
      <w:r>
        <w:rPr>
          <w:rFonts w:ascii="IRNazanin" w:hAnsi="IRNazanin" w:eastAsia="IRNazanin"/>
          <w:color w:val="111111"/>
          <w:sz w:val="28"/>
          <w:sz w:val="28"/>
          <w:szCs w:val="28"/>
          <w:rtl w:val="true"/>
          <w:lang w:bidi="fa-IR"/>
        </w:rPr>
        <w:t>اتّضح ممّا ذکرناه أنّ هناک إطلاقاً وتقییداً فی عالم اللحاظ وفی مقام الثبوت ، والتقیید هنا بمعنی لحاظ القید ، والإطلاق بمعنی عدم لحاظ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أیضاً إطلاق وتقیید فی عالم الدلالة وفی مقام الإثبات ، والتقیید هنا بمعنی الإتیان فی الدلیل بما یدلّ علی القید ، والإطلاق بمعنی عدم الإتیان بما یدلّ علی القید مع ظهور حال المتکلّم فی أنّه فی مقام بیان تمام مراده بخطابه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والإطلاق الإثباتیّ یدلّ علی الإطلاق الثبوتیّ ، والتقیید الإثباتیّ یدلّ علی </w:t>
      </w:r>
      <w:bookmarkStart w:id="519" w:name="pg14075_144622"/>
    </w:p>
    <w:p>
      <w:pPr>
        <w:pStyle w:val="BookText"/>
        <w:rPr/>
      </w:pPr>
      <w:bookmarkEnd w:id="519"/>
      <w:r>
        <w:rPr>
          <w:rFonts w:ascii="IRNazanin" w:hAnsi="IRNazanin" w:eastAsia="IRNazanin"/>
          <w:color w:val="111111"/>
          <w:sz w:val="28"/>
          <w:sz w:val="28"/>
          <w:szCs w:val="28"/>
          <w:rtl w:val="true"/>
          <w:lang w:bidi="fa-IR"/>
        </w:rPr>
        <w:t>التقیید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الإطلاق والتقیید متقابلان ثبوتاً وإثباتاً ، غیر أنّ التقابل علی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ءؤ</w:t>
      </w:r>
    </w:p>
    <w:p>
      <w:pPr>
        <w:pStyle w:val="BookText"/>
        <w:rPr/>
      </w:pPr>
      <w:r>
        <w:rPr>
          <w:rFonts w:ascii="IRNazanin" w:hAnsi="IRNazanin" w:eastAsia="IRNazanin"/>
          <w:color w:val="111111"/>
          <w:sz w:val="28"/>
          <w:sz w:val="28"/>
          <w:szCs w:val="28"/>
          <w:rtl w:val="true"/>
          <w:lang w:bidi="fa-IR"/>
        </w:rPr>
        <w:t>فتارةً یکون بین أمرین وجودیّین ، کالتضادّ بین الاستقامة والانحناء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بین وجودٍ وعدم ، کالتناقض بین وجود البصر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بین وجود صفةٍ فی موضعٍ معیّنٍ وعدمها فی ذلک الموضع مع کون الموضع قابلاً لوجودها فیه ، من قبیل البصر والعمی ؛ فإنّ العمی لیس عدم البصر ولو فی جدار ، بل عدم البصر فی کائنٍ حیٍّ یمکن فی شأنه أن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اختلف الأعلام فی أنّ التقابل بین الإطلاق والتقیید الثبوتیّین من أیّ واحدٍ من هذه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علی ضوء ما ذکرناه أنّه لیس تضادّاً ؛ لأنّ الإطلاق الثبوتیّ لیس أمراً وجودیّاً ، بل هو عدم لحاظ القید ، ومن هنا قیل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من قبیل تقابل البصر وعدمه ، فالتقیید بمثابة البصر والإطلاق بمثابة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قبیل التقابل بین البصر والعمی ، فالتقیید بمثابة البصر والإطلاق بمثابة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التقابل بین الإطلاق والتقیید الإثباتیّین فهو من قبیل تقابل البصر والعمی بدون شکٍّ ، بمعنی أنّ الإطلاق الإثباتیّ الکاشف عن الإطلاق الثبوتیّ هو عدم ذکر القید فی حالةٍ یتیسَّر للمتکلّم فیها ذکر القید ، وإلاّ لم یکن سکوته عن التقیید کاشفاً عن الإطلاق الثبوتی</w:t>
      </w:r>
      <w:r>
        <w:rPr>
          <w:rFonts w:eastAsia="IRNazanin" w:cs="IRNazanin"/>
          <w:color w:val="111111"/>
          <w:sz w:val="28"/>
          <w:szCs w:val="28"/>
          <w:rtl w:val="true"/>
          <w:lang w:bidi="fa-IR"/>
        </w:rPr>
        <w:t>.</w:t>
      </w:r>
    </w:p>
    <w:p>
      <w:pPr>
        <w:pStyle w:val="Heading6"/>
        <w:numPr>
          <w:ilvl w:val="5"/>
          <w:numId w:val="1"/>
        </w:numPr>
        <w:rPr/>
      </w:pPr>
      <w:bookmarkStart w:id="520" w:name="__RefHeading___Toc508964_1738255347"/>
      <w:bookmarkStart w:id="521" w:name="_Toc175"/>
      <w:bookmarkEnd w:id="520"/>
      <w:r>
        <w:rPr>
          <w:rtl w:val="true"/>
        </w:rPr>
        <w:t>الحالات المختلفة لاسم الجنس</w:t>
      </w:r>
      <w:bookmarkEnd w:id="521"/>
    </w:p>
    <w:p>
      <w:pPr>
        <w:pStyle w:val="BookText"/>
        <w:rPr/>
      </w:pPr>
      <w:r>
        <w:rPr>
          <w:rFonts w:ascii="IRNazanin" w:hAnsi="IRNazanin" w:eastAsia="IRNazanin"/>
          <w:color w:val="111111"/>
          <w:sz w:val="28"/>
          <w:sz w:val="28"/>
          <w:szCs w:val="28"/>
          <w:rtl w:val="true"/>
          <w:lang w:bidi="fa-IR"/>
        </w:rPr>
        <w:t>ممّا ذکرناه یتّضح أنّ أسماء الأجناس لا تدلّ علی الإطلاق بالوضع ، بل بالظهور الحالیّ وقرینة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ولاسم الجنس ثلاث حالات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معرّفاً باللام من قبیل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منکّراً ، أی منوَّناً بتنوین التنکیر </w:t>
      </w:r>
      <w:r>
        <w:rPr>
          <w:rStyle w:val="FootnoteAnchor"/>
          <w:rtl w:val="true"/>
        </w:rPr>
        <w:footnoteReference w:id="87"/>
      </w:r>
      <w:r>
        <w:rPr>
          <w:rFonts w:ascii="IRNazanin" w:hAnsi="IRNazanin" w:eastAsia="IRNazanin"/>
          <w:color w:val="111111"/>
          <w:sz w:val="28"/>
          <w:sz w:val="28"/>
          <w:szCs w:val="28"/>
          <w:rtl w:val="true"/>
          <w:lang w:bidi="fa-IR"/>
        </w:rPr>
        <w:t xml:space="preserve">من 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خالیاً من التعریف والتنکیر ، کما فی حالة کونه منوّناً بتنوین التمکین </w:t>
      </w:r>
      <w:r>
        <w:rPr>
          <w:rStyle w:val="FootnoteAnchor"/>
          <w:rtl w:val="true"/>
        </w:rPr>
        <w:footnoteReference w:id="88"/>
      </w:r>
      <w:r>
        <w:rPr>
          <w:rFonts w:ascii="IRNazanin" w:hAnsi="IRNazanin" w:eastAsia="IRNazanin"/>
          <w:color w:val="111111"/>
          <w:sz w:val="28"/>
          <w:sz w:val="28"/>
          <w:szCs w:val="28"/>
          <w:rtl w:val="true"/>
          <w:lang w:bidi="fa-IR"/>
        </w:rPr>
        <w:t>أو کونه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الجنس یبدو بوضعه الطبیعیّ وبدون تطعیمٍ لمعناه فی الحالة الثالثة ، بینما یطعّم فی الحالة الثانیة بشیءٍ من التنکیر ، وفی الحالة الاولی بشیءٍ من التعریف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الحیثیّة التی طُعِّم بها مدلول اسم الجنس فی الحالة الثانیة فأصبح نکرةً فالمعروف أنّها حیثیّة الوحدة ، فالنکرة موضوعة للطبیعة المأخوذة بقید الوحدة ، ولهذا لا یمکن أن یکون الإطلاق شمولیّاً حین ینصبّ الأمر علی نکرةٍ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طبیعة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تتقیَّد بقید الوحدة لا یمکن أن تنطبق علی أکثر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الإطلاق البدلیّ</w:t>
      </w:r>
      <w:r>
        <w:rPr>
          <w:rFonts w:eastAsia="IRNazanin" w:cs="IRNazanin"/>
          <w:color w:val="111111"/>
          <w:sz w:val="28"/>
          <w:szCs w:val="28"/>
          <w:rtl w:val="true"/>
          <w:lang w:bidi="fa-IR"/>
        </w:rPr>
        <w:t xml:space="preserve">. </w:t>
      </w:r>
      <w:bookmarkStart w:id="522" w:name="pg14075_144624"/>
    </w:p>
    <w:p>
      <w:pPr>
        <w:pStyle w:val="BookText"/>
        <w:rPr/>
      </w:pPr>
      <w:bookmarkEnd w:id="522"/>
      <w:r>
        <w:rPr>
          <w:rFonts w:ascii="IRNazanin" w:hAnsi="IRNazanin" w:eastAsia="IRNazanin"/>
          <w:color w:val="111111"/>
          <w:sz w:val="28"/>
          <w:sz w:val="28"/>
          <w:szCs w:val="28"/>
          <w:rtl w:val="true"/>
          <w:lang w:bidi="fa-IR"/>
        </w:rPr>
        <w:t xml:space="preserve">وأمّا الحیثیّة التی طُعِّم بها مدلول اسم الجنس فی الحالة الاولی فأصبح معرفةً فهی التعیین ، فاللام تُعیِّن مدلول مدخولها وتطبِّقه علی صورةٍ مألوفةٍ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بحضورها فعلاً کما فی العهد الحضوریّ ، وإمّا بذکرها سابقاً کما فی العهد الذکریّ ، وإمّا باستئناسٍ ذهنیٍّ خاصٍّ بها کما فی العهد الذهنیّ ، وإمّا باستئناسٍ ذهنیٍّ عامٍّ بها کما فی لام الجنس ، فإنّ فی الذهن لکلّ جنسٍ انطباعات معیّنة تشکِّل لوناً من الاستئناس العامِّ الذهنیِّ بمفهوم ذلک الجنس ، فإن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الکلمة علی ذات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باللام لام الجنس أفاد ذلک تطبیق هذا المفهوم علی حصیلة تلک الانطباعات ، وبذلک یصبح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الجنس فی حالة کونه معرفةً ، وکذلک فی الحالة الثالثة التی یخلو فیها من التعریف والتنکیر معاً یصلح للإطلاق الشمولیّ ، ولهذا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قرینة الحکمة لإثبات الإطلاق الشمولیّ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Heading6"/>
        <w:numPr>
          <w:ilvl w:val="5"/>
          <w:numId w:val="1"/>
        </w:numPr>
        <w:rPr/>
      </w:pPr>
      <w:bookmarkStart w:id="523" w:name="__RefHeading___Toc508966_1738255347"/>
      <w:bookmarkStart w:id="524" w:name="_Toc176"/>
      <w:bookmarkEnd w:id="523"/>
      <w:r>
        <w:rPr>
          <w:rtl w:val="true"/>
        </w:rPr>
        <w:t>الانصراف</w:t>
      </w:r>
      <w:bookmarkEnd w:id="524"/>
    </w:p>
    <w:p>
      <w:pPr>
        <w:pStyle w:val="BookText"/>
        <w:rPr/>
      </w:pPr>
      <w:r>
        <w:rPr>
          <w:rFonts w:ascii="Amiri" w:hAnsi="Amiri" w:eastAsia="Amiri" w:cs="Amiri"/>
          <w:color w:val="111111"/>
          <w:sz w:val="28"/>
          <w:sz w:val="28"/>
          <w:szCs w:val="28"/>
          <w:rtl w:val="true"/>
          <w:lang w:bidi="ar-SA"/>
        </w:rPr>
        <w:t xml:space="preserve">قد یتکوّن نتیجةً لملابساتٍ انسٌ ذهنیّ خاصّ بحصّةٍ معیّنةٍ من حصص المعنی الموضوع له اللفظ ، وهذا الانس علی نحوین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نتیجةً لتواجد تلک الحصّة فی حیاة الناس وغلبة وجودها علی سائر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نتیجةً لکثرة استعمال اللفظ وإرادة تلک الحصّة علی طریقة تعدّد الدالّ والمدلول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 فلا یؤثّر علی إطلاق اللفظ شیئاً ؛ لأنّه انس ذهنیّ بالحصّة مباشرةً دون أن یؤثّر فی مناسبة اللفظ لها ، أو یزید فی علاقته بما هو لفظ بتلک الحصّة خاصّة</w:t>
      </w:r>
      <w:r>
        <w:rPr>
          <w:rFonts w:eastAsia="IRNazanin" w:cs="IRNazanin"/>
          <w:color w:val="111111"/>
          <w:sz w:val="28"/>
          <w:szCs w:val="28"/>
          <w:rtl w:val="true"/>
          <w:lang w:bidi="fa-IR"/>
        </w:rPr>
        <w:t xml:space="preserve">. </w:t>
      </w:r>
      <w:bookmarkStart w:id="525" w:name="pg14075_144625"/>
    </w:p>
    <w:p>
      <w:pPr>
        <w:pStyle w:val="BookText"/>
        <w:rPr/>
      </w:pPr>
      <w:bookmarkEnd w:id="525"/>
      <w:r>
        <w:rPr>
          <w:rFonts w:ascii="IRNazanin" w:hAnsi="IRNazanin" w:eastAsia="IRNazanin"/>
          <w:color w:val="111111"/>
          <w:sz w:val="28"/>
          <w:sz w:val="28"/>
          <w:szCs w:val="28"/>
          <w:rtl w:val="true"/>
          <w:lang w:bidi="fa-IR"/>
        </w:rPr>
        <w:t>وأمّا النحو الثانی فکثرة الاستعمال المذکورة قد تبلغ إلی درجةٍ توجب نقل اللفظ من وضعه الأوّل إلی الوضع للحصّة ، أو تحقّق وضعاً تعیّنیّاً للَّفظ لتلک الحصّة بدون نقل ، وقد لا توجب ذلک أیضاً ، ولکنّها تشکّل درجةً من العلاقة والقرن بین اللفظ والحصّة بمثابةٍ تصلح أن تکون قرینةً علی إرادتها خاصّةً من اللفظ ، فلا یمکن حینئذٍ إثبات الإطلاق بقرینة الحکمة ؛ لأنّها تتوقّف علی أن لا یکون فی کلام المتکلّم ما یدلّ علی القید ، وتلک العلاقة والانس الخاصّ یصلح للدلالة علیه</w:t>
      </w:r>
      <w:r>
        <w:rPr>
          <w:rFonts w:eastAsia="IRNazanin" w:cs="IRNazanin"/>
          <w:color w:val="111111"/>
          <w:sz w:val="28"/>
          <w:szCs w:val="28"/>
          <w:rtl w:val="true"/>
          <w:lang w:bidi="fa-IR"/>
        </w:rPr>
        <w:t>.</w:t>
      </w:r>
    </w:p>
    <w:p>
      <w:pPr>
        <w:pStyle w:val="Heading6"/>
        <w:numPr>
          <w:ilvl w:val="5"/>
          <w:numId w:val="1"/>
        </w:numPr>
        <w:rPr/>
      </w:pPr>
      <w:bookmarkStart w:id="526" w:name="__RefHeading___Toc508968_1738255347"/>
      <w:bookmarkStart w:id="527" w:name="_Toc177"/>
      <w:bookmarkEnd w:id="526"/>
      <w:r>
        <w:rPr>
          <w:rtl w:val="true"/>
        </w:rPr>
        <w:t>الإطلاق المقامیّ</w:t>
      </w:r>
      <w:bookmarkEnd w:id="527"/>
    </w:p>
    <w:p>
      <w:pPr>
        <w:pStyle w:val="BookText"/>
        <w:rPr/>
      </w:pPr>
      <w:r>
        <w:rPr>
          <w:rFonts w:ascii="IRNazanin" w:hAnsi="IRNazanin" w:eastAsia="IRNazanin"/>
          <w:color w:val="111111"/>
          <w:sz w:val="28"/>
          <w:sz w:val="28"/>
          <w:szCs w:val="28"/>
          <w:rtl w:val="true"/>
          <w:lang w:bidi="fa-IR"/>
        </w:rPr>
        <w:t xml:space="preserve">الإطلاق الذی استعرضناه وعرفنا أنّه یثبت بقرینة الحکمة والظهور الحالیّ السیاقیّ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تمییزاً له عن نحوٍ آخر من الإطلاق لابدّ من معرفته ، نطلق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ونقصد بالإطلاق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وجود صورةٍ ذهنیّةٍ للمتکلّم وصدور الکلام منه فی مقام التعبیر عن تلک الصورة ، ففی مثل هذه الحالة إذا تردَّدنا فی هذه الصورة هل أنّها تشتمل علی قیدٍ غیر مذکورٍ فی الکلام الذی سیق للتحدّث عنها ، کان مقتضی الظهور الحالیّ السیاقیّ فی أنّ المتکلّم یبیّن تمام المراد بالخطاب مع عدم ذکره للقید هو الإطلاق ، وهذا هو الإطلاق اللفظیّ ؛ لأنّه یرتبط بمدلول اللفظ</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الإطلاق المقامیّ فلا یراد به نفی شیءٍ لو کان ثابتاً لکان قیداً فی الصورة الذهنیّة التی یتحدّث عنها اللفظ ، وإنّما یراد به نفی شیءٍ لو کان ثابتاً لکان صورةً ذهنیّةً مستقلّةً وعنصراً آخر ، فإذا قال المتکلّم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الفاتحة جزء فی الصلاة ، والرکوع جزء فیها ، والسجود جزء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 وأردنا أن نثبت بعدم ذکره لجزئیّة السورة أنّها لیست جزءاً کان هذا إطلاقاً مقامیّاً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ویتوقّف هذا الإطلاق المقامیّ علی إحراز أنّ المتکلّم فی مقام بیان تمام أجزاء الصلاة ، إذ ما لم یحرز ذلک لا یکون </w:t>
      </w:r>
      <w:bookmarkStart w:id="528" w:name="pg14075_144626"/>
    </w:p>
    <w:p>
      <w:pPr>
        <w:pStyle w:val="BookText"/>
        <w:rPr/>
      </w:pPr>
      <w:bookmarkEnd w:id="528"/>
      <w:r>
        <w:rPr>
          <w:rFonts w:ascii="IRNazanin" w:hAnsi="IRNazanin" w:eastAsia="IRNazanin"/>
          <w:color w:val="111111"/>
          <w:sz w:val="28"/>
          <w:sz w:val="28"/>
          <w:szCs w:val="28"/>
          <w:rtl w:val="true"/>
          <w:lang w:bidi="fa-IR"/>
        </w:rPr>
        <w:t>عدم ذکره لجزئیّة السورة کاشفاً عن عدم جزئیّتها ، ومجرّد استعراضه لعددٍ من أجزاء الصلاة لا یکفی لإحراز ذلک ، بل یحتاج إحرازه إلی قیام قرینةٍ خاصّةٍ علی أنّه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یختلف الإطلاق المقامیّ عن الإطلاق اللفظیّ ؛ إذ فی الإطلاق اللفظیّ یوجد ظهور سیاقیّ عامّ یتکفّل إثبات أنّ کلّ متکلّمٍ یسوق لفظاً للتعبیر عن صورةٍ ذهنیّة ، فلا تزید الصورة الذهنیّة التی یعبّر عنها باللفظ عن مدلول اللفظ ، ولا یوجد فی الإطلاق المقامیّ ظهور مماثل فی أنّ کلّ من یستعرض عدداً من أجزاء الصلاة فهو یرید الاستیعاب</w:t>
      </w:r>
      <w:r>
        <w:rPr>
          <w:rFonts w:eastAsia="IRNazanin" w:cs="IRNazanin"/>
          <w:color w:val="111111"/>
          <w:sz w:val="28"/>
          <w:szCs w:val="28"/>
          <w:rtl w:val="true"/>
          <w:lang w:bidi="fa-IR"/>
        </w:rPr>
        <w:t>.</w:t>
      </w:r>
    </w:p>
    <w:p>
      <w:pPr>
        <w:pStyle w:val="Heading6"/>
        <w:numPr>
          <w:ilvl w:val="5"/>
          <w:numId w:val="1"/>
        </w:numPr>
        <w:rPr/>
      </w:pPr>
      <w:bookmarkStart w:id="529" w:name="__RefHeading___Toc508970_1738255347"/>
      <w:bookmarkStart w:id="530" w:name="_Toc178"/>
      <w:bookmarkEnd w:id="529"/>
      <w:r>
        <w:rPr>
          <w:rtl w:val="true"/>
        </w:rPr>
        <w:t>بعض التطبیقات لقرینة الحکمة</w:t>
      </w:r>
      <w:bookmarkEnd w:id="530"/>
    </w:p>
    <w:p>
      <w:pPr>
        <w:pStyle w:val="BookText"/>
        <w:rPr/>
      </w:pPr>
      <w:r>
        <w:rPr>
          <w:rFonts w:ascii="IRNazanin" w:hAnsi="IRNazanin" w:eastAsia="IRNazanin"/>
          <w:color w:val="111111"/>
          <w:sz w:val="28"/>
          <w:sz w:val="28"/>
          <w:szCs w:val="28"/>
          <w:rtl w:val="true"/>
          <w:lang w:bidi="fa-IR"/>
        </w:rPr>
        <w:t xml:space="preserve">یدلّ الأمر علی الطلب ، وأ نّه علی نحو الوجوب ، کما تقدّم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 علی الوجوب لیست بالوضع ، وإنّما هی بالإطلاق وقرینة الحکمة ؛ لأنّ الطلب غیر الوجوبیّ طلب ناقص محدود ، وهذا التحدید تقیید فی هویّة الطلب ، ومع عدم نصب قرینةٍ علی التقیید یثبت بالإطلاق إرادة الطلب المطلق ، أی الطلب الذی لا حدّ له بما هو طلب وهو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وللطلب انقسامات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کانقسامه إلی الطلب النفسیّ والغیریّ ، فالأوّل هو طلب الشیء لنفسه ، والثانیّ هو طلب الشیء لأجل غیره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وانقسامه إلی الطلب التعیینیّ والتخییریّ ، فالأوّل هو طلب شیءٍ معیَّن ، والثانیّ طلب أحد الأشیاء علی سبیل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وانقسامه إلی العینیّ والکفائیّ ، فالأوّل هو طلب الشیء من المکلّف بعینه ، والثانی طلبه من أحد المکلّفین علی سبیل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وبالإطلاق وقرینة الحکمة یمکن أن نُثبِت کون الطلب نفسیّاً تعیینیّاً عینیّاً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فی 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الغیریّة تقتضی تقیید وجوب الشیء بما إذا وجب ذلک الغیر ، والتخییریّة تقتضی تقییده بما إذا لم یؤتَ بالآخر ، والکفائیّة تقتضی تقییده بما إذا لم یأتِ الآخر بالفعل ، وکلّ هذه التقییدات تُنفی مع عدم القرینة علیها بقرینة الحکمة ، فیثبت المعنی المقابل لها</w:t>
      </w:r>
      <w:r>
        <w:rPr>
          <w:rFonts w:eastAsia="IRNazanin" w:cs="IRNazanin"/>
          <w:color w:val="111111"/>
          <w:sz w:val="28"/>
          <w:szCs w:val="28"/>
          <w:rtl w:val="true"/>
          <w:lang w:bidi="fa-IR"/>
        </w:rPr>
        <w:t xml:space="preserve">. </w:t>
      </w:r>
      <w:bookmarkStart w:id="531" w:name="pg14075_144628"/>
    </w:p>
    <w:p>
      <w:pPr>
        <w:pStyle w:val="Heading6"/>
        <w:numPr>
          <w:ilvl w:val="5"/>
          <w:numId w:val="1"/>
        </w:numPr>
        <w:rPr/>
      </w:pPr>
      <w:bookmarkStart w:id="532" w:name="__RefHeading___Toc508972_1738255347"/>
      <w:bookmarkStart w:id="533" w:name="_Toc179"/>
      <w:bookmarkEnd w:id="531"/>
      <w:bookmarkEnd w:id="532"/>
      <w:r>
        <w:rPr>
          <w:rtl w:val="true"/>
        </w:rPr>
        <w:t>العموم</w:t>
      </w:r>
      <w:bookmarkEnd w:id="533"/>
    </w:p>
    <w:p>
      <w:pPr>
        <w:pStyle w:val="Heading6"/>
        <w:numPr>
          <w:ilvl w:val="5"/>
          <w:numId w:val="1"/>
        </w:numPr>
        <w:rPr/>
      </w:pPr>
      <w:bookmarkStart w:id="534" w:name="__RefHeading___Toc508974_1738255347"/>
      <w:bookmarkStart w:id="535" w:name="_Toc180"/>
      <w:bookmarkEnd w:id="534"/>
      <w:r>
        <w:rPr>
          <w:rtl w:val="true"/>
        </w:rPr>
        <w:t>تعریف العموم</w:t>
      </w:r>
      <w:bookmarkEnd w:id="535"/>
    </w:p>
    <w:p>
      <w:pPr>
        <w:pStyle w:val="BookText"/>
        <w:rPr/>
      </w:pPr>
      <w:r>
        <w:rPr>
          <w:rFonts w:ascii="IRNazanin" w:hAnsi="IRNazanin" w:eastAsia="IRNazanin"/>
          <w:color w:val="111111"/>
          <w:sz w:val="28"/>
          <w:sz w:val="28"/>
          <w:szCs w:val="28"/>
          <w:rtl w:val="true"/>
          <w:lang w:bidi="fa-IR"/>
        </w:rPr>
        <w:t xml:space="preserve">الاستیعاب تارةً یثبت دون أن یکون مدلولاً للَّفظ ، واخری یکون مدلولاً له ، فالأوّل کاستیعاب الحکم الوارد علی المطلق لأفراده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اسم الجنس استیعاب وجوب الإکرام لأفراد العالم ، إلاّأنّ هذا الاستیعاب لیس مدلولاً للَّفظ ، وإنّما الکلام یدلّ علی نفی القید ، ومن لوازم ذلک انحلال الحکم حینئذٍ فی مرحلة التطبیق علی جمیع أفراد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العموم ،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تدلّ بنفسها علی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ظهر أنّ أسماء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استیعابها لوحداتها لیست عموماً ؛ لأنّ هذا الاستیعاب صفة واقعیّة للعشرة ، فإنّ کلّ مرکّبٍ یستوعب أجزاءه ، ولیس مدلولاً علیه بنفس لفظ العشرة ، فحاله حال انقسام العشرة إلی متساویَین ، فکما أنّه صفة واقعیّة ولیس داخلاً فی مدلول اللفظ کذلک الاستیعاب</w:t>
      </w:r>
      <w:r>
        <w:rPr>
          <w:rFonts w:eastAsia="IRNazanin" w:cs="IRNazanin"/>
          <w:color w:val="111111"/>
          <w:sz w:val="28"/>
          <w:szCs w:val="28"/>
          <w:rtl w:val="true"/>
          <w:lang w:bidi="fa-IR"/>
        </w:rPr>
        <w:t>.</w:t>
      </w:r>
    </w:p>
    <w:p>
      <w:pPr>
        <w:pStyle w:val="Heading6"/>
        <w:numPr>
          <w:ilvl w:val="5"/>
          <w:numId w:val="1"/>
        </w:numPr>
        <w:rPr/>
      </w:pPr>
      <w:bookmarkStart w:id="536" w:name="__RefHeading___Toc508976_1738255347"/>
      <w:bookmarkStart w:id="537" w:name="_Toc181"/>
      <w:bookmarkEnd w:id="536"/>
      <w:r>
        <w:rPr>
          <w:rtl w:val="true"/>
        </w:rPr>
        <w:t>أدوات العموم و نحو دلالتها</w:t>
      </w:r>
      <w:bookmarkEnd w:id="53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وجود أدواتٍ تدلّ علی العموم بالوضع ،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الألفاظ الخاصّة بإفادة الاستیعاب ، غیر أنّ النقطة الجدیرة بالبحث فیها وفی کلّ ما ثبت أنّه من أدوات العموم بالوضع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إسراء الحکم إلی تمام أفراد مدخول 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bookmarkStart w:id="538" w:name="pg14075_144629"/>
    </w:p>
    <w:p>
      <w:pPr>
        <w:pStyle w:val="BookText"/>
        <w:rPr/>
      </w:pPr>
      <w:bookmarkEnd w:id="538"/>
      <w:r>
        <w:rPr>
          <w:rFonts w:ascii="IRNazanin" w:hAnsi="IRNazanin" w:eastAsia="IRNazanin"/>
          <w:color w:val="111111"/>
          <w:sz w:val="28"/>
          <w:sz w:val="28"/>
          <w:szCs w:val="28"/>
          <w:rtl w:val="true"/>
          <w:lang w:bidi="fa-IR"/>
        </w:rPr>
        <w:t>یتوقّف علی إجراء الإطلاق وقرینة الحکمة فی المدخول ، أو أنّ دخول أداة العموم علی الکلمة یغنیها عن مقدّمات الحکمة ، وتتولّی الأداة بنفسها دور تلک القرینة؟</w:t>
      </w:r>
    </w:p>
    <w:p>
      <w:pPr>
        <w:pStyle w:val="BookText"/>
        <w:rPr/>
      </w:pPr>
      <w:r>
        <w:rPr>
          <w:rFonts w:ascii="IRNazanin" w:hAnsi="IRNazanin" w:eastAsia="IRNazanin"/>
          <w:color w:val="111111"/>
          <w:sz w:val="28"/>
          <w:sz w:val="28"/>
          <w:szCs w:val="28"/>
          <w:rtl w:val="true"/>
          <w:lang w:bidi="fa-IR"/>
        </w:rPr>
        <w:t xml:space="preserve">وقد ذکر صاحب الکفایة رحمه‌الله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الوجهین ممکن من الناحیة النظریّة ؛ لأنّ أداة العموم إذا کانت موضوعةً لاستیعاب ما یراد من المدخول تعیّن الوجه الأوّل ؛ لأنّ المراد بالمدخول لا یعرف حینئذٍ من ناحیة الأداة ، بل بقرینة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موضوعةً لاستیعاب تمام ما یصلح المدخول للانطباق علیه تعیَّن الوجه الثانی ؛ لأنّ المدخول مفاده الطبیعة ؛ وهی صالحة للانطباق علی تمام الأفراد ، فیتمّ تطبیقها کذلک بتوسّط الأداة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استظهر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یکتفی بالاستظهار فی تعیین الوجه الثانی ، بل یبرهن علی إبطال الوجه الأوّل بلزوم اللغویّة ، إذ بعد فرض الاحتیاج إلی قرینة الحکمة لإثبات الإطلاق فی المرتبة السابقة علی دخول الأداة یکون دور الأداة لغواً صرفاً ، ولا یمکن افتراض کونها تأکیداً ؛ لأنّ فرض الطولیّة بین دلالة الأداة وثبوت الإطلاق بقرینة الحکمة یمنع عن تعقّل کون الأداة ذات أثرٍ ولو تأکیدیّ</w:t>
      </w:r>
      <w:r>
        <w:rPr>
          <w:rFonts w:eastAsia="IRNazanin" w:cs="IRNazanin"/>
          <w:color w:val="111111"/>
          <w:sz w:val="28"/>
          <w:szCs w:val="28"/>
          <w:rtl w:val="true"/>
          <w:lang w:bidi="fa-IR"/>
        </w:rPr>
        <w:t>.</w:t>
      </w:r>
    </w:p>
    <w:p>
      <w:pPr>
        <w:pStyle w:val="Heading6"/>
        <w:numPr>
          <w:ilvl w:val="5"/>
          <w:numId w:val="1"/>
        </w:numPr>
        <w:rPr/>
      </w:pPr>
      <w:bookmarkStart w:id="539" w:name="__RefHeading___Toc508978_1738255347"/>
      <w:bookmarkStart w:id="540" w:name="_Toc182"/>
      <w:bookmarkEnd w:id="539"/>
      <w:r>
        <w:rPr>
          <w:rtl w:val="true"/>
        </w:rPr>
        <w:t>دلالة الجمع المعرَّف باللام</w:t>
      </w:r>
      <w:bookmarkEnd w:id="540"/>
    </w:p>
    <w:p>
      <w:pPr>
        <w:pStyle w:val="BookText"/>
        <w:rPr/>
      </w:pPr>
      <w:r>
        <w:rPr>
          <w:rFonts w:ascii="IRNazanin" w:hAnsi="IRNazanin" w:eastAsia="IRNazanin"/>
          <w:color w:val="111111"/>
          <w:sz w:val="28"/>
          <w:sz w:val="28"/>
          <w:szCs w:val="28"/>
          <w:rtl w:val="true"/>
          <w:lang w:bidi="fa-IR"/>
        </w:rPr>
        <w:t xml:space="preserve">وممّا ادُّعیت دلالته علی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بأنّ الجمع الخالی من اللام لا یدلّ علی العموم ، وأنّ المفرد المعرّف باللام لا یدلّ علی ذلک أیضاً ، وإنّما یجری فیه الإطلاق وقرینة الحکمة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ذلک یقع فی مرحلتین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هذه الدلالة ثبوتاً ، والصحیح فی تصویرها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المعرّف باللام مشتمل علی دوالّ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یدلّ علی المعنی الذی یراد استیعاب أفراده ، وهو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 یدلّ علی الجمع ، وهو هیئة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 یدلّ علی استیعاب الجمع لتمام أفراد مدلول المادّة ، وهو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هذه الدلالة إثباتاً ، وتفصیل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یدّعی وضع اللام الداخلة علی الجمع للعموم ، واخری یدّعی وضعها لتعیین مدخولها ، وحیث لا یوجد معیّن للأفراد الملحوظِین فی الجمع من عهدٍ ونحوه تتعیّن المرتبة الأخیرة من الجمع ؛ لأنّها المرتبة الوحیدة التی لا تَردُّدَ فی انطباقها وحدود شمولها ، فیکون العموم من لوازم المدلول الوضعیّ ، ولیس هو المدلول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اعترض علی کلٍّ من الدعویَین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الاولی فبأنّ لازمها کون الاستعمال فی موارد العهد مجازیاً ، إذ لا عموم ، أو البناء علی الاشتراک اللفظیّ بین العهد والعموم ، وهو بعید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الثانیة فقد أورد علیها صاحب الکفایة رحمه‌الله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التعیین کما هو محفوظ فی المرتبة الأخیرة من الجمع کذلک هو محفوظ فی المراتب الاخری ، وکأ نّه یرید بالتعیین المحفوظ فی کلّ تلک المراتب تعیّن العدد ، وماهیة المرتبة ، وعدد وحداتها ، بینما المقصود با لتعیّن الذی تتمیَّز به المرتبة الأخیرة من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ما هو داخل من الأفراد فی نطاق الجمع المعرَّف ، وهذا النحومن التعیّن لایوجد إلاّ لهذه المرتبة</w:t>
      </w:r>
      <w:r>
        <w:rPr>
          <w:rFonts w:eastAsia="IRNazanin" w:cs="IRNazanin"/>
          <w:color w:val="111111"/>
          <w:sz w:val="28"/>
          <w:szCs w:val="28"/>
          <w:rtl w:val="true"/>
          <w:lang w:bidi="fa-IR"/>
        </w:rPr>
        <w:t xml:space="preserve">. </w:t>
      </w:r>
      <w:bookmarkStart w:id="541" w:name="pg14075_144631"/>
    </w:p>
    <w:p>
      <w:pPr>
        <w:pStyle w:val="Heading6"/>
        <w:numPr>
          <w:ilvl w:val="5"/>
          <w:numId w:val="1"/>
        </w:numPr>
        <w:rPr/>
      </w:pPr>
      <w:bookmarkStart w:id="542" w:name="__RefHeading___Toc508980_1738255347"/>
      <w:bookmarkStart w:id="543" w:name="_Toc183"/>
      <w:bookmarkEnd w:id="541"/>
      <w:bookmarkEnd w:id="542"/>
      <w:r>
        <w:rPr>
          <w:rtl w:val="true"/>
        </w:rPr>
        <w:t>المفاهیم</w:t>
      </w:r>
      <w:bookmarkEnd w:id="543"/>
    </w:p>
    <w:p>
      <w:pPr>
        <w:pStyle w:val="Heading6"/>
        <w:numPr>
          <w:ilvl w:val="5"/>
          <w:numId w:val="1"/>
        </w:numPr>
        <w:rPr/>
      </w:pPr>
      <w:bookmarkStart w:id="544" w:name="__RefHeading___Toc508982_1738255347"/>
      <w:bookmarkStart w:id="545" w:name="_Toc184"/>
      <w:bookmarkEnd w:id="544"/>
      <w:r>
        <w:rPr>
          <w:rtl w:val="true"/>
        </w:rPr>
        <w:t>تعریف المفهوم</w:t>
      </w:r>
      <w:bookmarkEnd w:id="545"/>
    </w:p>
    <w:p>
      <w:pPr>
        <w:pStyle w:val="BookText"/>
        <w:rPr/>
      </w:pPr>
      <w:r>
        <w:rPr>
          <w:rFonts w:ascii="IRNazanin" w:hAnsi="IRNazanin" w:eastAsia="IRNazanin"/>
          <w:color w:val="111111"/>
          <w:sz w:val="28"/>
          <w:sz w:val="28"/>
          <w:szCs w:val="28"/>
          <w:rtl w:val="true"/>
          <w:lang w:bidi="fa-IR"/>
        </w:rPr>
        <w:t xml:space="preserve">الکلام له مدلول مطابقیّ وهو المنطوق ، وقد یتّفق أن یکون له مدلول التزامیّ ، والمفهوم مدلول التزامیّ للکلام ، ولکن لا کلّ مدلولٍ التزامی ، بل المدلول الالتزامیّ الذی یعبِّر عن انتفاء الحکم فی المنطوق إذا اختلَّت بعض القیود المأخوذة فی المدلول المطابقی ،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بالدلالة الالتزامیّة علی أنّ صلاة الظهر لیست واجبة ، ولکنّ هذا لیس مفهوماً ؛ لأنّه لا یعبِّر عن انتفاء نفس وجوب صلاة الجمعة ، أی انتفاء حکم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الدلالة الالتزامیّة علی انتفاء الحکم المنطوق باختلال بعض القیود ؛ بسبب أنّ الربط الخاصَّ المأخوذ فی المدلول المطابقیّ بین الحکم وقیوده قد اخذ علی نحوٍ یستدعی انتفاء الحکم المنطوق بانتفاء ما ربط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لیس کلّ انتفاءٍ من هذا القبیل للحکم المنطوق مفهوماً أیضاً ، بل إذا تضمّن انتفاء طبیعیّ الحکم المنطوق ، 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یجب إکرامه بملاک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یجب إکرامه بملاک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یجب إکرامه بملاک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الإکرام المبرَز بهذا الکلام لابدّ أن یکون واحداً من هذه الأفراد للوجوب ، ولنفرض أنّه الفرد الأوّل منها مثلاً ، وهذا الفرد من الوجوب ینتفی بانتفاء الشرط تطبیقاً لقاعدة احترازیة القیود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القاعدة لا تنفی سائر أفراد الوجوب الاخری ، ولا یعتبر ذلک مفهوماً ، بل المفهوم أن یدلّ الربط الخاصّ المأخوذ فی المنطوق بین الحکم وقیده علی انتفاء طبیعیّ الحکم بانتفاء القید ، 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المثال </w:t>
      </w:r>
      <w:bookmarkStart w:id="546" w:name="pg14075_144632"/>
    </w:p>
    <w:p>
      <w:pPr>
        <w:pStyle w:val="BookText"/>
        <w:rPr/>
      </w:pPr>
      <w:bookmarkEnd w:id="546"/>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له مفهوم إذا دلّ الربط فیه بین الشرط والجزاء علی أنّه فی حالات انتفاء الشرط ینتفی طبیعیّ وجوب الإکرام بکلّ أفراده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صحَّ تعریف المفهوم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طبیعیّ الحکم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انتقاء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هذا الانتفاء مدلولاً التزامیّاً لربط الحکم فی المنطوق بطرفه</w:t>
      </w:r>
      <w:r>
        <w:rPr>
          <w:rFonts w:eastAsia="IRNazanin" w:cs="IRNazanin"/>
          <w:color w:val="111111"/>
          <w:sz w:val="28"/>
          <w:szCs w:val="28"/>
          <w:rtl w:val="true"/>
          <w:lang w:bidi="fa-IR"/>
        </w:rPr>
        <w:t>.</w:t>
      </w:r>
    </w:p>
    <w:p>
      <w:pPr>
        <w:pStyle w:val="Heading6"/>
        <w:numPr>
          <w:ilvl w:val="5"/>
          <w:numId w:val="1"/>
        </w:numPr>
        <w:rPr/>
      </w:pPr>
      <w:bookmarkStart w:id="547" w:name="__RefHeading___Toc508984_1738255347"/>
      <w:bookmarkStart w:id="548" w:name="_Toc185"/>
      <w:bookmarkEnd w:id="547"/>
      <w:r>
        <w:rPr>
          <w:rtl w:val="true"/>
        </w:rPr>
        <w:t>ضابط المفهوم</w:t>
      </w:r>
      <w:bookmarkEnd w:id="548"/>
    </w:p>
    <w:p>
      <w:pPr>
        <w:pStyle w:val="BookText"/>
        <w:rPr/>
      </w:pPr>
      <w:r>
        <w:rPr>
          <w:rFonts w:ascii="IRNazanin" w:hAnsi="IRNazanin" w:eastAsia="IRNazanin"/>
          <w:color w:val="111111"/>
          <w:sz w:val="28"/>
          <w:sz w:val="28"/>
          <w:szCs w:val="28"/>
          <w:rtl w:val="true"/>
          <w:lang w:bidi="fa-IR"/>
        </w:rPr>
        <w:t xml:space="preserve">وعلی ضوء ما ذکرناه فی تعریف المفهوم نواجه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هذا النحو من الربط الذی یستلزم انتفاء الحکم عند الانتفاء ؛ لکی نبحث بعد ذلک عن الجمل التی یمکن القول بأ نّها تدلّ علی ذلک النحو من الربط ، وبالتالی یکون لها مفهوم؟</w:t>
      </w:r>
    </w:p>
    <w:p>
      <w:pPr>
        <w:pStyle w:val="BookText"/>
        <w:rPr/>
      </w:pPr>
      <w:r>
        <w:rPr>
          <w:rFonts w:ascii="IRNazanin" w:hAnsi="IRNazanin" w:eastAsia="IRNazanin"/>
          <w:color w:val="111111"/>
          <w:sz w:val="28"/>
          <w:sz w:val="28"/>
          <w:szCs w:val="28"/>
          <w:rtl w:val="true"/>
          <w:lang w:bidi="fa-IR"/>
        </w:rPr>
        <w:t xml:space="preserve">والمعروف أنّ الربط الذی یحقّق المفهوم یتوقّف علی رکنین أساسیَّین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الربط معبِّراً عن حالة لزومٍ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وبکلمةٍ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 ارتباط المعلول بعلّته المنحصرة ، إذ لو کان الربط بین الجزاء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اتفاقٍ بدون لزوم ، أو لزوماً بدون علّیّة ، أو علّیّةً بدون انحصارٍ لِتوفّر علّةٍ اخری لَما انتفی مدلول الجزاء بانتفاء ما ارتبط به فی الجملة من شرط ؛ لإمکان وجوده بعلّةٍ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والرکن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المرتبط بتلک العلّة المنحصرة طبیعیّ الحکم وسنخه ، لا شخصه ؛ لکی ینتفی الطبیعیّ بانتفاء تلک العلّة لا الشخص فقط ؛ لما عرفت سابقاً من أنّ المفهوم لا یتحقّق إلاّإذا کان الربط مستلزماً لانتفاء طبیعیّ الحکم المنطوق بانتفاء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الرکن الأوّل من هذین الرکنین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کون المرتبط به الحکم علّةً تامّةً لیس أمراً ضروریاً لإثبات المفهوم ، </w:t>
      </w:r>
      <w:bookmarkStart w:id="549" w:name="pg14075_144633"/>
    </w:p>
    <w:p>
      <w:pPr>
        <w:pStyle w:val="BookText"/>
        <w:rPr/>
      </w:pPr>
      <w:bookmarkEnd w:id="549"/>
      <w:r>
        <w:rPr>
          <w:rFonts w:ascii="IRNazanin" w:hAnsi="IRNazanin" w:eastAsia="IRNazanin"/>
          <w:color w:val="111111"/>
          <w:sz w:val="28"/>
          <w:sz w:val="28"/>
          <w:szCs w:val="28"/>
          <w:rtl w:val="true"/>
          <w:lang w:bidi="fa-IR"/>
        </w:rPr>
        <w:t>بل یکفی أن یکون جزءَ العلّة إذا افترضنا کونه جزءاً لعلّةٍ منحصرة ، فالمهمّ من ناحیة المفهوم الانحصار ، لا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أفادت کون الجزاء ملتصقاً بالشرط ومتوقّفاً علیه کفی ذلک فی إثبات الانتفاء عند الانتفاء ولو لم یکن فیها ما یثبت علّیّة الشرط للجزاء ؛ أو کونه جزءَ العلّة ، بل وحتّی لو لم یکن فیها ما یدلّ علی اللزوم ، ولهذا لو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مجیء زیدٍ متوقّف صدفةً علی مجیء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 ذلک علی عدم مجیء زیدٍ فی حالة عدم مجیء عمرو ، فلیست دلالة الجملة علی اللزوم العِلّیِّ الانحصاریِّ هی الاسلوب الوحید لدلالتها علی المفهوم ، بل یکفی بدلاً عن ذلک دلالتها علی الالتصاق والتوقّف ولو صدفةً من جانب الجزاء</w:t>
      </w:r>
      <w:r>
        <w:rPr>
          <w:rFonts w:eastAsia="IRNazanin" w:cs="IRNazanin"/>
          <w:color w:val="111111"/>
          <w:sz w:val="28"/>
          <w:szCs w:val="28"/>
          <w:rtl w:val="true"/>
          <w:lang w:bidi="fa-IR"/>
        </w:rPr>
        <w:t>.</w:t>
      </w:r>
    </w:p>
    <w:p>
      <w:pPr>
        <w:pStyle w:val="Heading6"/>
        <w:numPr>
          <w:ilvl w:val="5"/>
          <w:numId w:val="1"/>
        </w:numPr>
        <w:rPr/>
      </w:pPr>
      <w:bookmarkStart w:id="550" w:name="__RefHeading___Toc508986_1738255347"/>
      <w:bookmarkStart w:id="551" w:name="_Toc186"/>
      <w:bookmarkEnd w:id="550"/>
      <w:r>
        <w:rPr>
          <w:rtl w:val="true"/>
        </w:rPr>
        <w:t>مفهوم الشرط</w:t>
      </w:r>
      <w:bookmarkEnd w:id="551"/>
    </w:p>
    <w:p>
      <w:pPr>
        <w:pStyle w:val="BookText"/>
        <w:rPr/>
      </w:pPr>
      <w:r>
        <w:rPr>
          <w:rFonts w:ascii="IRNazanin" w:hAnsi="IRNazanin" w:eastAsia="IRNazanin"/>
          <w:color w:val="111111"/>
          <w:sz w:val="28"/>
          <w:sz w:val="28"/>
          <w:szCs w:val="28"/>
          <w:rtl w:val="true"/>
          <w:lang w:bidi="fa-IR"/>
        </w:rPr>
        <w:t xml:space="preserve">من أهمّ الجمل التی وقع البحث عن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الشرطیّة ، ولا شکّ فی دلالتها علی ربط الجزاء بالشرط ؛ وإن وقع الاختلاف فی الدالّ علی هذا الربط ، فالرأی المعروف أنّ أداة الشرط هی الدالة علی الربط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المحقّق الإصفهانیّ </w:t>
      </w:r>
      <w:r>
        <w:rPr>
          <w:rStyle w:val="FootnoteAnchor"/>
          <w:rtl w:val="true"/>
        </w:rPr>
        <w:footnoteReference w:id="92"/>
      </w:r>
      <w:r>
        <w:rPr>
          <w:rFonts w:ascii="IRNazanin" w:hAnsi="IRNazanin" w:eastAsia="IRNazanin"/>
          <w:color w:val="111111"/>
          <w:sz w:val="28"/>
          <w:sz w:val="28"/>
          <w:szCs w:val="28"/>
          <w:rtl w:val="true"/>
          <w:lang w:bidi="fa-IR"/>
        </w:rPr>
        <w:t xml:space="preserve">، إذ ذهب إلی أنّ الأداة موضوعة لإفادة أنّ مدخولها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افُترِض وقُدِّر علی نهج الموضوع فی القضیّة الحقیقیّة ، وأمّا ربط الجزاء بالشرط وتعلیقه علیه فهو مستفاد من هیئة الجملة وما فیها من ترتیبٍ للجزاء علی الشرط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یتّجه البحث حول ما إذا کان هذا الربط المستفاد من الجملة الشرطیّة بین الجزاء والشرط یفی بإثبات المفهوم ، أوْ لا؟ </w:t>
      </w:r>
    </w:p>
    <w:p>
      <w:pPr>
        <w:pStyle w:val="BookText"/>
        <w:rPr/>
      </w:pPr>
      <w:r>
        <w:rPr>
          <w:rFonts w:ascii="IRNazanin" w:hAnsi="IRNazanin" w:eastAsia="IRNazanin"/>
          <w:color w:val="111111"/>
          <w:sz w:val="28"/>
          <w:sz w:val="28"/>
          <w:szCs w:val="28"/>
          <w:rtl w:val="true"/>
          <w:lang w:bidi="fa-IR"/>
        </w:rPr>
        <w:t xml:space="preserve">وفی هذا المجال نواجه سؤالین علی ضوء ما تقدّم من الضابط لإثبات المفهوم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المعلَّق طبیعیّ الحکم ، أو شخصه؟</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یستفاد من الجملة أنّ الشرط علّة منحصرة للمعلَّق؟</w:t>
      </w:r>
    </w:p>
    <w:p>
      <w:pPr>
        <w:pStyle w:val="BookText"/>
        <w:rPr/>
      </w:pPr>
      <w:r>
        <w:rPr>
          <w:rFonts w:ascii="IRNazanin" w:hAnsi="IRNazanin" w:eastAsia="IRNazanin"/>
          <w:color w:val="111111"/>
          <w:sz w:val="28"/>
          <w:sz w:val="28"/>
          <w:szCs w:val="28"/>
          <w:rtl w:val="true"/>
          <w:lang w:bidi="fa-IR"/>
        </w:rPr>
        <w:t xml:space="preserve">وفی ما یتّصل بالسؤال الأوّل یقال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المعلّق طبیعیّ الحکم ، لا الشخص ، وذلک بإجراء الإطلاق وقرینة الحکمة فی مفاد هیئة جملة الجزاء ، فإنّ مفادها هو المحکوم علیه بالتعلیق ، ومقتضی الإطلاق أنّه لوحظ بنحو الطبیعیّ ، لا بنحو الشخص ، ففی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نثبت بالإطلاق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الوجوب المفاد بنحو المعنی الحرفیّ والنسبة الإرسالیّة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ما یتّصل بالسؤال الثانی 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موضوعة لغةً للربط العِلِّیِّ الانحصاریِّ بین الشرط والجزاء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یورد علی ذلک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نّها لو کانت موضوعةً علی هذا النحو لزم أن یکون استعمالها فی مورد کون الشرط علّةً غیر منحصرةٍ مجازاً ، وهو خلاف الوجدان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اتّجه القائلون بالمفهوم إلی دعوی اخری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اللزوم مدلول وضعیّ للأداة ، والعِلّیّة مستفادة من تفریع الجزاء علی الشرط بالفاء الثابتة حقیقةً أو تقدیراً ، وأمّا الانحصار فیثبت بالإطلاق ، إذ لو کان للشرط بدیل یتحقّق عوضاً عنه فی بعض الأحیان لکان لابدّ من تقیید الشرط المذکور فی الجملة بذلک البدیل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فیقال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أو مرض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فحیث لم یذکر ذلک والقی الشرط مطلقاً ثبت بذلک عدم وجود البدیل ، وهو معنی الانحصار</w:t>
      </w:r>
      <w:r>
        <w:rPr>
          <w:rFonts w:eastAsia="IRNazanin" w:cs="IRNazanin"/>
          <w:color w:val="111111"/>
          <w:sz w:val="28"/>
          <w:szCs w:val="28"/>
          <w:rtl w:val="true"/>
          <w:lang w:bidi="fa-IR"/>
        </w:rPr>
        <w:t xml:space="preserve">. </w:t>
      </w:r>
      <w:bookmarkStart w:id="552" w:name="pg14075_144635"/>
    </w:p>
    <w:p>
      <w:pPr>
        <w:pStyle w:val="Heading6"/>
        <w:numPr>
          <w:ilvl w:val="5"/>
          <w:numId w:val="1"/>
        </w:numPr>
        <w:rPr/>
      </w:pPr>
      <w:bookmarkStart w:id="553" w:name="__RefHeading___Toc508988_1738255347"/>
      <w:bookmarkStart w:id="554" w:name="_Toc187"/>
      <w:bookmarkEnd w:id="552"/>
      <w:bookmarkEnd w:id="553"/>
      <w:r>
        <w:rPr>
          <w:rtl w:val="true"/>
        </w:rPr>
        <w:t>الشرط المسوق لتحقیق الموضوع</w:t>
      </w:r>
      <w:bookmarkEnd w:id="554"/>
    </w:p>
    <w:p>
      <w:pPr>
        <w:pStyle w:val="BookText"/>
        <w:rPr/>
      </w:pPr>
      <w:r>
        <w:rPr>
          <w:rFonts w:ascii="IRNazanin" w:hAnsi="IRNazanin" w:eastAsia="IRNazanin"/>
          <w:color w:val="111111"/>
          <w:sz w:val="28"/>
          <w:sz w:val="28"/>
          <w:szCs w:val="28"/>
          <w:rtl w:val="true"/>
          <w:lang w:bidi="fa-IR"/>
        </w:rPr>
        <w:t xml:space="preserve">یوجد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وهو وجوب الإکرام ، وشرطٌ وهو المجیء ، وموضوعٌ ثابت فی حالتی وجود الشرط وعدمه وهو زید ، وفی هذه الحالة یثبت مفهوم الشرط تبعاً لما تقدّم من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أحیاناً نجد أنّ الشرط یساوق وجود الموضوع ، ویعنی تحقیقه علی نحوٍ لا یکون فی الجملة الشرطیّة موضوع محفوظ فی حالتی وجود الشرط وعدمه ،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مثل ذلک لا مجال للمفهوم ؛ إذ مع عدم الشرط لا موضوع لکی تدلّ الجملة علی نفی الحکم عنه ، ویسمّی الشرط فی حالاتٍ من هذا القبیل بالشرط المسوق لتحقّق الموضوع</w:t>
      </w:r>
      <w:r>
        <w:rPr>
          <w:rFonts w:eastAsia="IRNazanin" w:cs="IRNazanin"/>
          <w:color w:val="111111"/>
          <w:sz w:val="28"/>
          <w:szCs w:val="28"/>
          <w:rtl w:val="true"/>
          <w:lang w:bidi="fa-IR"/>
        </w:rPr>
        <w:t>.</w:t>
      </w:r>
    </w:p>
    <w:p>
      <w:pPr>
        <w:pStyle w:val="Heading6"/>
        <w:numPr>
          <w:ilvl w:val="5"/>
          <w:numId w:val="1"/>
        </w:numPr>
        <w:rPr/>
      </w:pPr>
      <w:bookmarkStart w:id="555" w:name="__RefHeading___Toc508990_1738255347"/>
      <w:bookmarkStart w:id="556" w:name="_Toc188"/>
      <w:bookmarkEnd w:id="555"/>
      <w:r>
        <w:rPr>
          <w:rtl w:val="true"/>
        </w:rPr>
        <w:t>مفهوم الوصف</w:t>
      </w:r>
      <w:bookmarkEnd w:id="556"/>
    </w:p>
    <w:p>
      <w:pPr>
        <w:pStyle w:val="BookText"/>
        <w:rPr/>
      </w:pPr>
      <w:r>
        <w:rPr>
          <w:rFonts w:ascii="IRNazanin" w:hAnsi="IRNazanin" w:eastAsia="IRNazanin"/>
          <w:color w:val="111111"/>
          <w:sz w:val="28"/>
          <w:sz w:val="28"/>
          <w:szCs w:val="28"/>
          <w:rtl w:val="true"/>
          <w:lang w:bidi="fa-IR"/>
        </w:rPr>
        <w:t xml:space="preserve">إذا قیّد متعلّق الحکم أو موضوعه بوصفٍ معیّنٍ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یدلّ التقیید بوصف العادل علی المفهوم؟</w:t>
      </w:r>
    </w:p>
    <w:p>
      <w:pPr>
        <w:pStyle w:val="BookText"/>
        <w:rPr/>
      </w:pPr>
      <w:r>
        <w:rPr>
          <w:rFonts w:ascii="IRNazanin" w:hAnsi="IRNazanin" w:eastAsia="IRNazanin"/>
          <w:color w:val="111111"/>
          <w:sz w:val="28"/>
          <w:sz w:val="28"/>
          <w:szCs w:val="28"/>
          <w:rtl w:val="true"/>
          <w:lang w:bidi="fa-IR"/>
        </w:rPr>
        <w:t xml:space="preserve">قد یقال بثبوت المفهوم لأحد الوجهین التالیَین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یجب إکرام الفقیر العادل والفقیر غیر العادل معاً فهذا یعنی أنّ العدالة لیس لها دخل فی موضوع الحکم بالوجوب ، مع أنّ أخذ قیدٍ فی الخطاب ظاهر عرفاً فی أنّه دخیل فی الحکم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الخطاب علی دخل القید لا شکّ فیها ، ومردّها إلی ظهور حال المتکلّم فی أنّ کلّ ما یبیّن بالکلام فی مرحلة المدلول التصوّریّ فهو داخل فی نطاق المراد الجدّیّ ، وحیث إنّ الوصف قد بیّن فی مرحلة المدلول التصوّریّ </w:t>
      </w:r>
    </w:p>
    <w:p>
      <w:pPr>
        <w:pStyle w:val="BookText"/>
        <w:rPr/>
      </w:pPr>
      <w:r>
        <w:rPr>
          <w:rFonts w:ascii="IRNazanin" w:hAnsi="IRNazanin" w:eastAsia="IRNazanin"/>
          <w:color w:val="111111"/>
          <w:sz w:val="28"/>
          <w:sz w:val="28"/>
          <w:szCs w:val="28"/>
          <w:rtl w:val="true"/>
          <w:lang w:bidi="fa-IR"/>
        </w:rPr>
        <w:t>بوصفه قیداً فیثبت بذلک أنّه دخیل فی موضوع الحکم المراد جدّاً ، وعلی أساس ذلک قامت قاعدة احترازیّة القیود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ذلک إنّما یقتضی دخل الوصف فی شخص الحکم ، وانتفاء هذا الشخص الذی سیق الکلام لإبرازه بانتفاء الوصف ، لا انتفاء طبیعیّ الحکم ، وما نقصده بالمفهوم انتفاء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یجب إکرام الفقیر العادل والفقیر غیر العادل ولو بفردَین من الوجوب وبجعلَین لَما کانت هناک فائدة فی ذکر المولی لقید العدالة ؛ لأنّه لو لم یذکره وجاء الخطاب مطلقاً لَما أضرَّ بمقصوده ، وإذا لم تکن هناک فائدة فی ذکر القید کان لغواً ، فیتعیّن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لصیانة کلام المولی عن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لذکر القید فائدة ، وهی التنبیه علی عدم شمول الحکم للفقیر غیر العادل ، فیثبت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وإن کان متّجهاً ولکنّه إنّما یقتضی نفی الثبوت الکلّیِّ الشامل للحکم فی حالات انتفاء الوصف ، ولا ینفی ثبوته فی بعض الحالات مع انتفائه فی حالاتٍ اخری ، إذ یکون لذکر القید عندئذٍ فائدة وهی التحرّز عن هذه الحالات الاخری ؛ لأنّه لو لم یذکر لَشمل الخطاب کلّ حالات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فالوصف إذن له مفهوم محدود ، ویدلّ علی انتفاء الحکم بانتفاء الوصف علی نحو السالبة الجزئیة ، لا علی نحو السالبة الکلّیّة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نلاحظ فی هذا المجال أنّ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یذکر مع موصوفه فیقال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العالمَ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یذکر مستقلاًّ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الأوّل لإثبات المفهوم للوصف لو تمّ یجری فی کلتا الحالتین ، وأمّا الوجه الثانی فیختصّ بالحالة الاولی ؛ لأنّ ذکر الوصف فی الحالة الثانیة لا یکون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الموصوف غیر مذکور</w:t>
      </w:r>
      <w:r>
        <w:rPr>
          <w:rFonts w:eastAsia="IRNazanin" w:cs="IRNazanin"/>
          <w:color w:val="111111"/>
          <w:sz w:val="28"/>
          <w:szCs w:val="28"/>
          <w:rtl w:val="true"/>
          <w:lang w:bidi="fa-IR"/>
        </w:rPr>
        <w:t xml:space="preserve">. </w:t>
      </w:r>
      <w:bookmarkStart w:id="557" w:name="pg14075_144637"/>
    </w:p>
    <w:p>
      <w:pPr>
        <w:pStyle w:val="Heading6"/>
        <w:numPr>
          <w:ilvl w:val="5"/>
          <w:numId w:val="1"/>
        </w:numPr>
        <w:rPr/>
      </w:pPr>
      <w:bookmarkStart w:id="558" w:name="__RefHeading___Toc508992_1738255347"/>
      <w:bookmarkStart w:id="559" w:name="_Toc189"/>
      <w:bookmarkEnd w:id="557"/>
      <w:bookmarkEnd w:id="558"/>
      <w:r>
        <w:rPr>
          <w:rtl w:val="true"/>
        </w:rPr>
        <w:t>جمل الغایة و الاستثناء</w:t>
      </w:r>
      <w:bookmarkEnd w:id="559"/>
    </w:p>
    <w:p>
      <w:pPr>
        <w:pStyle w:val="BookText"/>
        <w:rPr/>
      </w:pPr>
      <w:r>
        <w:rPr>
          <w:rFonts w:ascii="IRNazanin" w:hAnsi="IRNazanin" w:eastAsia="IRNazanin"/>
          <w:color w:val="111111"/>
          <w:sz w:val="28"/>
          <w:sz w:val="28"/>
          <w:szCs w:val="28"/>
          <w:rtl w:val="true"/>
          <w:lang w:bidi="fa-IR"/>
        </w:rPr>
        <w:t xml:space="preserve">وهناک جمل اخری یقال عادةً بثبوت المفهوم لها ، کالجملة المتکفّلة لحکمٍ مغیّی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المتکفّلة لحکمٍ مع الاستثناء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الغایة والاستثناء یدلاّن علی أنّ شخص الحکم الذی ارید إبرازه بذلک الخطاب منفیّ بعد وقوع الغایة ، ومنفیّ عن المستثنی تطبیقاً لقاعدة احترازیّة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یکفی لإثبات المفهوم ؛ لأنّ المطلوب فیه نفی طبیعیّ الحکم ، کما فی الجملة الشرطیّة ، وهذا یتوقّف علی إثبات کون الغایة أو الاستثناء غایةً لطبیعیِّ الحکم واستثناءً منه ، علی وِزانِ کون المعلّق فی الجملة الشرطیّة طبیعیَّ الحکم ، فإن أمکن إثبات ذلک کان للغایة ولأداة الاستثناء مفهوم کمفهوم الجملة الشرطیّة ، فتدلاّن علی أنّ طبیعیَّ الحکم ینتفی عن جمیع الحالات التی تشملها الغایة أو یشملها المستثنی ، وإذا لم یمکن إثبات ذلک لم یکن للغایة والاستثناء مفهوم بهذا المعنی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یثبت لهما </w:t>
      </w:r>
      <w:r>
        <w:rPr>
          <w:rStyle w:val="FootnoteAnchor"/>
          <w:rtl w:val="true"/>
        </w:rPr>
        <w:footnoteReference w:id="93"/>
      </w:r>
      <w:r>
        <w:rPr>
          <w:rFonts w:ascii="IRNazanin" w:hAnsi="IRNazanin" w:eastAsia="IRNazanin"/>
          <w:color w:val="111111"/>
          <w:sz w:val="28"/>
          <w:sz w:val="28"/>
          <w:szCs w:val="28"/>
          <w:rtl w:val="true"/>
          <w:lang w:bidi="fa-IR"/>
        </w:rPr>
        <w:t>مفهوم محدود بقدر ما ثبت للوصف بقرینة اللغویّة ، إذ لو کان طبیعیّ الحکم ثابتاً بعد الغایة أو للمستثنی أیضاً ولو بجعلٍ آخر کان ذکر الغایة أو الاستثناء بلا مبرِّرٍ عرفیّ ، فلا بدّ من افتراض انتفاء الطبیعیّ فی حالات وقوع الغایة وحالات المستثنی ولو بنحو السالبة الجزئیّة صیانةً للکلام عن اللغویّة</w:t>
      </w:r>
      <w:r>
        <w:rPr>
          <w:rFonts w:eastAsia="IRNazanin" w:cs="IRNazanin"/>
          <w:color w:val="111111"/>
          <w:sz w:val="28"/>
          <w:szCs w:val="28"/>
          <w:rtl w:val="true"/>
          <w:lang w:bidi="fa-IR"/>
        </w:rPr>
        <w:t xml:space="preserve">. </w:t>
      </w:r>
      <w:bookmarkStart w:id="560" w:name="pg14075_144638"/>
    </w:p>
    <w:p>
      <w:pPr>
        <w:pStyle w:val="Heading6"/>
        <w:numPr>
          <w:ilvl w:val="5"/>
          <w:numId w:val="1"/>
        </w:numPr>
        <w:rPr/>
      </w:pPr>
      <w:bookmarkStart w:id="561" w:name="__RefHeading___Toc508994_1738255347"/>
      <w:bookmarkStart w:id="562" w:name="_Toc190"/>
      <w:bookmarkEnd w:id="560"/>
      <w:bookmarkEnd w:id="561"/>
      <w:r>
        <w:rPr>
          <w:rtl w:val="true"/>
        </w:rPr>
        <w:t>التطابق بین الدلالات</w:t>
      </w:r>
      <w:bookmarkEnd w:id="562"/>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94"/>
      </w:r>
      <w:r>
        <w:rPr>
          <w:rFonts w:ascii="IRNazanin" w:hAnsi="IRNazanin" w:eastAsia="IRNazanin"/>
          <w:color w:val="111111"/>
          <w:sz w:val="28"/>
          <w:sz w:val="28"/>
          <w:szCs w:val="28"/>
          <w:rtl w:val="true"/>
          <w:lang w:bidi="fa-IR"/>
        </w:rPr>
        <w:t xml:space="preserve">أنّ الکلام له ثلاث دلالات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 ، والدلالة التصدیقیة الاولی ، والدلالة التصدیقیة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w:t>
      </w:r>
      <w:r>
        <w:rPr>
          <w:rStyle w:val="FootnoteAnchor"/>
          <w:rtl w:val="true"/>
        </w:rPr>
        <w:footnoteReference w:id="95"/>
      </w:r>
      <w:r>
        <w:rPr>
          <w:rFonts w:ascii="IRNazanin" w:hAnsi="IRNazanin" w:eastAsia="IRNazanin"/>
          <w:color w:val="111111"/>
          <w:sz w:val="28"/>
          <w:sz w:val="28"/>
          <w:szCs w:val="28"/>
          <w:rtl w:val="true"/>
          <w:lang w:bidi="fa-IR"/>
        </w:rPr>
        <w:t>أنّ الظاهر من کلّ لفظٍ فی مرحلة الدلالة التصوریة هو المعنی الموضوع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ونرید هنا الإشارة إلی ظهور کلِّ لفظٍ فی مرحلة الدلالة التصدیقیة الاولی فی أنّ المتکلّم یقصد باللفظ تفهیم نفس المعنی الظاهر من الدلالة التصوریة ، لا معنیً آخر ، فإذا قال المتکلّم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وشککنا فی أنّ المتکلّم هل قصد أن یخطر فی ذهننا المعنی الحقیقیّ وهو الحیوان المفترس ، أو المعنی المجازیّ وهو الرجل الشجاع؟ کان ظاهر حاله أنّه یقصد إخطار المعنی الحقیقی ، ومردّ ذلک فی الحقیقة إلی ظهور حال المتکلّم فی التطابق بین الدلالة التصوریة والدلالة التصدیقیة الاولی ، فما دام الظاهر من الاولی هو المعنی الحقیقیّ فالمقصود فی الثانیة هو أیضاً ، وهذا الظهور حجّة علی ما یأتی فی قاعدة حجّیة الظهور ، ویطلق علی حجّیته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الحقیقة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ولنأخذ الآن الدلالة التصدیقیة الثانیة بعد افتراض تعیین الدلالتین السابقتین علیها لنجد فیها نفس الشیء ، فإنّ الظاهر من الکلام فی مرحلة الدلالة التصدیقیة الثانیة ، أنّ المراد الجدّیّ متطابق مع ما قصد إخطاره فی الذهن فی مرحلة الدلالة التصدیقیة الاولی ، فإذا قال المتکلّم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أنّه یرید أن یخطر فی ذهننا صورة العموم ، ولکن شککنا فی أنّ مراده الجدّیّ هل هو أن نکرم جیرانه </w:t>
      </w:r>
    </w:p>
    <w:p>
      <w:pPr>
        <w:pStyle w:val="BookText"/>
        <w:rPr/>
      </w:pPr>
      <w:r>
        <w:rPr>
          <w:rFonts w:ascii="IRNazanin" w:hAnsi="IRNazanin" w:eastAsia="IRNazanin"/>
          <w:color w:val="111111"/>
          <w:sz w:val="28"/>
          <w:sz w:val="28"/>
          <w:szCs w:val="28"/>
          <w:rtl w:val="true"/>
          <w:lang w:bidi="fa-IR"/>
        </w:rPr>
        <w:t xml:space="preserve">جمیعاً ، أو أن نکرم بعضهم ، غیر أنّه أتی باللفظ عامّاً وقصد إخطار العموم مجاملةً لجیرانه؟ ففی هذه الحالة نجد أنّ ظاهر حال المتکلّم أنّه جادّ فی التعمیم ، وأنّ مراده الجدّیّ ذلک ، ومردّ ذلک فی الحقیقة إلی ظهور حال المتکلّم فی التطابق بین الدلالة التصدیقیة الاولی والدلالة التصدیقیة الثانیة ، فما دام الظاهر من الاولی إخطار صورة العموم ، فالظاهر من الثانیة إرادة العموم جدّاً ، وهذا الظهور حجّة ، ویطلق علی حجّیّته فی 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یقول المتکلّم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ویخطر فی ذهننا مدلول الکلام ، ولکنّنا نشکّ فی أنّه جادٌّ فی ذلک ، ونحتمل أنّه متأثّر بظروفٍ خاصّةٍ من التقیّة ونحوها ، وأ نّه لیس له مراد جدّیّ إطلاقاً ، والکلام فیه کالکلام فی المثال السابق ، فإنّ ظهور التطابق بین الدلالتین التصدیقیّتین یقتضی دلالة الکلام علی أنّ ما أخطره فی ذهننا عند سماع هذا الکلام مراد له جدّاً ، وأنّ الجهة التی دعته إلی الکلام هی کون مدلوله مراداً جدِّیّاً له ، لا التقیّة ، وهذا الظهور حجّة ،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الکلام ثلاثة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تصوری ، واثنان تصدیقیّان ، ویختلف التصوری عنهما فی أنّ ظهور اللفظ تصوّراً فی المعنی الحقیقیّ لا یتزعزع حتّی مع قیام القرینة المتّصلة علی أنّ المتکلّم أراد معنیً آخر ، وأمّا ظهور الکلام تصدیقاً فی إرادة المتکلّم للمعنی الحقیقیّ استعمالاً وجدّاً فیزول بقیام القرینة المذکورة ویتحوّل من المعنی الحقیقیّ إلی المعنی الذی تدلّ علیه القرینة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القرینة المنفصلة فلا تُزعزِع شیئاً من هذه الظواهر ، وإنّما تشکِّل تعارضاً بین ظهور الکلام الأوّل وبینها ، وتُقدَّم علیه وفقاً لقواعد الجمع العرفیّ</w:t>
      </w:r>
      <w:r>
        <w:rPr>
          <w:rFonts w:eastAsia="Amiri" w:cs="Amiri" w:ascii="Amiri" w:hAnsi="Amiri"/>
          <w:color w:val="111111"/>
          <w:sz w:val="28"/>
          <w:szCs w:val="28"/>
          <w:rtl w:val="true"/>
          <w:lang w:bidi="ar-SA"/>
        </w:rPr>
        <w:t xml:space="preserve">. </w:t>
      </w:r>
      <w:bookmarkStart w:id="563" w:name="pg14075_144640"/>
    </w:p>
    <w:p>
      <w:pPr>
        <w:pStyle w:val="Heading6"/>
        <w:numPr>
          <w:ilvl w:val="5"/>
          <w:numId w:val="1"/>
        </w:numPr>
        <w:rPr/>
      </w:pPr>
      <w:bookmarkStart w:id="564" w:name="__RefHeading___Toc508996_1738255347"/>
      <w:bookmarkStart w:id="565" w:name="_Toc191"/>
      <w:bookmarkEnd w:id="563"/>
      <w:bookmarkEnd w:id="564"/>
      <w:r>
        <w:rPr>
          <w:rtl w:val="true"/>
        </w:rPr>
        <w:t>مناسبات الحکم و الموضوع</w:t>
      </w:r>
      <w:bookmarkEnd w:id="565"/>
    </w:p>
    <w:p>
      <w:pPr>
        <w:pStyle w:val="BookText"/>
        <w:rPr/>
      </w:pPr>
      <w:r>
        <w:rPr>
          <w:rFonts w:ascii="IRNazanin" w:hAnsi="IRNazanin" w:eastAsia="IRNazanin"/>
          <w:color w:val="111111"/>
          <w:sz w:val="28"/>
          <w:sz w:val="28"/>
          <w:szCs w:val="28"/>
          <w:rtl w:val="true"/>
          <w:lang w:bidi="fa-IR"/>
        </w:rPr>
        <w:t xml:space="preserve">قد یُذکَر الحکم فی الدلیل مرتبطاً بلفظٍ له مدلول عامّ ، ولکنّ العرف یفهم ثبوت الحکم لحصّةٍ من ذلک المدلول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إذا أصابه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الغسل لغةً قد یطلق علی استعمال أیّ مائع ، ولکنّ العرف یفهم من هذا الدلیل أنّ المطهِّر هو الغسل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یُذکَر الحکم فی الدلیل مرتبطاً بحالةٍ خاصّة ، ولکنّ العرف یفهم أنّ هذه الحالة مجرّد مثالٍ لعنوانٍ عامّ ، وأنّ الحکم مرتبط بذلک العنوان العامّ ، کما إذا ورد فی قِربَة وقع فیها نجس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تتوضّأ منها ولا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العرف یری الحکم ثابتاً لماءالکوز أیضاً ، وأنّ القِربَة مجرّد مثال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التعمیمات وتلک التخصیصات تقوم فی الغالب علی أساس ما یسمّی بمناسبات الحکم والموضوع ، حیث إنّ الحکم له مناسبات ومناطات مرتکزة فی الذهن العرفیّ ؛ بسببها ینسبق إلی ذهن الإنسان عند سماع الدلیل التخصیص تارةً ، والتعمیم اخری ، وهذه الانسباقات حجّة ؛ لأنّها تشکّل ظهوراً للدلیل ، وکلّ ظهورٍ حجّة وفقاً لقاعدة حجّیّة الظهور ، کما یأتی إن شاء الله تعالی</w:t>
      </w:r>
      <w:r>
        <w:rPr>
          <w:rFonts w:eastAsia="IRNazanin" w:cs="IRNazanin"/>
          <w:color w:val="111111"/>
          <w:sz w:val="28"/>
          <w:szCs w:val="28"/>
          <w:rtl w:val="true"/>
          <w:lang w:bidi="fa-IR"/>
        </w:rPr>
        <w:t xml:space="preserve">. </w:t>
      </w:r>
      <w:bookmarkStart w:id="566" w:name="pg14075_144641"/>
    </w:p>
    <w:p>
      <w:pPr>
        <w:pStyle w:val="Heading6"/>
        <w:numPr>
          <w:ilvl w:val="5"/>
          <w:numId w:val="1"/>
        </w:numPr>
        <w:rPr/>
      </w:pPr>
      <w:bookmarkStart w:id="567" w:name="__RefHeading___Toc508998_1738255347"/>
      <w:bookmarkStart w:id="568" w:name="_Toc192"/>
      <w:bookmarkEnd w:id="566"/>
      <w:bookmarkEnd w:id="567"/>
      <w:r>
        <w:rPr>
          <w:rtl w:val="true"/>
        </w:rPr>
        <w:t>إثبات المِلاک بالدلیل</w:t>
      </w:r>
      <w:bookmarkEnd w:id="568"/>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96"/>
      </w:r>
      <w:r>
        <w:rPr>
          <w:rFonts w:ascii="IRNazanin" w:hAnsi="IRNazanin" w:eastAsia="IRNazanin"/>
          <w:color w:val="111111"/>
          <w:sz w:val="28"/>
          <w:sz w:val="28"/>
          <w:szCs w:val="28"/>
          <w:rtl w:val="true"/>
          <w:lang w:bidi="fa-IR"/>
        </w:rPr>
        <w:t xml:space="preserve">أنّ کلّ حکمٍ له ملاک ، فالوجوب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 المصلحة الأکیدة فی الفعل ، والدلیل علی الحکم بالمطابقة دلیل بالالتزام علی ملاکه ، فله مدلولان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 والتزامیّ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فی حالةٍ من الحالات أنّ الحکم تعذّر إثباته بذلک الدلیل ، کما هو الحال فی صورة العجز ، فإنّ الحکم بوجوب الفعل علی العاجز غیر صحیح ، فهذا یعنی أنّ المدلول المطابقیّ للدلیل ساقط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بهذا الشأن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یمکن إثبات وجود الملاک بالدلیل فیما إذا کان هناک أثر یترتّب علی إثبات الملاک کوجوب القضاء مثلاً؟</w:t>
      </w:r>
    </w:p>
    <w:p>
      <w:pPr>
        <w:pStyle w:val="BookText"/>
        <w:rPr/>
      </w:pPr>
      <w:r>
        <w:rPr>
          <w:rFonts w:ascii="IRNazanin" w:hAnsi="IRNazanin" w:eastAsia="IRNazanin"/>
          <w:color w:val="111111"/>
          <w:sz w:val="28"/>
          <w:sz w:val="28"/>
          <w:szCs w:val="28"/>
          <w:rtl w:val="true"/>
          <w:lang w:bidi="fa-IR"/>
        </w:rPr>
        <w:t xml:space="preserve">والجواب علی هذا السؤال یتعلّق بما یتّخذ من مبنیً فی ترابط الدلالة الالتزامیّة مع الدلالة المطابقیّة فی الحجّیّة ، فإن قلنا باستقلال کلٍّ من هاتَین الدلالتَین فی الحجّیّة أمکن إثبات الملاک فی المقام بالدلالة الالتزامیّة للدلیل ؛ لأنّ سقوط دلالته المطابقیّة لا یؤثر علی حجّیّة الدلالة الالتزامیّة بحسب الفرض ، وإن قلنا بتبعیّة الالتزامیّة للمطابقیّة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کلّ حالةٍ یتعذّر فیها إثبات نفس الحکم بالدلیل لا یبقی فی الدلیل ما یثبت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الدلیل علی حکمٍ دالاًّ بالالتزام علی حکمٍ آخر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وسقط المدلول المطابقیّ فإنّ محاولة إثبات الحکم المدلول التزاماً حینئذٍ بنفس الدلیل کمحاولة إثبات الملاک بالدلیل فی الحالة الآنفة الذکر</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الوجوب الدالّ بالالتزام علی الحکم بالجواز وعدم الحرمة ، فإذا نسخ الوجوب جری البحث فی مدی إمکان إثبات الجواز وعدم الحرمة بنفس دلیل الوجوب المنسوخ ، والکلام فیه کما تقدّم فی الملاک</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4075_144644"/>
      <w:bookmarkStart w:id="570" w:name="pg14075_144644"/>
      <w:bookmarkEnd w:id="570"/>
    </w:p>
    <w:p>
      <w:pPr>
        <w:pStyle w:val="Heading6"/>
        <w:numPr>
          <w:ilvl w:val="5"/>
          <w:numId w:val="1"/>
        </w:numPr>
        <w:rPr/>
      </w:pPr>
      <w:bookmarkStart w:id="571" w:name="pg14075_144644"/>
      <w:bookmarkStart w:id="572" w:name="__RefHeading___Toc509000_1738255347"/>
      <w:bookmarkStart w:id="573" w:name="_Toc193"/>
      <w:bookmarkEnd w:id="571"/>
      <w:bookmarkEnd w:id="572"/>
      <w:r>
        <w:rPr/>
        <w:t>2</w:t>
      </w:r>
      <w:r>
        <w:rPr>
          <w:rtl w:val="true"/>
        </w:rPr>
        <w:t xml:space="preserve"> - </w:t>
      </w:r>
      <w:r>
        <w:rPr>
          <w:rtl w:val="true"/>
        </w:rPr>
        <w:t>الدلیل الشرعیّ غیر اللفظیّ</w:t>
      </w:r>
      <w:bookmarkEnd w:id="573"/>
    </w:p>
    <w:p>
      <w:pPr>
        <w:pStyle w:val="Heading6"/>
        <w:numPr>
          <w:ilvl w:val="5"/>
          <w:numId w:val="1"/>
        </w:numPr>
        <w:rPr/>
      </w:pPr>
      <w:bookmarkStart w:id="574" w:name="__RefHeading___Toc509002_1738255347"/>
      <w:bookmarkStart w:id="575" w:name="_Toc194"/>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 xml:space="preserve">عرفنا فیما تقدّم أنّ الدلیل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لفظیّاً ، واخری غیر لفظیّ ، والدلیل الشرعیّ غیر اللفظیّ هو الموقف الذی یتّخذه المعصوم وتکون له دلالة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هذا الموقف فی الفعل تارةً ، وفی التقریر والسکوت عن تصرّفٍ معیَّنٍ تارةً اخری ، ونتکلّم الآن عن دلالات کلٍّ من الفعل والسکوت</w:t>
      </w:r>
      <w:r>
        <w:rPr>
          <w:rFonts w:eastAsia="IRNazanin" w:cs="IRNazanin"/>
          <w:color w:val="111111"/>
          <w:sz w:val="28"/>
          <w:szCs w:val="28"/>
          <w:rtl w:val="true"/>
          <w:lang w:bidi="fa-IR"/>
        </w:rPr>
        <w:t>.</w:t>
      </w:r>
    </w:p>
    <w:p>
      <w:pPr>
        <w:pStyle w:val="Heading6"/>
        <w:numPr>
          <w:ilvl w:val="5"/>
          <w:numId w:val="1"/>
        </w:numPr>
        <w:rPr/>
      </w:pPr>
      <w:bookmarkStart w:id="576" w:name="__RefHeading___Toc509004_1738255347"/>
      <w:bookmarkStart w:id="577" w:name="_Toc195"/>
      <w:bookmarkEnd w:id="576"/>
      <w:r>
        <w:rPr>
          <w:rtl w:val="true"/>
        </w:rPr>
        <w:t>دلالة الفعل</w:t>
      </w:r>
      <w:bookmarkEnd w:id="577"/>
    </w:p>
    <w:p>
      <w:pPr>
        <w:pStyle w:val="BookText"/>
        <w:rPr/>
      </w:pPr>
      <w:r>
        <w:rPr>
          <w:rFonts w:ascii="IRNazanin" w:hAnsi="IRNazanin" w:eastAsia="IRNazanin"/>
          <w:color w:val="111111"/>
          <w:sz w:val="28"/>
          <w:sz w:val="28"/>
          <w:szCs w:val="28"/>
          <w:rtl w:val="true"/>
          <w:lang w:bidi="fa-IR"/>
        </w:rPr>
        <w:t xml:space="preserve">أمّا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یقترن بمقالٍ أو بظهور حالٍ یقتضی کونه تعلیمیّاً فیکتسب مدلوله من ذلک ، واخری یتجرّد عن قرینةٍ من هذا القبیل ، وحینئذٍ فإن لم یکن من المحتمل اختصاص المعصوم بحکمٍ فی ذلک المورد دلَّ صدور الفعل منه علی عدم حرمته بحکم عصمته ، کما یدلّ الترک علی عدم الوجوب لذلک ، ولا یدلّ بمجرّده علی استحباب الفعل ورجحانه إلاّإذا کان عبادة ، فإنّ عدم حرمتها مساوق لمشروعیّتها ورجحانها ، أو أحرزنا فی موردٍ عدم وجود أیّ حافزٍ غیر شرعیّ فیتعیّن کون الحافز شرعیّاً فیثبت الرجحان ، ویساعد علی هذا الإحراز تکرار صدور العمل من المعصوم ، أو مواظبته علیه مع کونه من الأعمال التی لا یقتضی الطبع تکرارها والمواظبة علیها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یدلّ الفعل علی عدم کونه مرجوحاً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مطلقاً وإمّا فی حالة تکرار صدوره من المعصوم ، أو لا یدلّ علی أکثر ممّا تقدّم من نفی الحرمة فی ذلک؟ وجوه </w:t>
      </w:r>
    </w:p>
    <w:p>
      <w:pPr>
        <w:pStyle w:val="BookText"/>
        <w:rPr/>
      </w:pPr>
      <w:r>
        <w:rPr>
          <w:rFonts w:ascii="IRNazanin" w:hAnsi="IRNazanin" w:eastAsia="IRNazanin"/>
          <w:color w:val="111111"/>
          <w:sz w:val="28"/>
          <w:sz w:val="28"/>
          <w:szCs w:val="28"/>
          <w:rtl w:val="true"/>
          <w:lang w:bidi="fa-IR"/>
        </w:rPr>
        <w:t>مبنیّة علی أنّ المعصوم هل یجوز فی حقّه ترک الأولی وفعل المکروه ، أو یجوز حتّی التکرار والمواظبة علی ذلک ، أو لا یجوز شیء من هذا بالنسبة إلیه؟</w:t>
      </w:r>
    </w:p>
    <w:p>
      <w:p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عدم تجویز ترک الأولی علی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أو بنحو المواظبة علی الترک نستطیع أن نستفید من الترک عدم استحباب المتروک ، کما نستفید من الفعل عدم کونه مکروهاً ، وعدم کون الترک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هناک نقطة ینبغی أن تؤخذ بعین الاعتبار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الدلالات إنّما تتحقّق فی إثبات حکمٍ للمکلّف عند افتراض وحدة الظروف المحتمل دخلها فی الحکم الشرعیّ ، فإنّ الفعل لَمّا کان دالاًّ صامتاً ولیس له إطلاق فلا یعیّن ما هی الظروف التی لها دخل فی إثبات ذلک الحکم للمعصوم ، فما لم نحرز وحدة الظروف المحتمل دخلها لا یمکن أن نثبت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یثار اعتراض عامّ فی المقام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النبوة والإمامة ظرف یمیِّز المعصوم دائماً عن غیره ، فکیف یمکن أن نثبت الحکم علی أساس فعل المعصوم؟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دخل هذا الظرف فی الحکم المکتشف ملغیّ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وما یناظره من الأدلّة الشرعیّة الدالّة علی جعل النبیّ والإمام علیهما‌السلام قدوة </w:t>
      </w:r>
      <w:r>
        <w:rPr>
          <w:rStyle w:val="FootnoteAnchor"/>
          <w:rtl w:val="true"/>
        </w:rPr>
        <w:footnoteReference w:id="98"/>
      </w:r>
      <w:r>
        <w:rPr>
          <w:rFonts w:ascii="IRNazanin" w:hAnsi="IRNazanin" w:eastAsia="IRNazanin"/>
          <w:color w:val="111111"/>
          <w:sz w:val="28"/>
          <w:sz w:val="28"/>
          <w:szCs w:val="28"/>
          <w:rtl w:val="true"/>
          <w:lang w:bidi="fa-IR"/>
        </w:rPr>
        <w:t>، فإنّ فرض ذلک یقتضی إلغاء دخل النبوّة والإمامة فی سلوکهما لکی یکون قدوة لغیر النبیّ والإمام ، فما لم یثبت بدلیلٍ أنّ الفعل المعیَّن من مختصّات النبیّ والإمام یبنی علی عدم الاختصاص</w:t>
      </w:r>
      <w:r>
        <w:rPr>
          <w:rFonts w:eastAsia="IRNazanin" w:cs="IRNazanin"/>
          <w:color w:val="111111"/>
          <w:sz w:val="28"/>
          <w:szCs w:val="28"/>
          <w:rtl w:val="true"/>
          <w:lang w:bidi="fa-IR"/>
        </w:rPr>
        <w:t xml:space="preserve">. </w:t>
      </w:r>
      <w:bookmarkStart w:id="578" w:name="pg14075_144646"/>
    </w:p>
    <w:p>
      <w:pPr>
        <w:pStyle w:val="Heading6"/>
        <w:numPr>
          <w:ilvl w:val="5"/>
          <w:numId w:val="1"/>
        </w:numPr>
        <w:rPr/>
      </w:pPr>
      <w:bookmarkStart w:id="579" w:name="__RefHeading___Toc509006_1738255347"/>
      <w:bookmarkStart w:id="580" w:name="_Toc196"/>
      <w:bookmarkEnd w:id="578"/>
      <w:bookmarkEnd w:id="579"/>
      <w:r>
        <w:rPr>
          <w:rtl w:val="true"/>
        </w:rPr>
        <w:t>دلالة السکوت و التقریر</w:t>
      </w:r>
      <w:bookmarkEnd w:id="580"/>
    </w:p>
    <w:p>
      <w:pPr>
        <w:pStyle w:val="BookText"/>
        <w:rPr/>
      </w:pPr>
      <w:r>
        <w:rPr>
          <w:rFonts w:ascii="IRNazanin" w:hAnsi="IRNazanin" w:eastAsia="IRNazanin"/>
          <w:color w:val="111111"/>
          <w:sz w:val="28"/>
          <w:sz w:val="28"/>
          <w:szCs w:val="28"/>
          <w:rtl w:val="true"/>
          <w:lang w:bidi="fa-IR"/>
        </w:rPr>
        <w:t xml:space="preserve">وأمّا السکوت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دلیل الإمضاء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 إذا واجه سلوکاً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یبدی موقف الشرع منه ، وهذا یعنی وجود الدلیل الشرعیّ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یسکت ، وهذا السکوت یمکن أن یعتبر دلیلاً علی الإمضاء ، ودلالته علی 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تدّعی علی أساسٍ عقلیّ ، واخری علی أساس الظهور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الأساس العقلیّ فیمکن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بملاحظة المعصوم مکلّفاً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السلوک لو لم یکن مرضیّاً لوجب النهی عنه علی المعصوم ؛ لوجوب النهی عن المنکر ، أو لوجوب تعلیم الجاهل ، فعدم نهیه وسکوته مع عصمته یکشف عقلاً عن کون السلوک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بملاحظة المعصوم شارعاً وهادفاً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السلوک الذی یواجهه المعصوم لو کان یفوّت علیه غرضه بما هو شارع لتعیّن الوقوف فی وجهه ، ولَما صحّ السکوت ؛ لأنّه نقض للغرض ، ونقض الغرض من العاقل الملتفت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اللحاظین له شروطه ، فاللحاظ الأوّل یتوقّف علی توفّر شروط وجوب النهی عن المنکر ، واللحاظ الثانیّ یتوقّف علی أن یکون السلوک المسکوت عنه ممّا یهدِّد بتفویت غرضٍ شرعیٍّ فعلیٍّ بأن یکون مرتبطاً بالمجال الشرعیّ مباشرةً ، کالسلوک القائم علی العمل بأخبار الآحاد الثقات فی الشرعیّات ، أو ناشئاً من نکتةٍ تقتضی بطبعها الامتداد إلی المجال الشرعیّ علی نحوٍ یتعرّض الغرض الشرعیّ للخطر والتفویت ، کما لو کان العمل بأخبار الآحاد قائماً فی المجالات العرفیّة ولکن بنکتةٍ تقتضی بطبعها تطبیق ذلک علی الشرعیات أیضاً عند الحاجة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الأساس الاستظهاریّ فیقوم علی دعوی أنّ ظاهر حال المعصوم </w:t>
      </w:r>
      <w:bookmarkStart w:id="581" w:name="pg14075_144647"/>
    </w:p>
    <w:p>
      <w:pPr>
        <w:pStyle w:val="BookText"/>
        <w:rPr/>
      </w:pPr>
      <w:bookmarkEnd w:id="5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بوصفه المسؤول العامّ عن تبلیغ الشریعة وتقویم الزیغ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سکوته عن سلوکٍ یواجهه ، ارتضاء ذلک السلوک ، وهذا ظهور حالی ، وتکون الدلالة حینئذٍ استظهاریّةً ولا تخضع لجملةٍ من الشروط التی یتوقّف علیها الأساس العقلیّ</w:t>
      </w:r>
      <w:r>
        <w:rPr>
          <w:rFonts w:eastAsia="IRNazanin" w:cs="IRNazanin"/>
          <w:color w:val="111111"/>
          <w:sz w:val="28"/>
          <w:szCs w:val="28"/>
          <w:rtl w:val="true"/>
          <w:lang w:bidi="fa-IR"/>
        </w:rPr>
        <w:t>.</w:t>
      </w:r>
    </w:p>
    <w:p>
      <w:pPr>
        <w:pStyle w:val="Heading6"/>
        <w:numPr>
          <w:ilvl w:val="5"/>
          <w:numId w:val="1"/>
        </w:numPr>
        <w:rPr/>
      </w:pPr>
      <w:bookmarkStart w:id="582" w:name="__RefHeading___Toc509008_1738255347"/>
      <w:bookmarkStart w:id="583" w:name="_Toc197"/>
      <w:bookmarkEnd w:id="582"/>
      <w:r>
        <w:rPr>
          <w:rtl w:val="true"/>
        </w:rPr>
        <w:t>السیرة</w:t>
      </w:r>
      <w:bookmarkEnd w:id="583"/>
    </w:p>
    <w:p>
      <w:pPr>
        <w:pStyle w:val="BookText"/>
        <w:rPr/>
      </w:pPr>
      <w:r>
        <w:rPr>
          <w:rFonts w:ascii="IRNazanin" w:hAnsi="IRNazanin" w:eastAsia="IRNazanin"/>
          <w:color w:val="111111"/>
          <w:sz w:val="28"/>
          <w:sz w:val="28"/>
          <w:szCs w:val="28"/>
          <w:rtl w:val="true"/>
          <w:lang w:bidi="fa-IR"/>
        </w:rPr>
        <w:t xml:space="preserve">ومن الواضح أنّ السکوت إنّما یدلّ علی الإمضاء فی حالة مواجهة المعصوم لسلوکٍ معیَّن ، وهذه المواجهة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سلوک فردٍ خاصٍّ یتصرّف أمام المعصوم ، کأن یمسح أمام المعصوم فی وضوئه منکوساً ویسکت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سلوکٍ اجتماعیّ ، وهو ما یسمّی بالسیرة العقلائیّة ، کما إذا کان العقلاء بما هم عقلاء یسلکون سلوکاً معیَّناً فی عصر المعصوم فإنّه بحکم تواجده بینهم یکون مواجهاً لسلوکهم العامّ ، ویکون سکوته دلیلاً علی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أمکن الاستدلال بالسیرة العقلائیّة عن طریق استکشاف الإمضاء من سکوت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والإمضاء المستکشف بالسکوت ینصبّ علی النکتة المرکوزة عقلائیّاً ، لا علی المقدار الممارس من السلوک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الممضی لیس هو العمل الصامت لکی لا یدلّ علی أکثر من الجواز ، بل هو النکتة ، أی المفهوم العقلائیّ المرتکز عنه ، فقد یثبت به حکم تکلیفیّ أو حکم وضعیّ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الإمضاء لا یختصّ بالعمل المباشر فیه عقلائیّاً فی عصر المعصوم ، ففیما إذا کانت النکتة أوسع من حدود السلوک الفعلیّ کان الظاهر من حال المعصوم إمضاءَها کبرویّاً وعلی امتدادها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ضوء ما ذکرناه نعرف أنّ ما یمکن الاستدلال به علی إثبات حکمٍ شرعیٍّ هو السیرة المعاصرة للمعصومین ؛ لأنّها هی التی ینعقد لسکوت المعصوم عنها ظهور فی الإمضاء دون السیرة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المتأخّرة معاصرة أیضاً للمعصوم وإن کان غائباً ، فیدلّ سکوته عنها علی إمضائه ، ولیست لدینا سیرة غیر معاصرةٍ للمعصوم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سکوت المعصوم فی غیبته لایدلّ علی إمضائه ؛ لا علی أساس العقل ولا علی أساسٍ استظهاریّ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 نّه غیر مکلَّفٍ فی حال الغیبة بالنهی عن المنکر وتعلیم الجاهل ، ولیس الغرض بدرجةٍ من الفعلیّة تستوجب الحفاظ علیه بغیر الطریق الطبیعیّ الذی سبّب الناس أنفسهم إلی سدِّه بالتسبیب إلی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الاستظهار مناطه حال المعصوم ، ومن الواضح أنّ حال الغیبة لا یساعد علی استظهار الإمضاء من السکوت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یعرف أنّ کشف السیرة العقلائیّة عن إمضاء الشارع إنّما هو بملاک دلالة السکوت عنها علی الإمضاء ، لا بملاک أنّ الشارع سیّد العقلاء وطلیعتهم فما یصدق علیهم یصدق علیه ، کما یظهر من بعض الاصولیین </w:t>
      </w:r>
      <w:r>
        <w:rPr>
          <w:rStyle w:val="FootnoteAnchor"/>
          <w:rtl w:val="true"/>
        </w:rPr>
        <w:footnoteReference w:id="99"/>
      </w:r>
      <w:r>
        <w:rPr>
          <w:rFonts w:ascii="IRNazanin" w:hAnsi="IRNazanin" w:eastAsia="IRNazanin"/>
          <w:color w:val="111111"/>
          <w:sz w:val="28"/>
          <w:sz w:val="28"/>
          <w:szCs w:val="28"/>
          <w:rtl w:val="true"/>
          <w:lang w:bidi="fa-IR"/>
        </w:rPr>
        <w:t>؛ وذلک لأنّ کونه کذلک بنفسه یوجب احتمال تمیّزه عنهم فی بعض المواقف ، وتخطئته لهم فی غیر ما یرجع إلی المدرکات السلیمة الفطریّة لعقولهم ، کما هو واضح</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4075_144650"/>
      <w:bookmarkStart w:id="585" w:name="pg14075_144650"/>
      <w:bookmarkEnd w:id="585"/>
    </w:p>
    <w:p>
      <w:pPr>
        <w:pStyle w:val="BookText"/>
        <w:rPr/>
      </w:pPr>
      <w:bookmarkStart w:id="586" w:name="pg14075_144650"/>
      <w:bookmarkEnd w:id="58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Heading6"/>
        <w:numPr>
          <w:ilvl w:val="5"/>
          <w:numId w:val="1"/>
        </w:numPr>
        <w:rPr/>
      </w:pPr>
      <w:bookmarkStart w:id="587" w:name="__RefHeading___Toc509010_1738255347"/>
      <w:bookmarkStart w:id="588" w:name="_Toc198"/>
      <w:bookmarkEnd w:id="587"/>
      <w:r>
        <w:rPr>
          <w:rtl w:val="true"/>
        </w:rPr>
        <w:t>إثباتُ صغری الدلیل الشرعی</w:t>
      </w:r>
      <w:bookmarkEnd w:id="588"/>
    </w:p>
    <w:p>
      <w:pPr>
        <w:pStyle w:val="Heading6"/>
        <w:numPr>
          <w:ilvl w:val="5"/>
          <w:numId w:val="1"/>
        </w:numPr>
        <w:rPr/>
      </w:pPr>
      <w:bookmarkStart w:id="589" w:name="__RefHeading___Toc509012_1738255347"/>
      <w:bookmarkStart w:id="590" w:name="_Toc199"/>
      <w:bookmarkEnd w:id="589"/>
      <w:r>
        <w:rPr>
          <w:rtl w:val="true"/>
        </w:rPr>
        <w:t>اشارة</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bookmarkStart w:id="591" w:name="pg14075_144651"/>
    </w:p>
    <w:p>
      <w:pPr>
        <w:pStyle w:val="Heading6"/>
        <w:numPr>
          <w:ilvl w:val="5"/>
          <w:numId w:val="1"/>
        </w:numPr>
        <w:rPr/>
      </w:pPr>
      <w:bookmarkStart w:id="592" w:name="__RefHeading___Toc509014_1738255347"/>
      <w:bookmarkStart w:id="593" w:name="_Toc200"/>
      <w:bookmarkEnd w:id="591"/>
      <w:bookmarkEnd w:id="592"/>
      <w:r>
        <w:rPr>
          <w:rtl w:val="true"/>
        </w:rPr>
        <w:t>تمهید</w:t>
      </w:r>
      <w:bookmarkEnd w:id="593"/>
    </w:p>
    <w:p>
      <w:pPr>
        <w:pStyle w:val="BookText"/>
        <w:rPr/>
      </w:pPr>
      <w:r>
        <w:rPr>
          <w:rFonts w:ascii="IRNazanin" w:hAnsi="IRNazanin" w:eastAsia="IRNazanin"/>
          <w:color w:val="111111"/>
          <w:sz w:val="28"/>
          <w:sz w:val="28"/>
          <w:szCs w:val="28"/>
          <w:rtl w:val="true"/>
          <w:lang w:bidi="fa-IR"/>
        </w:rPr>
        <w:t>الدلیل الشرعیّ شیء یصدر من الشارع وله دلالة علی حکمٍ شرعی ، وقد تقدّم فی البحث الأوّل عدد من الضوابط الکلّیّة للدلالة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نتکلّم عن کیفیّة إثبات کون الدلیل صادراً من الشارع ، وهذا ما نعبِّر عنه بإثبات صغری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الإثبات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بإحراز الصدور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التعبّدیّ ؛ وذلک بأن یتعبَّد الشارع بالصدور ، کأن 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بما یرویه الثقات ، وهذا معنی جعل الحجّیة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یقع فی قسمین </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4075_144653"/>
      <w:bookmarkStart w:id="595" w:name="pg14075_144653"/>
      <w:bookmarkEnd w:id="595"/>
    </w:p>
    <w:p>
      <w:pPr>
        <w:pStyle w:val="Heading6"/>
        <w:numPr>
          <w:ilvl w:val="5"/>
          <w:numId w:val="1"/>
        </w:numPr>
        <w:rPr/>
      </w:pPr>
      <w:bookmarkStart w:id="596" w:name="pg14075_144653"/>
      <w:bookmarkStart w:id="597" w:name="__RefHeading___Toc509016_1738255347"/>
      <w:bookmarkStart w:id="598" w:name="_Toc201"/>
      <w:bookmarkEnd w:id="596"/>
      <w:bookmarkEnd w:id="597"/>
      <w:r>
        <w:rPr/>
        <w:t>1</w:t>
      </w:r>
      <w:r>
        <w:rPr>
          <w:rtl w:val="true"/>
        </w:rPr>
        <w:t xml:space="preserve"> - </w:t>
      </w:r>
      <w:r>
        <w:rPr>
          <w:rtl w:val="true"/>
        </w:rPr>
        <w:t>وسائل الإثبات الوجدانی</w:t>
      </w:r>
      <w:bookmarkEnd w:id="598"/>
    </w:p>
    <w:p>
      <w:pPr>
        <w:pStyle w:val="Heading6"/>
        <w:numPr>
          <w:ilvl w:val="5"/>
          <w:numId w:val="1"/>
        </w:numPr>
        <w:rPr/>
      </w:pPr>
      <w:bookmarkStart w:id="599" w:name="__RefHeading___Toc509018_1738255347"/>
      <w:bookmarkStart w:id="600" w:name="_Toc202"/>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وسائل الإثبات الوجدانیّ للدلیل الشرعیّ بالنسبة إلی غیر المعاصرین للشارع هی الطرق التی توجب العلم بصدور الدلیل من الشارع ، ولا یمکن حصر هذه الطرق ، ولکن یمکن إبراز ثلاث طرقٍ رئیسیّة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الحِسِّیّ المتعدّد بدرجةٍ توجب الیقین ، وهو المسمّی بالخبر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الحَدْسِیّ المتعدّد بالدرجة نفسها ، وهو المسمّی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محسوسة تکشف علی سبیل الإنِّ عن الدلیل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ونتکلّم الآن عن کلّ واحدٍ من هذه الطرق تباعاً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509020_1738255347"/>
      <w:bookmarkStart w:id="602" w:name="_Toc203"/>
      <w:bookmarkEnd w:id="601"/>
      <w:r>
        <w:rPr>
          <w:rtl w:val="true"/>
        </w:rPr>
        <w:t>الخبر المتواتر</w:t>
      </w:r>
      <w:bookmarkEnd w:id="6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خبر حِسِّیٍّ یحتمل فی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للواقع والمخالفة له ، واحتمال المخالفة یقوم علی أساس احتمال الخطأ فی المخبِر ، أو احتمال تعمّد الکذب لمصلحةٍ معیّنةٍ له تدعوه إلی إخفاء الحقیقة ، فإذا تعدّد الإخبار عن محورٍ واحد تضاءل احتمال المخالفة للواقع ؛ لأنّ احتمال الخطأ أو تعمّد الکذب فی کلّ مخبِرٍ بصورةٍ مستقلّةٍ إذا کان موجوداً بدرجةٍ مّا ، فاحتمال الخطأ أو تعمّد الکذب فی مخبِرِین عن واقعةٍ واحدةٍ معاً أقلّ درجةٍ ؛ لأنّ درجة احتمال ذلک ناتج ضرب قیمة احتمال الکذب فی أحد المخبِرِین بقیمة احتماله فی المخبِر الآخر ، وکلّما ضربنا قیمة احتمالٍ بقیمة احتمالٍ آخر تضاءل الاحتمال ؛ لأنّ قیمة الاحتمال تمثِّل دائماً کسراً محدّداً من رقم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رمزنا إلی رقم الیقین بواحد فقیمة الاحتمال هی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کسر </w:t>
      </w:r>
    </w:p>
    <w:p>
      <w:pPr>
        <w:pStyle w:val="BookText"/>
        <w:rPr/>
      </w:pPr>
      <w:r>
        <w:rPr>
          <w:rFonts w:ascii="IRNazanin" w:hAnsi="IRNazanin" w:eastAsia="IRNazanin"/>
          <w:color w:val="111111"/>
          <w:sz w:val="28"/>
          <w:sz w:val="28"/>
          <w:szCs w:val="28"/>
          <w:rtl w:val="true"/>
          <w:lang w:bidi="fa-IR"/>
        </w:rPr>
        <w:t>آخر من هذاالقبیل ، وکلّما ضربنا کسراً بکسرٍآخر خرجنا بکسرٍ أشدّ ضآلةً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حالة وجود مخبِرِین کثیرین لابدّ من تکرار الضرب بعدد إخبارات المخبِرِینَ لکی نصل إلی قیمة احتمال کذبهم جمیعاً ، ویصبح هذا الاحتمال ضئیلاً جدّاً ، ویزداد ضآلةً کلّما ازداد المخبِرون حتّی یزول عملیّاً ، بل واقعیّاً ؛ لضآلته وعدم إمکان احتفاظ الذهن البشریّ بالاحتمالات الضئیلة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حینئذٍ ذلک العدد من الإخبارات التی یزول معها هذا الاحتمال عملیّاً أو واقعیّاً بالتواتر ، ویسمّی الخبر بالخبر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توجد هناک درجة معیّنة للعدد الذی یحصل به ذلک ؛ لأنّ هذا یتأثّر إلی جانب الکمّ بنوعیّة المخبِرِین ، ومدی وثاقتهم ونباهتهم ، وسائر العوامل الدخیلة فی تکوین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الإحراز فی الخبر المتواتر یقوم علی أساس 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لفظیّاً ، واخری معنویّاً ، وثالثةً إجمالیّاً ، وذلک أنّ المحور المشترک لکلّ الإخبارات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لفظاً محدّداً فهذا من الأوّل ، وإن کان قضیّةً معنویّةً محدّدةً فهذا من الثانی ، وإن کان لازماً منتزعاً فهذا 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 المحور أکثر تحدیداً کان حصول التواتر الموجب للیقین بحساب الاحتمالات أسرع ، إذ یکون افتراض تطابق مصالح المخبِرِینَ جمیعاً بتلک الدرجة من 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اختلاف أحوالهم وأوضاعهم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فی منطق حساب الاحتمالات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تدخل خصائص المخبِرِین من الناحیة الکمّیّة والکیفیّة فی تقویم الاحتمال کذلک تدخل خصائص المخبَر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مفاد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عامّة ، وخصائص نسبیّة</w:t>
      </w:r>
      <w:r>
        <w:rPr>
          <w:rFonts w:eastAsia="IRNazanin" w:cs="IRNazanin"/>
          <w:color w:val="111111"/>
          <w:sz w:val="28"/>
          <w:szCs w:val="28"/>
          <w:rtl w:val="true"/>
          <w:lang w:bidi="fa-IR"/>
        </w:rPr>
        <w:t xml:space="preserve">. </w:t>
      </w:r>
      <w:bookmarkStart w:id="603" w:name="pg14075_144655"/>
    </w:p>
    <w:p>
      <w:pPr>
        <w:pStyle w:val="BookText"/>
        <w:rPr/>
      </w:pPr>
      <w:bookmarkEnd w:id="603"/>
      <w:r>
        <w:rPr>
          <w:rFonts w:ascii="IRNazanin" w:hAnsi="IRNazanin" w:eastAsia="IRNazanin"/>
          <w:color w:val="111111"/>
          <w:sz w:val="28"/>
          <w:sz w:val="28"/>
          <w:szCs w:val="28"/>
          <w:rtl w:val="true"/>
          <w:lang w:bidi="fa-IR"/>
        </w:rPr>
        <w:t xml:space="preserve">والمراد بالخصائص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خصوصیّةٍ فی المعنی تشکِّل بحساب الاحتمال عاملاً مساعداً علی کذب الخبر أو صدقه ، بقطع النظر عن نوعیّة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غرابة القضیّة المخبَر عنها فإنّها عامل مساعد علی الکذب فی نفسه ، فیکون موجباً لتباطُؤ حصول الیقین بالتواتر ، وعلی عکس ذلک کون القضیّة اعتیادیّةً ومتوقّعةً ومنسجمةً مع سائر القضایا الاخری المعلومة ، فإنّ ذلک عامل مساعد علی الصدق ، ویکون حصول الیقین حینئذٍ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بالخصائص النسبیّة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خصوصیّةٍ فی المعنی تشکِّل بحساب الاحتمال عاملاً مساعداً علی صدق الخبر أو کذبه فیما إذا لوحظ نوعیّة الشخص الذی جاء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الشیعیّ إذا نقل ما یدلّ علی إمامة أهل البیت علیهم‌السلام فإنّ مفاد الخبر نفسه یعتبر بلحاظ خصوصیّة المخبر عاملاً مساعداً لإثبات صدقه بحساب الاحتمال ؛ لأنّ افتراض مصلحةٍ خاصّةٍ تدعوه إلی الافتراء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تجتمع خصوصیّة عامّة وخصوصیّة نسبیّة معاً لصالح صدق الخبر کما فی المثال المذکور ، إذا فرضنا صدور الخبر فی ظلِّ حکم بنی امیّة وأمثالهم ممّن کانوا یحاولون المنع من أمثال هذه الاخبار ترهیباً وترغیباً فإنّ خصوصیّة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مذهب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قویّ علی الصدق ، وخصوصیّة المضمون مع أخذ مذهب المخبر بعین الاعتبار أقوی شهادةً علی ذلک</w:t>
      </w:r>
      <w:r>
        <w:rPr>
          <w:rFonts w:eastAsia="IRNazanin" w:cs="IRNazanin"/>
          <w:color w:val="111111"/>
          <w:sz w:val="28"/>
          <w:szCs w:val="28"/>
          <w:rtl w:val="true"/>
          <w:lang w:bidi="fa-IR"/>
        </w:rPr>
        <w:t>.</w:t>
      </w:r>
    </w:p>
    <w:p>
      <w:pPr>
        <w:pStyle w:val="Heading6"/>
        <w:numPr>
          <w:ilvl w:val="5"/>
          <w:numId w:val="1"/>
        </w:numPr>
        <w:rPr/>
      </w:pPr>
      <w:bookmarkStart w:id="604" w:name="__RefHeading___Toc509022_1738255347"/>
      <w:bookmarkStart w:id="605" w:name="_Toc204"/>
      <w:bookmarkEnd w:id="604"/>
      <w:r>
        <w:rPr>
          <w:rtl w:val="true"/>
        </w:rPr>
        <w:t>الإجماع</w:t>
      </w:r>
      <w:bookmarkEnd w:id="60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اتّفاق عددٍ کبیرٍ من أهل النظر والفتوی فی الحکم بدرجةٍ توجب إحراز الحکم الشرعیّ ، وذلک أنّ فتوی الفقیه فی مسألةٍ شرعیّةٍ بحتةٍ تعتبر إخباراً حدسیّاً عن الدلیل الشرعیّ ، والإخبار الحدسیّ هو الخبر المبنیّ علی النظر </w:t>
      </w:r>
    </w:p>
    <w:p>
      <w:pPr>
        <w:pStyle w:val="BookText"/>
        <w:rPr/>
      </w:pPr>
      <w:r>
        <w:rPr>
          <w:rFonts w:ascii="IRNazanin" w:hAnsi="IRNazanin" w:eastAsia="IRNazanin"/>
          <w:color w:val="111111"/>
          <w:sz w:val="28"/>
          <w:sz w:val="28"/>
          <w:szCs w:val="28"/>
          <w:rtl w:val="true"/>
          <w:lang w:bidi="fa-IR"/>
        </w:rPr>
        <w:t>والاجتهاد فی مقابل الخبر الحسّیّ القائم علی أساس المدارک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یکون الخبر الحسّیّ ذا قیمةٍ احتمالیّةٍ فی إثبات مدلوله کذلک فتوی الفقیه بوصفها خبراً حدسیّاً یحتمل فیه الإصابة والخطأ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تعدّد الإخبارات الحسّیة یؤدّی بحساب الاحتمالات إلی نموّ احتمال المطابقة وضآلة احتمال المخالفة ، کذلک الحال فی الإخبارات الحدسیّة ؛ حتّی تصل إلی درجةٍ توجب ضآلة احتمال الخطأ فی الجمیع جدّاً ، وبالتالی زوال هذا الاحتمال عملیّاً أو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یسمّی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فالإجماع والخبر المتواتر مشترکان فی طریقة الإثبات بحساب الاحتمالات ، ویعتمد الکشف فی کلٍّ منهما علی هذا الحساب ، ولکنّهما یتفاوتان فی درجة الکشف ، فإنّ نموّ الاحتمال الموافق وتضاؤل احتمال المخالفة أسرع حرکةً فی التواتر منه فی الإجماع ؛ وذلک لعدّة امورٍ یمکن إبراز أهمّها فی النقاط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القیمة الاحتمالیّة للمفردات فی الإجماع أصغر من القیمة الاحتمالیّة للمفردات فی التواتر ؛ لأنّ نسبة وقوع الخطأ فی الحدسیّات أکبر من نسبة وقوعه فی الحسّیّات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الخطأ المحتمل فی مفردات الإجماع لا یتعیّن أن یکون ذا مرکزٍ واحد ، بینما یکون الخطأ فی الأخبار الحسّیة منصبّاً علی مرکزٍ واحدٍ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فحینما یفتی فقهاء عدیدون بوجوب غسل الشعر فی غسل الجنابة ویکونون علی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خطأُ أحدِهم ناشئاً من اعتماده علی روایةٍ غیر تامّة السند ، وخطأُ الآخر ناشئاً من اعتماده علی روایةٍ غیر تامّة الدلالة ، وخطأُ الثالث ناشئاً من اعتماده علی أصالة الاحتیاط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المرکز المحتمل للأخطاء المتعدّدة واحداً أو متقارباً کان احتمال تراکم الأخطاء علیه أضعف ، والعکس صحیح</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تأثیر الخبر الأوّل فی الخبر الثانی موجود فی مجال الأخبار </w:t>
      </w:r>
    </w:p>
    <w:p>
      <w:pPr>
        <w:pStyle w:val="BookText"/>
        <w:rPr/>
      </w:pPr>
      <w:r>
        <w:rPr>
          <w:rFonts w:ascii="IRNazanin" w:hAnsi="IRNazanin" w:eastAsia="IRNazanin"/>
          <w:color w:val="111111"/>
          <w:sz w:val="28"/>
          <w:sz w:val="28"/>
          <w:szCs w:val="28"/>
          <w:rtl w:val="true"/>
          <w:lang w:bidi="fa-IR"/>
        </w:rPr>
        <w:t>الحدسیّة ، وغیر موجودٍ عادةً فی مجال الأخبار الحسّیّة ، وهذا یعنی أنّ احتمال الخطأ فی الخبر الأوّل یتضمّن فی مجال الحدسیّات احتمالاً للخطأ فی الخبر الثانی ، بینما هو فی مجال الحسّیّات حِیادیّ تجاه کون الثانی مخطئاً أو مصیباً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الخطأ فی قضیّةٍ حسّیّةٍ یقترن عادةً بإحراز وجود المقتضی للإصابة ، وهو سلامة الحواسّ والفطرة ، وینشأ من احتمال وجود المانع عن تأثیر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الخطأ فی قضیّةٍ نظریّةٍ حدسیّةٍ فهو یتضمّن أحیاناً احتمال عدم وجود المقتضی للإصابة ، أی احتمال کون عدم الإصابة ناشئاً من القصور ، لالعارضٍ من قبیل الذهول أو ارتباک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الأخطاء المحتملة فی مجموعة الأخبار الحدسیّة یحتمل نشوؤها من نکتةٍ مشترکة ، وأمّا الأخطاء المحتملة فی مجموعة الأخبار الحسّیّة فلا یحتمل فیها ذلک عادةً ، بل هی ترتبط فی کلّ مخبِرٍ بظروفه الخاصّة ، وکلّما کان هناک احتمال النکتة المشترکة موجوداً کان احتمال المجموع أقرب من احتماله فی حالة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ویتأثّر حساب الاحتمال فی الإجماع بعوامل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نوعیّة العلماء المتّفقین من الناحیة العلمیّة ، ومن ناحیة قربهم من عصر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المسألة المتّفق علی حکمها ؛ وکونها من المسائل المترقّب ورود النصّ بشأنها ، أو من التفصیلات والتفریعات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ابتلاء الناس بتلک المسألة وظروفها الاجتماعیّة ، فقد یتّفق أنّها بنحوٍ یقتضی توافر الدواعی والظروف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الحکم المقابل لو لم یکن الحکم المجمع علیه ثابتاً فی الشریعة حقّاً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کلام اولئک المجمِعِین فی مقام الاستدلال علی الحکم ، ومدی احتمال ارتباط موقفهم بمدارک نظریّةٍ موهونة ، إلی غیر ذلک من النکات </w:t>
      </w:r>
      <w:bookmarkStart w:id="606" w:name="pg14075_144658"/>
    </w:p>
    <w:p>
      <w:pPr>
        <w:pStyle w:val="BookText"/>
        <w:rPr/>
      </w:pPr>
      <w:bookmarkEnd w:id="606"/>
      <w:r>
        <w:rPr>
          <w:rFonts w:ascii="IRNazanin" w:hAnsi="IRNazanin" w:eastAsia="IRNazanin"/>
          <w:color w:val="111111"/>
          <w:sz w:val="28"/>
          <w:sz w:val="28"/>
          <w:szCs w:val="28"/>
          <w:rtl w:val="true"/>
          <w:lang w:bidi="fa-IR"/>
        </w:rPr>
        <w:t>والخصوصیّات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استکشاف الدلیل الشرعیّ من الإجماع مرتبطاً بحساب الاحتمال لم یکن للإجماع بعنوانه موضوعیّة فی حصوله ، فقد یتمّ الاستکشاف حتّی مع وجود المخالف إذا کان الخلاف بنحوٍ لا یؤثّر علی حساب الاحتمال المقابل ، وهذا یرتبط إلی درجةٍ کبیرةٍ بتشخیص نوعیّة المخالف وعصره ، ومدی تغلغله فی الخطّ العلمیّ وموقعه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لا یکفی الإجماع بحساب الاحتمال للاستکشاف ، فتضمّ إلیه قرائن احتمالیّة اخری علی نحوٍ یتشکّل من المجموع ما یقتضی الکشف بحساب الاحتمال</w:t>
      </w:r>
      <w:r>
        <w:rPr>
          <w:rFonts w:eastAsia="IRNazanin" w:cs="IRNazanin"/>
          <w:color w:val="111111"/>
          <w:sz w:val="28"/>
          <w:szCs w:val="28"/>
          <w:rtl w:val="true"/>
          <w:lang w:bidi="fa-IR"/>
        </w:rPr>
        <w:t>.</w:t>
      </w:r>
    </w:p>
    <w:p>
      <w:pPr>
        <w:pStyle w:val="Heading6"/>
        <w:numPr>
          <w:ilvl w:val="5"/>
          <w:numId w:val="1"/>
        </w:numPr>
        <w:rPr/>
      </w:pPr>
      <w:bookmarkStart w:id="607" w:name="__RefHeading___Toc509024_1738255347"/>
      <w:bookmarkStart w:id="608" w:name="_Toc205"/>
      <w:bookmarkEnd w:id="607"/>
      <w:r>
        <w:rPr>
          <w:rtl w:val="true"/>
        </w:rPr>
        <w:t>سیرة المتشرّعة</w:t>
      </w:r>
      <w:bookmarkEnd w:id="608"/>
    </w:p>
    <w:p>
      <w:pPr>
        <w:pStyle w:val="BookText"/>
        <w:rPr/>
      </w:pPr>
      <w:r>
        <w:rPr>
          <w:rFonts w:ascii="IRNazanin" w:hAnsi="IRNazanin" w:eastAsia="IRNazanin"/>
          <w:color w:val="111111"/>
          <w:sz w:val="28"/>
          <w:sz w:val="28"/>
          <w:szCs w:val="28"/>
          <w:rtl w:val="true"/>
          <w:lang w:bidi="fa-IR"/>
        </w:rPr>
        <w:t>ویناظر الإجماع السیرة المعاصرة والقریبة من عصر المعصومین علیهم‌السلام للمتشرّعة بما هم 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العقلاء المعاصرین للمعصومین إذا اتّجهوا إلی سلوکٍ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یسلکونه بما هم عقلاء ، کسلوکهم القائم علی التملّک بالحیازة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یسلکونه بما هم متشرّعة ، کمسحهم القدم فی الوضوء ببعض الکفّ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السیرة العقلائیّة ، والثانی سیرة المتشرّعة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السیرتین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الاولی لا تکون بنفسها کاشفةً عن موقف الشارع ، وإنّما تکشف عن ذلک بضمّ السکوت الدالّ علی الإمضاء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سیرة المتشرّعة فبالإمکان اعتبارها بنفسها کاشفةً عن الدلیل الشرعیّ ؛ علی أساس أنّ المتشرّعة حینما یسلکون سلوکاً بوصفهم متشرّعة یجب أن یکونوا متلقّین ذلک من الشارع</w:t>
      </w:r>
      <w:r>
        <w:rPr>
          <w:rFonts w:eastAsia="IRNazanin" w:cs="IRNazanin"/>
          <w:color w:val="111111"/>
          <w:sz w:val="28"/>
          <w:szCs w:val="28"/>
          <w:rtl w:val="true"/>
          <w:lang w:bidi="fa-IR"/>
        </w:rPr>
        <w:t xml:space="preserve">. </w:t>
      </w:r>
      <w:bookmarkStart w:id="609" w:name="pg14075_144659"/>
    </w:p>
    <w:p>
      <w:pPr>
        <w:pStyle w:val="BookText"/>
        <w:rPr/>
      </w:pPr>
      <w:bookmarkEnd w:id="609"/>
      <w:r>
        <w:rPr>
          <w:rFonts w:ascii="IRNazanin" w:hAnsi="IRNazanin" w:eastAsia="IRNazanin"/>
          <w:color w:val="111111"/>
          <w:sz w:val="28"/>
          <w:sz w:val="28"/>
          <w:szCs w:val="28"/>
          <w:rtl w:val="true"/>
          <w:lang w:bidi="fa-IR"/>
        </w:rPr>
        <w:t>وهناک فی مقابل ذلک احتمال أن یکون السلوک المذکور مبنیّاً علی الغفلة عن الاستعلام ، أو الغفلة فی فهم الجواب علی تقدیر الاستعلام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هذا الاحتمال یضعف بحساب الاحتمال کلّما لوحظ شمول السیرة وتطابق عددٍ کبیرٍ من المتشرّعة علیها ، ومن هنا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المتشرّعة تناظر الإجماع ؛ لأنّهما معاً یقومان فی کشفهما علی أساس حساب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الإجماع یمثّل موقفاً فتوائیّاً نظریّاً للفقهاء ، والآخر یمثّل سلوکاً عملیّاً دینیّاً للمتشرّعة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تشکّل سیرة المتشرّعة بالمعنی المذکور الحلقة الوسیطة بین الإجماع والدلیل الشرعیّ ، بمعنی أنّ تطابق أهل الفتوی علی حکمٍ مع عدم کونه منصوصاً فی ما بأیدینا من نصوصٍ یکشف بظنٍّ غالبٍ اطمئنانیٍّ عن تطابق سلوکیٍّ وارتکازیٍّ من المتشرّعة المعاصرین لعصر النصوص ، وهذا بدوره یکشف عن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المذکور یکشف عن روایةٍ غیر مکتوبة ، ولکنّها معاشة سلوکاً وارتکازاً بین عموم المتشرّعة</w:t>
      </w:r>
      <w:r>
        <w:rPr>
          <w:rFonts w:eastAsia="IRNazanin" w:cs="IRNazanin"/>
          <w:color w:val="111111"/>
          <w:sz w:val="28"/>
          <w:szCs w:val="28"/>
          <w:rtl w:val="true"/>
          <w:lang w:bidi="fa-IR"/>
        </w:rPr>
        <w:t>.</w:t>
      </w:r>
    </w:p>
    <w:p>
      <w:pPr>
        <w:pStyle w:val="Heading6"/>
        <w:numPr>
          <w:ilvl w:val="5"/>
          <w:numId w:val="1"/>
        </w:numPr>
        <w:rPr/>
      </w:pPr>
      <w:bookmarkStart w:id="610" w:name="__RefHeading___Toc509026_1738255347"/>
      <w:bookmarkStart w:id="611" w:name="_Toc206"/>
      <w:bookmarkEnd w:id="610"/>
      <w:r>
        <w:rPr>
          <w:rtl w:val="true"/>
        </w:rPr>
        <w:t>الإحراز الوجدانیّ للدلیل الشرعیّ غیر اللفظیّ</w:t>
      </w:r>
      <w:bookmarkEnd w:id="611"/>
    </w:p>
    <w:p>
      <w:pPr>
        <w:pStyle w:val="BookText"/>
        <w:rPr/>
      </w:pPr>
      <w:r>
        <w:rPr>
          <w:rFonts w:ascii="IRNazanin" w:hAnsi="IRNazanin" w:eastAsia="IRNazanin"/>
          <w:color w:val="111111"/>
          <w:sz w:val="28"/>
          <w:sz w:val="28"/>
          <w:szCs w:val="28"/>
          <w:rtl w:val="true"/>
          <w:lang w:bidi="fa-IR"/>
        </w:rPr>
        <w:t xml:space="preserve">مرّ بنا أنّ دلیل السیرة العقلائیّة یعتمد علی رکنین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قیام السیرة المعاصرة للمعصومین من العقلاء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سکوت المعصوم الذی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الإمضاء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أن نحرز کلّ واحدٍ من هذین الرکنین؟ فإنّنا بحکم </w:t>
      </w:r>
      <w:bookmarkStart w:id="612" w:name="pg14075_144660"/>
    </w:p>
    <w:p>
      <w:pPr>
        <w:pStyle w:val="BookText"/>
        <w:rPr/>
      </w:pPr>
      <w:bookmarkEnd w:id="612"/>
      <w:r>
        <w:rPr>
          <w:rFonts w:ascii="IRNazanin" w:hAnsi="IRNazanin" w:eastAsia="IRNazanin"/>
          <w:color w:val="111111"/>
          <w:sz w:val="28"/>
          <w:sz w:val="28"/>
          <w:szCs w:val="28"/>
          <w:rtl w:val="true"/>
          <w:lang w:bidi="fa-IR"/>
        </w:rPr>
        <w:t>عدم معاصرتنا لهما زماناً یجب أن نستدلّ علیهما بقضایا معاصرةٍ ثابتةٍ وجداناً لکی نحرز بذلک هذا النوع من الدلیل الشرعیّ</w:t>
      </w:r>
      <w:r>
        <w:rPr>
          <w:rFonts w:eastAsia="IRNazanin" w:cs="IRNazanin"/>
          <w:color w:val="111111"/>
          <w:sz w:val="28"/>
          <w:szCs w:val="28"/>
          <w:rtl w:val="true"/>
          <w:lang w:bidi="fa-IR"/>
        </w:rPr>
        <w:t>.</w:t>
      </w:r>
    </w:p>
    <w:p>
      <w:pPr>
        <w:pStyle w:val="Heading6"/>
        <w:numPr>
          <w:ilvl w:val="5"/>
          <w:numId w:val="1"/>
        </w:numPr>
        <w:rPr/>
      </w:pPr>
      <w:bookmarkStart w:id="613" w:name="__RefHeading___Toc509028_1738255347"/>
      <w:bookmarkStart w:id="614" w:name="_Toc207"/>
      <w:bookmarkEnd w:id="613"/>
      <w:r>
        <w:rPr>
          <w:rtl w:val="true"/>
        </w:rPr>
        <w:t>[</w:t>
      </w:r>
      <w:r>
        <w:rPr/>
        <w:t>1</w:t>
      </w:r>
      <w:r>
        <w:rPr>
          <w:rtl w:val="true"/>
        </w:rPr>
        <w:t xml:space="preserve"> - </w:t>
      </w:r>
      <w:r>
        <w:rPr>
          <w:rtl w:val="true"/>
        </w:rPr>
        <w:t xml:space="preserve">السیرة المعاصرة للمعصومین </w:t>
      </w:r>
      <w:r>
        <w:rPr>
          <w:rtl w:val="true"/>
        </w:rPr>
        <w:t>:]</w:t>
      </w:r>
      <w:bookmarkEnd w:id="614"/>
    </w:p>
    <w:p>
      <w:pPr>
        <w:pStyle w:val="BookText"/>
        <w:rPr/>
      </w:pPr>
      <w:r>
        <w:rPr>
          <w:rFonts w:ascii="IRNazanin" w:hAnsi="IRNazanin" w:eastAsia="IRNazanin"/>
          <w:color w:val="111111"/>
          <w:sz w:val="28"/>
          <w:sz w:val="28"/>
          <w:szCs w:val="28"/>
          <w:rtl w:val="true"/>
          <w:lang w:bidi="fa-IR"/>
        </w:rPr>
        <w:t xml:space="preserve">أمّا السیرة المعاصرة للمعصومین علیهم‌السلام فهناک طرق یمکن أن یدَّعی الاستدلال بها علیها ، وقد تستعمل نفس الطرق لإثبات السیرة المعاصرة للمعصومین من المتشرّعة بوصفهم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نستدلّ علی ماضی السیرة العقلائیّة بواقعها المعاصر لنا ، وهذا الاستدلال یقوم علی افتراض الصعوبة فی تحوّل السیرة من سلوکٍ إلی سلوکٍ مقابل ، وکون السیرة العقلائیّة معبِّرةً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نکاتٍ فطریّةٍ وسلیقةٍ نوعیّة ، وهی مشترکة بین العقلاء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هذا الاستدلال ، إذ لا صعوبة فی تصوّر تحوّل السیرة بصورةٍ تدریجیّةٍ وبطیئةٍ إلی أن تتمثّل فی السلوک المقابل بعد فترةٍ طویلةٍ من الزمن ، وما هو صعب الافتراض التحوّل الفجائیّ العفویّ ، کما أنّ السلوک العقلائیّ لیس منبثقاً دائماً عن نکاتٍ فطریّةٍ مشترکة ، بل یتأثّر بالظروف والبیئة والمرتکزات الثقافیّة ، إلی غیر ذلک من العوامل المتغیّرة ، فلا یمکن أن یعتبر الواقع المعاصر للسیرة دلیلاً علی ماضیها البعید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التأریخیّ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نطاق التأریخ العامّ ، أو فی نطاق الروایات والأحادیث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ویتوقّف اعتبار هذا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کونه موجباً للوثوق والعلم ، أو علی تجمّع شرائط الحجّیّة التعبدیّة فیه ، وفی هذا المجال یمکن الاستفادة من الروایات نفسها ؛ لأنّها تعکس ضمناً جوانب من حیاة الرواة والناس وقتئذٍ ، کما یمکن الاستفادة أیضاً من فتاوی الجمهور فی نطاق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منتزعةً أحیاناً عن الوضع العامّ المرتکز عقلائیّاً إلی جانب </w:t>
      </w:r>
    </w:p>
    <w:p>
      <w:pPr>
        <w:pStyle w:val="BookText"/>
        <w:rPr/>
      </w:pPr>
      <w:r>
        <w:rPr>
          <w:rFonts w:ascii="IRNazanin" w:hAnsi="IRNazanin" w:eastAsia="IRNazanin"/>
          <w:color w:val="111111"/>
          <w:sz w:val="28"/>
          <w:sz w:val="28"/>
          <w:szCs w:val="28"/>
          <w:rtl w:val="true"/>
          <w:lang w:bidi="fa-IR"/>
        </w:rPr>
        <w:t>دلالات التأریخ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لعدم قیام السیرة المعاصرة للمعصومین علی الحکم المطلوب لازم یعتبر انتفاؤه وجدانیّاً ، فیثبت بذلک قیام السیرة علی ذلک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ولنوضّح ذلک فی مثالٍ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لنفرض أنّنا نرید أن نثبت أنّ السیرة المعاصرة للأئمّة علیهم‌السلام کانت قائمةً علی الاجتزاء بالمسح ببعض الکفّ فی الوضوء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إذا کانت منعقدةً علی ذلک حقّاً فهذا سوف یکون دلیلاً علی عدم الوجوب لدی من یحاول الاستعلام عن حکم المسألة ، فیغنیه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السیرة منعقدةً علی ذلک وکان افتراض المسح بتمام الکفّ وارداً فی السلوک العملیِّ لکثیرٍ من المتشرّعة وقتئذٍ فهذا یعنی أنّ استعلام حکم المسألة ینحصر بالسؤال من المعصومین ، أو الرجوع إلی روایاتهم ؛ لأنّ مسح المتشرّعة بتمام الکفّ لا یکفی لإثبات الوجوب ، وحیث إنّ المسألة محلّ الابتلاء لعموم أفراد المکلفین ، ووجوب المسح بتمام الکفّ یستبطن عنایةً فائقة تحفِّز علی السؤال فمن الطبیعیّ أن تکثر الأسئلة فی هذا المجال ، وتکثر الأجوبة تبعاً لذلک ، وفی هذه الحالة یفترض عادةً أن یصل إلینا مقدار من ذلک علی أقلّ تقدیر ؛ لاستبعاد اختفاء جلّها ، مع توفّر الدواعی علی نقلها ، وعدم وجود ما یبرّر الاختفاء ، فإذا لم یصل إلینا ذلک نعرف أنّه لم تکن هناک أسئلة وأجوبة کثیرة ، وبالتالی لم تکن هناک حاجة إلی استعلام حکم المسألة عن طریق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یعیِّن افتراض قیام السیرة علی الاجتزاء بالمسح ببعض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المسألة محلّ الابتلاء للعموم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وکون الحکم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المسح بتمام الکفّ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یتطلّب </w:t>
      </w:r>
    </w:p>
    <w:p>
      <w:pPr>
        <w:pStyle w:val="BookText"/>
        <w:rPr/>
      </w:pPr>
      <w:r>
        <w:rPr>
          <w:rFonts w:ascii="IRNazanin" w:hAnsi="IRNazanin" w:eastAsia="IRNazanin"/>
          <w:color w:val="111111"/>
          <w:sz w:val="28"/>
          <w:sz w:val="28"/>
          <w:szCs w:val="28"/>
          <w:rtl w:val="true"/>
          <w:lang w:bidi="fa-IR"/>
        </w:rPr>
        <w:t>سلوکاً لا یقتضیه الطبع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وتوفّر الدواعی علی نقل ما یرد فی حکم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وعدم وجود مبرّراتٍ للإخفاء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وعدم وصول شیءٍ معتدٍّ به فی هذا المجال لإثبات الحکم المقابل من الروایات وفتاوی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للسلوک الذی یراد إثبات کونه سلوکاً عامّاً للمعاصرین للأئمّة علیهم‌السلام سلوکٌ بدیل علی نحوٍ لو لم نفترض ذاک یتعیّن افتراض هذا البدیل ، ویکون هذا السلوک البدیل معبِّراً عن ظاهرةٍ اجتماعیّةٍ غریبةٍ لو کانت واقعةً حقّاً لَسجَّلت وانعکست علینا باعتبارها علی خلاف المألوف ، وحیث لم تسجّل یعرف أنّ الواقع خارجاً کان هو المبدل لا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السلوک العامّ المعاصر للمعصومین علیهم‌السلام کان منعقداً علی اعتبار الظواهر والعمل بها ، إذ لولا ذلک لکان لابدّ من سلوک بدیلٍ یمثّل طریقةً اخری فی التفهیم ، ولمّا کانت الطریقة البدیلة تشکّل ظاهرةً غریبةً عن المألوف کان من الطبیعیّ أن تنعکس ویشار إلیها ، والتالی غیر واقع فکذلک المقدّم ، وبذلک یثبت استقرار السیرة علی العمل بالظواهر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الملاحظة التحلیلیّة الوجدانیّة ، بمعنی أنّ الإنسان إذا عرض مسألةً علی وجدانه ومرتکزاته العقلائیّة فرأی أنّه منساق إلی اتّخاذ موقفٍ معیّن ، ولاحظ أنّ هذا الموقف واضح فی وجدانه بدرجةٍ کبیرة ، واستطاع أن یتأکّد من عدم ارتباطه بالخصوصیّات المتغیّرة من حالٍ إلی حالٍ ومن عاقلٍ إلی عاقلٍ بملاحظةٍ تحلیلیّةٍ وجدانیّةٍ أمکنه أن ینتهی إلی الوثوق بأنّ ما ینساق إلیه من موقفٍ حالةٌ عامّةٌ فی کلّ العقلاء ، وقد یدعم ذلک باستقراء حالة العقلاء فی مجتمعاتٍ </w:t>
      </w:r>
      <w:bookmarkStart w:id="615" w:name="pg14075_144663"/>
    </w:p>
    <w:p>
      <w:pPr>
        <w:pStyle w:val="BookText"/>
        <w:rPr/>
      </w:pPr>
      <w:bookmarkEnd w:id="615"/>
      <w:r>
        <w:rPr>
          <w:rFonts w:ascii="Amiri" w:hAnsi="Amiri" w:eastAsia="Amiri" w:cs="Amiri"/>
          <w:color w:val="111111"/>
          <w:sz w:val="28"/>
          <w:sz w:val="28"/>
          <w:szCs w:val="28"/>
          <w:rtl w:val="true"/>
          <w:lang w:bidi="ar-SA"/>
        </w:rPr>
        <w:t>عقلائیّةٍ مختلفةٍ للتأکّد من هذه الحالة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طریق قد یحصل للإنسان الوثوق بسببه ، ولکنّه لیس طریقاً استدلالیّاً موضوعیّاً إلاّبقدر ما یُتاح للملاحِظِ من استقراءٍ للمجتمعات العقلائیّة المختلفة</w:t>
      </w:r>
      <w:r>
        <w:rPr>
          <w:rFonts w:eastAsia="IRNazanin" w:cs="IRNazanin"/>
          <w:color w:val="111111"/>
          <w:sz w:val="28"/>
          <w:szCs w:val="28"/>
          <w:rtl w:val="true"/>
          <w:lang w:bidi="fa-IR"/>
        </w:rPr>
        <w:t>.</w:t>
      </w:r>
    </w:p>
    <w:p>
      <w:pPr>
        <w:pStyle w:val="Heading6"/>
        <w:numPr>
          <w:ilvl w:val="5"/>
          <w:numId w:val="1"/>
        </w:numPr>
        <w:rPr/>
      </w:pPr>
      <w:bookmarkStart w:id="616" w:name="__RefHeading___Toc509030_1738255347"/>
      <w:bookmarkStart w:id="617" w:name="_Toc208"/>
      <w:bookmarkEnd w:id="616"/>
      <w:r>
        <w:rPr>
          <w:rtl w:val="true"/>
        </w:rPr>
        <w:t>[</w:t>
      </w:r>
      <w:r>
        <w:rPr/>
        <w:t>2</w:t>
      </w:r>
      <w:r>
        <w:rPr>
          <w:rtl w:val="true"/>
        </w:rPr>
        <w:t xml:space="preserve"> - </w:t>
      </w:r>
      <w:r>
        <w:rPr>
          <w:rtl w:val="true"/>
        </w:rPr>
        <w:t>سکوت المعصوم</w:t>
      </w:r>
      <w:r>
        <w:rPr>
          <w:rtl w:val="true"/>
        </w:rPr>
        <w:t>]</w:t>
      </w:r>
      <w:bookmarkEnd w:id="617"/>
    </w:p>
    <w:p>
      <w:pPr>
        <w:pStyle w:val="BookText"/>
        <w:rPr/>
      </w:pPr>
      <w:r>
        <w:rPr>
          <w:rFonts w:ascii="IRNazanin" w:hAnsi="IRNazanin" w:eastAsia="IRNazanin"/>
          <w:color w:val="111111"/>
          <w:sz w:val="28"/>
          <w:sz w:val="28"/>
          <w:szCs w:val="28"/>
          <w:rtl w:val="true"/>
          <w:lang w:bidi="fa-IR"/>
        </w:rPr>
        <w:t xml:space="preserve">وأمّا سکوت المعصوم الدالّ علی الإمضاء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الصعوبة بمکانٍ الجزمَ به ، إذ کیف نعرف أنّه لم یصدر من المعصوم ما یدلّ علی الردع عن السیرة المعاصرة له؟ وغایة ما نستطیع أن نتأکّد منه هو عدم وجود هذا الردع فی ما بأیدینا من نصوص ، غیر أنّ ذلک لا یعنی عدم صدوره ، إذ لعلّه قد صدر ولم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الطریقة التی نتغلّب بها علی هذه الصعوبة تتمّ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نطرح القضیّة الشرطیّة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قد ردع المعصوم عن السیرة لوصل إلینا ، والتالی باطل ؛ لأنّ المفروض عدم وصول الردع ، فالمقدّم مثله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عن سیرةٍ عقلائیّةٍ مستحکمةٍ لا یتحقّق بصورةٍ جادّةٍ بمجرّد نهیٍ واحدٍ أو نهیین ، بل یجب أن یتناسب حجم الردع مع قوّة السیرة وترسّخها ، فالردع إذن یجب أن یتمثّل فی نواهٍ کثیرة ، وهذه النواهی بنفسها تخلق ظروفاً مناسبةً لأمثالها ؛ لأنّها تُلفِت أنظار الرواة إلی السؤال ، وتکثر الأسئلة والأجوبة ، والدواعی متوفّرة لضبط هذه النواهی من قبل الرواة ، فیکون من الطبیعیّ أن یصل إلینا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عدم وصول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بالقدر الذی تفترضه الظروف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نستکشف عدم صدور الردع ، وبذلک یتمّ کلا الرکنین لدلیل السیرة</w:t>
      </w:r>
      <w:r>
        <w:rPr>
          <w:rFonts w:eastAsia="IRNazanin" w:cs="IRNazanin"/>
          <w:color w:val="111111"/>
          <w:sz w:val="28"/>
          <w:szCs w:val="28"/>
          <w:rtl w:val="true"/>
          <w:lang w:bidi="fa-IR"/>
        </w:rPr>
        <w:t xml:space="preserve">. </w:t>
      </w:r>
      <w:bookmarkStart w:id="618" w:name="pg14075_144664"/>
    </w:p>
    <w:p>
      <w:pPr>
        <w:pStyle w:val="Heading6"/>
        <w:numPr>
          <w:ilvl w:val="5"/>
          <w:numId w:val="1"/>
        </w:numPr>
        <w:rPr/>
      </w:pPr>
      <w:bookmarkStart w:id="619" w:name="__RefHeading___Toc509032_1738255347"/>
      <w:bookmarkStart w:id="620" w:name="_Toc209"/>
      <w:bookmarkEnd w:id="618"/>
      <w:bookmarkEnd w:id="619"/>
      <w:r>
        <w:rPr>
          <w:rtl w:val="true"/>
        </w:rPr>
        <w:t>درجة الوثوق فی وسائل الإحراز الوجدانی</w:t>
      </w:r>
      <w:bookmarkEnd w:id="620"/>
    </w:p>
    <w:p>
      <w:pPr>
        <w:pStyle w:val="BookText"/>
        <w:rPr/>
      </w:pPr>
      <w:r>
        <w:rPr>
          <w:rFonts w:ascii="IRNazanin" w:hAnsi="IRNazanin" w:eastAsia="IRNazanin"/>
          <w:color w:val="111111"/>
          <w:sz w:val="28"/>
          <w:sz w:val="28"/>
          <w:szCs w:val="28"/>
          <w:rtl w:val="true"/>
          <w:lang w:bidi="fa-IR"/>
        </w:rPr>
        <w:t xml:space="preserve">وسائل الإحراز الوجدانیّ التی یقوم کشفها علی حساب الاحتمال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إلی القطع بالدلیل الشرعیّ ، واخری إلی قیمةٍ احتمالیّةٍ کبیرة ، ولکنْ تناظرها فی الطرف المقابل قیمة احتمالیّة معتدّ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إلی قیمةٍ احتمالیّةٍ کبیرةٍ تقابلها فی الطرف المقابل قیمة احتمالیّة ضئیلة جدّاً ، وتسمّی القیمة الاحتمالیّة الکبیرة فی هذه الحالة بالاطمئنان ، وفی الحالة السابقة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حجّیّة الإحراز الواصل إلی درجة القطع تطبیقاً لمبدأ حجّیّة القطع ، کما لا شکّ فی أنّ الإحراز الظنّیّ غیر کافٍ للمقصود ما لم یقم دلیل شرعیّ علی التعبّد به فیدخل فی نطاق الإحراز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الاطمئنان فقد یقال بحجّیّته الذاتیّة عقلاً تنجیزاً وتعذیراً ، کالقطع ، بمعنی أنّ حقّ الطاعة الثابت عقلاً کما یشمل حالة القطع بالتکلیف کذلک یشمل حالة الاطمئنان به ، وکما لا یشمل حالة القطع بعدم التکلیف کذلک لا یشمل حالة الاطمئنان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صحَّت هذه الدعوی لم نکن بحاجةٍ إلی تعبّدٍ شرعیٍّ للعمل بالاطمئنان ، مع فارقٍ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الردع عن العمل بالاطمئنان مع عدم إمکانه فی القطع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تصحّ هذه الدعوی تعیّن طلب الدلیل علی التعبّد الشرعیّ بالاطمئنان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هو السیرة العقلائیّة الممضاة بدلالة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الاستدلال علی حجّیّة الاطمئنان شرعاً بالسیرة العقلائیّة مع سکوت الشارع عنها لابدّ من افتراض القطع بهذین الرکنین ، ولا یکفی الاطمئنان ، وإلاّ کان من الاستدلال علی حجّیّة الاطمئنان بالاطمئنان</w:t>
      </w:r>
      <w:r>
        <w:rPr>
          <w:rFonts w:eastAsia="IRNazanin" w:cs="IRNazanin"/>
          <w:color w:val="111111"/>
          <w:sz w:val="28"/>
          <w:szCs w:val="28"/>
          <w:rtl w:val="true"/>
          <w:lang w:bidi="fa-IR"/>
        </w:rPr>
        <w:t xml:space="preserve">. </w:t>
      </w:r>
      <w:bookmarkStart w:id="621" w:name="pg14075_144665"/>
    </w:p>
    <w:p>
      <w:pPr>
        <w:pStyle w:val="Heading6"/>
        <w:numPr>
          <w:ilvl w:val="5"/>
          <w:numId w:val="1"/>
        </w:numPr>
        <w:rPr/>
      </w:pPr>
      <w:bookmarkStart w:id="622" w:name="__RefHeading___Toc509034_1738255347"/>
      <w:bookmarkStart w:id="623" w:name="_Toc210"/>
      <w:bookmarkEnd w:id="621"/>
      <w:bookmarkEnd w:id="622"/>
      <w:r>
        <w:rPr/>
        <w:t>2</w:t>
      </w:r>
      <w:r>
        <w:rPr>
          <w:rtl w:val="true"/>
        </w:rPr>
        <w:t xml:space="preserve"> - </w:t>
      </w:r>
      <w:r>
        <w:rPr>
          <w:rtl w:val="true"/>
        </w:rPr>
        <w:t>وسائل الإثبات التعبّدی</w:t>
      </w:r>
      <w:bookmarkEnd w:id="623"/>
    </w:p>
    <w:p>
      <w:pPr>
        <w:pStyle w:val="Heading6"/>
        <w:numPr>
          <w:ilvl w:val="5"/>
          <w:numId w:val="1"/>
        </w:numPr>
        <w:rPr/>
      </w:pPr>
      <w:bookmarkStart w:id="624" w:name="__RefHeading___Toc509036_1738255347"/>
      <w:bookmarkStart w:id="625" w:name="_Toc211"/>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 xml:space="preserve">وأهمّ ما یبحث عنه فی علم الاصول کوسیلةٍ تعبّدیّةٍ لإحراز صدور الدلیل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 ویراد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لم یحصل منه القطع بثبوت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فیه فی ثلاث مراحل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الأدلّة المدَّعاة علی حکم الشارع بحجّیّته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الأدلّة المدَّعی کونها معارِضةً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الحجّیّة وشروطها بعد فرض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وسنبحث هذه المراحل تباعاً</w:t>
      </w:r>
      <w:r>
        <w:rPr>
          <w:rFonts w:eastAsia="IRNazanin" w:cs="IRNazanin"/>
          <w:color w:val="111111"/>
          <w:sz w:val="28"/>
          <w:szCs w:val="28"/>
          <w:rtl w:val="true"/>
          <w:lang w:bidi="fa-IR"/>
        </w:rPr>
        <w:t>.</w:t>
      </w:r>
    </w:p>
    <w:p>
      <w:pPr>
        <w:pStyle w:val="Heading6"/>
        <w:numPr>
          <w:ilvl w:val="5"/>
          <w:numId w:val="1"/>
        </w:numPr>
        <w:rPr/>
      </w:pPr>
      <w:bookmarkStart w:id="626" w:name="__RefHeading___Toc509038_1738255347"/>
      <w:bookmarkStart w:id="627" w:name="_Toc212"/>
      <w:bookmarkEnd w:id="626"/>
      <w:r>
        <w:rPr>
          <w:rtl w:val="true"/>
        </w:rPr>
        <w:t>أدلّة حجّیّة خبر الواحد</w:t>
      </w:r>
      <w:bookmarkEnd w:id="627"/>
    </w:p>
    <w:p>
      <w:pPr>
        <w:pStyle w:val="BookText"/>
        <w:rPr/>
      </w:pPr>
      <w:r>
        <w:rPr>
          <w:rFonts w:ascii="Amiri" w:hAnsi="Amiri" w:eastAsia="Amiri" w:cs="Amiri"/>
          <w:color w:val="111111"/>
          <w:sz w:val="28"/>
          <w:sz w:val="28"/>
          <w:szCs w:val="28"/>
          <w:rtl w:val="true"/>
          <w:lang w:bidi="ar-SA"/>
        </w:rPr>
        <w:t>وقد استدلّ علی الحجّیّة بالکتاب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الکتاب الکریم فبآیات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النبأ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بِنَبَا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فی الآیة الکریمة شرطیّة ، والحکم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الفاسق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فتدلّ بالمفهوم علی انتفاء وجوب التبیّن عن النبأ إذا انتفی الشرط ولم یجئ به الفاسق ، وهذا یعنی أنّه لا یجب التبیّن فی حالة مجیء العادل بالنبأ ، ولیس ذلک إلاّلحجّیّته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نوقش فی الاستدلال المذکور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مجیء الفاسق بالنبأ شرط محقّق للموضوع ؛ لأنّه هو الذی یحقّق النبأ ، ولیس للجملة الشرطیة مفهوم إذا کان الشرط مسوقاً لتحقّق الموضوع ، کما تقدّم فی بحث مفهوم االشرط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صاحب الکفایة </w:t>
      </w:r>
      <w:r>
        <w:rPr>
          <w:rStyle w:val="FootnoteAnchor"/>
          <w:rtl w:val="true"/>
        </w:rPr>
        <w:footnoteReference w:id="102"/>
      </w:r>
      <w:r>
        <w:rPr>
          <w:rFonts w:ascii="IRNazanin" w:hAnsi="IRNazanin" w:eastAsia="IRNazanin"/>
          <w:color w:val="111111"/>
          <w:sz w:val="28"/>
          <w:sz w:val="28"/>
          <w:szCs w:val="28"/>
          <w:rtl w:val="true"/>
          <w:lang w:bidi="fa-IR"/>
        </w:rPr>
        <w:t xml:space="preserve">أن یدفع هذه المناقشة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إنّما تتمّ علی الافتراض المتقدّم فی تعیین الموضوع والشرط ، وأمّا إذا قیل بأنّ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الآیة فی قوّة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الجائی بالنبأ فاسقاً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حینئذٍ أنّ الشرط هنا لیس محقّقاً للموضوع ، فیتمّ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مجرّد إمکان هذه الفرضیّة لا یکفی لتصحیح الاستدلال ما لم یثبت کونها هی المستظهرة عرفاً من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التبیّن معلّل فی الآیة الکریمة بالتحرّز من الإصابة بجهالةٍ ، والعلّة مشترکة بین أخبار الآحاد ؛ لأنّ عدم العلم ثابت فیها جمیعاً ، فتکون بمثابة القرینة المتّصلة علی إلغاء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بأنّ الجهالة لیست مجرّد عدم العلم ، بل تستبطن السفاهة ، ولیس فی العمل بخبر العادل سفاهة ؛ لأنّ سیرة العقلاء علیه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بأنّ المفهوم أخصّ من عموم التعلیل ؛ لأنّه یقتضی حجّیّة خبر العادل ، بینما التعلیل یدلّ علی عدم حجّیّة کلّ ما هو غیر علمیّ ، ویشمل بإطلاقه خبر العادل ، فلیکن المفهوم مقیّداً لعموم التعلیل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مفاده أنّ خبر العادل لا حاجة إلی التبیّن بشأنه ؛ لأنّه بیِّن واضح ، وهذا یعنی افتراضه بمثابة الدلیل القطعیّ ، والأمر بالتعامل معه علی أساس أنّه بیّن ومعلوم ، وبهذا یخرج عن موضوع عموم التعلیل ؛ لأنّ العموم فی التعلیل موضوعه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خبر العادل واضحاً بیّناً بحکم الشارع فهو علم ولا یشمله التعلیل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النفر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مطلوبیّة التحذر عند الإنذار بقرینة وقوع الحذر موقع الترجّی بدخول لعلّ علیه ، وجعله غایة للإنذار الواجب ، ومقتضی الإطلاق کون التحذّر واجباً عند الإنذار ولو لم یحصل العلم من قول المنذر ، وهذا یکشف عن حجّیة إخبار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التحذّر عند الإنذار لا یکشف عن کون الحذر الواجب بملاک حجّیة خبر المنذر ؛ وذلک لأنّ الإنذار یفترض العقاب مسبقاً ، وکون الحکم منجَّزاً بمنجّزٍ سابقٍ ، کالعلم الإجمالی ، أو الشکّ قبل الفحص ، ولا یصدق عنوان الإنذار علی الإخبار عن حکمٍ لا یستتبع عقاباً إلاّبسبب هذا الإخبار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خبر المنذر بنفسه کان منجّزاً فهذا لا یساوق الحجّیة بمعناها الکامل ؛ لِمَا سبق من أنّ أیّ دلیلٍ احتمالیٍّ علی التکلیف فهو ینجّزه بحکم العقل ، فغایة ما تفیده الآیة الکریمة أنّها تنفی جعل أصالة البراءة شرعاً فی موارد </w:t>
      </w:r>
    </w:p>
    <w:p>
      <w:pPr>
        <w:pStyle w:val="BookText"/>
        <w:rPr/>
      </w:pPr>
      <w:r>
        <w:rPr>
          <w:rFonts w:ascii="IRNazanin" w:hAnsi="IRNazanin" w:eastAsia="IRNazanin"/>
          <w:color w:val="111111"/>
          <w:sz w:val="28"/>
          <w:sz w:val="28"/>
          <w:szCs w:val="28"/>
          <w:rtl w:val="true"/>
          <w:lang w:bidi="fa-IR"/>
        </w:rPr>
        <w:t>قیام الخبر علی التکلیف ، ولا تثبت جعل الشارع الحجّیة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بناءً علی مسلک قبح العقاب بلا بیانٍ یکشف ما ذکر عن الجعل الشرعیّ ، إذ لولا الجعل الشرعیّ لجرت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لو دلّت علی حجّیّة قول المنذر شرعاً فإنّما تدلّ علی حجّیّته بما هو رأی ونظر لا بما هو إخبار وشهادة ؛ لأنّ الإنذار یعنی مزج الإخبار بتشخیص المعنی واقتناص 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الکتمان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اولَئِکَ یَلْعَنُهُمُ اللهُ وَیَلْعَنُهُمُ اللاَّعِنُون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بالإطلاق علی حرمة الکتمان ولو فی حالة عدم ترتّب العلم علی الإبداء ، وهذا یکشف عن وجوب القبول فی هذه الحالة ؛ لأنّ تحریم الکتمان من دون إیجاب القبول لغو ، ووجوب القبول مع عدم العلم یساوق حکم الشارع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الکتمان إنّما یصدق فی حالة الإخفاء مع توفّر مقتضیات الوضوح والعلم ، فلا یشمل الإطلاق المذکور عدم الإخبار فی موردٍ لا تتوفّر فیه مقتضیات العلم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تعمیم حرمة الکتمان لعلّه بدافع الاحتیاط من قبل المولی ؛ لعدم إمکان إعطاء قاعدةٍ للتمییز بین موارد ترتّب العلم علی الإخبار وغیرها ، فإنّ الحاکم قد یوسّع موضوع حکمه الواقعیّ بدافع الاحتیاط ، وهذا غیر الأمر </w:t>
      </w:r>
    </w:p>
    <w:p>
      <w:pPr>
        <w:pStyle w:val="BookText"/>
        <w:rPr/>
      </w:pPr>
      <w:r>
        <w:rPr>
          <w:rFonts w:ascii="IRNazanin" w:hAnsi="IRNazanin" w:eastAsia="IRNazanin"/>
          <w:color w:val="111111"/>
          <w:sz w:val="28"/>
          <w:sz w:val="28"/>
          <w:szCs w:val="28"/>
          <w:rtl w:val="true"/>
          <w:lang w:bidi="fa-IR"/>
        </w:rPr>
        <w:t>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السؤال من أهل الذکر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إلاّرجَالاً نُوحِی إلَیْهِمْ 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بالسؤال یدلّ بإطلاقه علی وجوب قبول الجواب ولو لم یفِدِ العلم ؛ لأنّه بدون ذلک یکون الأمر بالسؤال فی حال عدم إفادة الجواب للعلم لغواً ، وإذا وجب قبول الجواب ولو لم یفِدِ العلم ثبتت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الجواب ممّا سبق ، إضافةً إلی أنّ الأمر بالسؤال فی الآیة لیس ظاهراً فی الأمر المولویّ لکی یستفاد منه ذلک ؛ لأنّه وارد فی سیاق الحدیث مع المعاندین والمتشکِّکِین فی النبوّة من الکفّار ، ومن الواضح أنّ هذا السیاق لا یناسب جعل الحجّیّة التعبّدیّة ، وإنّما یناسب الإرشاد إلی الطرق التی توجب زوال التشکّک ودفع الشبهة بالحجّة القاطعة ؛ لأنّ الطرف لیس ممّن یتعبّد بقرارات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ونلاحظ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بالسؤال مفرّع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والتفریع یمنع عن انعقاد إطلاقٍ فی متعلّق السؤال لکی یثبت الأمر بالسؤال فی غیر مورد المفرّع علیه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علی أنّ مورد الآیة لا حجّیّة فیه لأخبار الآحاد ؛ لأنّه یرتبط باصول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قطعنا النظر عن کلّ ذلک فالاستدلال یتوقّف علی حمل أهل الذِکر علی العلماء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أهل النبوّات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الذِکر علی العلم ، لا علی الرسالة الإلهیّة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فلابدّ لکی یصحّ الاستدلال بها فی المقام أن تکون ثابتةً بوسیلةٍ من وسائل الإحراز الوجدانیّ ، ولا یکفی ثبوتها بخبر الواحد ؛ لئلاّ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p>
    <w:p>
      <w:pPr>
        <w:pStyle w:val="BookText"/>
        <w:rPr/>
      </w:pPr>
      <w:r>
        <w:rPr>
          <w:rFonts w:ascii="IRNazanin" w:hAnsi="IRNazanin" w:eastAsia="IRNazanin"/>
          <w:color w:val="111111"/>
          <w:sz w:val="28"/>
          <w:sz w:val="28"/>
          <w:szCs w:val="28"/>
          <w:rtl w:val="true"/>
          <w:lang w:bidi="fa-IR"/>
        </w:rPr>
        <w:t xml:space="preserve">وسیلتان للإحراز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فی الروایات الدالّة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الوسیلة الاولی فتقریب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الواحد یمکن اقتناصها من ألسِنَة روایاتٍ کثیرةٍ تشترک جمیعاً فی إفادة هذا المعنی وإن اختلفت مضامینها ، وبذلک یحصل التواتر الإجمالی ، ویثبت بالتواتر حجّیّة خبر الواحد الواجد من المزایا لما یجعله مشمولاً لمجموع تلک الروایات المکوّنة للتواتر ، فإذا اتّفق وجود خبرٍ من هذا القبیل یدلّ علی حجّیّة خبر الواحد فی دائرةٍ أوسعَ 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الوسیلة الثانیة فتقریب الاستدلال بها یشتمل علی الامور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السیرة ، وأنّ المتشرّعة والرواة فی عصر الأئمّة کانوا یعملون بأخبار الثقات ولو لم تُفدهم الاطمئنان الشخصیّ ، وفی هذا المجال یمکن استعمال الطریق الثالث من طرق إثبات السیرة المتقدّمة ؛ وذلک لتوفّر شروطه ، فإنّه لا شکّ فی وجود عددٍ کبیرٍ من هذه الروایات بأیدی المتشرّعة المعاصرین للأئمّة ودخول حکمها فی محلّ ابتلائهم علی أوسع نطاق ، فإمّا أن یکونوا قد انعقدت سیرتهم علی العمل بها من أجل تلقّی ذلک من الشارع ، أو جریاً علی سجیّتهم ، وإمّا أن یکونوا قد توقّفوا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هو المطلوب ، إذ تثبت بذلک السیرة الممتدّة فی تطبیقها إلی المجال الشرعیّ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فلیس من المحتمل أن یؤدّی توقّفهم إلی طرح تلک الروایات جمیعاً بدون استعلام الحکم الشرعیّ تجاهها ؛ لأنّ ارتکاز الاعتماد علی أخبار الثقات وکون طرح خبر الثقة علی خلاف السجیّة العقلائیّة یَحول عادةً دون التوافق علی الطرح بلا استعلام ، والاستعلام یجب أن یکون بحجم أهمّیّة المسألة ، وهذا یقتضی </w:t>
      </w:r>
    </w:p>
    <w:p>
      <w:pPr>
        <w:pStyle w:val="BookText"/>
        <w:rPr/>
      </w:pPr>
      <w:r>
        <w:rPr>
          <w:rFonts w:ascii="IRNazanin" w:hAnsi="IRNazanin" w:eastAsia="IRNazanin"/>
          <w:color w:val="111111"/>
          <w:sz w:val="28"/>
          <w:sz w:val="28"/>
          <w:szCs w:val="28"/>
          <w:rtl w:val="true"/>
          <w:lang w:bidi="fa-IR"/>
        </w:rPr>
        <w:t xml:space="preserve">افتراض أسئلةٍ وأجوبةٍ کثیرة ، فلو لم یکن خبر الثقة حجّةً لکان هذا یعنی تضافر النصوص بذلک فی مقام الجواب علی أسئلة الرواة ، ومع توفّر الدواعی علی نقل ذلک لابدّ من وصول هذه النصوص إلینا ولو فی الجملة ، بینما لم یصل إلینا شیء من ذلک ، بل وصل مایعزِّز الحجّیّة ، وهذا 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استقرار العمل بأخبار الثقات بدون استعلام ، وإمّا استقراره علی ذلک بسبب الاستعلام وصدور البیانات المثبتة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السیرة الثابتة بالبیان السابق إذا کانت سیرةً لأصحاب الأئمّة بما هم متشرّعة فهی تکشف عن الدلیل الشرعیّ بلا حاجةٍ إلی ضمّ مقدّمة ، وإذا کانت سیرةً لهم بما هم عقلاء ضممنا إلیها مقدمةً اخری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یردع عنها ، إذ لو کان قد ردع بالدرجة الکافیة لأثّر هذا الردع من ناحیةٍ فی هدم السیرة ، ولوصل إلیها شیء من نصوص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عن العمل بالظنّ قد یتوهّم أنّها تردع عن السیرة ؛ لأنّ خبر الواحد أمارة ظنّیّة فیشمله إطلاق النهی عن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أنّها لا تصلح أن تکون رادعة ؛ وذلک لأنّنا أثبتنا بالفعل انعقاد السیرة المعاصرة للأئمّة علی العمل بأخبار الثقات فی الشرعیّات ، وهذا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استبعاد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وصول دلیلٍ إلیهم علی الحجّیّة ، أو غفلتهم عن اقتضاء تلک النواهی للردع ، أو عدم کونها دالّةً علی ذلک فی الواقع ، وعلی کلٍّ من هذه التقادیر لا یکون الردع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یقال فی مقابل التمسّک بأدلّة الاصول ، کدلیل أصالة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الردع بإطلاقها لحالة قیام خبر الثقة علی خلاف الأصل المقرّر فیها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الردع یکشف عن الإمضاء ، وهذا واضح بعد إثبات امتداد السیرة إلی الشرعیّات وجریانها علی إثبات الحکم الشرعیّ بخبر الثقة ، الأمر الذی یعرِّض الأغراض الشرعیّة للتفویت لو لم تکن مرضیّة ، مضافاً إلی أنّ ظاهر الحال فی أمثال المقام هو الإمضاء ، کما تقدّم</w:t>
      </w:r>
      <w:r>
        <w:rPr>
          <w:rFonts w:eastAsia="IRNazanin" w:cs="IRNazanin"/>
          <w:color w:val="111111"/>
          <w:sz w:val="28"/>
          <w:szCs w:val="28"/>
          <w:rtl w:val="true"/>
          <w:lang w:bidi="fa-IR"/>
        </w:rPr>
        <w:t xml:space="preserve">. </w:t>
      </w:r>
      <w:bookmarkStart w:id="628" w:name="pg14075_144672"/>
    </w:p>
    <w:p>
      <w:pPr>
        <w:pStyle w:val="Heading6"/>
        <w:numPr>
          <w:ilvl w:val="5"/>
          <w:numId w:val="1"/>
        </w:numPr>
        <w:rPr/>
      </w:pPr>
      <w:bookmarkStart w:id="629" w:name="__RefHeading___Toc509040_1738255347"/>
      <w:bookmarkStart w:id="630" w:name="_Toc213"/>
      <w:bookmarkEnd w:id="628"/>
      <w:bookmarkEnd w:id="629"/>
      <w:r>
        <w:rPr>
          <w:rtl w:val="true"/>
        </w:rPr>
        <w:t>أدلّة نفی الحجّیّة</w:t>
      </w:r>
      <w:bookmarkEnd w:id="630"/>
    </w:p>
    <w:p>
      <w:pPr>
        <w:pStyle w:val="BookText"/>
        <w:rPr/>
      </w:pPr>
      <w:r>
        <w:rPr>
          <w:rFonts w:ascii="Amiri" w:hAnsi="Amiri" w:eastAsia="Amiri" w:cs="Amiri"/>
          <w:color w:val="111111"/>
          <w:sz w:val="28"/>
          <w:sz w:val="28"/>
          <w:szCs w:val="28"/>
          <w:rtl w:val="true"/>
          <w:lang w:bidi="ar-SA"/>
        </w:rPr>
        <w:t xml:space="preserve">وقد استُدلّ علی نفی الحجّیّة بالکتاب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الکتاب فبما ورد فیه من النهی عن أتّباع الظنّ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المذکور إنّما یدلّ علی نفی الحجّیّة عن خبر الواحد بالإطلاق ، وهذا الإطلاق یقیّد بدلیل حجّیّة خبر الواحد ، سواء کان لفظیّاً أو 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أمّاعلی الأوّل فواضح ، وأمّاعلی الثانی فلأنّ إطلاق الآیات لایصلح أن یکون رادعاً عن السیرة ، کماتقدّم ، وهذا یعنی استقرار حجّیّةالسیرة فتکون مقیّدةً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السنّة ففیها ما دلّ علی عدم جواز العمل بالخبر غیر العلمیّ </w:t>
      </w:r>
      <w:r>
        <w:rPr>
          <w:rStyle w:val="FootnoteAnchor"/>
          <w:rtl w:val="true"/>
        </w:rPr>
        <w:footnoteReference w:id="107"/>
      </w:r>
      <w:r>
        <w:rPr>
          <w:rFonts w:ascii="IRNazanin" w:hAnsi="IRNazanin" w:eastAsia="IRNazanin"/>
          <w:color w:val="111111"/>
          <w:sz w:val="28"/>
          <w:sz w:val="28"/>
          <w:szCs w:val="28"/>
          <w:rtl w:val="true"/>
          <w:lang w:bidi="fa-IR"/>
        </w:rPr>
        <w:t xml:space="preserve">، وفیها ما دلّ علی عدم جواز العمل بخبرٍ لا یکون علیه شاهد من الکتاب الکریم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الفریق الأوّل فیرد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أخبار الآحاد الضعیفة سنداً ، ولا دلیل علی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یشمل نفسه ؛ لأنّه خبر غیر علمیٍّ بالنسبة إلینا ، ولا نحتمل الفرق بینه وبین سائر الأخبار غیر العلمیّة ، وهذا یعنی امتناع حجّیّة هذا الخبر ؛ لأنّ حجّیّته تؤدّی إلی نفی حجّیّته والتعبّد بعدمها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الفریق الثانی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فی نفسه لکان مطلقاً شاملاً للأخبار </w:t>
      </w:r>
      <w:bookmarkStart w:id="631" w:name="pg14075_144673"/>
    </w:p>
    <w:p>
      <w:pPr>
        <w:pStyle w:val="BookText"/>
        <w:rPr/>
      </w:pPr>
      <w:bookmarkEnd w:id="631"/>
      <w:r>
        <w:rPr>
          <w:rFonts w:ascii="IRNazanin" w:hAnsi="IRNazanin" w:eastAsia="IRNazanin"/>
          <w:color w:val="111111"/>
          <w:sz w:val="28"/>
          <w:sz w:val="28"/>
          <w:szCs w:val="28"/>
          <w:rtl w:val="true"/>
          <w:lang w:bidi="fa-IR"/>
        </w:rPr>
        <w:t>الواردة فی اصول الدین ، والأخبار الواردة فی الأحکام ، فیعتبر ما دلّ علی الحجّیّة فی القسم الثانی بالخصوص صالحاً لتقیید إطلاق تلک الروایات</w:t>
      </w:r>
      <w:r>
        <w:rPr>
          <w:rFonts w:eastAsia="IRNazanin" w:cs="IRNazanin"/>
          <w:color w:val="111111"/>
          <w:sz w:val="28"/>
          <w:szCs w:val="28"/>
          <w:rtl w:val="true"/>
          <w:lang w:bidi="fa-IR"/>
        </w:rPr>
        <w:t>.</w:t>
      </w:r>
    </w:p>
    <w:p>
      <w:pPr>
        <w:pStyle w:val="Heading6"/>
        <w:numPr>
          <w:ilvl w:val="5"/>
          <w:numId w:val="1"/>
        </w:numPr>
        <w:rPr/>
      </w:pPr>
      <w:bookmarkStart w:id="632" w:name="__RefHeading___Toc509042_1738255347"/>
      <w:bookmarkStart w:id="633" w:name="_Toc214"/>
      <w:bookmarkEnd w:id="632"/>
      <w:r>
        <w:rPr>
          <w:rtl w:val="true"/>
        </w:rPr>
        <w:t>تحدید دائرة الحجّیّة</w:t>
      </w:r>
      <w:bookmarkEnd w:id="633"/>
    </w:p>
    <w:p>
      <w:pPr>
        <w:pStyle w:val="BookText"/>
        <w:rPr/>
      </w:pPr>
      <w:r>
        <w:rPr>
          <w:rFonts w:ascii="IRNazanin" w:hAnsi="IRNazanin" w:eastAsia="IRNazanin"/>
          <w:color w:val="111111"/>
          <w:sz w:val="28"/>
          <w:sz w:val="28"/>
          <w:szCs w:val="28"/>
          <w:rtl w:val="true"/>
          <w:lang w:bidi="fa-IR"/>
        </w:rPr>
        <w:t xml:space="preserve">وبعد افتراض ثبوت الحجّیّة یقع الکلام فی تحدید دائرتها ، وتحدید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بلحاظ صفات الراوی ، واخری بلحاظ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باللّحاظ الأوّل فصفوة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 الحجّیّة إذا کان مفهوم آیة النبأ فهو یقتضی حجّیّة خبر العادل ، ولا یشمل خبر الفاسق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المدرک السنّة علی أساس الروایات والسیرة فلا شکّ فی أنّ موضوعها خبر الثقة ولو لم یکن عادلاً من غیر جهة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وثاقة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تؤخذ مناطاً للحجّیّة علی وجه الموضوعیّة ، واخری تؤخذ مناطاً لها علی وجه الطریقیّة وبما هی سبب للوثوق غالباً بصدق الراوی وصحّة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استظهر الأوّل لزم القول بحجّیّة خبر الثقة ولو قامت أمارة عکسیّة مکافئة لوثاقة الراوی فی کشفها ، وإن استظهر الثانی لزم سقوط خبر الثقة عن الحجّیّة فی حالة قیام أمارةٍ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یترتّب أنّ إعراض القدماء من علمائنا عن العمل بخبر ثقةٍ یوجب سقوطه عن الحجّیّة إذا لم یحتمل فیه کونه قائماً علی أساسٍ اجتهادیّ ؛ لأنّه یکون أمارةً علی وجود خللٍ فی النقل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غیر الثقة فإن لم تکن هناک أمارات ظنّیّة علی صدقه فلا إشکال فی عدم حجّیّته ، وإن کانت هناک أمارات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أفادت الاطمئنان الشخصیّ کان حجّةً لحجّیّة الاطمئنان ، کما تقدّم ، وإلاّ ففی حجّیّة الخبر وجهان مبنیّان علی أنّ وثاقة الراوی هل هی مأخوذة مناطاً للحجّیّة علی وجه الموضوعیّة ، أو بما هی سبب للوثوق الغالب بالمضمون علی نحوٍ یکون السبب والمسبَّب کلاهما دخیلین فی </w:t>
      </w:r>
      <w:bookmarkStart w:id="634" w:name="pg14075_144674"/>
    </w:p>
    <w:p>
      <w:pPr>
        <w:pStyle w:val="BookText"/>
        <w:rPr/>
      </w:pPr>
      <w:bookmarkEnd w:id="634"/>
      <w:r>
        <w:rPr>
          <w:rFonts w:ascii="IRNazanin" w:hAnsi="IRNazanin" w:eastAsia="IRNazanin"/>
          <w:color w:val="111111"/>
          <w:sz w:val="28"/>
          <w:sz w:val="28"/>
          <w:szCs w:val="28"/>
          <w:rtl w:val="true"/>
          <w:lang w:bidi="fa-IR"/>
        </w:rPr>
        <w:t>الحجّیّة ، أو بما هی معرّف صرف للوثوق الغالب بالمضمون دون أن یکون لوثاقة الراوی دخل بعنوانها؟</w:t>
      </w:r>
    </w:p>
    <w:p>
      <w:pPr>
        <w:pStyle w:val="BookText"/>
        <w:rPr/>
      </w:pPr>
      <w:r>
        <w:rPr>
          <w:rFonts w:ascii="IRNazanin" w:hAnsi="IRNazanin" w:eastAsia="IRNazanin"/>
          <w:color w:val="111111"/>
          <w:sz w:val="28"/>
          <w:sz w:val="28"/>
          <w:szCs w:val="28"/>
          <w:rtl w:val="true"/>
          <w:lang w:bidi="fa-IR"/>
        </w:rPr>
        <w:t>فعلی الأوّل والثانی لا یکون الخبر المذکور حجّة ، وعلی الثالث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التقادیر تبتنی إثباتاً ونفیاً مسألة انجبار الخبر الضعیف بعمل المشهور من قدماء العلماء ، فإنّ عمل المشهور به یعتبر أمارةً علی صحة النقل ، فقد یدخل فی نطاق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باللحاظ الثانی فیعتبر فی الحجّیّة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الخبر حسّیّاً لا حدْسیّاً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مخالفاً لدلیلٍ قطعیّ الصدور من الشارع ، کالکتاب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فلعدم شمول أدلّة الحجّیّة للأخبار الحدسیّة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الثانی فلِمَا دلّ من الروایات علی عدم حجّیّة الخبر المخالف للکتاب الکریم </w:t>
      </w:r>
      <w:r>
        <w:rPr>
          <w:rStyle w:val="FootnoteAnchor"/>
          <w:rtl w:val="true"/>
        </w:rPr>
        <w:footnoteReference w:id="109"/>
      </w:r>
      <w:r>
        <w:rPr>
          <w:rFonts w:ascii="IRNazanin" w:hAnsi="IRNazanin" w:eastAsia="IRNazanin"/>
          <w:color w:val="111111"/>
          <w:sz w:val="28"/>
          <w:sz w:val="28"/>
          <w:szCs w:val="28"/>
          <w:rtl w:val="true"/>
          <w:lang w:bidi="fa-IR"/>
        </w:rPr>
        <w:t>، فإنّه یقیّد أدلّة حجّیّة الخبر بغیر صورة المخالفة للکتاب الکریم ، أو ما کان بمثابته من الأدّلة الشرعیّة القطعیّة صدوراً وسنداً</w:t>
      </w:r>
      <w:r>
        <w:rPr>
          <w:rFonts w:eastAsia="IRNazanin" w:cs="IRNazanin"/>
          <w:color w:val="111111"/>
          <w:sz w:val="28"/>
          <w:szCs w:val="28"/>
          <w:rtl w:val="true"/>
          <w:lang w:bidi="fa-IR"/>
        </w:rPr>
        <w:t>.</w:t>
      </w:r>
    </w:p>
    <w:p>
      <w:pPr>
        <w:pStyle w:val="Heading6"/>
        <w:numPr>
          <w:ilvl w:val="5"/>
          <w:numId w:val="1"/>
        </w:numPr>
        <w:rPr/>
      </w:pPr>
      <w:bookmarkStart w:id="635" w:name="__RefHeading___Toc509044_1738255347"/>
      <w:bookmarkStart w:id="636" w:name="_Toc215"/>
      <w:bookmarkEnd w:id="635"/>
      <w:r>
        <w:rPr>
          <w:rtl w:val="true"/>
        </w:rPr>
        <w:t>قاعدة التسامح فی أدلّة السنن</w:t>
      </w:r>
      <w:bookmarkEnd w:id="6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غیر الثقة إذا لم تکن هناک أمارات علی صدقه فهو لیس بحجّة ، ولکن قد 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المستحبّات ، أو علی مطلق الأوامر والنواهی غیر الإلزامیّة ، فیقال بأ نّها حجّة فی إثبات الاستحباب أو الکراهة ما لم یعلم ببطلان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ویستند فی ذلک إلی روایاتٍ </w:t>
      </w:r>
      <w:r>
        <w:rPr>
          <w:rStyle w:val="FootnoteAnchor"/>
          <w:rtl w:val="true"/>
        </w:rPr>
        <w:footnoteReference w:id="110"/>
      </w:r>
      <w:r>
        <w:rPr>
          <w:rFonts w:ascii="IRNazanin" w:hAnsi="IRNazanin" w:eastAsia="IRNazanin"/>
          <w:color w:val="111111"/>
          <w:sz w:val="28"/>
          <w:sz w:val="28"/>
          <w:szCs w:val="28"/>
          <w:rtl w:val="true"/>
          <w:lang w:bidi="fa-IR"/>
        </w:rPr>
        <w:t xml:space="preserve">فیها الصحیحة وغیرها دلّت علی أنّ من بلغه عن النبیّ صلی‌الله‌علیه‌وآله‌وسلم ثواب علی عملٍ فعمله کان له مثل </w:t>
      </w:r>
    </w:p>
    <w:p>
      <w:pPr>
        <w:pStyle w:val="BookText"/>
        <w:rPr/>
      </w:pPr>
      <w:r>
        <w:rPr>
          <w:rFonts w:ascii="IRNazanin" w:hAnsi="IRNazanin" w:eastAsia="IRNazanin"/>
          <w:color w:val="111111"/>
          <w:sz w:val="28"/>
          <w:sz w:val="28"/>
          <w:szCs w:val="28"/>
          <w:rtl w:val="true"/>
          <w:lang w:bidi="fa-IR"/>
        </w:rPr>
        <w:t xml:space="preserve">ذلک الثواب وإن کان النبیّ لم یقله ،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تجعل الحجّیّة لمطلق البلوغ فی موارد المستحبّات ، ومن أجل هذا یعبَّر عن ذلک بالتسامح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فیها بدواً عدّة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جعل الحجّیة لمطلق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إنشاء استحبابٍ واقعیٍّ نفسیٍّ علی طبق البلوغ ، فیکون بلوغ استحباب الفعل عنواناً ثانویّاً له یستدعی ثبوت استحبابٍ واقعیٍّ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إرشاداً إلی حکم العقل بحسن الاحتیاط واستحقاق المحتاط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وعداً مولویّاً لمصلحةٍ فی نفس الوعد ؛ ولو کانت هذه المصلحة هی الترغیب فی الاحتیاط باعتبار حسنه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الاحتمال الأوّل ، وهو غیر متعیّن ، بل ظاهر لسان الروایات ینفیه ؛ لأنّها تجعل للعامل الثواب ولو مع مخالفة الخبر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وضع نفس الثواب تعبیراً عن التعبّد بثبوت المؤدّی وحجّیة البلوغ لَما کان هناک معنی للتصریح بأنّ نفس الثواب محفوظ حتّی مع مخالفة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الاحتمال الثانی لا موجب لاستفادته أیضاً ، إلاّدعوی أنّ الثواب علی عملٍ فرع کونه مطلوباً ، وهی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یکفی حسن الاحتیاط عقلاً ملاکاً للثواب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فالمتعیّن هو الاحتمال الثالث ، ولکن مع تطعیمه بالاحتمال الرابع ؛ لأنّ الاحتمال الثالث بمفرده لا یفسِّر إعطاء العامل نفس الثواب الذی بلغه ؛ لأنّ العقل إنّما یحکم باستحقاق العامل للثواب لا لشخص ذلک الثواب ، فلا بدّ من الالتزام بأنّ هذه الخصوصیّة مردّها إلی وعدٍ مولویّ</w:t>
      </w:r>
      <w:r>
        <w:rPr>
          <w:rFonts w:eastAsia="IRNazanin" w:cs="IRNazanin"/>
          <w:color w:val="111111"/>
          <w:sz w:val="28"/>
          <w:szCs w:val="28"/>
          <w:rtl w:val="true"/>
          <w:lang w:bidi="fa-IR"/>
        </w:rPr>
        <w:t xml:space="preserve">. </w:t>
      </w:r>
      <w:bookmarkStart w:id="637" w:name="pg14075_144676"/>
    </w:p>
    <w:p>
      <w:pPr>
        <w:pStyle w:val="BookText"/>
        <w:rPr/>
      </w:pPr>
      <w:bookmarkEnd w:id="63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Heading6"/>
        <w:numPr>
          <w:ilvl w:val="5"/>
          <w:numId w:val="1"/>
        </w:numPr>
        <w:rPr/>
      </w:pPr>
      <w:bookmarkStart w:id="638" w:name="__RefHeading___Toc509046_1738255347"/>
      <w:bookmarkStart w:id="639" w:name="_Toc216"/>
      <w:bookmarkEnd w:id="638"/>
      <w:r>
        <w:rPr>
          <w:rtl w:val="true"/>
        </w:rPr>
        <w:t>إثباتُ حجیة الدلالة فی الدلیل الشرعی</w:t>
      </w:r>
      <w:bookmarkEnd w:id="639"/>
    </w:p>
    <w:p>
      <w:pPr>
        <w:pStyle w:val="Heading6"/>
        <w:numPr>
          <w:ilvl w:val="5"/>
          <w:numId w:val="1"/>
        </w:numPr>
        <w:rPr/>
      </w:pPr>
      <w:bookmarkStart w:id="640" w:name="__RefHeading___Toc509048_1738255347"/>
      <w:bookmarkStart w:id="641" w:name="_Toc217"/>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الحجیّة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الکتاب الکریم</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4075_144678"/>
      <w:bookmarkStart w:id="643" w:name="pg14075_144678"/>
      <w:bookmarkEnd w:id="643"/>
    </w:p>
    <w:p>
      <w:pPr>
        <w:pStyle w:val="Heading6"/>
        <w:numPr>
          <w:ilvl w:val="5"/>
          <w:numId w:val="1"/>
        </w:numPr>
        <w:rPr/>
      </w:pPr>
      <w:bookmarkStart w:id="644" w:name="pg14075_144678"/>
      <w:bookmarkStart w:id="645" w:name="__RefHeading___Toc509050_1738255347"/>
      <w:bookmarkStart w:id="646" w:name="_Toc218"/>
      <w:bookmarkEnd w:id="644"/>
      <w:bookmarkEnd w:id="645"/>
      <w:r>
        <w:rPr>
          <w:rtl w:val="true"/>
        </w:rPr>
        <w:t>تمهید</w:t>
      </w:r>
      <w:bookmarkEnd w:id="646"/>
    </w:p>
    <w:p>
      <w:pPr>
        <w:pStyle w:val="Heading6"/>
        <w:numPr>
          <w:ilvl w:val="5"/>
          <w:numId w:val="1"/>
        </w:numPr>
        <w:rPr/>
      </w:pPr>
      <w:bookmarkStart w:id="647" w:name="__RefHeading___Toc509052_1738255347"/>
      <w:bookmarkStart w:id="648" w:name="_Toc219"/>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الدلیل الشرعیّ قد یدلّ علی حکمٍ دلالةً واضحةً توجب الیقین أو الاطمئنان بأنّ هذا الحکم هو المدلول المقصود ، وفی هذه الحالة یعتبر حجّةً فی دلالته علی إثبات ذلک الحکم ؛ لأنّ الیقین حجّة ، والاطمئنان حجّة ، من دون فرقٍ بین أن یکون هذا الوضوح والیقین بالدلالة قائماً علی أساس کونها دلالةً عقلیّةً إنّیّةً من قبیل دلالة فعل المعصوم علی عدم الحرمة ، أو علی أساس کون الدلیل لفظاً لا یتحمّل بحسب نظام اللغة وأسالیب التعبیر سوی إفادة ذلک المدلول ؛ وهو المسمّی بالنصّ ، أو علی أساس احتفاف الدلیل اللفظیّ بقرائن حالیّةٍ أو عقلیّةٍ تنفی احتمال مدلولٍ آخر وإن کان ممکناً من وجهة نظرٍ لغویّةٍ وعرفیّةٍ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یدلّ الدلیل الشرعیّ علی أحد أمرین أو امورٍ علی نحو تکون صلاحیّته لإفادة أیّ واحدٍ منها مکافئةً لصلاحیّته لإفادة غیره بحسب نظام اللغة وأسالیب التعبیر العرفیّ ، وهذا هو المجمل ، ویکون حجّةً فی إثبات الجامع علی أساس العلم بأنّ المراد لا یخلو من أحد محتملیه أو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للجامع أثر قابل للتنجیز بالعلم المذکور ، وأمّا کلّ واحدٍ من المحتملات بخصوصه فلا یثبت بالدلیل المذکور إلاّمع الاستعانة بدلیلٍ خارجیٍّ علی نفی المحتمل الآخر ، فیضمّ إلی إثبات الجامع ، فینتج التعیّن فی المحتمل البدیل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یدلّ الدلیل الشرعیّ علی أحد أمرین مع أولویّة دلالته علی أحدهما بنحوٍ ینسبق إلی الذهن تصوّراً علی مستوی المدلول التصوّریّ ، وتصدیقاً علی </w:t>
      </w:r>
      <w:bookmarkStart w:id="649" w:name="pg14075_144679"/>
    </w:p>
    <w:p>
      <w:pPr>
        <w:pStyle w:val="BookText"/>
        <w:rPr/>
      </w:pPr>
      <w:bookmarkEnd w:id="649"/>
      <w:r>
        <w:rPr>
          <w:rFonts w:ascii="IRNazanin" w:hAnsi="IRNazanin" w:eastAsia="IRNazanin"/>
          <w:color w:val="111111"/>
          <w:sz w:val="28"/>
          <w:sz w:val="28"/>
          <w:szCs w:val="28"/>
          <w:rtl w:val="true"/>
          <w:lang w:bidi="fa-IR"/>
        </w:rPr>
        <w:t>مستوی المدلول التصدیقیّ ، وإن کانت إفادة المعنی الآخر تصوّراً وتصدیقاً بالدلیل المذکور ممکنةً ومحتملةً أیضاً بحسب نظام اللغة وأسالیب التعبیر ، وهذا هو الدلیل الظاهر فی معنی ، وفی مثل ذلک یحمل علی المعنی الظاهر ؛ لأنّ الظهور حجّة فی تعیین مراد المتکلّم ، وهذه الحجّیّة لا تقوم علی أساس اعتبار العلم ؛ لأنّ الظهور لا یوجب العلم دائماً ، بل علی أساس حکم الشارع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ویعبّر عن حجّیّة الظهور بأصالة الظهور ، وعلی وزان ذلک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ذلک من مصادیقَ لکبری حجّیّة الظهور</w:t>
      </w:r>
      <w:r>
        <w:rPr>
          <w:rFonts w:eastAsia="IRNazanin" w:cs="IRNazanin"/>
          <w:color w:val="111111"/>
          <w:sz w:val="28"/>
          <w:szCs w:val="28"/>
          <w:rtl w:val="true"/>
          <w:lang w:bidi="fa-IR"/>
        </w:rPr>
        <w:t>.</w:t>
      </w:r>
    </w:p>
    <w:p>
      <w:pPr>
        <w:pStyle w:val="Heading6"/>
        <w:numPr>
          <w:ilvl w:val="5"/>
          <w:numId w:val="1"/>
        </w:numPr>
        <w:rPr/>
      </w:pPr>
      <w:bookmarkStart w:id="650" w:name="__RefHeading___Toc509054_1738255347"/>
      <w:bookmarkStart w:id="651" w:name="_Toc220"/>
      <w:bookmarkEnd w:id="650"/>
      <w:r>
        <w:rPr>
          <w:rtl w:val="true"/>
        </w:rPr>
        <w:t>الاستدلال علی حجّیّة الظهور</w:t>
      </w:r>
      <w:bookmarkEnd w:id="651"/>
    </w:p>
    <w:p>
      <w:pPr>
        <w:pStyle w:val="BookText"/>
        <w:rPr/>
      </w:pPr>
      <w:r>
        <w:rPr>
          <w:rFonts w:ascii="IRNazanin" w:hAnsi="IRNazanin" w:eastAsia="IRNazanin"/>
          <w:color w:val="111111"/>
          <w:sz w:val="28"/>
          <w:sz w:val="28"/>
          <w:szCs w:val="28"/>
          <w:rtl w:val="true"/>
          <w:lang w:bidi="fa-IR"/>
        </w:rPr>
        <w:t xml:space="preserve">وحکم الشارع بحجّیّة الظهور یمکن الاستدلال علیه بالسیرة بأحد النحوین التالیین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نتمسّک بالسیرة العقلائیّة بمعنی استقرار بناء العقلاء علی اتّخاذ الظهور وسیلةً کافیةً لمعرفة مقاصد المتکلّم ، وترتیب ما یری لها من آثارٍ بحسب الأغراض التکوینیّة أو التشریعیّة ، وهذه السیرة بحکم استحکامها تشکّل دافعاً عقلائیّاً عامّاً للعمل بالظهور فی الشرعیّات لو ترک المتشرّعة إلی میولهم العقلائیّة ، وفی حالةٍ من هذا القبیل یکون عدم الردع والسکوت کاشفاً عن الإمضاء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بحث دلالات الدلیل الشرعیّ غیر اللفظیّ استعراض عددٍ من الأوجه لتفسیر دلالة السکوت علی الإمضاء ، ویلاحظ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واحداً من تلک الأوجه لا یمکن تطبیقه فی المقام ، وهو تفسیر الدلالة علی أساس الظهور الحالیّ ؛ لأنّ الکلام هنا فی حجّیّة الظهور فلا یکفی فی إثباتها ظهور حال المعصوم فی الإمضاء</w:t>
      </w:r>
      <w:r>
        <w:rPr>
          <w:rFonts w:eastAsia="IRNazanin" w:cs="IRNazanin"/>
          <w:color w:val="111111"/>
          <w:sz w:val="28"/>
          <w:szCs w:val="28"/>
          <w:rtl w:val="true"/>
          <w:lang w:bidi="fa-IR"/>
        </w:rPr>
        <w:t xml:space="preserve">. </w:t>
      </w:r>
      <w:bookmarkStart w:id="652" w:name="pg14075_144680"/>
    </w:p>
    <w:p>
      <w:pPr>
        <w:pStyle w:val="BookText"/>
        <w:rPr/>
      </w:pPr>
      <w:bookmarkEnd w:id="652"/>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نتمسّک بسیرة المتشرّعة من أصحاب الأئمة علیهم‌السلام وفقهائهم ، فإنّنا لا نشکّ فی أنّ عملهم فی مقام الاستنباط کان یقوم فعلاً علی العمل بظواهر الکتاب والسنّة ، ویمکن إثبات ذلک باستعمال الطریق الرابع من طرق إثبات السیرة المتقدّمة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تکون السیرة المذکورة کاشفةً کشفاً إنّیّاً مباشراً عن الإمضاء ، ولاحاجة حینئذٍ إلی توسیط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السکوت کاشف عن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ما تقدّم من الفرق بین سیرة المتشرّعة والسیرة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ویواجِه الاستدلال بالسیرة هنا نفس ما واجهه الاستدلال بالسیرة فی بحث حجّیّة الخبر ، إذ یُعتَرَض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السیرة مردوع عنها بالمطلقات الناهیة عن العمل بالظنّ أو بإطلاق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الاعتراض یعرف ممّا تقدّم فی بحث حجّیّة الخبر ، مضافاً إلی أنّ ما دلّ علی النهی عن العمل بالظنّ یشمل إطلاق نفسه ؛ لأنّه دلالة ظنّیة أیضاً ، ولا نحتمل الفرق بینها وبین غیرها من الدلالات والظواهر الظنّیّة ، فیلزم من حجّیّته التعبّد بعدم حجّیّة نفسه ، وما ینفی نفسه کذلک لا یعقل الاکتفاء به فی مقام الردع</w:t>
      </w:r>
      <w:r>
        <w:rPr>
          <w:rFonts w:eastAsia="IRNazanin" w:cs="IRNazanin"/>
          <w:color w:val="111111"/>
          <w:sz w:val="28"/>
          <w:szCs w:val="28"/>
          <w:rtl w:val="true"/>
          <w:lang w:bidi="fa-IR"/>
        </w:rPr>
        <w:t>.</w:t>
      </w:r>
    </w:p>
    <w:p>
      <w:pPr>
        <w:pStyle w:val="Heading6"/>
        <w:numPr>
          <w:ilvl w:val="5"/>
          <w:numId w:val="1"/>
        </w:numPr>
        <w:rPr/>
      </w:pPr>
      <w:bookmarkStart w:id="653" w:name="__RefHeading___Toc509056_1738255347"/>
      <w:bookmarkStart w:id="654" w:name="_Toc221"/>
      <w:bookmarkEnd w:id="653"/>
      <w:r>
        <w:rPr>
          <w:rtl w:val="true"/>
        </w:rPr>
        <w:t>موضوع الحجّیة</w:t>
      </w:r>
      <w:bookmarkEnd w:id="654"/>
    </w:p>
    <w:p>
      <w:pPr>
        <w:pStyle w:val="BookText"/>
        <w:rPr/>
      </w:pPr>
      <w:r>
        <w:rPr>
          <w:rFonts w:ascii="IRNazanin" w:hAnsi="IRNazanin" w:eastAsia="IRNazanin"/>
          <w:color w:val="111111"/>
          <w:sz w:val="28"/>
          <w:sz w:val="28"/>
          <w:szCs w:val="28"/>
          <w:rtl w:val="true"/>
          <w:lang w:bidi="fa-IR"/>
        </w:rPr>
        <w:t>عرفنا سابقاً أنّ الدلالة تصوّریّة وتصدیقیّة ، وعلیه فهناک ظهور علی مستوی الدلالة التصوّریّة ، وهناک ظهور علی مستوی 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الظهور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المعنیین أسرع انسباقاً إلی تصوّر الإنسان وذهنه من الآخر عند سماع اللفظ</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الظهور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کشف الکلام تصدیقاً عمّا فی نفس المتکلّم یبرز هذا المعنی دون ذاک ، فیقال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فیه بحسب الدلالة التصدیقیّة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تقدّم أنّ الظاهر من کلّ کلامٍ أن یتطابق مدلوله التصوّریّ مع مدلوله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فموضوع الحجّیّة هو الظهور علی مستوی الدلالة التصدیقیّة ؛ لأن الحجّیّة معناها إثبات مراد المتکلّم وحکمه بظهور الکلام ، والکاشف عن المراد والحکم إنّما هو الدلالة التصدیقیّة والظهور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الدلالة التصوّریّة فلا تکشف عن شیءٍ لکی تکون حجّةً فی إثباته ، وإنّما هی مجرّد إخطارٍ وتصوّر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الظهور علی مستوی الدلالة التصوّریّة هو الذی یعیّن لنا عادةً الظهور التصدیقیّ ؛ لأنّ ظاهر الکلام هو التطابق بین ماهو الظاهر تصوّراً وما هو المراد تصدیقاً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 التصوّریّ إذن یؤخذ کأداةٍ لتعیین الظهور التصدیقیّ الذی هو موضوع الحجّیّة ، لا أنّه موضوع لها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یوضِّح المتکلّم فی نفس کلامه أنّ مراده الجدّیّ یختلف عمّا هو الظاهر من الکلام فی مرحلة المدلول التصوّریّ ، وبهذا یصبح الظهور التصدیقیّ الذی هو موضوع الحجّیّة مختلفاً عن الظهور التصوّریّ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بأسدٍ وأعنی به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وتسمّی الجملة التی سبّبت هذا الاختلاف بالقرینة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تواجدها فی الکلام مؤکّداً ، کما فی هذا المثال ، واخری یکون محتملاً ، کما لو کنّا نستمع إلی المتکلّم ثمّ ذهلنا عن الاستماع واحتملنا أنّه قال شیئاً من ذلک القبیل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من الحالتین لا یمکن الأخذ بالظهور التصدیقیّ للکلام فی إرادة الحیوان المفترس ، إذ فی الحالة الاولی لا ظهور کذلک جزماً ؛ لأنّنا نعلم بأنّ الظهور التصدیقیّ اختلف عن الظهور التصوّریّ ، وفی الحالة الثانیة نشکّ فی وجود ظهورٍ تصدیقیّ علی طبق الظهور التصوّریّ ؛ لأنّ احتمال القرینة یوجب احتمال التخالف بین الظهورین ، ومع الشکّ فی وجوده لا یمکن البناء علی حجّیّته ، وهذا یعنی أنّ احتمال </w:t>
      </w:r>
      <w:bookmarkStart w:id="655" w:name="pg14075_144682"/>
    </w:p>
    <w:p>
      <w:pPr>
        <w:pStyle w:val="BookText"/>
        <w:rPr/>
      </w:pPr>
      <w:bookmarkEnd w:id="655"/>
      <w:r>
        <w:rPr>
          <w:rFonts w:ascii="IRNazanin" w:hAnsi="IRNazanin" w:eastAsia="IRNazanin"/>
          <w:color w:val="111111"/>
          <w:sz w:val="28"/>
          <w:sz w:val="28"/>
          <w:szCs w:val="28"/>
          <w:rtl w:val="true"/>
          <w:lang w:bidi="fa-IR"/>
        </w:rPr>
        <w:t xml:space="preserve">القرینة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جواز الأخذ بالظهور الذی کان من المترقّب أن یثبت للکلام فی حالة تجرّده عن القرینة</w:t>
      </w:r>
      <w:r>
        <w:rPr>
          <w:rFonts w:eastAsia="IRNazanin" w:cs="IRNazanin"/>
          <w:color w:val="111111"/>
          <w:sz w:val="28"/>
          <w:szCs w:val="28"/>
          <w:rtl w:val="true"/>
          <w:lang w:bidi="fa-IR"/>
        </w:rPr>
        <w:t>.</w:t>
      </w:r>
    </w:p>
    <w:p>
      <w:pPr>
        <w:pStyle w:val="Heading6"/>
        <w:numPr>
          <w:ilvl w:val="5"/>
          <w:numId w:val="1"/>
        </w:numPr>
        <w:rPr/>
      </w:pPr>
      <w:bookmarkStart w:id="656" w:name="__RefHeading___Toc509058_1738255347"/>
      <w:bookmarkStart w:id="657" w:name="_Toc222"/>
      <w:bookmarkEnd w:id="656"/>
      <w:r>
        <w:rPr>
          <w:rtl w:val="true"/>
        </w:rPr>
        <w:t>ظواهر الکتاب الکریم</w:t>
      </w:r>
      <w:bookmarkEnd w:id="657"/>
    </w:p>
    <w:p>
      <w:pPr>
        <w:pStyle w:val="BookText"/>
        <w:rPr/>
      </w:pPr>
      <w:r>
        <w:rPr>
          <w:rFonts w:ascii="Amiri" w:hAnsi="Amiri" w:eastAsia="Amiri" w:cs="Amiri"/>
          <w:color w:val="111111"/>
          <w:sz w:val="28"/>
          <w:sz w:val="28"/>
          <w:szCs w:val="28"/>
          <w:rtl w:val="true"/>
          <w:lang w:bidi="ar-SA"/>
        </w:rPr>
        <w:t xml:space="preserve">ذهب جماعة </w:t>
      </w:r>
      <w:r>
        <w:rPr>
          <w:rStyle w:val="FootnoteAnchor"/>
          <w:rtl w:val="true"/>
        </w:rPr>
        <w:footnoteReference w:id="111"/>
      </w:r>
      <w:r>
        <w:rPr>
          <w:rFonts w:ascii="IRNazanin" w:hAnsi="IRNazanin" w:eastAsia="IRNazanin"/>
          <w:color w:val="111111"/>
          <w:sz w:val="28"/>
          <w:sz w:val="28"/>
          <w:szCs w:val="28"/>
          <w:rtl w:val="true"/>
          <w:lang w:bidi="fa-IR"/>
        </w:rPr>
        <w:t xml:space="preserve">من العلماء إلی استثناء ظواهر الکتاب الکریم من الحجّیّة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یجوز العمل فی ما یتعلّق بالقرآن العزیز إلاّبما کان نصّاً فی المعنی ، أو مفسّراً تفسیراً محدّداً من قبل النبیّ صلی‌الله‌علیه‌وآله‌وسلم أو المعصومین من آله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ذلک بما 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فَأمّا الّذِینَ فی قُلُوِبِهمْ زَیْغٌ فَیَتّبِعُونَ مَا تَشَابَهَ مِنْهُ ابْتِغَاءَ الْفِتْنَةِ وَابْتِغَاءَ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یدلّ علی النهی عن اتّباع المتشابه ، وکلّ ما لا یکون نصّاً فهو متشابه ، لتشابه محتملاته فی علاقتها باللفظ ، سواء کان اللفظ مع أحدها أقوی علاقةً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الظاهر لیس من المتشابه ، إذ لا تشابه ولا تکافؤ بین معانیه فی درجة علاقتها باللفظ ، بل المعنی الظاهر متمیّز فی درجة علاقته ، وعلیه فالمتشابه یختصّ بالمجمل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الظاهر من المتشابَه فلا نسلّم أنّ الآیة الکریمة تنهی عن </w:t>
      </w:r>
    </w:p>
    <w:p>
      <w:pPr>
        <w:pStyle w:val="BookText"/>
        <w:rPr/>
      </w:pPr>
      <w:r>
        <w:rPr>
          <w:rFonts w:ascii="IRNazanin" w:hAnsi="IRNazanin" w:eastAsia="IRNazanin"/>
          <w:color w:val="111111"/>
          <w:sz w:val="28"/>
          <w:sz w:val="28"/>
          <w:szCs w:val="28"/>
          <w:rtl w:val="true"/>
          <w:lang w:bidi="fa-IR"/>
        </w:rPr>
        <w:t xml:space="preserve">مجرّد العمل بالمتشابه ، وإنّما هی فی سیاق ذمّ من یلتقط المتشابهات فیرکّز علیها بصورةٍ منفصلةٍ عن المحکمات ابتغاء الفتنة ، وهذا ممّا لا إشکال فی عدم جوازه حتّی بالنسبة إلی ظواهر الکتاب ، فمساق الآیة مساق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عدوّی یحاول أن یبرز النقاط الموهمة من سلوکی ویفصلها عن ملابساتها التی توضّح سلوکی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یقال من أنّ الآیة لیست نصّاً فی الشمول لظاهر الکتاب ، وإنّما هی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أکثر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الشمول ، وهذا الظهور یشمله النهی نفسه ، فیلزم من حجّیّة ظاهر الآیة فی إثبات الردع عن العمل بظواهر الکتاب الکریم نفی هذه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الناهیة عن الرجوع إلی ظواهر القرآن الکریم ، ویمکن تصنیفها إلی ثلاث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الروایات علی أنّ القرآن الکریم مبهم وغامض قد استهدف المولی إغماضه وإبهامه لأجل تأکید حاجة الناس إلی الحجّة ، وأ نّه لا یعرفه إلاّ من خوطب به ، وأنّ غیر المعصوم لا یصل إلی مستوی فهمه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الطائفة یرد علیها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روایاتها جمیعاً ضعیفة السند ، بل قد یحصل الاطمئنان بکذبها نتیجةً لضعف رواتها ، وکونهم فی الغالب من ذوی الاتّجاهات الباطنیّة المنحرفة علی ما یظهر من تراجمهم ، مع الالتفات إلی أنّ إسقاط ظواهر الکتاب الکریم عن الحجّیّة أمر فی غایة الأهمّیّة ، فلو کان الأئمّة علیهم‌السلام بصدد بیانه لَما أمکن عادةً افتراض اختصاص هؤلاء الضعاف بالاطّلاع علی ذلک والإخبار عنه دون فقهاء أصحاب الأئمّة ، الذین علیهم المعوّل وإلیهم تفزع الشیعة فی الفتوی والاستنباط بأمر الأئمّة </w:t>
      </w:r>
    </w:p>
    <w:p>
      <w:pPr>
        <w:pStyle w:val="BookText"/>
        <w:rPr/>
      </w:pPr>
      <w:r>
        <w:rPr>
          <w:rFonts w:ascii="IRNazanin" w:hAnsi="IRNazanin" w:eastAsia="IRNazanin"/>
          <w:color w:val="111111"/>
          <w:sz w:val="28"/>
          <w:sz w:val="28"/>
          <w:szCs w:val="28"/>
          <w:rtl w:val="true"/>
          <w:lang w:bidi="fa-IR"/>
        </w:rPr>
        <w:t>وإرجاعهم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الروایات معارضة للکتاب الکریم الدالّ علی أنّه نزل تبیاناً لکلّ شیءٍ وهدیً وبلاغاً </w:t>
      </w:r>
      <w:r>
        <w:rPr>
          <w:rStyle w:val="FootnoteAnchor"/>
          <w:rtl w:val="true"/>
        </w:rPr>
        <w:footnoteReference w:id="114"/>
      </w:r>
      <w:r>
        <w:rPr>
          <w:rFonts w:ascii="IRNazanin" w:hAnsi="IRNazanin" w:eastAsia="IRNazanin"/>
          <w:color w:val="111111"/>
          <w:sz w:val="28"/>
          <w:sz w:val="28"/>
          <w:szCs w:val="28"/>
          <w:rtl w:val="true"/>
          <w:lang w:bidi="fa-IR"/>
        </w:rPr>
        <w:t>، والمخالف للکتاب من أخبار الآحاد لا یشمله دلیل حجّیّة خبر الواحد ، کما أشرنا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الروایات علی عدم جواز الاستقلال فی فهم القرآن عن الحجّة </w:t>
      </w:r>
      <w:r>
        <w:rPr>
          <w:rStyle w:val="FootnoteAnchor"/>
          <w:rtl w:val="true"/>
        </w:rPr>
        <w:footnoteReference w:id="115"/>
      </w:r>
      <w:r>
        <w:rPr>
          <w:rFonts w:ascii="IRNazanin" w:hAnsi="IRNazanin" w:eastAsia="IRNazanin"/>
          <w:color w:val="111111"/>
          <w:sz w:val="28"/>
          <w:sz w:val="28"/>
          <w:szCs w:val="28"/>
          <w:rtl w:val="true"/>
          <w:lang w:bidi="fa-IR"/>
        </w:rPr>
        <w:t>، وهذه لا تدلّ علی عدم جواز العمل بظاهر الکتاب بعد الفحص فی کلمات الأئمّة ، وعدم الظفر بقرینةٍ علی خلاف الظاهر ؛ لأنّ هذا النحو من العمل لیس استقلالاً عن الحجّة فی مقام فهم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الروایات علی النهی عن تفسیر القرآن بالرأی ، وأنّ مَن فسّر القرآن برأیه فقد کفر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اجیب علی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اللفظ علی معناه الظاهر لیس تفسیراً ؛ لأنّ التفسیر کشف القناع ، ولا قناع علی المعنی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الجواب لا ینطبق علی بعض الحالات حینما یکون الدلیل مشتملاً علی ظواهر اقتضائیّةٍ عدیدةٍ متضاربة ، علی نحوٍ یحتاج تقدیر الظهور الفعلیّ المتحصّل من مجموع تلک الظواهر بعد الموازنة والکسر والانکسار إلی نظرٍ وإمعان ، فیکون لوناً من کشف القناع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نری أنّ الفقهاء قد یختلفون فی فهم دلیل ، فیُفهم بشکلٍ من فقیه ، ویأتی فقیه آخر فیبرز نکتةً من داخل الدلیل تعیّن فهمه بشکلٍ آخر علی أساس ما </w:t>
      </w:r>
    </w:p>
    <w:p>
      <w:pPr>
        <w:pStyle w:val="BookText"/>
        <w:rPr/>
      </w:pPr>
      <w:r>
        <w:rPr>
          <w:rFonts w:ascii="IRNazanin" w:hAnsi="IRNazanin" w:eastAsia="IRNazanin"/>
          <w:color w:val="111111"/>
          <w:sz w:val="28"/>
          <w:sz w:val="28"/>
          <w:szCs w:val="28"/>
          <w:rtl w:val="true"/>
          <w:lang w:bidi="fa-IR"/>
        </w:rPr>
        <w:t>تقتضیه تلک النکتة من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فالأحسن ،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ما نعرفه من ملابسات عصر النصّ وظهور هذه الکلمة کمصطلحٍ وشعارٍ لاتّجاهٍ فقهیٍّ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الحَدْس والاستحسان ، فلا تشمل الرأی المبنیّ علی قریحةٍ عرفیّةٍ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الروایات المذکورة للظاهر لا یصلح أن یکون رادعاً عن السیرة علی العمل بالظواهر ، سواء ارید بها السیرة العقلائیّة أو سیرة المتشرّعة ، نظیر ما تقدّم فی بحث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فلأنّ الردع یجب أن یتناسب حجماً ووضوحاً مع درجة استحکام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نّنا إذا ادّعینا أنّ سیرة المتشرّعة من أصحاب الأئمة کانت علی العمل بظواهر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لعرف الخلاف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هذه السیرة تثبت عدم صلاحیّة الإطلاق المذکور للردع ، بل تکون مقیّدةً 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یدفع به الاستدلال بالروایات المذکورة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الروایات علی الأمر بالتمسّک بالقرآن الکریم </w:t>
      </w:r>
      <w:r>
        <w:rPr>
          <w:rStyle w:val="FootnoteAnchor"/>
          <w:rtl w:val="true"/>
        </w:rPr>
        <w:footnoteReference w:id="117"/>
      </w:r>
      <w:r>
        <w:rPr>
          <w:rFonts w:ascii="IRNazanin" w:hAnsi="IRNazanin" w:eastAsia="IRNazanin"/>
          <w:color w:val="111111"/>
          <w:sz w:val="28"/>
          <w:sz w:val="28"/>
          <w:szCs w:val="28"/>
          <w:rtl w:val="true"/>
          <w:lang w:bidi="fa-IR"/>
        </w:rPr>
        <w:t xml:space="preserve">الصادق عرفاً علی العمل بظواهره ، وعلی إرجاع الشروط إلیه وإبطال ما کان منها مخالفاً له </w:t>
      </w:r>
      <w:r>
        <w:rPr>
          <w:rStyle w:val="FootnoteAnchor"/>
          <w:rtl w:val="true"/>
        </w:rPr>
        <w:footnoteReference w:id="118"/>
      </w:r>
      <w:r>
        <w:rPr>
          <w:rFonts w:ascii="IRNazanin" w:hAnsi="IRNazanin" w:eastAsia="IRNazanin"/>
          <w:color w:val="111111"/>
          <w:sz w:val="28"/>
          <w:sz w:val="28"/>
          <w:szCs w:val="28"/>
          <w:rtl w:val="true"/>
          <w:lang w:bidi="fa-IR"/>
        </w:rPr>
        <w:t xml:space="preserve">، فإنّ المخالفة إن کان المراد بها </w:t>
      </w:r>
    </w:p>
    <w:p>
      <w:pPr>
        <w:pStyle w:val="BookText"/>
        <w:rPr/>
      </w:pPr>
      <w:r>
        <w:rPr>
          <w:rFonts w:ascii="IRNazanin" w:hAnsi="IRNazanin" w:eastAsia="IRNazanin"/>
          <w:color w:val="111111"/>
          <w:sz w:val="28"/>
          <w:sz w:val="28"/>
          <w:szCs w:val="28"/>
          <w:rtl w:val="true"/>
          <w:lang w:bidi="fa-IR"/>
        </w:rPr>
        <w:t>المخالفة للفظه فتصدق علی مخالفة ظاهره ، وإن کان المراد بها المخالفة لواقع مضمونه فمقتضی الإطلاق المقامیّ إمضاء ما علیه العرف من موازینَ فی استخراج المضمون ؛ فیدلّ علی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طرح ما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الکتاب والإحجام عن العمل بما کان مخالفاً له </w:t>
      </w:r>
      <w:r>
        <w:rPr>
          <w:rStyle w:val="FootnoteAnchor"/>
          <w:rtl w:val="true"/>
        </w:rPr>
        <w:footnoteReference w:id="119"/>
      </w:r>
      <w:r>
        <w:rPr>
          <w:rFonts w:ascii="IRNazanin" w:hAnsi="IRNazanin" w:eastAsia="IRNazanin"/>
          <w:color w:val="111111"/>
          <w:sz w:val="28"/>
          <w:sz w:val="28"/>
          <w:szCs w:val="28"/>
          <w:rtl w:val="true"/>
          <w:lang w:bidi="fa-IR"/>
        </w:rPr>
        <w:t>، فإنّه لا یحتمل فیه أن یراد منه المخالفة للمضمون القرآنیّ المکتشَف بالخبر ؛ لأنّه بصدد بیان جعل الضابط لما یُقبل وما لا یُقبل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یحتمل اختصاص المخالفة فیه بالمخالفة للنصّ ؛ لندرة الخبر المخالف للنصّ ، وکون روایات طرح المخالف ناظرةً إلی ما هو الشائع من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قُدّمت هذه الروایات الدالّة علی حجّیّة ظواهر الکتاب علی الروایات التی استدلّ بها علی نفی الحجیّة فهو ، وإن تکافأ الفریقان فعلی الأقلّ یلتزم بالتساقط ، ویقال بالحجّیّة حینئذٍ ؛ لأنّ الردع غیر ثابتٍ فتثبت الحجّیّة بالسیرة العقلائیّة بصورةٍ مستقلّة ، أو بضمّ استصحابِ مفادها الثابت فی صدر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ومردّه إلی إنکار الظهور ، بدعوی أنّ القرآن الکریم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لتعمّدٍ من الله تعالی فی جعله مجملاً لتأکید حاجة الناس إلی الإمام ، وإمّا لاقتضاء طبع المطلب ذلک ؛ لأنّ علوّ المعانی وشموخها یقتضی عدم تیسّرها للفهم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التعمّد المذکور علی خلاف الحکمة من نزول القرآن ، وربط الناس بالإمام فرع إقامة الحجّة علی أصل الدین المتوقّفة علی فهم القرآن </w:t>
      </w:r>
    </w:p>
    <w:p>
      <w:pPr>
        <w:pStyle w:val="BookText"/>
        <w:rPr/>
      </w:pPr>
      <w:r>
        <w:rPr>
          <w:rFonts w:ascii="IRNazanin" w:hAnsi="IRNazanin" w:eastAsia="IRNazanin"/>
          <w:color w:val="111111"/>
          <w:sz w:val="28"/>
          <w:sz w:val="28"/>
          <w:szCs w:val="28"/>
          <w:rtl w:val="true"/>
          <w:lang w:bidi="fa-IR"/>
        </w:rPr>
        <w:t>وإدراک مضامینه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شموخ المعانی وعلوّها ینبغی أن لا یکون علی حساب الهدف من بیانها ، ولمّا کان الهدف هدایة الإنسان فلابدّ أن تبیَّن المعانی علی نحوٍ یؤثّر فی تحقّق هذا الهدف ، وذلک موقوف علی تیسیر فهمه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ظواهر الکتاب الکریم حجّة کظواهر السنّة</w:t>
      </w:r>
      <w:r>
        <w:rPr>
          <w:rFonts w:eastAsia="IRNazanin" w:cs="IRNazanin"/>
          <w:color w:val="111111"/>
          <w:sz w:val="28"/>
          <w:szCs w:val="28"/>
          <w:rtl w:val="true"/>
          <w:lang w:bidi="fa-IR"/>
        </w:rPr>
        <w:t xml:space="preserve">. </w:t>
      </w:r>
      <w:bookmarkStart w:id="658" w:name="pg14075_144688"/>
    </w:p>
    <w:p>
      <w:pPr>
        <w:pStyle w:val="Heading5"/>
        <w:numPr>
          <w:ilvl w:val="4"/>
          <w:numId w:val="1"/>
        </w:numPr>
        <w:rPr/>
      </w:pPr>
      <w:bookmarkStart w:id="659" w:name="__RefHeading___Toc509060_1738255347"/>
      <w:bookmarkStart w:id="660" w:name="_Toc223"/>
      <w:bookmarkEnd w:id="658"/>
      <w:bookmarkEnd w:id="659"/>
      <w:r>
        <w:rPr>
          <w:rtl w:val="true"/>
        </w:rPr>
        <w:t>الدلیل العقلی</w:t>
      </w:r>
      <w:bookmarkEnd w:id="660"/>
    </w:p>
    <w:p>
      <w:pPr>
        <w:pStyle w:val="Heading6"/>
        <w:numPr>
          <w:ilvl w:val="5"/>
          <w:numId w:val="1"/>
        </w:numPr>
        <w:rPr/>
      </w:pPr>
      <w:bookmarkStart w:id="661" w:name="__RefHeading___Toc509062_1738255347"/>
      <w:bookmarkStart w:id="662" w:name="_Toc224"/>
      <w:bookmarkEnd w:id="661"/>
      <w:r>
        <w:rPr>
          <w:rtl w:val="true"/>
        </w:rPr>
        <w:t>اشارة</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الدلیل العقلیّ</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4075_144690"/>
      <w:bookmarkStart w:id="664" w:name="pg14075_144690"/>
      <w:bookmarkEnd w:id="664"/>
    </w:p>
    <w:p>
      <w:pPr>
        <w:pStyle w:val="Heading6"/>
        <w:numPr>
          <w:ilvl w:val="5"/>
          <w:numId w:val="1"/>
        </w:numPr>
        <w:rPr/>
      </w:pPr>
      <w:bookmarkStart w:id="665" w:name="pg14075_144690"/>
      <w:bookmarkStart w:id="666" w:name="__RefHeading___Toc509064_1738255347"/>
      <w:bookmarkStart w:id="667" w:name="_Toc225"/>
      <w:bookmarkEnd w:id="665"/>
      <w:bookmarkEnd w:id="666"/>
      <w:r>
        <w:rPr>
          <w:rtl w:val="true"/>
        </w:rPr>
        <w:t>تمهید</w:t>
      </w:r>
      <w:bookmarkEnd w:id="667"/>
    </w:p>
    <w:p>
      <w:pPr>
        <w:pStyle w:val="BookText"/>
        <w:rPr/>
      </w:pP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قضیّةٍ یدرکها العقل ویمکن أن یستنبط منها حکم شرعیّ ، والبحث عن هذه القضایا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صغرویّاً فی صحة القضیّة العقلیّة ومدی إدراک العقل لها ، واخری یقع کبرویّاً فی حجّیّة الإدراک العقلیّ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والقضایا العقلیّة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تشکّل عناصر مشترکةً فی عملیّة الاستنباط ، کالقضیّة العقلیّة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إیجاب شیءٍ یستلزم إیجاب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مرتبطة بأحکامٍ شرعیّةٍ معیّنة ، کحکم العقل بحرمة المخدّر قیاساً له علی الخمر ؛ لوجود صفةٍ مشترکةٍ وهی إذهاب الشعور ، وحکم العقل بحرمة الکذب ؛ لأنّه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الأوّل یدخل بحثه الصغرویّ والکبرویّ معاً فی علم الاصول ، فقد یُبحث عن أصل وجود إدراکٍ عقلیّ ، وهذا بحث صغرویّ ، وقد یبحث عن حجّیّته وهذا بحث کبرویّ ، وکلاهما اصولیّ ؛ لأنّهما بحثان فی العناصر المشترکة فی عملیّة الاستنباط</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 لا یدخل بحثه الصغرویّ فی علم الاصول ؛ لأنّه بحث فی عنصرٍ غیر مشترک ، وإنّما یدخل بحثه الکبرویّ فی هذا العلم لکونه بحثاً فی عنصرٍ مشترک ، کالبحث عن حجّیّة القیاس ، وهکذا یتّضح أنّ البحث الصغرویّ لا یکون اصولیّاً إلاّ فی القسم الأوّل ، وأنّ البحث الکبرویّ اصولیّ فی کلا القسمین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 الإدراک العقلیّ إذا کان قطعیّاً فلا موجب للبحث عن حجّیته ؛ للفراغ عن حجّیته بعد الفراغ عن حجّیة القطع ، وإنّما نحتاج إلی البحث عن حجّیّته إذا لم یکن قطعیّاً ، کالقیاس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نصنّف البحث فی القضایا العقلیّة إلی بحثین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 فی إثبات القضایا العقلیّة التی تشکّل عناصر مشترکة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 فی حجّیة إدراک العقل غیر القطعیّ</w:t>
      </w:r>
      <w:r>
        <w:rPr>
          <w:rFonts w:eastAsia="IRNazanin" w:cs="IRNazanin"/>
          <w:color w:val="111111"/>
          <w:sz w:val="28"/>
          <w:szCs w:val="28"/>
          <w:rtl w:val="true"/>
          <w:lang w:bidi="fa-IR"/>
        </w:rPr>
        <w:t xml:space="preserve">. </w:t>
      </w:r>
      <w:bookmarkStart w:id="668" w:name="pg14075_144692"/>
    </w:p>
    <w:p>
      <w:pPr>
        <w:pStyle w:val="Heading6"/>
        <w:numPr>
          <w:ilvl w:val="5"/>
          <w:numId w:val="1"/>
        </w:numPr>
        <w:rPr/>
      </w:pPr>
      <w:bookmarkStart w:id="669" w:name="__RefHeading___Toc509066_1738255347"/>
      <w:bookmarkStart w:id="670" w:name="_Toc226"/>
      <w:bookmarkEnd w:id="668"/>
      <w:bookmarkEnd w:id="669"/>
      <w:r>
        <w:rPr/>
        <w:t>1</w:t>
      </w:r>
      <w:r>
        <w:rPr>
          <w:rtl w:val="true"/>
        </w:rPr>
        <w:t xml:space="preserve"> - </w:t>
      </w:r>
      <w:r>
        <w:rPr>
          <w:rtl w:val="true"/>
        </w:rPr>
        <w:t>إثبات القضایا العقلیة</w:t>
      </w:r>
      <w:bookmarkEnd w:id="670"/>
    </w:p>
    <w:p>
      <w:pPr>
        <w:pStyle w:val="Heading6"/>
        <w:numPr>
          <w:ilvl w:val="5"/>
          <w:numId w:val="1"/>
        </w:numPr>
        <w:rPr/>
      </w:pPr>
      <w:bookmarkStart w:id="671" w:name="__RefHeading___Toc509068_1738255347"/>
      <w:bookmarkStart w:id="672" w:name="_Toc227"/>
      <w:bookmarkEnd w:id="671"/>
      <w:r>
        <w:rPr>
          <w:rtl w:val="true"/>
        </w:rPr>
        <w:t>تقسیمات للقضایا العقلیّة</w:t>
      </w:r>
      <w:bookmarkEnd w:id="672"/>
    </w:p>
    <w:p>
      <w:pPr>
        <w:pStyle w:val="BookText"/>
        <w:rPr/>
      </w:pPr>
      <w:r>
        <w:rPr>
          <w:rFonts w:ascii="Amiri" w:hAnsi="Amiri" w:eastAsia="Amiri" w:cs="Amiri"/>
          <w:color w:val="111111"/>
          <w:sz w:val="28"/>
          <w:sz w:val="28"/>
          <w:szCs w:val="28"/>
          <w:rtl w:val="true"/>
          <w:lang w:bidi="ar-SA"/>
        </w:rPr>
        <w:t xml:space="preserve">القضایا العقلیّة التی تشکّل عناصرَ مشترکةً فی عملیّة الاستنباط وأدلّةً عقلیّةً علی الحکم الشرعیّ یمکن أن تقسَّم کما 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إلی ما یکون دلیلاً عقلیّاً مستقلاًّ ، وما یکون عقلیّاً غیر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یحتاج إلی إثبات قضیّةٍ شرعیّةٍ لاستنباط الحکم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 إثبات قضیّةٍ شرعیّةٍ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العقل بحسنه أو قبحه حکم الشارع بوجوبه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تطبیقها لاستنباط حرمة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إثبات قضیّةٍ شرعیّةٍ 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وجوب شیءٍ یستلزم 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تطبیقها لاستنباط وجوب الوضوء یتوقّف علی إثبات قضیةٍ شرعیّةٍ مسبقة ، وهی وجوب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القضیّة العقلیّة إلی قضیّةٍ تحلیلیّة وقضیّةٍ ترکیبیّة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بالقضیّة التحلیلیّة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البحث فیها یدور حول تفسیر ظاهرةٍ معیّنة ، کالبحث عن حقیقة الوجوب التخییریّ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بالقضیّة 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البحث فیها یدور حول استحالة شیءٍ أو ضرورته بعد الفراغ عن معناه وحقیقته فی نفسه ، کالبحث عن استحالة الأمر </w:t>
      </w:r>
    </w:p>
    <w:p>
      <w:pPr>
        <w:pStyle w:val="BookText"/>
        <w:rPr/>
      </w:pPr>
      <w:r>
        <w:rPr>
          <w:rFonts w:ascii="Amiri" w:hAnsi="Amiri" w:eastAsia="Amiri" w:cs="Amiri"/>
          <w:color w:val="111111"/>
          <w:sz w:val="28"/>
          <w:sz w:val="28"/>
          <w:szCs w:val="28"/>
          <w:rtl w:val="true"/>
          <w:lang w:bidi="ar-SA"/>
        </w:rPr>
        <w:t>بالضدّین فی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الأدلّة العقلیّة المستقلّة الترکیبیّة فی دلالتها إلی سالبةٍ وموجبة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بالسالبة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المستقلّ فی استنباط نفی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بالموجبة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المستقلّ فی استنباط إثبات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القائلة باستحالة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المشار إلیها آنفاً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العقل بقبحه حکم الشارع بحرمته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والقضایا العقلیّة متفاعلة فی 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یتّفق أن تدخل قضیّة عقلیّة تحلیلیّة فی البرهنة علی قضیّةٍ اخری تحلیلیّةٍ أو ترکیبیّة ، کما قد تدخل قضیّة ترکیبیّة فی البرهنة علی قضایا تحلیلیّة ، وهذا ما سنراه فی البحوث الآتیة إن شاء الله تعالی</w:t>
      </w:r>
      <w:r>
        <w:rPr>
          <w:rFonts w:eastAsia="IRNazanin" w:cs="IRNazanin"/>
          <w:color w:val="111111"/>
          <w:sz w:val="28"/>
          <w:szCs w:val="28"/>
          <w:rtl w:val="true"/>
          <w:lang w:bidi="fa-IR"/>
        </w:rPr>
        <w:t xml:space="preserve">. </w:t>
      </w:r>
      <w:bookmarkStart w:id="673" w:name="pg14075_144694"/>
    </w:p>
    <w:p>
      <w:pPr>
        <w:pStyle w:val="Heading6"/>
        <w:numPr>
          <w:ilvl w:val="5"/>
          <w:numId w:val="1"/>
        </w:numPr>
        <w:rPr/>
      </w:pPr>
      <w:bookmarkStart w:id="674" w:name="__RefHeading___Toc509070_1738255347"/>
      <w:bookmarkStart w:id="675" w:name="_Toc228"/>
      <w:bookmarkEnd w:id="673"/>
      <w:bookmarkEnd w:id="674"/>
      <w:r>
        <w:rPr>
          <w:rtl w:val="true"/>
        </w:rPr>
        <w:t>قاعدة استحالة التکلیف بغیر المقدور</w:t>
      </w:r>
      <w:bookmarkEnd w:id="675"/>
    </w:p>
    <w:p>
      <w:pPr>
        <w:pStyle w:val="BookText"/>
        <w:rPr/>
      </w:pPr>
      <w:r>
        <w:rPr>
          <w:rFonts w:ascii="IRNazanin" w:hAnsi="IRNazanin" w:eastAsia="IRNazanin"/>
          <w:color w:val="111111"/>
          <w:sz w:val="28"/>
          <w:sz w:val="28"/>
          <w:szCs w:val="28"/>
          <w:rtl w:val="true"/>
          <w:lang w:bidi="fa-IR"/>
        </w:rPr>
        <w:t xml:space="preserve">یستحیل التکلیف بغیر المقدور ، وهذا له معنیان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یستحیل أن یُدینَ المکلّف بسبب فعلٍ أو ترکٍ غیر صادرٍ منه بالاختیار ، وهذا واضح ؛ لأنّ العقل یحکم بقبح هذه الإدانة ؛ لأنّ حقّ الطاعة لا یمتد إلی ما هو خارج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یستحیل أن یصدر منه تکلیف بغیر المقدور فی عالم التشریع ، ولو لم یرتّب علیه إدانةً ومؤاخذةً للمکلّف ، فلیست الإدانة وحدها مشروطةً بالقدرة ، بل التکلیف ذاته مشروط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الثبوت للحکم یشتمل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ملاکٍ وإرادةٍ واعتبار ، ومن الواضح أنّه لیس من الضروریّ أن یکون الملاک مشروطاً بالقدرة ، کما أنّ بالإمکان تعلّق إرادة المولی بأمرٍ غیر مقدور ؛ لأنّنا لا نرید بالإرادة إلاّالحبّ الناشئ من ذلک الملاک ، وهو مهما کان شدیداً یمکن افتراض تعلّقه بالمستحیل ذاتاً فضلاً عن الممتنع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والاعتبار إذا لوحظ بما هو اعتبار یعقل أیضاً أن یتکفّل جعل الوجوب علی غیر المقدور ؛ لأنّ الاعتبار سهل المؤونة ، ولیس لغواً فی هذه الحالة ، إذ قد یراد به مجرّد الکشف بالصیاغة التشریعیّة التی اعتادها العقلاء عن الملاک والمبادئ ، ولکن إذا لوحظ الجعل والاعتبار بما هو ناشئ من داعی البعث والتحریک فمن الواضح أنّ القدرة علی مورده تعتبر شرطاً فیه ؛ لأنّ داعی تحریک العاجز یستحیل أن ینقدح فی نفس العاقل الملتفت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الاعتبار الذی یکشف عنه الخطاب الشرعیّ هو الاعتبار بهذا </w:t>
      </w:r>
    </w:p>
    <w:p>
      <w:pPr>
        <w:pStyle w:val="BookText"/>
        <w:rPr/>
      </w:pPr>
      <w:r>
        <w:rPr>
          <w:rFonts w:ascii="IRNazanin" w:hAnsi="IRNazanin" w:eastAsia="IRNazanin"/>
          <w:color w:val="111111"/>
          <w:sz w:val="28"/>
          <w:sz w:val="28"/>
          <w:szCs w:val="28"/>
          <w:rtl w:val="true"/>
          <w:lang w:bidi="fa-IR"/>
        </w:rPr>
        <w:t>الداعی ، کما یقتضیه الظهور التصدیقیّ السیاقیّ للخطاب ، فلا بدّ من اختصاصه بحال القدرة ، ویستحیل تعلّقه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کلّ تکلیفٍ مشروطاً بالقدرة علی متعلّقه بدون فرقٍ بین التکالیف الإلزامیّة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یشترط فی التکلیف الطلبیّ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الفعل ، کذلک یشترط الشیء نفسه فی التکلیف الزجریّ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الزجر عمّا لا یقدر المکلّف علی إیجاده أو عن الامتناع عنه غیر معقولٍ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نعرف أنّ القدرة شرط ضروریّ فی التکلیف ، ولکنّها لیست شرطاً ضروریّاً فی الملاک والمبادئ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یعنی أنّها لا تکون شرطاً ، فإنّ مبادئ الحکم یمکن أن تکون ثابتةً وفعلیّةً فی حال القدرة والعجز علی السواء ، ویمکن أن تکون مختصّةً بحالة القدرة ، ویکون انتفاء التکلیف عن العاجز لعدم المقتضی وعدم الملاک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حالةٍ من هذا القبیل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القدرة فی التکلیف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تسمّی القدرة حینئذٍ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الاعتبار ، تمییزاً لذلک عن حالات عدم دخل القدرة فی الملاک ، إذ یقال 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 القدرة فی التکلیف عقلیّ ، وقد تسمّی القدرة حینئذٍ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استحالة التکلیف بغیر المقدور بین أن یکون التکلیف مطلقاً ، من قبیل أن یقول الآمر لمأموره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مقیّداً بقیدٍ یرتبط بإرادة المکلّف واختیاره ، من قبیل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صعدت إلی السطح فَطِر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التکلیف فی کلتا الحالتین مستحیل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والثمرة فی اشتراط القدرة فی صحّة الإدانة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 وأمّا الثمرة فی اشتراط القدرة فی التکلیف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غیر واضحة ، إذ </w:t>
      </w:r>
    </w:p>
    <w:p>
      <w:pPr>
        <w:pStyle w:val="BookText"/>
        <w:rPr/>
      </w:pPr>
      <w:r>
        <w:rPr>
          <w:rFonts w:ascii="IRNazanin" w:hAnsi="IRNazanin" w:eastAsia="IRNazanin"/>
          <w:color w:val="111111"/>
          <w:sz w:val="28"/>
          <w:sz w:val="28"/>
          <w:szCs w:val="28"/>
          <w:rtl w:val="true"/>
          <w:lang w:bidi="fa-IR"/>
        </w:rPr>
        <w:t>ما دام العاجز غیر مُدانٍ علی أیّ حالٍ فلا یختلف الحال ، سواء افترضنا أنّ القدرة شرط فی التکلیف أو نفینا ذلک وقلنا بأنّ التکلیف یشمل العاجز ، إذ لا أثر لذلک بعد افتراض عدم الإدانة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ثمرةٍ علی الرغم من أنّ العاجز غیر مُدانٍ علی أیّ حال ، وهی تتّصل بملاک الحکم ، إذ قد یکون من المفید أن نعرف أنّ العاجز هل یکون ملاک الحکم فعلیّاً فی حقّه وقد فاته بسبب العجز لکی یجب القضاء مثلاً ، أو أنّ الملاک لا یشمله رأساً فلم یفته شیء لیجب القضاء؟ أی أن نعرف أنّ القدرة هل هی دخیلة فی الملاک ، أوْ لا؟</w:t>
      </w:r>
    </w:p>
    <w:p>
      <w:pPr>
        <w:pStyle w:val="BookText"/>
        <w:rPr/>
      </w:pPr>
      <w:r>
        <w:rPr>
          <w:rFonts w:ascii="IRNazanin" w:hAnsi="IRNazanin" w:eastAsia="IRNazanin"/>
          <w:color w:val="111111"/>
          <w:sz w:val="28"/>
          <w:sz w:val="28"/>
          <w:szCs w:val="28"/>
          <w:rtl w:val="true"/>
          <w:lang w:bidi="fa-IR"/>
        </w:rPr>
        <w:t>فإذا جاء الخطاب الشرعیّ مطلقاً ولم ینصّ فیه الشارع علی قید القدرة ظهرت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باشتراط القدرة فی التکلیف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 العقل بذلک بنفسه قرینةً علی تقیید إطلاق الخطاب ، فکأ نّه متوجّه إلی القادر خاصّةً وغیر شاملٍ للعاجز ، وفی هذه الحالة لا یمکن إثبات فعلیّة الملاک فی حقّ العاجز ، وأ نّه قد فاته الملاک لیجب علیه القضاء مثلاً ؛ لأنّه لا دلیل علی ذلک ؛ نظراً إلی أنّ الخطاب إنّما یدلّ علی ثبوت الملاک بالدلالة الالتزامیّة ، وبعد سقوط المدلول المطابقیّ للخطاب وتبعیّة الدلالة الالتزامیّة علی الملاک للدلالة المطابقیّة علی التکلیف لا یبقی دلیل علی ثبوت الملاک فی حقّ العاجز</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نقل باشتراط القدرة فی التکلیف أخذنا بإطلاق الخطاب فی المدلول المطابقیّ والالتزامیّ معاً ، وأثبتنا التکلیف والملاک علی العاجز ، وبذلک یثبت أنّ العاجز قد فاته الملاک وإن کان معذوراً فی ذلک ، إذ لا یُدانُ العاجز علی أیّ حال</w:t>
      </w:r>
      <w:r>
        <w:rPr>
          <w:rFonts w:eastAsia="IRNazanin" w:cs="IRNazanin"/>
          <w:color w:val="111111"/>
          <w:sz w:val="28"/>
          <w:szCs w:val="28"/>
          <w:rtl w:val="true"/>
          <w:lang w:bidi="fa-IR"/>
        </w:rPr>
        <w:t xml:space="preserve">. </w:t>
      </w:r>
      <w:bookmarkStart w:id="676" w:name="pg14075_144697"/>
    </w:p>
    <w:p>
      <w:pPr>
        <w:pStyle w:val="Heading6"/>
        <w:numPr>
          <w:ilvl w:val="5"/>
          <w:numId w:val="1"/>
        </w:numPr>
        <w:rPr/>
      </w:pPr>
      <w:bookmarkStart w:id="677" w:name="__RefHeading___Toc509072_1738255347"/>
      <w:bookmarkStart w:id="678" w:name="_Toc229"/>
      <w:bookmarkEnd w:id="676"/>
      <w:bookmarkEnd w:id="677"/>
      <w:r>
        <w:rPr>
          <w:rtl w:val="true"/>
        </w:rPr>
        <w:t>قاعدة إمکان التکلیفِ المشروط</w:t>
      </w:r>
      <w:bookmarkEnd w:id="678"/>
    </w:p>
    <w:p>
      <w:pPr>
        <w:pStyle w:val="BookText"/>
        <w:rPr/>
      </w:pPr>
      <w:r>
        <w:rPr>
          <w:rFonts w:ascii="IRNazanin" w:hAnsi="IRNazanin" w:eastAsia="IRNazanin"/>
          <w:color w:val="111111"/>
          <w:sz w:val="28"/>
          <w:sz w:val="28"/>
          <w:szCs w:val="28"/>
          <w:rtl w:val="true"/>
          <w:lang w:bidi="fa-IR"/>
        </w:rPr>
        <w:t xml:space="preserve">مرّ بنا أنّ مقام الثبوت للحکم یشتمل علی عنصرٍ یسمّی بالجعل والاعتبار ، وفی هذه المرحلة یجعل الحکم علی نهج القضیّة الحقیقیّة ، کما تقدّم ، فیفترض المولی کلّ الخصوصیّات والقیود التی یرید إناطة الحکم بها ویجعل الحکم منوطاً بها ، فیقول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الإنسان وکان صحیح البدن مخلّی السّرب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إذا لاحظنا هذا الجعل نجد هناک شیئاً قد تحقّق بالفعل ، وهو نفس الجعل الذی یعتبر فی قوّة قضیّةٍ شرطیّة ، شرطها القیود المفترضة ، وجزاؤها ثبوت الحکم ، ولکن هناک شیء قد لا یکون متحقّقاً فعلاً ، وإنّما یتحقّق إذا وجد فی الخارج مستطیع صحیح مخلّی ، وهو الوجوب علی هذا أو ذاک الذی یمثّل فعلیّة الجزاء فی تلک القضیّة الشرطیّة ، فإنّ فعلیّة الجزاء فی کلّ قضیّةٍ شرطیّة تابعة لفعلیّة الشرط ، فما لم تتحقّق تلک القیود لا یکون الوجوب فعلیّاً ، ویسمّی الوجوب الفعلیّ بالمجعول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أمکن التمییز بین الجعل والمجعول ؛ لأنّ الأوّل موجود منذ البدایة ، والثانی لا یوجد إلاّبعد تحقّق القیود خارجاً ، والقیود بالنسبة إلی المجعول بمثابة العلّة ، ولیست کذلک بالنسبة إلی الجعل ؛ لأنّ الجعل متحقّق قبل وجودها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الجعل یتقوّم بافتراض القیود وتصوّرها ، إذ لو لم یتصوّر المولی الاستطاعة والصحّة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أمکنه أن یجعل تلک القضیّة الشرطیّة ، وبذلک تعرف أنّ الجعل متقوّم بلحاظ القیود وتصوّرها ذهناً ، والمجعول متقوّم بوجود القیود خارجاً ، ومترتّب علیها من قبیل ترتّب المعلول علی علّته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نعرف أنّ الحکم المشروط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بالحکم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تحقّق الحکم منوطاً بتحقّق بعض القیود خارجاً فلا وجود له </w:t>
      </w:r>
    </w:p>
    <w:p>
      <w:pPr>
        <w:pStyle w:val="BookText"/>
        <w:rPr/>
      </w:pPr>
      <w:r>
        <w:rPr>
          <w:rFonts w:ascii="IRNazanin" w:hAnsi="IRNazanin" w:eastAsia="IRNazanin"/>
          <w:color w:val="111111"/>
          <w:sz w:val="28"/>
          <w:sz w:val="28"/>
          <w:szCs w:val="28"/>
          <w:rtl w:val="true"/>
          <w:lang w:bidi="fa-IR"/>
        </w:rPr>
        <w:t>قبلها ، فقد عرفنا أنّ المجعول یمکن أن یکون مشروطاً ، سواء کان حکماً تکلیفیّاً کالوجوب والحرمة ، أو وضعیّاً کالملکیّة والزوجیّة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یندفع ما قد یقال من أنّ الحکم المشروط غیر معقول ؛ لأنّ الحکم فعل للمولی ، وهذا الفعل یصدر ویتحقّق بمجرّد إعمال المولی لحاکمیّته ، فأیّ معنیً للحکم المشروط؟</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یتحقّق کذلک إنّما هو الجعل ، لا المجعول ، والحکم المشروط هو المجعول دائماً</w:t>
      </w:r>
      <w:r>
        <w:rPr>
          <w:rFonts w:eastAsia="IRNazanin" w:cs="IRNazanin"/>
          <w:color w:val="111111"/>
          <w:sz w:val="28"/>
          <w:szCs w:val="28"/>
          <w:rtl w:val="true"/>
          <w:lang w:bidi="fa-IR"/>
        </w:rPr>
        <w:t xml:space="preserve">. </w:t>
      </w:r>
      <w:bookmarkStart w:id="679" w:name="pg14075_144699"/>
    </w:p>
    <w:p>
      <w:pPr>
        <w:pStyle w:val="Heading6"/>
        <w:numPr>
          <w:ilvl w:val="5"/>
          <w:numId w:val="1"/>
        </w:numPr>
        <w:rPr/>
      </w:pPr>
      <w:bookmarkStart w:id="680" w:name="__RefHeading___Toc509074_1738255347"/>
      <w:bookmarkStart w:id="681" w:name="_Toc230"/>
      <w:bookmarkEnd w:id="679"/>
      <w:bookmarkEnd w:id="680"/>
      <w:r>
        <w:rPr>
          <w:rtl w:val="true"/>
        </w:rPr>
        <w:t>قاعدة تنوّع القیود وأحکامُها</w:t>
      </w:r>
      <w:bookmarkEnd w:id="681"/>
    </w:p>
    <w:p>
      <w:pPr>
        <w:pStyle w:val="Heading6"/>
        <w:numPr>
          <w:ilvl w:val="5"/>
          <w:numId w:val="1"/>
        </w:numPr>
        <w:rPr/>
      </w:pPr>
      <w:bookmarkStart w:id="682" w:name="__RefHeading___Toc509076_1738255347"/>
      <w:bookmarkStart w:id="683" w:name="_Toc231"/>
      <w:bookmarkEnd w:id="682"/>
      <w:r>
        <w:rPr>
          <w:rtl w:val="true"/>
        </w:rPr>
        <w:t>تنوّع القیود</w:t>
      </w:r>
      <w:bookmarkEnd w:id="683"/>
    </w:p>
    <w:p>
      <w:pPr>
        <w:pStyle w:val="BookText"/>
        <w:rPr/>
      </w:pPr>
      <w:r>
        <w:rPr>
          <w:rFonts w:ascii="IRNazanin" w:hAnsi="IRNazanin" w:eastAsia="IRNazanin"/>
          <w:color w:val="111111"/>
          <w:sz w:val="28"/>
          <w:sz w:val="28"/>
          <w:szCs w:val="28"/>
          <w:rtl w:val="true"/>
          <w:lang w:bidi="fa-IR"/>
        </w:rPr>
        <w:t xml:space="preserve">حینما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فالجعل یتحقّق بنفس هذا الإنشاء ، وأمّا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الصلاة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مشروط بالزوال ومقیّد به ، فلا وجوب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قیداً آخر وهو الطهارة ، وهذا القید لیس قیداً للوجوب المجعول ؛ لوضوح أنّ الشمس إذا زالت وکان الإنسان محدثاً وجبت علیه الصلاة أیضاً ، وإنّما هو قید لمتعلّق الوجوب ، أی للواجب وهو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 شیءٍ قیداً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حینما أمر بالصلاة أمر بحصّةٍ خاصّةٍ منها ، لابها کیفما اتّفقت ، حیث إنّ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تقع مع الطهارة ، واخری بدونها ، فاختار الحصّة الاولی وأمر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نحلّل الحصّة الاولی نجد أنّها تشتمل علی صلاة ، وعلی تقیّدٍ بالطهارة ، فالأمر بها أمر بالصلاة وبالتقیّد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نعرف أنّ معنی أخذ الشارع شیئاً قیداً فی الواجب تحصیص الواجب به والأمر به بما هو مقیّد بذلک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السابق حینما نلاحظ الطهارة مع ذات الصلاة لا نجد أنّ إحداهما علّة للُاخری أو جزء العلة لها ، ولکن حینما نلاحظ الطهارة مع تقیّد الصلاة بها نجد أنّ الطهارة علّة لهذا التقیّد ، إذ لولاها لما وجدت الصلاة مقیّدةً ومقترنةً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نستخلص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الشارع قیداً فی الواجب یعنی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تحصیص الواجب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یتعلّق بذات الواجب والتقیّد بذلک القید</w:t>
      </w:r>
      <w:r>
        <w:rPr>
          <w:rFonts w:eastAsia="IRNazanin" w:cs="IRNazanin"/>
          <w:color w:val="111111"/>
          <w:sz w:val="28"/>
          <w:szCs w:val="28"/>
          <w:rtl w:val="true"/>
          <w:lang w:bidi="fa-IR"/>
        </w:rPr>
        <w:t xml:space="preserve">. </w:t>
      </w:r>
      <w:bookmarkStart w:id="684" w:name="pg14075_144700"/>
    </w:p>
    <w:p>
      <w:pPr>
        <w:pStyle w:val="BookText"/>
        <w:rPr/>
      </w:pPr>
      <w:bookmarkEnd w:id="684"/>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القید إلی التقیّد نسبة العلّة إلی المعلول ، ولیس کذلک نسبته إلی ذات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یؤخذ شیء قیداً للوجوب وللواجب معاً ، کشهر رمضان الذی هو قید لوجوب الصیام فلا وجوب للصیام بدون رمضان ، وهو أیضاً قید للصیام الواجب ، بمعنی أنّ الصوم المأمور به هو الحصّة الواقعة فی ذلک الشهر خاصّة ، وبموجب کون الشهر قیداً للوجوب فالوجوب تابع لوجود هذا القید ، وبموجب کونه قیداً للواجب یکون الوجوب متعلّقاً بالمقیّد به ، أی أنّ الأمر متعلّق بذات الصوم وبتقیّده بأن یکون فی شهر رمضان</w:t>
      </w:r>
      <w:r>
        <w:rPr>
          <w:rFonts w:eastAsia="IRNazanin" w:cs="IRNazanin"/>
          <w:color w:val="111111"/>
          <w:sz w:val="28"/>
          <w:szCs w:val="28"/>
          <w:rtl w:val="true"/>
          <w:lang w:bidi="fa-IR"/>
        </w:rPr>
        <w:t>.</w:t>
      </w:r>
    </w:p>
    <w:p>
      <w:pPr>
        <w:pStyle w:val="Heading6"/>
        <w:numPr>
          <w:ilvl w:val="5"/>
          <w:numId w:val="1"/>
        </w:numPr>
        <w:rPr/>
      </w:pPr>
      <w:bookmarkStart w:id="685" w:name="__RefHeading___Toc509078_1738255347"/>
      <w:bookmarkStart w:id="686" w:name="_Toc232"/>
      <w:bookmarkEnd w:id="685"/>
      <w:r>
        <w:rPr>
          <w:rtl w:val="true"/>
        </w:rPr>
        <w:t>أحکام القیود المتنوّعة</w:t>
      </w:r>
      <w:bookmarkEnd w:id="686"/>
    </w:p>
    <w:p>
      <w:pPr>
        <w:pStyle w:val="BookText"/>
        <w:rPr/>
      </w:pPr>
      <w:r>
        <w:rPr>
          <w:rFonts w:ascii="IRNazanin" w:hAnsi="IRNazanin" w:eastAsia="IRNazanin"/>
          <w:color w:val="111111"/>
          <w:sz w:val="28"/>
          <w:sz w:val="28"/>
          <w:szCs w:val="28"/>
          <w:rtl w:val="true"/>
          <w:lang w:bidi="fa-IR"/>
        </w:rPr>
        <w:t xml:space="preserve">لا شکّ فی أنّ الواجبات تشتمل علی نوعین من القیود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یلزم علی المکلّف تحصیلها ، بمعنی أنّه لو لم یحصّلها لاعتُبر عاصیاً للأمر بذلک الواجب ، کالطهارة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التی لا یلزم علی المکلّف تحصیلها ، بمعنی أنّه لو لم یأتِ بها المکلّف وبالتالی لم یأتِ بالواجب لا یعتبر عاصیاً ، کالاستطاعة بالنسبة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والقضیّة التی نبحثها هی محاولة التعرّف علی الفرق بین هذین النوعین من القیود ، وما هو الضابط فی کون القید ممّا یلزم تحصیله ، أوْ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الضابط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قیداً لنفس الوجوب فلا یجب تحصیله ، ولا یکون المکلّف مسؤولاً عن إیجاده من قبل ذلک الوجوب ؛ لأنّه مالم یوجد القید لا وجود للوجوب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 القید قیداً لمتعلّق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أنّ الوجوب قد تعلّق بالمقیّد ، کما تقدّم ، أی بذات الواجب وبالتقیّد بالقید المذکور ، وحینئذٍ یلاحظ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قیداً فی نفس الوقت </w:t>
      </w:r>
    </w:p>
    <w:p>
      <w:pPr>
        <w:pStyle w:val="BookText"/>
        <w:rPr/>
      </w:pPr>
      <w:r>
        <w:rPr>
          <w:rFonts w:ascii="IRNazanin" w:hAnsi="IRNazanin" w:eastAsia="IRNazanin"/>
          <w:color w:val="111111"/>
          <w:sz w:val="28"/>
          <w:sz w:val="28"/>
          <w:szCs w:val="28"/>
          <w:rtl w:val="true"/>
          <w:lang w:bidi="fa-IR"/>
        </w:rPr>
        <w:t>للوجوب أیضاً لم یکن المکلّف مسؤولاً عقلاً من قبل ذلک الوجوب عن إیجاده ، وإنّما هو مسؤول متی ما وجد القید عن إیجاد ذات الواجب وإیجاد تقیّده بذلک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القید قیداً للوجوب بل کان قیداً للواجب فهذا یعنی أنّ الوجوب فعلیّ حتّی لو لم یوجد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الوجوب فعلیّاً فالمکلّف مسؤول عن امتثاله والإتیان بمتعلّقه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حینئذٍ عقلاً أن یوفّر القید لکی یوجد المقیّد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کلّما کان القید قیداً للوجوب فقط فلا یکون المکلّف مسؤولاً عن إیجاد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القید قیداً للواجب فقط فالمکلّف مسؤول عن إیجاد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القید قیداً للوجوب وللواجب معاً ، فالمکلّف غیر مسؤولٍ عن إیجاد القید ، ولکنّه مسؤول عن إیجاد التقیّد حینما یکون القید موجوداً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ضممنا إلی هذه النتائج ما تقدّم من أنّه لا إدانة بدون قدرة ، وأنّ القدرة شرط فی التکلیف نستطیع أن نستنتج القاعدة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القیود التی تؤخذ فی الواجب دون الوجوب لابدّ أن تکون اختیاریّةً ومقدورةً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المکلّف مسؤول عن توفیرها ، کما عرفنا آنفاً ، ولا مسؤولیّة ولا تکلیف إلاّبالمقدور ، فلابدّ إذن أن تکون مقدورة ، وهذا خلافاً لقیود الوجوب ، فإنّها قد تکون مقدورةً کالاستطاعة ، وقد لا تکون کزوال الشمس ؛ لأنّ المکلّف غیر مسؤولٍ عن إیجادها</w:t>
      </w:r>
      <w:r>
        <w:rPr>
          <w:rFonts w:eastAsia="IRNazanin" w:cs="IRNazanin"/>
          <w:color w:val="111111"/>
          <w:sz w:val="28"/>
          <w:szCs w:val="28"/>
          <w:rtl w:val="true"/>
          <w:lang w:bidi="fa-IR"/>
        </w:rPr>
        <w:t xml:space="preserve">. </w:t>
      </w:r>
      <w:bookmarkStart w:id="687" w:name="pg14075_144702"/>
    </w:p>
    <w:p>
      <w:pPr>
        <w:pStyle w:val="Heading6"/>
        <w:numPr>
          <w:ilvl w:val="5"/>
          <w:numId w:val="1"/>
        </w:numPr>
        <w:rPr/>
      </w:pPr>
      <w:bookmarkStart w:id="688" w:name="__RefHeading___Toc509080_1738255347"/>
      <w:bookmarkStart w:id="689" w:name="_Toc233"/>
      <w:bookmarkEnd w:id="687"/>
      <w:bookmarkEnd w:id="688"/>
      <w:r>
        <w:rPr>
          <w:rtl w:val="true"/>
        </w:rPr>
        <w:t>قیود الواجب علی قسمین</w:t>
      </w:r>
      <w:bookmarkEnd w:id="689"/>
    </w:p>
    <w:p>
      <w:pPr>
        <w:pStyle w:val="BookText"/>
        <w:rPr/>
      </w:pPr>
      <w:r>
        <w:rPr>
          <w:rFonts w:ascii="IRNazanin" w:hAnsi="IRNazanin" w:eastAsia="IRNazanin"/>
          <w:color w:val="111111"/>
          <w:sz w:val="28"/>
          <w:sz w:val="28"/>
          <w:szCs w:val="28"/>
          <w:rtl w:val="true"/>
          <w:lang w:bidi="fa-IR"/>
        </w:rPr>
        <w:t xml:space="preserve">عرفنا حتّی الآن من قیود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الذی یأخذه الشارع قیداً ، فیحصّص به الواجب ویأمر بالحصّة الخاصّة ، کالطهارة ، وتسمّی هذه بالقیود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قیود ومقدّمات تکوینیّة یفرضها الواقع بدون جعلٍ من قبل المولی ، وذلک من قبیل إیجاد واسطة نقلٍ فإنّها مقدّمة تکوینیّة للسفر بالنسبة إلی من لا یستطیع المشی علی قدمیه ، فإذا وجب السفر کان توفیر واسطة النقل مقدّمةً للواجب ، حتّی بدون أن یشیر إلیها المولی أو یحصّص الواجب بها ، وتسمّی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والمقدّمات العقلیّة للواجب من ناحیة مسؤولیّة المکلّف تجاهها کالقیود الشرعیّة ، فإن اخذت المقدّمة العقلیّة للواجب قیداً للوجوب لم یکن المکلّف مسؤولاً عن توفیرها ، وإلاّ کان مسؤولاً عقلاً عن ذلک ؛ بسبب کونه ملزماً بامتثال الأمر الشرعیّ الذی لا یتمّ بدون إیجادها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والمسؤولیّة تجاه قیود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شرعیّةً أو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تبدأ بعد أن یوجد الوجوب المجعول ویصبح فعلیّاً بفعلیّة کلّ القیود المأخوذة فیه ، فالمسؤولیّة تجاه الطهارة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من قبل وجوب صلاة الظهر بعد أن یصبح هذا الوجوب فعلیّاً بتحقّق شرطه وهو الزوال ، وأمّا قبل الزوال فلا مسؤولیّة تجاه قیود الواجب ، إذ لاوجوب لکی یکون الإنسان ملزماً عقلاً بامتثاله وتوفیر کلّ ما له دخل فی ذلک</w:t>
      </w:r>
      <w:r>
        <w:rPr>
          <w:rFonts w:eastAsia="IRNazanin" w:cs="IRNazanin"/>
          <w:color w:val="111111"/>
          <w:sz w:val="28"/>
          <w:szCs w:val="28"/>
          <w:rtl w:val="true"/>
          <w:lang w:bidi="fa-IR"/>
        </w:rPr>
        <w:t xml:space="preserve">. </w:t>
      </w:r>
      <w:bookmarkStart w:id="690" w:name="pg14075_144703"/>
    </w:p>
    <w:p>
      <w:pPr>
        <w:pStyle w:val="Heading6"/>
        <w:numPr>
          <w:ilvl w:val="5"/>
          <w:numId w:val="1"/>
        </w:numPr>
        <w:rPr/>
      </w:pPr>
      <w:bookmarkStart w:id="691" w:name="__RefHeading___Toc509082_1738255347"/>
      <w:bookmarkStart w:id="692" w:name="_Toc234"/>
      <w:bookmarkEnd w:id="690"/>
      <w:bookmarkEnd w:id="691"/>
      <w:r>
        <w:rPr>
          <w:rtl w:val="true"/>
        </w:rPr>
        <w:t>المسؤولیة قبل الوجوب</w:t>
      </w:r>
      <w:bookmarkEnd w:id="692"/>
    </w:p>
    <w:p>
      <w:pPr>
        <w:pStyle w:val="BookText"/>
        <w:rPr/>
      </w:pPr>
      <w:r>
        <w:rPr>
          <w:rFonts w:ascii="IRNazanin" w:hAnsi="IRNazanin" w:eastAsia="IRNazanin"/>
          <w:color w:val="111111"/>
          <w:sz w:val="28"/>
          <w:sz w:val="28"/>
          <w:szCs w:val="28"/>
          <w:rtl w:val="true"/>
          <w:lang w:bidi="fa-IR"/>
        </w:rPr>
        <w:t>إذا کان للواجب مقدّمة عقلیّة أو شرعیّة وکان وجوبه منوطاً بزمانٍ معیّن ، وافترضنا أنّ تلک المقدّمة من المتعذّر علی المکلّف إیجادها فی ذلک الزمان ، ولکن کان بإمکانه إیجادها قبل ذلک ، فهل یکون المکلّف مسؤولاً عقلاً عن توفیرها ، أوْ لا؟</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المکلّف بأ نّه لن یتمکّن من الوضوء والتیمّم عند الزوال ؛ لانعدام الماء والتراب ، ولکنّه یتمکّن منه قبل الزوال فهل یجب علیه أن یتوضّأ قبل الزوال ، أوْ لا؟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هو عدم کونه مسؤولاً عن ذلک ، إذ قبل الزوال لا وجوب للصلاة لکی یکون مسؤولاً من ناحیته عن توفیر المقدّمات للصلاة ، وإذا ترک المقدّمة قبل الزوال فلن یحدث وجوب عند الزوال لیبتلی بمخالفته ؛ لأنّه سوف یُصبح عند الزوال عاجزاً عن الإتیان بالواجب ، وکلُّ تکلیفٍ مشروطٌ بالقدرة ؛ فلا ضیر علیه فی ترک إیجاد المقدّمة قبل الزوال ، وکلّ مقدّمةٍ یفوت الواجب بعدم المبادرة إلی الإتیان بها قبل زمان الوجوب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صحّ أنّ القاعدة تقتضی عدم کون المکلّف مسؤولاً عن 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یتّفق أحیاناً أن یکون للواجب دائماً مقدّمة مفوّتة ، علی نحوٍ لو لم یبادر المکلّف إلی إیقاعها قبل الوقت لعجز عن الواجب فی حینه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بعرفات الواجب علی من یملک الزاد والراحلة ، فإنّ الواجب منوط بظهر الیوم التاسع من ذی الحجّة ، ولکن لو لم یسافر المکلّف قبل هذا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لَما أدرک الواجب فی حینه ، وفی مثل ذلک لا شکّ فقهیّاً فی أنّ المکلّف مسؤول عن إیجاد المقدّمة المفوّتة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البحث اصولیّاً فی تفسیر ذلک وتکییفه ، وأ نّه کیف یکون المکلّف مسؤولاً عن توفیر المقدّمات لامتثال وجوبٍ غیر موجودٍ بعد؟ وستأتی بعض المحاولات فی تفسیر ذلک فی حلقةٍ مقبلة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693" w:name="pg14075_144705"/>
    </w:p>
    <w:p>
      <w:pPr>
        <w:pStyle w:val="Heading6"/>
        <w:numPr>
          <w:ilvl w:val="5"/>
          <w:numId w:val="1"/>
        </w:numPr>
        <w:rPr/>
      </w:pPr>
      <w:bookmarkStart w:id="694" w:name="__RefHeading___Toc509084_1738255347"/>
      <w:bookmarkStart w:id="695" w:name="_Toc235"/>
      <w:bookmarkEnd w:id="693"/>
      <w:bookmarkEnd w:id="694"/>
      <w:r>
        <w:rPr>
          <w:rtl w:val="true"/>
        </w:rPr>
        <w:t>القیود المتأخّرة زماناً عن المقیّد</w:t>
      </w:r>
      <w:bookmarkEnd w:id="695"/>
    </w:p>
    <w:p>
      <w:pPr>
        <w:pStyle w:val="BookText"/>
        <w:rPr/>
      </w:pP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قیداً للحکم المجعول ، واخری یکون قیداً للواجب الذی تعلّق به الحکم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فی القیود فی کلتا الحالتین أن یکون المقیّد موجوداً حال وجود القید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فاستقبال القبلة قید یجب أن یوجد حال الصلاة ، والوضوء قید یجب أن توجد الصلاة بعده ، ویسمّی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یدّعی أحیاناً شرط للحکم أو للواجب ، ویکون متأخّراً زماناً عن ذلک الحکم أو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غسل المستحاضة فی لیلة الأحد شرط فی صحّة صوم نهار السبت ، فهذا شرط للواجب ولکنّه متأخّر عنه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عقد الفضولیّ ینفذ من حین صدوره إذا وقعت الإجازة بعده ، فهذا شرط للحکم ولکنّه متأخّر عنه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البحث اصولیّاً فی إمکان ذلک واستحالته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یقال بالاستحالة ؛ لأنّ الشرط بالنسبة إلی المشروط بمثابة العلّة بالنسبة إلی المعلول ، ولا یعقل أن تکون العلّة متأخّرةً زماناً عن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بالإمکان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هذا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الشرط المتأخّر للواجب فبأنّ القیود الشرعیّة للواجب لا یتوقّف علیها وجود ذات الواجب ، وإنّما تنشأ قیدیّتها من تحصیص المولی للطبیعة بحصّةٍ عن طریق تقییدها بقید ، فکما یمکن أن یکون القید المحصّص مقارناً أو متقدّماً یمکن أن یکون متأخّراً</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الشرط المتأخّر للوجوب فبأنّ قیود الوجوب کلّها قیود للحکم المجعول لا للجعل ، کما تقدّم ؛ لوضوح أنّ الجعل ثابت قبل وجودها ، والمجعول وجوده مجرّد افتراض ، ولیس وجوداً حقیقیّاً خارجیّاً ، فلا محذور فی إناطته بأمرٍ متأخّر</w:t>
      </w:r>
      <w:r>
        <w:rPr>
          <w:rFonts w:eastAsia="IRNazanin" w:cs="IRNazanin"/>
          <w:color w:val="111111"/>
          <w:sz w:val="28"/>
          <w:szCs w:val="28"/>
          <w:rtl w:val="true"/>
          <w:lang w:bidi="fa-IR"/>
        </w:rPr>
        <w:t xml:space="preserve">. </w:t>
      </w:r>
      <w:bookmarkStart w:id="696" w:name="pg14075_144707"/>
    </w:p>
    <w:p>
      <w:pPr>
        <w:pStyle w:val="Heading6"/>
        <w:numPr>
          <w:ilvl w:val="5"/>
          <w:numId w:val="1"/>
        </w:numPr>
        <w:rPr/>
      </w:pPr>
      <w:bookmarkStart w:id="697" w:name="__RefHeading___Toc509086_1738255347"/>
      <w:bookmarkStart w:id="698" w:name="_Toc236"/>
      <w:bookmarkEnd w:id="696"/>
      <w:bookmarkEnd w:id="697"/>
      <w:r>
        <w:rPr>
          <w:rtl w:val="true"/>
        </w:rPr>
        <w:t>زمان الوجوبِ والواجب</w:t>
      </w:r>
      <w:bookmarkEnd w:id="698"/>
    </w:p>
    <w:p>
      <w:pPr>
        <w:pStyle w:val="BookText"/>
        <w:rPr/>
      </w:pPr>
      <w:r>
        <w:rPr>
          <w:rFonts w:ascii="IRNazanin" w:hAnsi="IRNazanin" w:eastAsia="IRNazanin"/>
          <w:color w:val="111111"/>
          <w:sz w:val="28"/>
          <w:sz w:val="28"/>
          <w:szCs w:val="28"/>
          <w:rtl w:val="true"/>
          <w:lang w:bidi="fa-IR"/>
        </w:rPr>
        <w:t xml:space="preserve">لکلٍّ من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زمان ، والزمانان متطابقان عادةً ، فوجوب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الفترة الممتدّة بین الطلوعین ، وهذه الفترة هی بنفسها زمان الواجب ، ویستحیل أن یکون زمان الوجوب بکامله متقدّماً علی زمان الواجب ؛ لأنّ هذا معناه أنّه فی هذا الظرف الذی یترقّب فیه صدور الواجب لا وجوب ، فلا محرّک للمکلّف إلی الإتیان بالواجب ،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وقع البحث فی أنّه هل بالإمکان أن تتقدّم بدایة زمان الوجوب علی زمان الواجب مع استمراره وامتداده وتعاصره بقاءً مع الواجب؟</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فإنّه واجب علی المستطیع ، وزمان الواجب هو یوم عرفة من الظهر إلی الغروب ، وأمّا زمان الوجوب فیبدأ من حین حدوث الاستطاعة لدی المکلّف التی قد تسبق یوم عرفة بفترةٍ طویلة ، ویستمرّ الوجوب من ذلک الحین إلی یوم عرفة الذی هو زمان الواجب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جماعة من الاصولیّین </w:t>
      </w:r>
      <w:r>
        <w:rPr>
          <w:rStyle w:val="FootnoteAnchor"/>
          <w:rtl w:val="true"/>
        </w:rPr>
        <w:footnoteReference w:id="121"/>
      </w:r>
      <w:r>
        <w:rPr>
          <w:rFonts w:ascii="IRNazanin" w:hAnsi="IRNazanin" w:eastAsia="IRNazanin"/>
          <w:color w:val="111111"/>
          <w:sz w:val="28"/>
          <w:sz w:val="28"/>
          <w:szCs w:val="28"/>
          <w:rtl w:val="true"/>
          <w:lang w:bidi="fa-IR"/>
        </w:rPr>
        <w:t xml:space="preserve">إلی أنّ هذا معقول ، وسَمّوا کلّ واجبٍ تتقدّم بدایة زمان وجوبه علی زمان الواجب بالواجب المعلّق ، وحاولوا عن هذا الطریق أن یفسّروا ما سبق من مسؤولیّة المکلّف تجاه المقدّمات المفوّتة ؛ وذلک لأنّ الإشکال فی هذه المسؤولیّة کان یبتنی علی افتراض أنّ الوجوب لا یحدث إلاّفی ظرف إیقاع الواجب ، فإذا افترضنا أنّ الوجوب غیر مشروطٍ بزمان الواجب ، بل یحدث قبله ویصبح فعلیّاً بالاستطاعة فمن الطبیعیّ أن یکون المکلّف مسؤولاً عن </w:t>
      </w:r>
    </w:p>
    <w:p>
      <w:pPr>
        <w:pStyle w:val="BookText"/>
        <w:rPr/>
      </w:pPr>
      <w:r>
        <w:rPr>
          <w:rFonts w:ascii="IRNazanin" w:hAnsi="IRNazanin" w:eastAsia="IRNazanin"/>
          <w:color w:val="111111"/>
          <w:sz w:val="28"/>
          <w:sz w:val="28"/>
          <w:szCs w:val="28"/>
          <w:rtl w:val="true"/>
          <w:lang w:bidi="fa-IR"/>
        </w:rPr>
        <w:t>المقدّمات المفوّتة قبل مجیء یوم عرفة ؛ لأنّ الوجوب فعلیّ وهو یستدعی عقلاً التهیّؤ لامتثاله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الواجب یجب أن یکون قیداً للوجوب ، ولا یمکن أن یکون قیداً للواجب فقط ؛ لأنّه أمر غیر اختیاریّ ، وقد تقدّم أنّ کلّ القیود التی تؤخذ فی الواجب فقط یلزم أن تکون اختیاریّة ، فبهذا نبرهن علی أنّه قید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قلنا باستحالة الشرط المتأخّر للحکم ثبت أن الوجوب ما دام مشروطاً بزمان الواجب فلابدّ أن یکون حادثاً بحدوثه لا سابقاً علیه ؛ لئلاّ یلزم وقوع الشرط المتأخّر ، وبهذا یتبرهن أنّ الواجب المعلّق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بإمکان الشرط المتأخّر جاز أن یکون زمان الواجب شرطاً متأخّراً للوجوب ، فوجوب الوقوف بعرفات یکون له شرطان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مقارن یحدث الوجوب بحدوثه ، وهو الاستطاعة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متأخّر یسبقه الوجوب ، وهو مجیء یوم عرفة علی المکلّف المستطیع وهو حیّ ، فکلّ من استطاع فی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سیجیء علیه یوم عرفة وهو حیّ فوجوب الحجّ یبدأ فی حقّه من شعبان ، وبذلک یصبح مسؤولاً عن توفیر المقدّمات المفوّتة له من أجل فعلیّة الوجوب</w:t>
      </w:r>
      <w:r>
        <w:rPr>
          <w:rFonts w:eastAsia="IRNazanin" w:cs="IRNazanin"/>
          <w:color w:val="111111"/>
          <w:sz w:val="28"/>
          <w:szCs w:val="28"/>
          <w:rtl w:val="true"/>
          <w:lang w:bidi="fa-IR"/>
        </w:rPr>
        <w:t xml:space="preserve">. </w:t>
      </w:r>
      <w:bookmarkStart w:id="699" w:name="pg14075_144709"/>
    </w:p>
    <w:p>
      <w:pPr>
        <w:pStyle w:val="Heading6"/>
        <w:numPr>
          <w:ilvl w:val="5"/>
          <w:numId w:val="1"/>
        </w:numPr>
        <w:rPr/>
      </w:pPr>
      <w:bookmarkStart w:id="700" w:name="__RefHeading___Toc509088_1738255347"/>
      <w:bookmarkStart w:id="701" w:name="_Toc237"/>
      <w:bookmarkEnd w:id="699"/>
      <w:bookmarkEnd w:id="700"/>
      <w:r>
        <w:rPr>
          <w:rtl w:val="true"/>
        </w:rPr>
        <w:t>متی یجوز عقلاً التعجیز؟</w:t>
      </w:r>
      <w:bookmarkEnd w:id="701"/>
    </w:p>
    <w:p>
      <w:pPr>
        <w:pStyle w:val="BookText"/>
        <w:rPr/>
      </w:pPr>
      <w:r>
        <w:rPr>
          <w:rFonts w:ascii="IRNazanin" w:hAnsi="IRNazanin" w:eastAsia="IRNazanin"/>
          <w:color w:val="111111"/>
          <w:sz w:val="28"/>
          <w:sz w:val="28"/>
          <w:szCs w:val="28"/>
          <w:rtl w:val="true"/>
          <w:lang w:bidi="fa-IR"/>
        </w:rPr>
        <w:t xml:space="preserve">تارةً یترک المکلّف الواجب وهو قادر علی إیجاده ، وهذا هو العصیان ، واخری یتسبّب إلی تعجیز نفسه عن الإتیان به ، وهذا التسبیب له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بعد فعلیّة الوجوب ، کحال إنسانٍ یحلّ علیه وقت الفریضة ولدیه ماء فیریق الماء ویعجّز نفسه عن الصلاة مع الوضوء ، وهذا لا یجوز عقلاً ؛ لأ 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قبل فعلیّة الوجوب ، کما لو أراق الماء فی المثال قبل دخول الوقت ، وهذا یجوز ؛ لأنّه بإراقة الماء یجعل نفسه عاجزاً عن الواجب عند تحقّق ظرف الوجوب ، وحیث إنّ الوجوب مشروط بالقدرة فلا یحدث الوجوب فی حقّه ، ولا محذور فی أن یسبّب المکلّف إلی أن لا یحدث الوجوب فی حقّه ، وإنّما المحذور فی أن لا یمتثله بعد أن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هنا بالتفصیل بین ما إذا کان دخل القدرة فی هذا الوجوب عقلیّاً أو شرعیّاً ، فإذا کان الدخل شرعیّاً جاز التعجیز المذکور ؛ لأنّه لا یفوّت علی المولی بذلک شیئاً ، إذ یصبح عاجزاً ؛ ولا ملاک للواجب فی حقّ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الدخل عقلیّاً وکان ملاک الواجب ثابتاً فی حقّ العاجز أیضاً وإن اختصّ التکلیف بالقادر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التعجیز المذکور ؛ لأنّ المکلّف یعلم بأ نّه بهذا سوف یسبّب إلی تفویت ملاکٍ فعلیّ فی ظرفه المقبل ، وهذا لا یجوز بحکم العقل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یمکن تخریج مسؤولیّة المکلّف تجاه المقدّمات المفوّتة فی بعض الحالات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المسؤولیّة تثبت فی کلّ حالةٍ یکون دخل القدرة فیها عقلیاً لا شرعیّاً</w:t>
      </w:r>
      <w:r>
        <w:rPr>
          <w:rFonts w:eastAsia="IRNazanin" w:cs="IRNazanin"/>
          <w:color w:val="111111"/>
          <w:sz w:val="28"/>
          <w:szCs w:val="28"/>
          <w:rtl w:val="true"/>
          <w:lang w:bidi="fa-IR"/>
        </w:rPr>
        <w:t xml:space="preserve">. </w:t>
      </w:r>
      <w:bookmarkStart w:id="702" w:name="pg14075_144710"/>
    </w:p>
    <w:p>
      <w:pPr>
        <w:pStyle w:val="Heading6"/>
        <w:numPr>
          <w:ilvl w:val="5"/>
          <w:numId w:val="1"/>
        </w:numPr>
        <w:rPr/>
      </w:pPr>
      <w:bookmarkStart w:id="703" w:name="__RefHeading___Toc509090_1738255347"/>
      <w:bookmarkStart w:id="704" w:name="_Toc238"/>
      <w:bookmarkEnd w:id="702"/>
      <w:bookmarkEnd w:id="703"/>
      <w:r>
        <w:rPr>
          <w:rtl w:val="true"/>
        </w:rPr>
        <w:t>أخْذ العِلم بالحکم فی موضوع الحکم</w:t>
      </w:r>
      <w:bookmarkEnd w:id="704"/>
    </w:p>
    <w:p>
      <w:pPr>
        <w:pStyle w:val="Heading6"/>
        <w:numPr>
          <w:ilvl w:val="5"/>
          <w:numId w:val="1"/>
        </w:numPr>
        <w:rPr/>
      </w:pPr>
      <w:bookmarkStart w:id="705" w:name="__RefHeading___Toc509092_1738255347"/>
      <w:bookmarkStart w:id="706" w:name="_Toc239"/>
      <w:bookmarkEnd w:id="705"/>
      <w:r>
        <w:rPr>
          <w:rtl w:val="true"/>
        </w:rPr>
        <w:t>استحالة اختصاص الحکم بالعالم به</w:t>
      </w:r>
      <w:bookmarkEnd w:id="706"/>
    </w:p>
    <w:p>
      <w:pPr>
        <w:pStyle w:val="BookText"/>
        <w:rPr/>
      </w:pPr>
      <w:r>
        <w:rPr>
          <w:rFonts w:ascii="IRNazanin" w:hAnsi="IRNazanin" w:eastAsia="IRNazanin"/>
          <w:color w:val="111111"/>
          <w:sz w:val="28"/>
          <w:sz w:val="28"/>
          <w:szCs w:val="28"/>
          <w:rtl w:val="true"/>
          <w:lang w:bidi="fa-IR"/>
        </w:rPr>
        <w:t xml:space="preserve">إذا جعل الحکم علی نحو القضیّة الحقیقیّة واخذ فی موضوعه العلم بذلک الحکم اختصّ بالعالم به ، ولم یثبت للشاکّ أو القاطع بالعدم ؛ لأنّ العلم یصبح قیداً للحکم ، غیر أنّ أخذ العلم قیداً کذلک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مستحیل ، وبرهن علی استحالته بالدور ؛ وذلک لأنّ ثبوت الحکم المجعول متوقّف علی وجود قیوده ، والعلم بالحکم متوقّف علی الحکم توقّف کلّ علم علی معلومه ، فإذا کان العلم بالحکم من قیود نفس الحکم لزم توقّف کلّ منهما علی الآخر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علی ذلک بمنع التوقّف الثانی ؛ لأنّ العلم بشیءٍ لا یتوقّف علی وجود ذلک الشیء ، وإلاّ لکان کلّ علمٍ مصیباً ، وإنّما یتوقّف علی الصورة الذهنیّة له فی افق نفس العالم ، أی أنّ العلم یتوقّف علی المعلوم بالذات ، لا علی المعلوم بالعرض ،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هذا الجواب لا یزعزع الاستحالة العقلیّة ؛ لأنّ العقل قاضٍ بأنّ العلم وظیفته تجاه معلومه مجرّد الکشف ودوره دور المرآة ، ولا یعقل للمرآة أن تخلق الشیء الذی تکشف عنه ، فلا یمکن أن یکون العلم بالحکم دخیلاً فی تکوین شخص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الاستحالة إنّما تعنی عدم إمکان أخذ العلم بالحکم المجعول قیداً له ، وأمّا أخذ العلم بالجعل قیداً للحکم المجعول فلا محذور فیه ، بناءً علی ما تقدّم من التمییز بین الجعل والمجعول ، فلایلزم دور ، ولاإخراج للعلم عن دوره الکاشف البحت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والثمرة التی قد تفترض لهذا البحث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بالعلم بالحکم إذا کان </w:t>
      </w:r>
      <w:bookmarkStart w:id="707" w:name="pg14075_144711"/>
    </w:p>
    <w:p>
      <w:pPr>
        <w:pStyle w:val="BookText"/>
        <w:rPr/>
      </w:pPr>
      <w:bookmarkEnd w:id="707"/>
      <w:r>
        <w:rPr>
          <w:rFonts w:ascii="IRNazanin" w:hAnsi="IRNazanin" w:eastAsia="IRNazanin"/>
          <w:color w:val="111111"/>
          <w:sz w:val="28"/>
          <w:sz w:val="28"/>
          <w:szCs w:val="28"/>
          <w:rtl w:val="true"/>
          <w:lang w:bidi="fa-IR"/>
        </w:rPr>
        <w:t xml:space="preserve">مستحیلاً فهذا یجعل الإطلاق ضروریّاً ، ویثبت بذلک أنّ الأحکام الشرعیّة مشترکة بین العالم وغیره علی مبنی من یقول بأنّ التقابل بین التقیید والإطلاق الثبوتیّین تقابل السلب والإیجاب ، وعلی العکس تکون استحالة التقیید موجبةً لاستحالة الإطلاق علی مبنی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التقیید والإطلاق کالتقابل بین البصر والعمی ، فکما لا یصدق الأعمی حیث لا یمکن البصر کذلک لا یمکن الإطلاق حیث یتعذّر التقیید ، ومن هنا تکون الأحکام علی هذا القول مهملة ، لا هی بالمقیّدة ولا هی بالمطلقة ، والمهملة فی قوّة الجزئیّة</w:t>
      </w:r>
      <w:r>
        <w:rPr>
          <w:rFonts w:eastAsia="IRNazanin" w:cs="IRNazanin"/>
          <w:color w:val="111111"/>
          <w:sz w:val="28"/>
          <w:szCs w:val="28"/>
          <w:rtl w:val="true"/>
          <w:lang w:bidi="fa-IR"/>
        </w:rPr>
        <w:t>.</w:t>
      </w:r>
    </w:p>
    <w:p>
      <w:pPr>
        <w:pStyle w:val="Heading6"/>
        <w:numPr>
          <w:ilvl w:val="5"/>
          <w:numId w:val="1"/>
        </w:numPr>
        <w:rPr/>
      </w:pPr>
      <w:bookmarkStart w:id="708" w:name="__RefHeading___Toc509094_1738255347"/>
      <w:bookmarkStart w:id="709" w:name="_Toc240"/>
      <w:bookmarkEnd w:id="708"/>
      <w:r>
        <w:rPr>
          <w:rtl w:val="true"/>
        </w:rPr>
        <w:t>أخذ العلم بحکمٍ فی موضوع حکمٍ آخر</w:t>
      </w:r>
      <w:bookmarkEnd w:id="709"/>
    </w:p>
    <w:p>
      <w:pPr>
        <w:pStyle w:val="BookText"/>
        <w:rPr/>
      </w:pPr>
      <w:r>
        <w:rPr>
          <w:rFonts w:ascii="IRNazanin" w:hAnsi="IRNazanin" w:eastAsia="IRNazanin"/>
          <w:color w:val="111111"/>
          <w:sz w:val="28"/>
          <w:sz w:val="28"/>
          <w:szCs w:val="28"/>
          <w:rtl w:val="true"/>
          <w:lang w:bidi="fa-IR"/>
        </w:rPr>
        <w:t xml:space="preserve">قد یؤخذ العلم بحکمٍ فی موضوع حکمٍ آخر ، والحکمان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یکونا متخالفین ، أو متضادّین ، أو متماثلین ، فهذه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الحالة الاولی فلا شکّ فی إمکانها ، کما إذا قال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بوجوب الحجّ علیک فاکتب وصیّتک ، ویکون العلم بوجوب الحجّ هنا قطعاً موضوعیّاً بالنسبة إلی وجوب الوصیّة ، وطریقیّاً بالنسبة إلی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الحالة الثانیة فلا ینبغی الشکّ فی استحالتها ، ومثالها أن یقول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بوجوب الحجّ علیک فهو حرام علیک ، والوجه فی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الأحکام التکلیفیّة الواقعیّة متنافیة متضادّة ، فلا یمکن للمکلّف القاطع بالوجوب أن یتصوّر ثبوت الحرمة فی حقّه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الحالة الثالثة فقد یقال باستحالتها ، علی أساس أنّ اجتماع حکمین متماثلین مستحیل ، کاجتماع المتنافیین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قطعت بوجوب الحجّ وجب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یکون الوجوب المجعول فی هذه القضیّة غیر الوجوب المقطوع به مسبقاً کان معنی ذلک فی نظر القاطع أنّ وجوبین متماثلین قد اجتمعا علیه</w:t>
      </w:r>
      <w:r>
        <w:rPr>
          <w:rFonts w:eastAsia="IRNazanin" w:cs="IRNazanin"/>
          <w:color w:val="111111"/>
          <w:sz w:val="28"/>
          <w:szCs w:val="28"/>
          <w:rtl w:val="true"/>
          <w:lang w:bidi="fa-IR"/>
        </w:rPr>
        <w:t xml:space="preserve">. </w:t>
      </w:r>
      <w:bookmarkStart w:id="710" w:name="pg14075_144712"/>
    </w:p>
    <w:p>
      <w:pPr>
        <w:pStyle w:val="Heading6"/>
        <w:numPr>
          <w:ilvl w:val="5"/>
          <w:numId w:val="1"/>
        </w:numPr>
        <w:rPr/>
      </w:pPr>
      <w:bookmarkStart w:id="711" w:name="__RefHeading___Toc509096_1738255347"/>
      <w:bookmarkStart w:id="712" w:name="_Toc241"/>
      <w:bookmarkEnd w:id="710"/>
      <w:bookmarkEnd w:id="711"/>
      <w:r>
        <w:rPr>
          <w:rtl w:val="true"/>
        </w:rPr>
        <w:t>أخذ قصدِ امتثال الأمر فی متعلّقه</w:t>
      </w:r>
      <w:bookmarkEnd w:id="712"/>
    </w:p>
    <w:p>
      <w:pPr>
        <w:pStyle w:val="BookText"/>
        <w:rPr/>
      </w:pPr>
      <w:r>
        <w:rPr>
          <w:rFonts w:ascii="IRNazanin" w:hAnsi="IRNazanin" w:eastAsia="IRNazanin"/>
          <w:color w:val="111111"/>
          <w:sz w:val="28"/>
          <w:sz w:val="28"/>
          <w:szCs w:val="28"/>
          <w:rtl w:val="true"/>
          <w:lang w:bidi="fa-IR"/>
        </w:rPr>
        <w:t>قد یکون غرض المولی قائماً بإتیان المکلّف للفعل کیفما اتّفق ، ویسمّی بالواجب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غرضه قائماً بأن یأتی المکلّف بالفعل بقصد امتثال الأمر ، ویسمّی بالواجب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بإمکان المولی عند جعل التکلیف والوجوب فی الحالة الثانیة أن یدخل فی متعلّق الوجوب قصد امتثال الأمر ، أوْ لا؟</w:t>
      </w:r>
    </w:p>
    <w:p>
      <w:pPr>
        <w:pStyle w:val="BookText"/>
        <w:rPr/>
      </w:pPr>
      <w:r>
        <w:rPr>
          <w:rFonts w:ascii="IRNazanin" w:hAnsi="IRNazanin" w:eastAsia="IRNazanin"/>
          <w:color w:val="111111"/>
          <w:sz w:val="28"/>
          <w:sz w:val="28"/>
          <w:szCs w:val="28"/>
          <w:rtl w:val="true"/>
          <w:lang w:bidi="fa-IR"/>
        </w:rPr>
        <w:t xml:space="preserve">قد یقال بأنّ ذلک مستحیل ؛ لأنّ قصد امتثال الأمر إذا دخل فی الواجب کان نفس الأمر قیداً من قیود الواجب ؛ لأنّ القصد المذکور مضاف إلی نفس الأمر ، وإذا لاحظنا الأمر وجدنا أنّه لیس اختیاریّاً للمکلّف ، کما هو واضح ، وحینئذٍ نطبّق القاعدة السابقة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القیود المأخوذة فی الواجب فقط یجب أن تکون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لنستنتج أنّ هذا القید إذن لا یمکن أن یکون قیداً للواجب فقط ، بل لا بدّ أن یکون أیضاً قیداً للوجوب ، وهذا یعنی أنّ الأمر مقیّد بنفسه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یتبرهن بأنّ أخذ قصد امتثال الأمر فی متعلّق نفسه یؤدّی إلی المحال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وثمرة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الاستحالة إذا ثبتت فسوف یختلف الموقف تجاه قصد امتثال الأمر عن الموقف تجاه أیّ خصوصیّةٍ اخری یشکّ فی دخلها فی الواجب ، وذلک أنّا إذا شککنا فی دخل خصوصیّة إیقاع الصلاة مع الثوب الأبیض فی الواجب أمکن التمسّک بإطلاق کلام المولی لنفی دخل هذه الخصوصیّة فی الواجب بحسب عالم الوجوب والجعل ، وإذا ثبت عدم دخلها فی الواجب بحسب عالم الجعل یثبت عدم دخلها فی الغرض ، إذ لو کانت دخیلةً فی الغرض لُاخذت فی الواجب ، </w:t>
      </w:r>
    </w:p>
    <w:p>
      <w:pPr>
        <w:pStyle w:val="BookText"/>
        <w:rPr/>
      </w:pPr>
      <w:r>
        <w:rPr>
          <w:rFonts w:ascii="IRNazanin" w:hAnsi="IRNazanin" w:eastAsia="IRNazanin"/>
          <w:color w:val="111111"/>
          <w:sz w:val="28"/>
          <w:sz w:val="28"/>
          <w:szCs w:val="28"/>
          <w:rtl w:val="true"/>
          <w:lang w:bidi="fa-IR"/>
        </w:rPr>
        <w:t>ولو اخذت کذلک لذکرت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الاسلوب لا یمکن تطبیقه علی قصد امتثال الأمر عند الشکّ فی دخله فی الغرض ؛ لأنّ إطلاق کلام المولی وأمره إنّما یعنی عدم أخذ هذا القصد فی متعلّق الوجوب ، ونحن بحکم الاستحالة الآنفة الذکر نعلم بذلک بدون حاجةٍ للرجوع إلی کلام المولی ، ولکن لا یمکن أن نستکشف من ذلک عدم کون القصد المذکور دخیلاً فی الغرض المولویّ ؛ لأنّ المولی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أخذه فی الواجب ، سواء کان دخیلاً فی غرضه أوْ لا ، فلا یدلّ عدم أخذه علی عدم دخله ، وهذا یعنی أنّ الاستحالة المذکورة تبطل إمکان التمسّک بإطلاق کلام المولی لنفی التعبّدیّة وإثبات التوصّلیّة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یمکن أن نصوّر الثمرة لاستحالة أخذ العلم بالحکم قیداً لنفسه علی وجهٍ آخر غیر ما تقدّم فی ذلک البحث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الاستحالة تبطل إمکان التمسّک بإطلاق کلام المولی لنفی اختصاص أغراضه بالعالمین بالأحکام بنفس الطریقة المشار إلیها فی قصد امتثال الأمر</w:t>
      </w:r>
      <w:r>
        <w:rPr>
          <w:rFonts w:eastAsia="IRNazanin" w:cs="IRNazanin"/>
          <w:color w:val="111111"/>
          <w:sz w:val="28"/>
          <w:szCs w:val="28"/>
          <w:rtl w:val="true"/>
          <w:lang w:bidi="fa-IR"/>
        </w:rPr>
        <w:t xml:space="preserve">. </w:t>
      </w:r>
      <w:bookmarkStart w:id="713" w:name="pg14075_144714"/>
    </w:p>
    <w:p>
      <w:pPr>
        <w:pStyle w:val="Heading6"/>
        <w:numPr>
          <w:ilvl w:val="5"/>
          <w:numId w:val="1"/>
        </w:numPr>
        <w:rPr/>
      </w:pPr>
      <w:bookmarkStart w:id="714" w:name="__RefHeading___Toc509098_1738255347"/>
      <w:bookmarkStart w:id="715" w:name="_Toc242"/>
      <w:bookmarkEnd w:id="713"/>
      <w:bookmarkEnd w:id="714"/>
      <w:r>
        <w:rPr>
          <w:rtl w:val="true"/>
        </w:rPr>
        <w:t>اشتراط التکلیفِ بالقدرة بمعنیً آخر</w:t>
      </w:r>
      <w:bookmarkEnd w:id="715"/>
    </w:p>
    <w:p>
      <w:pPr>
        <w:pStyle w:val="BookText"/>
        <w:rPr/>
      </w:pPr>
      <w:r>
        <w:rPr>
          <w:rFonts w:ascii="IRNazanin" w:hAnsi="IRNazanin" w:eastAsia="IRNazanin"/>
          <w:color w:val="111111"/>
          <w:sz w:val="28"/>
          <w:sz w:val="28"/>
          <w:szCs w:val="28"/>
          <w:rtl w:val="true"/>
          <w:lang w:bidi="fa-IR"/>
        </w:rPr>
        <w:t>مرّ بنا أنّ التکلیف مشروط بالقدرة ، وکنّا نرید بها القدرة التکوینیّة ، وهذا یعنی أنّ التکلیف لا یشمل العاجز ، وکذلک لا یشمل أیضاً مَن کان قادراً علی الامتثال ، ولکنّه مشغول فعلاً بامتثال واجبٍ آخر مضادٍّ لا یقلّ عن الأوّل أهمیّة ، فإذا وجب إنقاذ غریق یُعذَر المکلّف فی ترک إنقاذه إذا کان عاجزاً تکویناً ، کما یُعذَر إذا کان قادراً ، ولکنّه اشتغل بإنقاذ غریقٍ آخر مماثلٍ علی نحوٍ لم یبقَ بالإمکان إنقاذ الغریق الأوّل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کلّ تکلیفٍ مشروطٍ بعدم الاشتغال بامتثالٍ مضادٍّ لا یقلّ عنه أهمّیّةً ، وهذا القید دخیل فی التکلیف بحکم العقل ولو لم یصرّح به المولی فی خطابه ، کما هو الحال فی القدرة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ولنطلق علی القدرة التکوینیّة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ما یشمل هذا القید الجدید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علی هذا القید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إذا أمر بواجب وجعل أمره مطلقاً حتّی لحالة الاشتغال بامتثالٍ مضادٍّ لا یقلّ عنه 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بذلک أن یجمع بین الامتثالین فهو غیر معقول ؛ لأنّه غیر 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بذلک أن یصرف المکلّف عن ذلک الامتثال المضادّ فهذا بلا موجبٍ بعد افتراض أنّهما متساویان فی الأهمّیّة ، فلابدّ إذن من أخذ القید المذکور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یعرف أنّ ثبوت أمرین بالضدّین مستحیل إذا کان کلّ من الأمرین مطلقاً لحالة الاشتغال بامتثال الأمر الآخر أیضاً ، وأمّا إذا کان کلّ منهما مقیّداً بعدم الاشتغال بالآخر ، أو کان أحدهما کذلک فلا استحالة ، ویقال عن الأمرین بالضدّین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مجعولان علی وجه الترتّب ، وإنّ هذا الترتّب هو الذی صحّح جعلهما </w:t>
      </w:r>
    </w:p>
    <w:p>
      <w:pPr>
        <w:pStyle w:val="BookText"/>
        <w:rPr/>
      </w:pPr>
      <w:r>
        <w:rPr>
          <w:rFonts w:ascii="IRNazanin" w:hAnsi="IRNazanin" w:eastAsia="IRNazanin"/>
          <w:color w:val="111111"/>
          <w:sz w:val="28"/>
          <w:sz w:val="28"/>
          <w:szCs w:val="28"/>
          <w:rtl w:val="true"/>
          <w:lang w:bidi="fa-IR"/>
        </w:rPr>
        <w:t xml:space="preserve">علی هذا الوجه ، وهذا ما یحصل فی کلّ حالةٍ یواجه فیها المکلّف واجبین شرعیّین ویکون قادراً علی امتثال کلّ منهما بمفرده ، ولکنّه غیر قادرٍ علی الجمع بینهما ، فإنّهما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متکافئین فی الأهمّیّة کان وجوب کلّ منهما مشروطاً بعدم امتثال الآخر ، وإن کان أحدهما أهمّ من الآخر ملاکاً فوجوب الأهمّ غیر مقیّدٍ بعدم الإتیان بالأقلّ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وجوب المهمّ مقیّد بعدم الإتیان بالأهمّ ، وتسمّی هذه الحالات بحالات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تعترض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الأمرین بالضدّین علی وجه الترتّب مستحیل ؛ لأنّ المکلّف فی حالة ترکه لکلا الضدّین یکون کلّ من الأمرین فعلیّاً وثابتاً فی حقّه ؛ لأنّ شرطه محقّق ، وهذا یعنی أنّ المکلّف فی هذه الحالة یطلب منه کلا الضدّین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الأمرین والوجوبین ، وإن کانا فعلیّین معاً فی الحالة المذکورة ولکن لا محذور فی ذلک ، إذ ما دام امتثال أحدهما ینفی شرط الآخر وموضوعه ، وبالتالی ینفی فعلیّة الوجوب الآخر فلا یلزم من اجتماع الأمرین أن یکون المطلوب من المکلّف مالا یطاق ، وهو الجمع بین الضدّین ، ولهذا لو فرض المحال وصدر کلا الضدّین من المکلّف لَما وقعا علی وجه المطلوبیّة معاً ، فلیس المطلوب خارجاً عن حدود القدرة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إمکان وقوع الأمرین بالضدّین علی وجه الترتّب واجتماعهما معاً نشأ من خصوصیّة الترتّب بینهما ، أی من خصوصیّة کون أحدهما أو کلٍّ منهما بامتثاله نافیاً لموضوع الآخر ومعدِماً لشرطه</w:t>
      </w:r>
      <w:r>
        <w:rPr>
          <w:rFonts w:eastAsia="IRNazanin" w:cs="IRNazanin"/>
          <w:color w:val="111111"/>
          <w:sz w:val="28"/>
          <w:szCs w:val="28"/>
          <w:rtl w:val="true"/>
          <w:lang w:bidi="fa-IR"/>
        </w:rPr>
        <w:t xml:space="preserve">. </w:t>
      </w:r>
      <w:bookmarkStart w:id="716" w:name="pg14075_144716"/>
    </w:p>
    <w:p>
      <w:pPr>
        <w:pStyle w:val="Heading6"/>
        <w:numPr>
          <w:ilvl w:val="5"/>
          <w:numId w:val="1"/>
        </w:numPr>
        <w:rPr/>
      </w:pPr>
      <w:bookmarkStart w:id="717" w:name="__RefHeading___Toc509100_1738255347"/>
      <w:bookmarkStart w:id="718" w:name="_Toc243"/>
      <w:bookmarkEnd w:id="716"/>
      <w:bookmarkEnd w:id="717"/>
      <w:r>
        <w:rPr>
          <w:rtl w:val="true"/>
        </w:rPr>
        <w:t>التخییر و الکفائیّة فی الواجب</w:t>
      </w:r>
      <w:bookmarkEnd w:id="718"/>
    </w:p>
    <w:p>
      <w:pPr>
        <w:pStyle w:val="Heading6"/>
        <w:numPr>
          <w:ilvl w:val="5"/>
          <w:numId w:val="1"/>
        </w:numPr>
        <w:rPr/>
      </w:pPr>
      <w:bookmarkStart w:id="719" w:name="__RefHeading___Toc509102_1738255347"/>
      <w:bookmarkStart w:id="720" w:name="_Toc244"/>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 xml:space="preserve">الخطاب الشرعیّ المتکفّل للوجوب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یبیّن فیه وجوب عنوانٍ کلّیّ واحد ، وتجری قرینة الحکمة لإثبات الإطلاق فی الواجب ، وأ نّه إطلاق بدلیّ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الواجب طبیعیّ الصلاة ، ویکون مخیّراً بین أن یطبّق هذا الطبیعیّ علی الصلاة فی المسجد ، أو علی الصلاة فی البیت ، إلاّأنّ هذا التخییر لیس شرعیّاً ، بل هو عقلیّ ، بمعنی أنّ الخطاب الشرعیّ لم یتعرّض إلی هذا التخییر ، ولم یذکر هذه البدائل مباشرةً ، وإنّما یحکم العقل والعرف بالتخییر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والنحو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یتعرّض الخطاب الشرعیّ مباشرةً للتخییر بین شیئین فیأمر بهما علی سبیل البدل ، فیقول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ویسمّی التخییر حینئذٍ شرعیّاً ، والوجوب بالوجوب التخییریّ</w:t>
      </w:r>
      <w:r>
        <w:rPr>
          <w:rFonts w:eastAsia="IRNazanin" w:cs="IRNazanin"/>
          <w:color w:val="111111"/>
          <w:sz w:val="28"/>
          <w:szCs w:val="28"/>
          <w:rtl w:val="true"/>
          <w:lang w:bidi="fa-IR"/>
        </w:rPr>
        <w:t>.</w:t>
      </w:r>
    </w:p>
    <w:p>
      <w:pPr>
        <w:pStyle w:val="Heading6"/>
        <w:numPr>
          <w:ilvl w:val="5"/>
          <w:numId w:val="1"/>
        </w:numPr>
        <w:rPr/>
      </w:pPr>
      <w:bookmarkStart w:id="721" w:name="__RefHeading___Toc509104_1738255347"/>
      <w:bookmarkStart w:id="722" w:name="_Toc245"/>
      <w:bookmarkEnd w:id="721"/>
      <w:r>
        <w:rPr>
          <w:rtl w:val="true"/>
        </w:rPr>
        <w:t>التخییر الشرعیّ فی الواجب</w:t>
      </w:r>
      <w:bookmarkEnd w:id="722"/>
    </w:p>
    <w:p>
      <w:pPr>
        <w:pStyle w:val="BookText"/>
        <w:rPr/>
      </w:pPr>
      <w:r>
        <w:rPr>
          <w:rFonts w:ascii="IRNazanin" w:hAnsi="IRNazanin" w:eastAsia="IRNazanin"/>
          <w:color w:val="111111"/>
          <w:sz w:val="28"/>
          <w:sz w:val="28"/>
          <w:szCs w:val="28"/>
          <w:rtl w:val="true"/>
          <w:lang w:bidi="fa-IR"/>
        </w:rPr>
        <w:t xml:space="preserve">ولا شکّ فی أنّ الوجوب التخییریّ ثابت فی الشریعة فی مواقع عدیدة ، وله خصائص متّفق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یعدّ ممتثلاً بإتیان أحد الشیئین ، أو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عاصیاً إذا ترک البدائل کلّها ، غیر أنّها معصیة واحدة ولها عقاب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بالشیئین معاً فقد امتثل أیضاً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البحث فی تحلیل حقیقة الوجوب التخییریّ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مرجعه إلی التخییر العقلیّ </w:t>
      </w:r>
      <w:r>
        <w:rPr>
          <w:rStyle w:val="FootnoteAnchor"/>
          <w:rtl w:val="true"/>
        </w:rPr>
        <w:footnoteReference w:id="122"/>
      </w:r>
      <w:r>
        <w:rPr>
          <w:rFonts w:ascii="IRNazanin" w:hAnsi="IRNazanin" w:eastAsia="IRNazanin"/>
          <w:color w:val="111111"/>
          <w:sz w:val="28"/>
          <w:sz w:val="28"/>
          <w:szCs w:val="28"/>
          <w:rtl w:val="true"/>
          <w:lang w:bidi="fa-IR"/>
        </w:rPr>
        <w:t xml:space="preserve">، بمعنی أنّه وجوب واحد متعلّق بالجامع بین الشیئین تبعاً لقیام الملاک به ، سواء کان هذا الجامع عنواناً أصیلاً ، أو عنواناً انتزاعیّاً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مرجعه إلی وجوبین مشروطین </w:t>
      </w:r>
      <w:r>
        <w:rPr>
          <w:rStyle w:val="FootnoteAnchor"/>
          <w:rtl w:val="true"/>
        </w:rPr>
        <w:footnoteReference w:id="123"/>
      </w:r>
      <w:r>
        <w:rPr>
          <w:rFonts w:ascii="IRNazanin" w:hAnsi="IRNazanin" w:eastAsia="IRNazanin"/>
          <w:color w:val="111111"/>
          <w:sz w:val="28"/>
          <w:sz w:val="28"/>
          <w:szCs w:val="28"/>
          <w:rtl w:val="true"/>
          <w:lang w:bidi="fa-IR"/>
        </w:rPr>
        <w:t>، بمعنی أنّ کلاًّ من العِدلین واجب وجوباً مشروطاً بترک الآخر ، ومردّ هذین الوجوبین إلی ملاکین وغرضین غیر قابلین للاستیفاء معاً ، فمن أجل تعدّد الملاک وقیام ملاکٍ خاصّ بکلٍّ من العِدلین تعدّد الوجوب ، ومن أجل عدم إمکان استیفاء الملاکین معاً جعل الوجوب فی کلٍّ منهما مشروطاً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لوحظ علی التفسیر الثانی بأنّ لازمه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المعصیة والعقاب فی حالة ترک العِدلین معاً </w:t>
      </w:r>
      <w:r>
        <w:rPr>
          <w:rStyle w:val="FootnoteAnchor"/>
          <w:rtl w:val="true"/>
        </w:rPr>
        <w:footnoteReference w:id="124"/>
      </w:r>
      <w:r>
        <w:rPr>
          <w:rFonts w:ascii="IRNazanin" w:hAnsi="IRNazanin" w:eastAsia="IRNazanin"/>
          <w:color w:val="111111"/>
          <w:sz w:val="28"/>
          <w:sz w:val="28"/>
          <w:szCs w:val="28"/>
          <w:rtl w:val="true"/>
          <w:lang w:bidi="fa-IR"/>
        </w:rPr>
        <w:t>، کما هو الحال فی حالات التزاحم بین واجبین لو ترکهما المکلّف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الامتثال عند الإتیان بکلا الأمرین ، إذ لا یکون کلّ من الوجوبین حینئذٍ فعلیّاً </w:t>
      </w:r>
      <w:r>
        <w:rPr>
          <w:rStyle w:val="FootnoteAnchor"/>
          <w:rtl w:val="true"/>
        </w:rPr>
        <w:footnoteReference w:id="125"/>
      </w:r>
      <w:r>
        <w:rPr>
          <w:rFonts w:ascii="IRNazanin" w:hAnsi="IRNazanin" w:eastAsia="IRNazanin"/>
          <w:color w:val="111111"/>
          <w:sz w:val="28"/>
          <w:sz w:val="28"/>
          <w:szCs w:val="28"/>
          <w:rtl w:val="true"/>
          <w:lang w:bidi="fa-IR"/>
        </w:rPr>
        <w:t>، وکلا اللازمین معلوم البطلان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ثمرات تترتّب علی تفسیر الوجوب التخییری بهذا الوجه أو بذاک ، وقد یذکر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التقرّب بأحد العِدلین بخصوصه علی التفسیر الثانی ؛ لأنّه متعلّق للأمر بعنوانه ، وعدم جواز ذلک علی التفسیر الأوّل ؛ لأنّ الأمر متعلّق بالجامع ، فالتقرّب ینبغی أن یکون بالجامع المحفوظ فی ضمنه ، کما هی الحالة فی سائر موارد التخییر العقلیّ</w:t>
      </w:r>
      <w:r>
        <w:rPr>
          <w:rFonts w:eastAsia="IRNazanin" w:cs="IRNazanin"/>
          <w:color w:val="111111"/>
          <w:sz w:val="28"/>
          <w:szCs w:val="28"/>
          <w:rtl w:val="true"/>
          <w:lang w:bidi="fa-IR"/>
        </w:rPr>
        <w:t xml:space="preserve">. </w:t>
      </w:r>
      <w:bookmarkStart w:id="723" w:name="pg14075_144718"/>
    </w:p>
    <w:p>
      <w:pPr>
        <w:pStyle w:val="BookText"/>
        <w:rPr/>
      </w:pPr>
      <w:bookmarkEnd w:id="723"/>
      <w:r>
        <w:rPr>
          <w:rFonts w:ascii="IRNazanin" w:hAnsi="IRNazanin" w:eastAsia="IRNazanin"/>
          <w:color w:val="111111"/>
          <w:sz w:val="28"/>
          <w:sz w:val="28"/>
          <w:szCs w:val="28"/>
          <w:rtl w:val="true"/>
          <w:lang w:bidi="fa-IR"/>
        </w:rPr>
        <w:t>ثمّ إنّ العِدلین فی موارد الوجوب التخییریّ یجب أن یکونا متباینین ، ولا یمکن أن یکونا من الأقلّ والأکثر ؛ لأنّ الزائد حینئذٍ ممّا یجوز ترکه بدون بدیل ، ولا معنی لافتراضه واجباً ، فالتخییر بین الأقلّ والأکثر فی الإیجاب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ویشابه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الوجوب الکفائیّ ، وهل هو وجوب موجّه إلی جامع المکلّف ، أو وجوبات متعدّدة بعدد أفراد المکلّفین ، غیر أنّ الوجوب علی کلّ فردٍ مشروط بترک الآخرین؟</w:t>
      </w:r>
    </w:p>
    <w:p>
      <w:pPr>
        <w:pStyle w:val="Heading6"/>
        <w:numPr>
          <w:ilvl w:val="5"/>
          <w:numId w:val="1"/>
        </w:numPr>
        <w:rPr/>
      </w:pPr>
      <w:bookmarkStart w:id="724" w:name="__RefHeading___Toc509106_1738255347"/>
      <w:bookmarkStart w:id="725" w:name="_Toc246"/>
      <w:bookmarkEnd w:id="724"/>
      <w:r>
        <w:rPr>
          <w:rtl w:val="true"/>
        </w:rPr>
        <w:t>التخییر العقلیّ فی الواجب</w:t>
      </w:r>
      <w:bookmarkEnd w:id="725"/>
    </w:p>
    <w:p>
      <w:pPr>
        <w:pStyle w:val="BookText"/>
        <w:rPr/>
      </w:pPr>
      <w:r>
        <w:rPr>
          <w:rFonts w:ascii="IRNazanin" w:hAnsi="IRNazanin" w:eastAsia="IRNazanin"/>
          <w:color w:val="111111"/>
          <w:sz w:val="28"/>
          <w:sz w:val="28"/>
          <w:szCs w:val="28"/>
          <w:rtl w:val="true"/>
          <w:lang w:bidi="fa-IR"/>
        </w:rPr>
        <w:t xml:space="preserve">حینما یأمر المولی بطبیعیّ فعلٍ علی نحو صرف الوجود والإطلاق البدلیّ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والإکرام له حصص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بین الحصص عقلیّ لا شرعیّ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اختار المکلّف أن یکرمه بإهداء کتابٍ له لا یکون اختیار المکلّف لهذه الحصّة من الإکرام موجباً للکشف عن تعلّق الوجوب بها خاصّةً ، بل الوجوب بمبادئه متعلّق بالطبیعیّ الجامع ، ولهذا لو أتی المکلّف بحصّةٍ اخری لکان ممتثلاً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الحصّة لیست متعلّقاً للأمر ، وإنّما هی مصداق لمتعلّق الأمر ، وإنّ متعلّق الأمر نسبته إلی سائر الحصص علی نحوٍ واحد ، والوجوب لا یسری من الجامع إلی الحصّة بمجرّد تطبیق المکلّف ؛ لأنّ استقرار الوجوب علی متعلّقه إنّما هو بالجعل ، والمفروض أنّه قد جعل علی الطبیعیّ الجامع الملحوظ بنحو صرف الوجود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وخلافاً لذلک ما إذا أمر المولی بالطبیعیّ علی نحو الإطلاق الشمولیّ ، أو العموم ومطلق الوجود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بکلّ أشکال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شکلٍ منها یعتبر متعلّقاً للوجوب ، ولیس مجرّد مصداقٍ للمتعلّق ، فالوجوب هنا یتعدّد </w:t>
      </w:r>
    </w:p>
    <w:p>
      <w:pPr>
        <w:pStyle w:val="BookText"/>
        <w:rPr/>
      </w:pPr>
      <w:r>
        <w:rPr>
          <w:rFonts w:ascii="Amiri" w:hAnsi="Amiri" w:eastAsia="Amiri" w:cs="Amiri"/>
          <w:color w:val="111111"/>
          <w:sz w:val="28"/>
          <w:sz w:val="28"/>
          <w:szCs w:val="28"/>
          <w:rtl w:val="true"/>
          <w:lang w:bidi="ar-SA"/>
        </w:rPr>
        <w:t>وتنال کلّ حصّةٍ وجوباً خاصّاً 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رأینا سابقاً وجود محاولةٍ لإرجاع الوجوب التخییری إلی وجوبٍ واحدٍ للجامع فإنّ هناک محاولة معاکسة ممّن یری أنّ الوجوب التخییریّ وجوبان مشروطان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إرجاع الوجوب المتعلّق بالطبیعیّ الجامع علی نحو صرف الوجود إلی وجوباتٍ متعدّدةٍ للحصص ، مشروط کلّ واحدٍ منها بعدم الإتیان بسائر الحصص ، وقد یعبّر عن هذه المحاولة بأنّ الأوامر متعلّقة بالأفراد ؛ لا بالطبائع</w:t>
      </w:r>
      <w:r>
        <w:rPr>
          <w:rFonts w:eastAsia="IRNazanin" w:cs="IRNazanin"/>
          <w:color w:val="111111"/>
          <w:sz w:val="28"/>
          <w:szCs w:val="28"/>
          <w:rtl w:val="true"/>
          <w:lang w:bidi="fa-IR"/>
        </w:rPr>
        <w:t xml:space="preserve">. </w:t>
      </w:r>
      <w:bookmarkStart w:id="726" w:name="pg14075_144720"/>
    </w:p>
    <w:p>
      <w:pPr>
        <w:pStyle w:val="Heading6"/>
        <w:numPr>
          <w:ilvl w:val="5"/>
          <w:numId w:val="1"/>
        </w:numPr>
        <w:rPr/>
      </w:pPr>
      <w:bookmarkStart w:id="727" w:name="__RefHeading___Toc509108_1738255347"/>
      <w:bookmarkStart w:id="728" w:name="_Toc247"/>
      <w:bookmarkEnd w:id="726"/>
      <w:bookmarkEnd w:id="727"/>
      <w:r>
        <w:rPr>
          <w:rtl w:val="true"/>
        </w:rPr>
        <w:t>امتناع اجتماعِ الأمرِ والنهی</w:t>
      </w:r>
      <w:bookmarkEnd w:id="728"/>
    </w:p>
    <w:p>
      <w:pPr>
        <w:pStyle w:val="BookText"/>
        <w:rPr/>
      </w:pPr>
      <w:r>
        <w:rPr>
          <w:rFonts w:ascii="IRNazanin" w:hAnsi="IRNazanin" w:eastAsia="IRNazanin"/>
          <w:color w:val="111111"/>
          <w:sz w:val="28"/>
          <w:sz w:val="28"/>
          <w:szCs w:val="28"/>
          <w:rtl w:val="true"/>
          <w:lang w:bidi="fa-IR"/>
        </w:rPr>
        <w:t>لا شکّ فی التنافی والتضادّ بین الأحکام التکلیفیّة الواقعیّة ، کما تقدّم ، وهذا التنافی إنّما یتحقّق إذا کان المتعلّق واحداً ، فوجوب الصلاة ینافی حرمتها ، ولا ینافی حرمة النظر إلی الأجنبیّة ؛ لأنّ الصلاة والنظر أمران متغایران ، وإن کانا قد یوجدان فی وقتٍ واحدٍ وفی موقفٍ واحدٍ فلا محذور فی أن یکون أحدهما حراماً والآخر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حالتان یقع البحث فی أنّهما هل تلحقان بفرض وحدة المتعلّق ، أو تعدّده؟</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الوجوب متعلّقاً بالطبیعیّ علی نحو صرف الوجود والإطلاق البدلیّ ، والحرمة متعلّقة بحصّةٍ من حصص ذلک الطبیعیّ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فإنّ الحصّة والطبیعیّ باعتبار وحدتهما الذاتیّة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المتعلّق واحد فیستحیل أن یتعلّق الوجوب بالطبیعیّ والحرمة بالحصّة ، وباعتبار تغایرهما بالإطلاق والتقیید قد یقال بأ نّه لا محذور فی وجوب الطبیعیّ وحرمة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الطبیعیّ یستدعی التخییر العقلیّ فی مقام الامتثال بین حصصه وأفراده ، فإن قلنا بأنّ هذا الوجوب مردّه إلی وجوباتٍ مشروطةٍ للحصص فالصلاة فی الحمّام إذن باعتبارها حصّةً من الطبیعیّ متعلّق لوجوبٍ خاصّ مشروط ، فلو تعلّقت بها الحرمة أیضاً لزم اجتماع الحکمین المتنافیین علی متعلّقٍ واحد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أنکرنا إرجاع وجوب الطبیعیّ إلی وجوباتٍ مشروطة ، ولکن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الحصّة التی یختارها المکلّف فی مقام امتثاله یسری إلیها الوجوب ، أو علی الأقلّ تسری إلیها مبادئ الوجوب من الحبّ والإرادة وتقع علی صفة المحبوبیّة الفعلیّة ، فأیضاً لا یمکن أن نفترض حینئذٍ تعلّق الحرمة بالحصّة ، إذ فی حالة إیقاعها فی الخارج یلزم أن تکون محبوبةً ومبغوضةً فی وقتٍ واحد ،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بأنّ الوجوب وجوب واحد متعلّق بالجامع ولا یسری إلی الحصص ، وأنّ الحصّة التی تقع خارجاً منه لا تکون متعلّقاً للوجوب ولا لمبادئه ، وإنّما هی مصداق للواجب وللمحبوب ، ولیست هی الواجب أو المحبوب ، فلا محذور فی أن یتعلّق الأمر بالجامع علی نحو صرف الوجود ویتعلّق النهی بحصّةٍ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تجاوزنا هذا البحث وافترضنا الاستحالة فبالإمکان أن نُدخِل عنصراً جدیداً ؛ لنری أنّ الاستحالة هل ترتفع بذلک أوْ لا؟ فنحن حتّی الآن کنّا نفترض أنّ الأمر والنهی یتعلّقان بعنوانٍ واحدٍ وهو الصلاة ، غیر أنّ الأمر متعلّق بالطبیعیّ والنهی متعلّق بالحصّة ، والآن نفترض 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النهی المتعلّق بالحصّة متعلّقاً بها بنفس العنوان الذی تعلّق به الأمر ، وهو الصلاة فی المثال ، بل بعنوانٍ آخر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 فی مکانٍ مغصوبٍ کان ما وقع منه باعتباره صلاةً مصداقاً للواجب ، وباعتباره غصباً حراماً ، أی أنّ له عنوانین ، والأمر متعلّق بأحدهما ، والنهی بالآخر ، فهل یکفی تغایر العنوانین فی إمکان التوفیق بین الأمر بالصلاة والنهی عن الغصب وتصادقهما علی الصلاة فی المغصوب ، أوْ لا؟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بأنّ ذلک یکفی ؛ لأنّ الأحکام تتعلّق بالعناوین ، لا بالأشیاء الخارجیّة مباشرةً ، وبحسب العناوین یکون متعلّق الأمر مغایراً لمتعلّق النهی ، وأمّا الشیء الخارجیّ الذی تصادق علیه العنوانان فهو وإن کان واحداً ولکنّ الأحکام </w:t>
      </w:r>
    </w:p>
    <w:p>
      <w:pPr>
        <w:pStyle w:val="BookText"/>
        <w:rPr/>
      </w:pPr>
      <w:r>
        <w:rPr>
          <w:rFonts w:ascii="IRNazanin" w:hAnsi="IRNazanin" w:eastAsia="IRNazanin"/>
          <w:color w:val="111111"/>
          <w:sz w:val="28"/>
          <w:sz w:val="28"/>
          <w:szCs w:val="28"/>
          <w:rtl w:val="true"/>
          <w:lang w:bidi="fa-IR"/>
        </w:rPr>
        <w:t xml:space="preserve">لا تتعلّق به مباشرة ، فلا محذور فی اجتماع الأمر والنهی علیه بتوسّط عنوانین </w:t>
      </w:r>
      <w:r>
        <w:rPr>
          <w:rStyle w:val="FootnoteAnchor"/>
          <w:rtl w:val="true"/>
        </w:rPr>
        <w:footnoteReference w:id="126"/>
      </w:r>
      <w:r>
        <w:rPr>
          <w:rFonts w:ascii="IRNazanin" w:hAnsi="IRNazanin" w:eastAsia="IRNazanin"/>
          <w:color w:val="111111"/>
          <w:sz w:val="28"/>
          <w:sz w:val="28"/>
          <w:szCs w:val="28"/>
          <w:rtl w:val="true"/>
          <w:lang w:bidi="fa-IR"/>
        </w:rPr>
        <w:t xml:space="preserve">، بل هناک من یذهب </w:t>
      </w:r>
      <w:r>
        <w:rPr>
          <w:rStyle w:val="FootnoteAnchor"/>
          <w:rtl w:val="true"/>
        </w:rPr>
        <w:footnoteReference w:id="127"/>
      </w:r>
      <w:r>
        <w:rPr>
          <w:rFonts w:ascii="IRNazanin" w:hAnsi="IRNazanin" w:eastAsia="IRNazanin"/>
          <w:color w:val="111111"/>
          <w:sz w:val="28"/>
          <w:sz w:val="28"/>
          <w:szCs w:val="28"/>
          <w:rtl w:val="true"/>
          <w:lang w:bidi="fa-IR"/>
        </w:rPr>
        <w:t>إلی أنّ تعدّد العنوان یکشف عن تعدّد الشیء الخارجیّ أیضاً ، فکما أنّ الغصب غیر الصلاة عنواناً کذلک غیرها مصداقاً ، وإن کان المصداقان متشابکین وغیر متمیّزین خارجاً ، فیکون الجواز لو صحّ هذا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بأنّ تعدّد العنوان لا یکفی ؛ لأنّ العناوین إنّما تتعلّق بها الأحکام باعتبارها مرآةً للخارج ، لابما هی مفاهیم مستقلّة فی الذهن ، فلکی یرتفع التنافی بین الأمر والنهی لابدّ أن یتعدّد الخارج ، ولا یمکن أن نبرهن علی تعدّده عن طریق تعدّد العنوان ؛ لأنّ العناوین المتعدّدة قد تُنتزع عن شیءٍ واحدٍ فی الخارج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وثمرة هذا البحث واضحة ، فإنّه علی القول بامتناع اجتماع الأمر والنهی یقع التعارض حتماً بین دلیل الأمر ودلیل النهی ؛ لأنّ الأخذ بإطلاق الدلیلین معاً معناه اجتماع الأمر والنهی ، وهو مستحیل بحسب الفرض ، ویجب أن یعالج هذا التعارض بین الدلیلین وفقاً للقواعد العامّة للتعارض</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وخلافاً لذلک إذا قلنا بالجواز فإنّا نأخذ حینئذٍ بإطلاق الدلیلین معاً بدون محذور</w:t>
      </w:r>
      <w:r>
        <w:rPr>
          <w:rFonts w:eastAsia="IRNazanin" w:cs="IRNazanin"/>
          <w:color w:val="111111"/>
          <w:sz w:val="28"/>
          <w:szCs w:val="28"/>
          <w:rtl w:val="true"/>
          <w:lang w:bidi="fa-IR"/>
        </w:rPr>
        <w:t xml:space="preserve">. </w:t>
      </w:r>
      <w:bookmarkStart w:id="729" w:name="pg14075_144723"/>
    </w:p>
    <w:p>
      <w:pPr>
        <w:pStyle w:val="Heading6"/>
        <w:numPr>
          <w:ilvl w:val="5"/>
          <w:numId w:val="1"/>
        </w:numPr>
        <w:rPr/>
      </w:pPr>
      <w:bookmarkStart w:id="730" w:name="__RefHeading___Toc509110_1738255347"/>
      <w:bookmarkStart w:id="731" w:name="_Toc248"/>
      <w:bookmarkEnd w:id="729"/>
      <w:bookmarkEnd w:id="730"/>
      <w:r>
        <w:rPr>
          <w:rtl w:val="true"/>
        </w:rPr>
        <w:t>الوجوب الغیریّ لمقدّماتِ الواجب</w:t>
      </w:r>
      <w:bookmarkEnd w:id="731"/>
    </w:p>
    <w:p>
      <w:pPr>
        <w:pStyle w:val="BookText"/>
        <w:rPr/>
      </w:pPr>
      <w:r>
        <w:rPr>
          <w:rFonts w:ascii="IRNazanin" w:hAnsi="IRNazanin" w:eastAsia="IRNazanin"/>
          <w:color w:val="111111"/>
          <w:sz w:val="28"/>
          <w:sz w:val="28"/>
          <w:szCs w:val="28"/>
          <w:rtl w:val="true"/>
          <w:lang w:bidi="fa-IR"/>
        </w:rPr>
        <w:t>لا شکّ فی أنّ المکلّف مسؤول عقلاً عن توفیر المقدّمات العقلیّة والشرعیّة للواجب ، إذ لا یمکنه الامتثال بدون ذلک ، ولکن وقع البحث فی أنّ هذه المقدّمات هل تتّصف بالوجوب الشرعیّ تبعاً لوجوب ذیها؟ بمعنی أنّه هل یترشّح علیها فی نفس المولی إرادة من إرادته للواجب الأصیل ووجوب من إیجابه لذلک الواجب؟</w:t>
      </w:r>
    </w:p>
    <w:p>
      <w:pPr>
        <w:pStyle w:val="BookText"/>
        <w:rPr/>
      </w:pPr>
      <w:r>
        <w:rPr>
          <w:rFonts w:ascii="IRNazanin" w:hAnsi="IRNazanin" w:eastAsia="IRNazanin"/>
          <w:color w:val="111111"/>
          <w:sz w:val="28"/>
          <w:sz w:val="28"/>
          <w:szCs w:val="28"/>
          <w:rtl w:val="true"/>
          <w:lang w:bidi="fa-IR"/>
        </w:rPr>
        <w:t xml:space="preserve">فهناک من ذهب </w:t>
      </w:r>
      <w:r>
        <w:rPr>
          <w:rStyle w:val="FootnoteAnchor"/>
          <w:rtl w:val="true"/>
        </w:rPr>
        <w:footnoteReference w:id="129"/>
      </w:r>
      <w:r>
        <w:rPr>
          <w:rFonts w:ascii="IRNazanin" w:hAnsi="IRNazanin" w:eastAsia="IRNazanin"/>
          <w:color w:val="111111"/>
          <w:sz w:val="28"/>
          <w:sz w:val="28"/>
          <w:szCs w:val="28"/>
          <w:rtl w:val="true"/>
          <w:lang w:bidi="fa-IR"/>
        </w:rPr>
        <w:t xml:space="preserve">إلی أنّ إرادة شیءٍ وإیجابه یستلزمان إرادة مقدّماته وإیجابها ، وتسمّی الإرادة المترشّحة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والوجوب المترشّح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مقابل الإرادة النفسیّة والوجوب النفسیّ ، وهناک من أنکر </w:t>
      </w:r>
      <w:r>
        <w:rPr>
          <w:rStyle w:val="FootnoteAnchor"/>
          <w:rtl w:val="true"/>
        </w:rPr>
        <w:footnoteReference w:id="130"/>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بالتفصیل بین الإرادة والإیجاب ، فبالنسبة إلی الإرادة وما تعبّر عنه من حبّ یقال بالملازمة والترشّح ، فحبّ الشیء یکون علّةً لحبّ مقدّمته ، وبالنسبة إلی الإیجاب والجعل یقال بعدم الملازمة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والقائلون بالملازمة یتّفقون علی أنّ الوجوب الغیریّ معلول للوجوب النفسی ، وعلی هذا الأساس لا یمکن أن یسبقه فی الحدوث ، کما لا یمکن أن یتعلّق بقیود الوجوب ؛ لأنّ الوجوب النفسیّ لا یوجد إلاّبعد افتراض وجودها ، والوجوب الغیریّ لا یوجد إلاّبعد افتراض الوجوب النفسی ، وهذا یعنی أنّ الوجوب الغیریّ مسبوق دائماً بوجود قیود الوجوب فکیف یعقل أن یتعلّق بها؟ </w:t>
      </w:r>
    </w:p>
    <w:p>
      <w:pPr>
        <w:pStyle w:val="BookText"/>
        <w:rPr/>
      </w:pPr>
      <w:r>
        <w:rPr>
          <w:rFonts w:ascii="Amiri" w:hAnsi="Amiri" w:eastAsia="Amiri" w:cs="Amiri"/>
          <w:color w:val="111111"/>
          <w:sz w:val="28"/>
          <w:sz w:val="28"/>
          <w:szCs w:val="28"/>
          <w:rtl w:val="true"/>
          <w:lang w:bidi="ar-SA"/>
        </w:rPr>
        <w:t>وإنّما یتعلّق بقیود الواجب ومقدّماته العقلیّة والشرعیّة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أنّهم یتّفقون علی أنّ الوجوب الغیریّ لیس له حساب مستقلّ فی عالم الإدانة واستحقاق العقاب ؛ لوضوح أنّه لا یتعدّد استحقاق العقاب بتعدّد ماللواجب النفسیّ المتروک من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الوجوب الغیریّ لا یمکن أن یکون مقصوداً للمکلّف فی مقام الامتثال علی وجه الاستقلال ، بل یکون التحرّک عنه دائماً فی إطار التحرّک عن الوجوب النفسیّ ، فمن لا یتحرّک عن الأمر بذی المقدّمة لا یمکنه أن یتحرّک من قبل الوجوب الغیریّ ؛ لأنّ الانقیاد إلی المولی إنّما یکون بتطبیق المکلّف إرادته التکوینیّة علی إرادة المولی التشریعیّة ، ولمّا کانت إرادة المولی للمقدّمة تبعیّةً فکذلک لابدّ أن یکون حال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القائلون بالملازمة بعد ذلک فی أنّ الوجوب الغیریّ هل یتعلّق بالحصّة الموصلة من المقدّمة إلی ذیها </w:t>
      </w:r>
      <w:r>
        <w:rPr>
          <w:rStyle w:val="FootnoteAnchor"/>
          <w:rtl w:val="true"/>
        </w:rPr>
        <w:footnoteReference w:id="132"/>
      </w:r>
      <w:r>
        <w:rPr>
          <w:rFonts w:ascii="IRNazanin" w:hAnsi="IRNazanin" w:eastAsia="IRNazanin"/>
          <w:color w:val="111111"/>
          <w:sz w:val="28"/>
          <w:sz w:val="28"/>
          <w:szCs w:val="28"/>
          <w:rtl w:val="true"/>
          <w:lang w:bidi="fa-IR"/>
        </w:rPr>
        <w:t xml:space="preserve">، أو بالجامع المنطبق علی الموصل وغیره </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فلو أتی المکلّف بالمقدّمة ولم یأتِ بذیها یکون قد أتی بمصداق الواجب الغیریّ علی الوجه الثانی دونه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برهان علی أصل الملازمة إثباتاً أو نفیاً فی عالم الإرادة ، وإنّما المرجع الوجدان الشاهد بوجودها ، وأمّا فی عالم الجعل والإیجاب فالملازمة لا معنی لها ؛ لأنّ الجعل فعل اختیاریّ للفاعل ، ولا یمکن أن یترشّح من شیءٍ آخر ترشّحاً ضروریّاً ، کما هو معنی الملازمة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ثمرة هذا البحث فقد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ثمرة له ما دام الوجوب الغیریّ غیر صالحٍ للإدانة والمحرّکیة ، وإنّما هو تابع محض ، ولا إدانة ولا </w:t>
      </w:r>
    </w:p>
    <w:p>
      <w:pPr>
        <w:pStyle w:val="BookText"/>
        <w:rPr/>
      </w:pPr>
      <w:r>
        <w:rPr>
          <w:rFonts w:ascii="IRNazanin" w:hAnsi="IRNazanin" w:eastAsia="IRNazanin"/>
          <w:color w:val="111111"/>
          <w:sz w:val="28"/>
          <w:sz w:val="28"/>
          <w:szCs w:val="28"/>
          <w:rtl w:val="true"/>
          <w:lang w:bidi="fa-IR"/>
        </w:rPr>
        <w:t>محرّکیة إلاّللوجوب النفسیّ ، والوجوب النفسیّ یکفی وحده لجعل المکلّف مسؤولاً عقلاً عن توفیر المقدّمات ؛ لأنّ امتثاله لا یتمّ بدون ذلک ، فأیّ فرقٍ بین افتراض وجود الوجوب الغیریّ وافتراض عدمه؟</w:t>
      </w:r>
    </w:p>
    <w:p>
      <w:pPr>
        <w:pStyle w:val="BookText"/>
        <w:rPr/>
      </w:pPr>
      <w:r>
        <w:rPr>
          <w:rFonts w:ascii="IRNazanin" w:hAnsi="IRNazanin" w:eastAsia="IRNazanin"/>
          <w:color w:val="111111"/>
          <w:sz w:val="28"/>
          <w:sz w:val="28"/>
          <w:szCs w:val="28"/>
          <w:rtl w:val="true"/>
          <w:lang w:bidi="fa-IR"/>
        </w:rPr>
        <w:t>ولکن قد یمکن تصویر بعض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وجب إنقاذ الغریق وتوقّف علی مقدّمةٍ محرّمةٍ أقلّ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إتلاف زرع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للمکلّف ارتکاب المقدّمة المحرّمة تمهیداً لإنقاذ الغریق ، فإذا افترضنا أنّ المکلّف ارتکب المقدّمة المحرّمة ولم ینقذ الغریق ؛ فعلی القول بالملازمة وبأنّ الوجوب الغیریّ یتعلّق بالجامع بین الحصّة الموصلة وغیرها تقع المقدّمة التی ارتکبها المکلّف مصداقاً للواجب ، ولا تکون محرّمةً فی تلک الحالة ؛ لامتناع اجتماع الوجوب والحرمة علی شیءٍ واحد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القول بإنکار الملازمة أو باختصاص الوجوب الغیریّ بالحصّة الموصلة لا تقع المقدّمة المذکورة مصداقاً للواجب ، ولا موجب حینئذٍ لسقوط حرمتها ، بل تکون محرّمةً بالفعل ، وإنّما تسقط الحرمة عن الحصّة الموصلة من المقدّمة خاصّة</w:t>
      </w:r>
      <w:r>
        <w:rPr>
          <w:rFonts w:eastAsia="IRNazanin" w:cs="IRNazanin"/>
          <w:color w:val="111111"/>
          <w:sz w:val="28"/>
          <w:szCs w:val="28"/>
          <w:rtl w:val="true"/>
          <w:lang w:bidi="fa-IR"/>
        </w:rPr>
        <w:t xml:space="preserve">. </w:t>
      </w:r>
      <w:bookmarkStart w:id="732" w:name="pg14075_144726"/>
    </w:p>
    <w:p>
      <w:pPr>
        <w:pStyle w:val="Heading6"/>
        <w:numPr>
          <w:ilvl w:val="5"/>
          <w:numId w:val="1"/>
        </w:numPr>
        <w:rPr/>
      </w:pPr>
      <w:bookmarkStart w:id="733" w:name="__RefHeading___Toc509112_1738255347"/>
      <w:bookmarkStart w:id="734" w:name="_Toc249"/>
      <w:bookmarkEnd w:id="732"/>
      <w:bookmarkEnd w:id="733"/>
      <w:r>
        <w:rPr>
          <w:rtl w:val="true"/>
        </w:rPr>
        <w:t>اقتضاء وجوبِ الشیء لحرمة ضدّه</w:t>
      </w:r>
      <w:bookmarkEnd w:id="734"/>
    </w:p>
    <w:p>
      <w:pPr>
        <w:pStyle w:val="BookText"/>
        <w:rPr/>
      </w:pPr>
      <w:r>
        <w:rPr>
          <w:rFonts w:ascii="IRNazanin" w:hAnsi="IRNazanin" w:eastAsia="IRNazanin"/>
          <w:color w:val="111111"/>
          <w:sz w:val="28"/>
          <w:sz w:val="28"/>
          <w:szCs w:val="28"/>
          <w:rtl w:val="true"/>
          <w:lang w:bidi="fa-IR"/>
        </w:rPr>
        <w:t>قد یقال بأنّ إیجاب شیءٍ یستلزم حرمة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والضدّ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العامّ ، وهو بمعنی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الخاصّ ، وهو الفعل الوجودیّ الذی لا یجتمع مع الفعل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بین الاصولیّین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 شیءٍ یقتضی حرمة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اختلفوا فی جوهر هذا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فزعم البعض </w:t>
      </w:r>
      <w:r>
        <w:rPr>
          <w:rStyle w:val="FootnoteAnchor"/>
          <w:rtl w:val="true"/>
        </w:rPr>
        <w:footnoteReference w:id="134"/>
      </w:r>
      <w:r>
        <w:rPr>
          <w:rFonts w:ascii="IRNazanin" w:hAnsi="IRNazanin" w:eastAsia="IRNazanin"/>
          <w:color w:val="111111"/>
          <w:sz w:val="28"/>
          <w:sz w:val="28"/>
          <w:szCs w:val="28"/>
          <w:rtl w:val="true"/>
          <w:lang w:bidi="fa-IR"/>
        </w:rPr>
        <w:t>أنّ الأمر بالشیء عین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w:t>
      </w:r>
      <w:r>
        <w:rPr>
          <w:rStyle w:val="FootnoteAnchor"/>
          <w:rtl w:val="true"/>
        </w:rPr>
        <w:footnoteReference w:id="135"/>
      </w:r>
      <w:r>
        <w:rPr>
          <w:rFonts w:ascii="IRNazanin" w:hAnsi="IRNazanin" w:eastAsia="IRNazanin"/>
          <w:color w:val="111111"/>
          <w:sz w:val="28"/>
          <w:sz w:val="28"/>
          <w:szCs w:val="28"/>
          <w:rtl w:val="true"/>
          <w:lang w:bidi="fa-IR"/>
        </w:rPr>
        <w:t>آخر إلی أنّه یتضمّنه ، بدعوی أنّ الأمر بالشیء مرکّب من طلب ذلک الشیء والمنع عن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بالاستلزام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بالنسبة إلی الضدّ الخاصّ فقد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إلی أنّ إیجاب شیءٍ یقتضی تحریم ضدّه الخاصّ ، فالصلاة وإزالة النجاسة عن المسجد إذا کان المکلّف عاجزاً عن الجمع بینهما فهما ضدّان ، وإیجاب أحدهما یقتضی تحریم الآخر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البعض </w:t>
      </w:r>
      <w:r>
        <w:rPr>
          <w:rStyle w:val="FootnoteAnchor"/>
          <w:rtl w:val="true"/>
        </w:rPr>
        <w:footnoteReference w:id="137"/>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ترک أحد الضدّین مقدّمة لوقوع الضدّ الآخر ، فیکون واجباً بالوجوب الغیریّ ، وإذا وجب أحد النقیضین حرم نقیضه ، </w:t>
      </w:r>
    </w:p>
    <w:p>
      <w:pPr>
        <w:pStyle w:val="BookText"/>
        <w:rPr/>
      </w:pPr>
      <w:r>
        <w:rPr>
          <w:rFonts w:ascii="IRNazanin" w:hAnsi="IRNazanin" w:eastAsia="IRNazanin"/>
          <w:color w:val="111111"/>
          <w:sz w:val="28"/>
          <w:sz w:val="28"/>
          <w:szCs w:val="28"/>
          <w:rtl w:val="true"/>
          <w:lang w:bidi="fa-IR"/>
        </w:rPr>
        <w:t>وبهذا یثبت حرمة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مقدّمیّة لترک أحد الفعلین لإیقاع الفعل الآخر ، فإنّ المقدّمة هی العلّة أو جزء العلّة ، ونحن نلاحظ أنّ المکلّف فی مثال الصلاة والإزالة یکون اختیاره هو العلّة الکفیلة بتحقّق ما یختاره ونفی مالا یختاره ، فوجود أحد الفعلین وعدم الآخر کلاهما مرتبطان باختیار المکلّف ، لا أنّ أحدهما معلول للآخر ، ولو کان ترک الصلاة علّةً أو جزءَ العلّة للإزالة ، وترک الإزالة علّةً أو جزء العلّة للصلاة لکان فعل الصلاة نقیضاً لعلّة الإزالة ، ونقیض العلّة علّة لنقیض المعلول ، فینتج أنّ فعل الصلاة علّة لترک الإزالة ، وهذا یؤدّی إلی الدور ، إذ یکون کلّ من الضدّین معلولاً لترک الآخر وعلّةً للترک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المانع من أجزاء العلّة ، ولا شکّ فی أنّ أحد الضدّین مانع عن وجود ضدّه ، فعدمه عدم المانع فیکون من أجزاء العلّة ، وبذلک تثبت مقدّمیّته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یجتمع مع مقتضی الممنوع ، کالرطوبة المانعة عن احتراق الورقة ؛ والتی تجتمع مع وجود النار وإصابتها للورقة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لا یمکن أن یجتمع مع مقتضی الممنوع ، کالإزالة المضادّة للصلاة التی لا تجتمع مع المقتضی للصلاة ، وهو إرادتها ، إذ من الواضح أنّه کلّما أراد الصلاة لم توجد الإزالة ، وما یعتبر عدمه من أجزاء العلّة هو القسم الأوّل دون الثانی ، والضدّ مانع من القسم الثانی دون الأوّل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وثمرة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وجبت الإزالة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وجوب شیءٍ یقتضی حرمة ضدّه حَرُمَت الصلاة ، ومع حرمتها لا یعقل أن تکون مصداقاً للواجب ؛ لاستحالة اجتماع الوجوب والحرمة ، فلو ترک المکلّف الإزالة واختار الصلاة لوقعت باطلة</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قلنا بأنّ وجوب شیءٍ لا یقتضی حرمة ضدّه فلا محذور فی أن یتعلّق الأمر بالصلاة ولکن علی وجه الترتّب ومشروطاً بترک الإزالة ؛ لِمَا تقدّم من أنّ الأمرین بالضدّین علی وجه الترتّب معقول ، فإذا ترک المکلّف الإزالة وصلّی کانت صلاته مأموراً بها ؛ وتقع صحیحةً وإن اعتبر عاصیاً بترکه للإزالة</w:t>
      </w:r>
      <w:r>
        <w:rPr>
          <w:rFonts w:eastAsia="IRNazanin" w:cs="IRNazanin"/>
          <w:color w:val="111111"/>
          <w:sz w:val="28"/>
          <w:szCs w:val="28"/>
          <w:rtl w:val="true"/>
          <w:lang w:bidi="fa-IR"/>
        </w:rPr>
        <w:t xml:space="preserve">. </w:t>
      </w:r>
      <w:bookmarkStart w:id="735" w:name="pg14075_144729"/>
    </w:p>
    <w:p>
      <w:pPr>
        <w:pStyle w:val="Heading6"/>
        <w:numPr>
          <w:ilvl w:val="5"/>
          <w:numId w:val="1"/>
        </w:numPr>
        <w:rPr/>
      </w:pPr>
      <w:bookmarkStart w:id="736" w:name="__RefHeading___Toc509114_1738255347"/>
      <w:bookmarkStart w:id="737" w:name="_Toc250"/>
      <w:bookmarkEnd w:id="735"/>
      <w:bookmarkEnd w:id="736"/>
      <w:r>
        <w:rPr>
          <w:rtl w:val="true"/>
        </w:rPr>
        <w:t>اقتِضاء الحرمة للبطلان</w:t>
      </w:r>
      <w:bookmarkEnd w:id="737"/>
    </w:p>
    <w:p>
      <w:pPr>
        <w:pStyle w:val="BookText"/>
        <w:rPr/>
      </w:pPr>
      <w:r>
        <w:rPr>
          <w:rFonts w:ascii="IRNazanin" w:hAnsi="IRNazanin" w:eastAsia="IRNazanin"/>
          <w:color w:val="111111"/>
          <w:sz w:val="28"/>
          <w:sz w:val="28"/>
          <w:szCs w:val="28"/>
          <w:rtl w:val="true"/>
          <w:lang w:bidi="fa-IR"/>
        </w:rPr>
        <w:t>الحرمة حکم تکلیفی ، والبطلان حکم وضعیّ قد توصف به العبادة ، وقد توصف به المعاملة ، ویراد ببطلان العبادة أنّها غیر مُجزیة ، ولابدّ من إعادتها أو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وببطلان المعاملة أنّها غیر مؤثّرةٍ ولا یترتّب علیها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الکلام فی أنّ التحریم هل یستلزم البطلان ، أوْ لا؟</w:t>
      </w:r>
    </w:p>
    <w:p>
      <w:pPr>
        <w:pStyle w:val="BookText"/>
        <w:rPr/>
      </w:pPr>
      <w:r>
        <w:rPr>
          <w:rFonts w:ascii="IRNazanin" w:hAnsi="IRNazanin" w:eastAsia="IRNazanin"/>
          <w:color w:val="111111"/>
          <w:sz w:val="28"/>
          <w:sz w:val="28"/>
          <w:szCs w:val="28"/>
          <w:rtl w:val="true"/>
          <w:lang w:bidi="fa-IR"/>
        </w:rPr>
        <w:t xml:space="preserve">أمّا تحریم العبادة فیستلزم بطلانها ،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تحریمها یعنی عدم شمول الأمر لها ؛ لامتناع اجتماع الأمر والنهی ، ومع عدم شموله لها لا تکون مجزیةً ولا یسقط بها الأمر ، وهو معنی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غیر شامل ، ولکن لعلّ ملاک الوجوب شامل لها ، وإذا کانت واجدةً للملاک ومستوفیةً له فیسقط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عدم شمول الأمر لها لا دلیل علی شمول الملاک ؛ لأنّ الملاک إنّما یعرف من ناحیة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البیان کما یأتی فی العبادة المحرّمة یأتی أیضاً فی کلّ مصداقٍ لطبیعةٍ مأمورٍ بها ، سواء کان الأمر تعبّدیّاً أو توصّلیّاً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فلأ نّنا نفترض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موجود فی تلک العبادة المحرّمة ، ولکنّها ما دامت محرّمةً ومبغوضةً للمولی فلا یمکن التقرّب بها نحوه ، ومعه لا تقع عبادةً لتصحّ وتجزی عن الأمر ، وهذا البیان یختصّ بالعبادات ولا یجری فی غیرها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تحریم المعاملة فتارةً یراد به تحریم السبب المعاملیّ الذی یمارسه المتعاملان ، وهو الإیجاب والقبول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یراد به تحریم المسبّب ، أی التملیک الحاصل نتیجةً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الحالة الاولی لا یستلزم تحریم السبب بطلانه وعدم الحکم بنفوذه ، کما لا یستلزم صحّته ونفوذه ، ولا یأبی العقل عن أن یکون صدور شیءٍ من المکلّف مبغوضاً للمولی ، ولکنّه إذا صدر ترتّب علیه بحکم الشارع أثره الخاصّ به ، کما فی الظهار ، فإنّه محرّم ولکنّه نافذ ویترتّب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الحالة الثانیة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التحریم المذکور یستلزم الصحّة ؛ لأنّه لا یتعلّق إلاّ بمقدور ، ولا یکون المسبّب مقدوراً إلاّإذا کان السبب نافذاً ، فتحریم المسبّب یستلزم نفوذ السبب وصحّة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هنا علی أنّ النهی فی موارد العبادات والمعاملات کثیراً ما یستعمل لا لإفادة التحریم ، بل لإفادة مانعیّة متعلّق النهی ، أو شرطیّة نقیضه ، وفی مثل ذلک لا إشکال فی أنّه یدلّ علی البطلان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مانعیّة لبس ماهو مأخوذ ممّا لا یؤکل لحمه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بدون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شرطیّة الکیل ، ونحو ذلک ، ودلالته علی البطلان باعتباره إرشاداً إلی المانعیّة أو الشرطیّة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المرکّب یختلّ بوجود المانع أو فقدان الشرط ، ولا علاقة لذلک باستلزام الحرمة التکلیفیّة للبطلان</w:t>
      </w:r>
      <w:r>
        <w:rPr>
          <w:rFonts w:eastAsia="IRNazanin" w:cs="IRNazanin"/>
          <w:color w:val="111111"/>
          <w:sz w:val="28"/>
          <w:szCs w:val="28"/>
          <w:rtl w:val="true"/>
          <w:lang w:bidi="fa-IR"/>
        </w:rPr>
        <w:t xml:space="preserve">. </w:t>
      </w:r>
      <w:bookmarkStart w:id="738" w:name="pg14075_144731"/>
    </w:p>
    <w:p>
      <w:pPr>
        <w:pStyle w:val="Heading6"/>
        <w:numPr>
          <w:ilvl w:val="5"/>
          <w:numId w:val="1"/>
        </w:numPr>
        <w:rPr/>
      </w:pPr>
      <w:bookmarkStart w:id="739" w:name="__RefHeading___Toc509116_1738255347"/>
      <w:bookmarkStart w:id="740" w:name="_Toc251"/>
      <w:bookmarkEnd w:id="738"/>
      <w:bookmarkEnd w:id="739"/>
      <w:r>
        <w:rPr>
          <w:rtl w:val="true"/>
        </w:rPr>
        <w:t>مُسقِطات الحکم</w:t>
      </w:r>
      <w:bookmarkEnd w:id="740"/>
    </w:p>
    <w:p>
      <w:pPr>
        <w:pStyle w:val="BookText"/>
        <w:rPr/>
      </w:pPr>
      <w:r>
        <w:rPr>
          <w:rFonts w:ascii="IRNazanin" w:hAnsi="IRNazanin" w:eastAsia="IRNazanin"/>
          <w:color w:val="111111"/>
          <w:sz w:val="28"/>
          <w:sz w:val="28"/>
          <w:szCs w:val="28"/>
          <w:rtl w:val="true"/>
          <w:lang w:bidi="fa-IR"/>
        </w:rPr>
        <w:t xml:space="preserve">یسقط الحکم بالوجوب وغیره بعدّة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الأمران لیسا قیدین فی حکم المجعول ، وإنّما تنتهی بهما فاعلیّة هذا الحکم ومحرّکیّته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بکلّ فعلٍ جعله الشارع مسقطاً للوجوب ، بأن أخذ عدمه قیداً فی بقاء الوجوب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الأمر الاضطراریّ ، فإنّه مجزٍ عن الأمر الواقعیّ الأوّلی فی بعض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وجبت الصلاة مع القیام ، وتعذّر القیام علی المکلّف فأمر الشارع أمراً اضطراریّاً بالصلاة من جلوسٍ ، فلذلک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اختصاص الأمر الاضطراریّ بمن یستمرّ عجزه عن القیام طیلة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شموله لکلّ من کان عاجزاً عن القیام عند إرادة الصلاة ، سواء تجدّدت له القدرة بعد ذلک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 لو صلّی المکلّف العاجز جالساً فی أوّل الوقت وتجدّدت له القدرة علی القیام قبل خروج الوقت وجبت علیه الإعادة ؛ لأنّ الأمر الواقعیّ الأوّلیّ بالصلاة قائماً یشمله بمقتضی إطلاق دلیله ، وما أتی به لا موجب للاکتفاء 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الصورة الثانیة فلا تجب الإعادة علی من صلّی جالساً فی أوّل الوقت </w:t>
      </w:r>
    </w:p>
    <w:p>
      <w:pPr>
        <w:pStyle w:val="BookText"/>
        <w:rPr/>
      </w:pPr>
      <w:r>
        <w:rPr>
          <w:rFonts w:ascii="IRNazanin" w:hAnsi="IRNazanin" w:eastAsia="IRNazanin"/>
          <w:color w:val="111111"/>
          <w:sz w:val="28"/>
          <w:sz w:val="28"/>
          <w:szCs w:val="28"/>
          <w:rtl w:val="true"/>
          <w:lang w:bidi="fa-IR"/>
        </w:rPr>
        <w:t>ثمّ تجدّدت له القدرة قبل خروجه ؛ وذلک لأنّ صلاة الجالس التی أدّاها قد تعلّق بها الأمر بحسب الفرض ، وهذا الأمر لیس تعیینیّاً ؛ لأنّه لو لم یصلّ من جلوسٍ فی أوّل الوقت وصلّی من قیامٍ فی آخر الوقت لکفاه ذلک بلا إشکال ، فهو إذن أمر تخییریّ بین الصلاة الاضطراریّة فی حال العجز والصلاة الاختیاریّة فی حال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وجبت الإعادة لکان معنی هذا أنّ التخییر لا یکون بین هذه الصلاة وتلک ، بل بین أن یجمع بین الصلاتین وبین أن ینتظر ویقتصر علی الصلاة الاختیاریّة ، وهذا تخییر بین الأقلّ والأکثر فی الإیجاب ، وهو غیر معقول ، کما تقدّم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یثبت أنّ الأمر الاضطراریّ فی الصورة الثانیة یقتضی کون امتثاله مجزیاً عن الأمر الواقعیّ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بذلک ثمرة البحث فی امتناع التخییر بین الأقلّ والأکثر</w:t>
      </w:r>
      <w:r>
        <w:rPr>
          <w:rFonts w:eastAsia="IRNazanin" w:cs="IRNazanin"/>
          <w:color w:val="111111"/>
          <w:sz w:val="28"/>
          <w:szCs w:val="28"/>
          <w:rtl w:val="true"/>
          <w:lang w:bidi="fa-IR"/>
        </w:rPr>
        <w:t xml:space="preserve">. </w:t>
      </w:r>
      <w:bookmarkStart w:id="741" w:name="pg14075_144733"/>
    </w:p>
    <w:p>
      <w:pPr>
        <w:pStyle w:val="Heading6"/>
        <w:numPr>
          <w:ilvl w:val="5"/>
          <w:numId w:val="1"/>
        </w:numPr>
        <w:rPr/>
      </w:pPr>
      <w:bookmarkStart w:id="742" w:name="__RefHeading___Toc509118_1738255347"/>
      <w:bookmarkStart w:id="743" w:name="_Toc252"/>
      <w:bookmarkEnd w:id="741"/>
      <w:bookmarkEnd w:id="742"/>
      <w:r>
        <w:rPr>
          <w:rtl w:val="true"/>
        </w:rPr>
        <w:t>إمکانُ النَسخِ وتصویرُه</w:t>
      </w:r>
      <w:bookmarkEnd w:id="743"/>
    </w:p>
    <w:p>
      <w:pPr>
        <w:pStyle w:val="BookText"/>
        <w:rPr/>
      </w:pPr>
      <w:r>
        <w:rPr>
          <w:rFonts w:ascii="IRNazanin" w:hAnsi="IRNazanin" w:eastAsia="IRNazanin"/>
          <w:color w:val="111111"/>
          <w:sz w:val="28"/>
          <w:sz w:val="28"/>
          <w:szCs w:val="28"/>
          <w:rtl w:val="true"/>
          <w:lang w:bidi="fa-IR"/>
        </w:rPr>
        <w:t>من الظواهر المألوفة فی الحیاة الاعتیادیّة أن یشرّع المشرّع حکماً مؤمناً بصحّة تشریعه ، ثمّ ینکشف له أنّ المصلحة علی خلافه ، فینسخه ویتراجع عن تقدیره السابق للمصلحة وعن إرادته التی نشأت من ذلک التقدیر الخاطئ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الافتراض مستحیل فی حقّ الباری سبحانه وتعالی ؛ لأنّ الجهل لا یجوز علیه عقلاً ، فأیّ تقدیرٍ للمصلحة وأیّ إرادةٍ تنشأ من هذا التقدیر لا یمکن أن یطرأ علیه تبدّل وعدول مع حفظ مجموع الظروف التی لوحظت عند تحقّق ذلک التقدیر وتلک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صحّ القول بأنّ النَسخ بمعناه الحقیقیّ المساوق للعدول غیر معقولٍ فی مبادئ الحکم الشرعیّ من تقدیر المصلحة والمفسدة وتحقّق الإرادة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حالات النسخ الشرعیّ مردّها إلی أنّ المصلحة المقدّرة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أمد محدّد من أوّل الأمر وقد انتهی ، وأنّ الإرادة التی حصلت بسبب ذلک التقدیر کانت محدّدةً تبعاً للمصلحة ، والنسخ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حدّها ووقتها الموقّت لها من أوّل الأمر ، وهذا هو النسخ بالمعنی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مرحلةً للحکم بعد تلک المبادئ ، وهی مرحلة الجعل والاعتبار ، وفی هذه المرحلة یمکن تصویر النَسخ بمعناه الحقیقیّ ومعناه المجازیّ معاً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تصویره بالمعنی الحقیقیّ فبأن نفترض أنّ المولی جعل الحکم علی طبیعیّ المکلّف دون أن یقیّده بزمانٍ دون زمان ، ثمّ بعد ذلک یلغی ذلک الجعل ویرفعه تبعاً لما سبق فی علمه من أنّ الملاک مرتبط بزمانٍ مخصوص ، ولا یلزم من ذلک محذور ؛ لأنّ الإطلاق فی الجعل لم ینشأ من عدم علم المولی بدخل الزمان المخصوص فی </w:t>
      </w:r>
    </w:p>
    <w:p>
      <w:pPr>
        <w:pStyle w:val="BookText"/>
        <w:rPr/>
      </w:pPr>
      <w:r>
        <w:rPr>
          <w:rFonts w:ascii="IRNazanin" w:hAnsi="IRNazanin" w:eastAsia="IRNazanin"/>
          <w:color w:val="111111"/>
          <w:sz w:val="28"/>
          <w:sz w:val="28"/>
          <w:szCs w:val="28"/>
          <w:rtl w:val="true"/>
          <w:lang w:bidi="fa-IR"/>
        </w:rPr>
        <w:t>الملاک ، بل قد ینشأ لمصلحةٍ اخری ، کإشعار المکلّف بهیبة الحکم وأبدیّته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تصویره بالمعنی المجازیّ فبأن نفترض أنّ المولی جعل الحکم علی طبیعیّ المکلّف المقیّد بأن یکون فی السنة الاولی من الهجرة مثلاً ، فإذا انتهت تلک السنة انتهی زمان المجعول ولم یطرأ تغییر علی نفس الجعل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والافتراض الأوّل أقرب إلی معنی النسخ ، کما هو ظاهر</w:t>
      </w:r>
      <w:r>
        <w:rPr>
          <w:rFonts w:eastAsia="IRNazanin" w:cs="IRNazanin"/>
          <w:color w:val="111111"/>
          <w:sz w:val="28"/>
          <w:szCs w:val="28"/>
          <w:rtl w:val="true"/>
          <w:lang w:bidi="fa-IR"/>
        </w:rPr>
        <w:t xml:space="preserve">. </w:t>
      </w:r>
      <w:bookmarkStart w:id="744" w:name="pg14075_144735"/>
    </w:p>
    <w:p>
      <w:pPr>
        <w:pStyle w:val="Heading6"/>
        <w:numPr>
          <w:ilvl w:val="5"/>
          <w:numId w:val="1"/>
        </w:numPr>
        <w:rPr/>
      </w:pPr>
      <w:bookmarkStart w:id="745" w:name="__RefHeading___Toc509120_1738255347"/>
      <w:bookmarkStart w:id="746" w:name="_Toc253"/>
      <w:bookmarkEnd w:id="744"/>
      <w:bookmarkEnd w:id="745"/>
      <w:r>
        <w:rPr>
          <w:rtl w:val="true"/>
        </w:rPr>
        <w:t>الملازَمة بین الحُسنِ و القبح ، و الأمرِ و النهی</w:t>
      </w:r>
      <w:bookmarkEnd w:id="746"/>
    </w:p>
    <w:p>
      <w:pPr>
        <w:pStyle w:val="BookText"/>
        <w:rPr/>
      </w:pPr>
      <w:r>
        <w:rPr>
          <w:rFonts w:ascii="IRNazanin" w:hAnsi="IRNazanin" w:eastAsia="IRNazanin"/>
          <w:color w:val="111111"/>
          <w:sz w:val="28"/>
          <w:sz w:val="28"/>
          <w:szCs w:val="28"/>
          <w:rtl w:val="true"/>
          <w:lang w:bidi="fa-IR"/>
        </w:rPr>
        <w:t>الحُسن والقُبح أمران واقعیّان یدرکهما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الأوّل إلی أنّ الفعل ممّا ینبغی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الثانی إلی أنّه ممّا لاینبغی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الانبغاء إثباتاً وسلباً أمر تکوینیّ واقعیّ ولیس مجعولاً ، ودور العقل بالنسبة إلیه دور المدرِک ، لا دور المنشئ والحاکم ، ویسمّی هذا الإدراک بالحکم العقلیّ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جماعة من الاصولیّین </w:t>
      </w:r>
      <w:r>
        <w:rPr>
          <w:rStyle w:val="FootnoteAnchor"/>
          <w:rtl w:val="true"/>
        </w:rPr>
        <w:footnoteReference w:id="139"/>
      </w:r>
      <w:r>
        <w:rPr>
          <w:rFonts w:ascii="IRNazanin" w:hAnsi="IRNazanin" w:eastAsia="IRNazanin"/>
          <w:color w:val="111111"/>
          <w:sz w:val="28"/>
          <w:sz w:val="28"/>
          <w:szCs w:val="28"/>
          <w:rtl w:val="true"/>
          <w:lang w:bidi="fa-IR"/>
        </w:rPr>
        <w:t>الملازمة بین حسن الفعل عقلاً والأمر به شرعاً ، وبین قبح الفعل عقلاً والنهی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بعض المدقّقین منهم </w:t>
      </w:r>
      <w:r>
        <w:rPr>
          <w:rStyle w:val="FootnoteAnchor"/>
          <w:rtl w:val="true"/>
        </w:rPr>
        <w:footnoteReference w:id="140"/>
      </w:r>
      <w:r>
        <w:rPr>
          <w:rFonts w:ascii="IRNazanin" w:hAnsi="IRNazanin" w:eastAsia="IRNazanin"/>
          <w:color w:val="111111"/>
          <w:sz w:val="28"/>
          <w:sz w:val="28"/>
          <w:szCs w:val="28"/>
          <w:rtl w:val="true"/>
          <w:lang w:bidi="fa-IR"/>
        </w:rPr>
        <w:t xml:space="preserve">بین نوعین من الحسن والقبح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 الواقعان فی مرحلةٍ متأخّرةٍ عن حکمٍ شرعیٍّ والمرتبطان بعالم امتثاله وعصیانه ، من قبیل حسن الوضوء باعتباره طاعةً لأمرٍ شرعی ، وقبح أکل لحم الأرنب بوصفه معصیةً لنهی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 الواقعان بصورةٍ منفصلةٍ عن الحکم الشرعی ، کحسن الصدق والأمانة ، وقبح الکذب والخیانة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النوع الأوّل یستحیل أن یکون الحسن والقبح مستلزماً للحکم الشرعیّ ، وإلاّ للزم التسلسل ؛ لأنّ حسن الطاعة وقبح المعصیة إذا </w:t>
      </w:r>
    </w:p>
    <w:p>
      <w:pPr>
        <w:pStyle w:val="BookText"/>
        <w:rPr/>
      </w:pPr>
      <w:r>
        <w:rPr>
          <w:rFonts w:ascii="IRNazanin" w:hAnsi="IRNazanin" w:eastAsia="IRNazanin"/>
          <w:color w:val="111111"/>
          <w:sz w:val="28"/>
          <w:sz w:val="28"/>
          <w:szCs w:val="28"/>
          <w:rtl w:val="true"/>
          <w:lang w:bidi="fa-IR"/>
        </w:rPr>
        <w:t>استتبَعا أمراً ونهیاً شرعیّین کانت طاعة ذلک الأمر حسنةً عقلاً ومعصیة هذا النهی قبیحةً عقلاً أیضاً ، وهذا الحسن والقبح یستلزم بدوره أمراً ونهیاً ، وهکذا حتّی یتسلسل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النوع الثانی فالاستلزام ثابت ولیس فیه محذور التسلسل</w:t>
      </w:r>
      <w:r>
        <w:rPr>
          <w:rFonts w:eastAsia="IRNazanin" w:cs="IRNazanin"/>
          <w:color w:val="111111"/>
          <w:sz w:val="28"/>
          <w:szCs w:val="28"/>
          <w:rtl w:val="true"/>
          <w:lang w:bidi="fa-IR"/>
        </w:rPr>
        <w:t xml:space="preserve">. </w:t>
      </w:r>
      <w:bookmarkStart w:id="747" w:name="pg14075_144737"/>
    </w:p>
    <w:p>
      <w:pPr>
        <w:pStyle w:val="Heading6"/>
        <w:numPr>
          <w:ilvl w:val="5"/>
          <w:numId w:val="1"/>
        </w:numPr>
        <w:rPr/>
      </w:pPr>
      <w:bookmarkStart w:id="748" w:name="__RefHeading___Toc509122_1738255347"/>
      <w:bookmarkStart w:id="749" w:name="_Toc254"/>
      <w:bookmarkEnd w:id="747"/>
      <w:bookmarkEnd w:id="748"/>
      <w:r>
        <w:rPr>
          <w:rtl w:val="true"/>
        </w:rPr>
        <w:t>الاستقراء والقیاس</w:t>
      </w:r>
      <w:bookmarkEnd w:id="749"/>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141"/>
      </w:r>
      <w:r>
        <w:rPr>
          <w:rFonts w:ascii="IRNazanin" w:hAnsi="IRNazanin" w:eastAsia="IRNazanin"/>
          <w:color w:val="111111"/>
          <w:sz w:val="28"/>
          <w:sz w:val="28"/>
          <w:szCs w:val="28"/>
          <w:rtl w:val="true"/>
          <w:lang w:bidi="fa-IR"/>
        </w:rPr>
        <w:t>أنّ الأحکام الشرعیّة تابعة للمصالح والمفاسد والملاکات التی یقدّرها المولی وفق حکمته ورعایته لعباده ، ولیست جُزافاً أو تشهّیاً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حرّم الشارع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کالخمر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 علی الملاک والمناط فی تحریمه فقد یستنتجه العقل ویحدس به ، وفی حالة الحدْس به یحدس حینئذٍ بثبوت الحکم فی کلّ الحالات التی یشملها ذلک الملاک ؛ لأنّ الملاک بمثابة العلّة لحکم الشارع ، وإدراک العلّة یستوجب إدراک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 یحدس العقل بملاک الحکم ویعیّنه فی صفة محدّدة؟ فهذا ما قد یکون عن طریق الاستقراء تارةً ، وعن طریق القیاس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الفقیه عدداً کبیراً من الأحکام یجدها جمیعاً تشترک فی حالةٍ واحدة ، من قبیل أن یحصی عدداً کبیراً من الحالات التی یُعذر فیها الجاهل ، فیجد أنّ الجهل هو الصفة المشترکة بین کلّ تلک المعذّریّات ، فیستنتج أنّ المناط والملاک فی المعذّریّة هو الجهل فیعمّم الحکم إلی سائر حالات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نحصی الحالات والصفات التی من المحتمل أن تکون مناطاً للحکم ، وبالتأمّل والحدْس والاستناد إلی ذوق الشریعة یغلب علی الظنّ أنّ واحداً منها هو المناط ، فیعمّم الحکم إلی کلّ حالةٍ یوجد فیها ذلک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والاستنتاج القائم علی أساس الاستقراء ظنّیّ غالباً ؛ لأنّ الاستقراء ناقص عادةً ، ولا یصل عادةً إلی درجة الیقین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والقیاس ظنّیّ دائماً ؛ لأنّه مبنیّ علی استنباطٍ حَدْسیٍّ للمناط ، وکلّما کان الحکم العقلیّ ظنّیاً احتاج التعویل علیه إلی دلیلٍ علی حجّیته ، کما هو واضح</w:t>
      </w:r>
      <w:r>
        <w:rPr>
          <w:rFonts w:eastAsia="Amiri" w:cs="Amiri" w:ascii="Amiri" w:hAnsi="Amiri"/>
          <w:color w:val="111111"/>
          <w:sz w:val="28"/>
          <w:szCs w:val="28"/>
          <w:rtl w:val="true"/>
          <w:lang w:bidi="ar-SA"/>
        </w:rPr>
        <w:t xml:space="preserve">. </w:t>
      </w:r>
      <w:bookmarkStart w:id="750" w:name="pg14075_144738"/>
    </w:p>
    <w:p>
      <w:pPr>
        <w:pStyle w:val="Heading6"/>
        <w:numPr>
          <w:ilvl w:val="5"/>
          <w:numId w:val="1"/>
        </w:numPr>
        <w:rPr/>
      </w:pPr>
      <w:bookmarkStart w:id="751" w:name="__RefHeading___Toc509124_1738255347"/>
      <w:bookmarkStart w:id="752" w:name="_Toc255"/>
      <w:bookmarkEnd w:id="750"/>
      <w:bookmarkEnd w:id="751"/>
      <w:r>
        <w:rPr/>
        <w:t>2</w:t>
      </w:r>
      <w:r>
        <w:rPr>
          <w:rtl w:val="true"/>
        </w:rPr>
        <w:t xml:space="preserve"> - </w:t>
      </w:r>
      <w:r>
        <w:rPr>
          <w:rtl w:val="true"/>
        </w:rPr>
        <w:t>حجّیة الدلیل العقلی</w:t>
      </w:r>
      <w:bookmarkEnd w:id="752"/>
    </w:p>
    <w:p>
      <w:pPr>
        <w:pStyle w:val="BookText"/>
        <w:rPr/>
      </w:pPr>
      <w:r>
        <w:rPr>
          <w:rFonts w:ascii="Amiri" w:hAnsi="Amiri" w:eastAsia="Amiri" w:cs="Amiri"/>
          <w:color w:val="111111"/>
          <w:sz w:val="28"/>
          <w:sz w:val="28"/>
          <w:szCs w:val="28"/>
          <w:rtl w:val="true"/>
          <w:lang w:bidi="ar-SA"/>
        </w:rPr>
        <w:t>الدلیل العقلیّ تارةً یکون قطعیّاً ، واخری یکون ظنّیّاً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کان الدلیل العقلیّ قطعیّاً ومؤدّیاً إلی العلم بالحکم الشرعیّ فهو حجّة من أجل حجّیّة القطع ، وهی حجّیّة ثابتة للقطع الطریقیّ مهما کان دلیله ومستنده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هناک مَن خالف </w:t>
      </w:r>
      <w:r>
        <w:rPr>
          <w:rStyle w:val="FootnoteAnchor"/>
          <w:rtl w:val="true"/>
        </w:rPr>
        <w:footnoteReference w:id="142"/>
      </w:r>
      <w:r>
        <w:rPr>
          <w:rFonts w:ascii="IRNazanin" w:hAnsi="IRNazanin" w:eastAsia="IRNazanin"/>
          <w:color w:val="111111"/>
          <w:sz w:val="28"/>
          <w:sz w:val="28"/>
          <w:szCs w:val="28"/>
          <w:rtl w:val="true"/>
          <w:lang w:bidi="fa-IR"/>
        </w:rPr>
        <w:t xml:space="preserve">فی ذلک ، وبنی علی أنّ القطع بالحکم الشرعیّ الناشئ من الدلیل العقلیّ لا أثر له ، ولا یجوز التعویل علیه ، ولیس ذلک تجریداً للقطع الطریقیّ عن الحجّیة حتّی یقال بأ نّه مستحیل ، بل ادّعی أنّ بالإمکان تخریجه علی أساس تحویل القطع من طریقیٍّ إلی موضوعیٍّ بأن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الأحکام الشرعیّة قد اخذ فی موضوعها قید ، وهو عدم العلم بجعلها من ناحیة الدلیل العقلیّ ، فمع العلم بجعلها من ناحیة الدلیل العقلیّ لا یکون الحکم الشرعیّ ثابتاً ؛ لانتفاء قیده ، فلا أثر للعلم المذکور ، إذ لا حکم فی هذه الحالة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یعقل أن یقال لمن علم بجعل الحکم الشرعیّ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غیر ثابتٍ مع أنّه عالم 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عالم بجعل الحکم ، وما نرید أن ننفیه عنه لیس هو الجعل ، بل المجعول ، فالعلم العقلیّ بالجعل الشرعیّ یؤخذ عدمه قیداً فی المجعول ، فلا مجعول مع وجود هذا العلم العقلیّ ، وإن کان الجعل الشرعیّ ثابتاً فلا محذور فی هذا </w:t>
      </w:r>
    </w:p>
    <w:p>
      <w:pPr>
        <w:pStyle w:val="BookText"/>
        <w:rPr/>
      </w:pPr>
      <w:r>
        <w:rPr>
          <w:rFonts w:ascii="IRNazanin" w:hAnsi="IRNazanin" w:eastAsia="IRNazanin"/>
          <w:color w:val="111111"/>
          <w:sz w:val="28"/>
          <w:sz w:val="28"/>
          <w:szCs w:val="28"/>
          <w:rtl w:val="true"/>
          <w:lang w:bidi="fa-IR"/>
        </w:rPr>
        <w:t>التخریج ، ولکنّه بحاجةٍ إلی دلیلٍ شرعیٍّ علی تقیید الأحکام الواقعیّة بالوجه المذکور ، ولا یوجد دلیل من هذا القبیل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الدلیل العقلیّ ظنّیّاً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الاستقراء الناقص والقیاس ، وفی کلّ قضیّةٍ من القضایا العقلیّة المتقدّمة إذا لم یجزم بها العقل ، ولکنّه ظنّ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یحتاج إلی دلیلٍ علی حجّیّته وجواز التعویل علیه ، ولا دلیل علی ذلک ، بل قام الدلیل علی عدم جواز التعویل علی الحدْس والرأی والقیاس</w:t>
      </w:r>
      <w:r>
        <w:rPr>
          <w:rFonts w:eastAsia="IRNazanin" w:cs="IRNazanin"/>
          <w:color w:val="111111"/>
          <w:sz w:val="28"/>
          <w:szCs w:val="28"/>
          <w:rtl w:val="true"/>
          <w:lang w:bidi="fa-IR"/>
        </w:rPr>
        <w:t xml:space="preserve">. </w:t>
      </w:r>
      <w:bookmarkStart w:id="753" w:name="pg14075_144740"/>
    </w:p>
    <w:p>
      <w:pPr>
        <w:pStyle w:val="Heading4"/>
        <w:numPr>
          <w:ilvl w:val="3"/>
          <w:numId w:val="1"/>
        </w:numPr>
        <w:rPr/>
      </w:pPr>
      <w:bookmarkStart w:id="754" w:name="__RefHeading___Toc509126_1738255347"/>
      <w:bookmarkStart w:id="755" w:name="_Toc256"/>
      <w:bookmarkEnd w:id="753"/>
      <w:bookmarkEnd w:id="754"/>
      <w:r>
        <w:rPr>
          <w:rtl w:val="true"/>
        </w:rPr>
        <w:t>الاصول العملیّة</w:t>
      </w:r>
      <w:bookmarkEnd w:id="755"/>
    </w:p>
    <w:p>
      <w:pPr>
        <w:pStyle w:val="Heading5"/>
        <w:numPr>
          <w:ilvl w:val="4"/>
          <w:numId w:val="1"/>
        </w:numPr>
        <w:rPr/>
      </w:pPr>
      <w:bookmarkStart w:id="756" w:name="__RefHeading___Toc509128_1738255347"/>
      <w:bookmarkStart w:id="757" w:name="_Toc257"/>
      <w:bookmarkEnd w:id="756"/>
      <w:r>
        <w:rPr>
          <w:rtl w:val="true"/>
        </w:rPr>
        <w:t>اشارة</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فی حالة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14075_144742"/>
      <w:bookmarkStart w:id="759" w:name="pg14075_144742"/>
      <w:bookmarkEnd w:id="759"/>
    </w:p>
    <w:p>
      <w:pPr>
        <w:pStyle w:val="Heading5"/>
        <w:numPr>
          <w:ilvl w:val="4"/>
          <w:numId w:val="1"/>
        </w:numPr>
        <w:rPr/>
      </w:pPr>
      <w:bookmarkStart w:id="760" w:name="pg14075_144742"/>
      <w:bookmarkStart w:id="761" w:name="__RefHeading___Toc509130_1738255347"/>
      <w:bookmarkStart w:id="762" w:name="_Toc258"/>
      <w:bookmarkEnd w:id="760"/>
      <w:bookmarkEnd w:id="761"/>
      <w:r>
        <w:rPr/>
        <w:t>1</w:t>
      </w:r>
      <w:r>
        <w:rPr>
          <w:rtl w:val="true"/>
        </w:rPr>
        <w:t xml:space="preserve"> - </w:t>
      </w:r>
      <w:r>
        <w:rPr>
          <w:rtl w:val="true"/>
        </w:rPr>
        <w:t>القاعدة العملیّة فی حالةِ الشکّ</w:t>
      </w:r>
      <w:bookmarkEnd w:id="762"/>
    </w:p>
    <w:p>
      <w:pPr>
        <w:pStyle w:val="Heading6"/>
        <w:numPr>
          <w:ilvl w:val="5"/>
          <w:numId w:val="1"/>
        </w:numPr>
        <w:rPr/>
      </w:pPr>
      <w:bookmarkStart w:id="763" w:name="__RefHeading___Toc509132_1738255347"/>
      <w:bookmarkStart w:id="764" w:name="_Toc259"/>
      <w:bookmarkEnd w:id="763"/>
      <w:r>
        <w:rPr>
          <w:rtl w:val="true"/>
        </w:rPr>
        <w:t>اشارة</w:t>
      </w:r>
      <w:bookmarkEnd w:id="7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سابقاً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تارةً یحصل علی دلیلٍ یحرز به الحکم الشرعیّ ، واخری لا یتیسّر له إحراز الحکم ، ولکنّه یحصل علی دلیلٍ یحدّد الموقف العملیّ تجاه التکلیف المشکوک ، وهو الذی یسمّی بالأصل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من الأدلّة هو ما سنتحدّث عنه هنا </w:t>
      </w:r>
      <w:r>
        <w:rPr>
          <w:rFonts w:eastAsia="IRNazanin" w:cs="IRNazanin"/>
          <w:color w:val="111111"/>
          <w:sz w:val="28"/>
          <w:szCs w:val="28"/>
          <w:rtl w:val="true"/>
          <w:lang w:bidi="fa-IR"/>
        </w:rPr>
        <w:t xml:space="preserve">: </w:t>
      </w:r>
      <w:bookmarkStart w:id="765" w:name="pg14075_144743"/>
    </w:p>
    <w:p>
      <w:pPr>
        <w:pStyle w:val="Heading6"/>
        <w:numPr>
          <w:ilvl w:val="5"/>
          <w:numId w:val="1"/>
        </w:numPr>
        <w:rPr/>
      </w:pPr>
      <w:bookmarkStart w:id="766" w:name="__RefHeading___Toc509134_1738255347"/>
      <w:bookmarkStart w:id="767" w:name="_Toc260"/>
      <w:bookmarkEnd w:id="765"/>
      <w:bookmarkEnd w:id="766"/>
      <w:r>
        <w:rPr>
          <w:rtl w:val="true"/>
        </w:rPr>
        <w:t>القاعدة العملیّة الأوّلیّة فی حالة الشکّ</w:t>
      </w:r>
      <w:bookmarkEnd w:id="767"/>
    </w:p>
    <w:p>
      <w:pPr>
        <w:pStyle w:val="Heading6"/>
        <w:numPr>
          <w:ilvl w:val="5"/>
          <w:numId w:val="1"/>
        </w:numPr>
        <w:rPr/>
      </w:pPr>
      <w:bookmarkStart w:id="768" w:name="__RefHeading___Toc509136_1738255347"/>
      <w:bookmarkStart w:id="769" w:name="_Toc261"/>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کلّما شکّ المکلّف فی تکلیفٍ شرعیٍّ ولم یتیسّر له إثباته أو نفیه فلابدّ له من تحدید موقفه العملیّ تجاه هذاالحکم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مسلکان فی تحدید هذاالموقف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قاعدة قبح العقاب بلا بیان ، وهو المسلک المشهور القائل بأنّ التکلیف مادام لم یتمّ علیه البیان فیقبح من المولی أن یعاقب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المسلک یعنی بحسب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فی بحثٍ سابقٍ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الطاعة للمولی مختصّ بالتکالیف المعلومة ولا یشمل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 الطاعة الذی تقدّم شرحه ، وهو مبنیّ علی الإیمان بأنّ حقّ الطاعة للمولی یشمل کلّ تکلیفٍ غیر معلوم العدم مالم یأذن المولی نفسه فی عدم التحفّظ من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المسلک الأوّل تکون القاعدة العملیّة الأوّلیة هی البراءة بحکم العقل ، وبناءً علی المسلک الثانی تکون القاعدة المذکورة هی أصالة شغل الذمّة بحکم العقل مالم یثبت إذن من الشارع فی عدم التحفّظ</w:t>
      </w:r>
      <w:r>
        <w:rPr>
          <w:rFonts w:eastAsia="IRNazanin" w:cs="IRNazanin"/>
          <w:color w:val="111111"/>
          <w:sz w:val="28"/>
          <w:szCs w:val="28"/>
          <w:rtl w:val="true"/>
          <w:lang w:bidi="fa-IR"/>
        </w:rPr>
        <w:t>.</w:t>
      </w:r>
    </w:p>
    <w:p>
      <w:pPr>
        <w:pStyle w:val="Heading6"/>
        <w:numPr>
          <w:ilvl w:val="5"/>
          <w:numId w:val="1"/>
        </w:numPr>
        <w:rPr/>
      </w:pPr>
      <w:bookmarkStart w:id="770" w:name="__RefHeading___Toc509138_1738255347"/>
      <w:bookmarkStart w:id="771" w:name="_Toc262"/>
      <w:bookmarkEnd w:id="770"/>
      <w:r>
        <w:rPr>
          <w:rtl w:val="true"/>
        </w:rPr>
        <w:t>[</w:t>
      </w:r>
      <w:r>
        <w:rPr>
          <w:rtl w:val="true"/>
        </w:rPr>
        <w:t>الاستدلال علی قبح العقاب بلا بیان</w:t>
      </w:r>
      <w:r>
        <w:rPr>
          <w:rtl w:val="true"/>
        </w:rPr>
        <w:t>]</w:t>
      </w:r>
      <w:bookmarkEnd w:id="7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کلام المحقّق النائینیّ رحمه‌الله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حاول الاستدلال علی قاعدة قبح العقاب بلا بیانٍ والبرهنة علیها ، ویمکن تلخیص استدلاله فی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إنّما یکون محرّکاً للعبد بوجوده العلمی ، لا بوجوده الواقعیّ ، کما هو الحال فی سائر الأغراض الاخری ، فالأسد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یحرّک الإنسان نحو الفرار بوجوده المعلوم لابوجوده الواقعیّ ، وعلیه فلامقتضی للتحرّک مع عدم 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العقاب علی عدم التحرّک مع أنّه لا مقتضی للتحرّک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بالأعراف العقلائیّة ، واستقباح معاقبة الآمر فی المجتمعات العقلائیّة مأموره علی مخالفة تکلیفٍ غیر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المحرّک للعبد إنّما هو الخروج عن عهدة حقّ الطاعة للمولی ، وغرضه الشخصیّ قائم بالخروج عن هذه العهدة ، لابامتثال التکلیف بعنوانه ، فلابدّ من تحدید حدود هذه العهدة ، وأنّ حقّ الطاعة هل یشمل التکالیف المشکوکة ، أوْ لا؟</w:t>
      </w:r>
    </w:p>
    <w:p>
      <w:pPr>
        <w:pStyle w:val="BookText"/>
        <w:rPr/>
      </w:pPr>
      <w:r>
        <w:rPr>
          <w:rFonts w:ascii="IRNazanin" w:hAnsi="IRNazanin" w:eastAsia="IRNazanin"/>
          <w:color w:val="111111"/>
          <w:sz w:val="28"/>
          <w:sz w:val="28"/>
          <w:szCs w:val="28"/>
          <w:rtl w:val="true"/>
          <w:lang w:bidi="fa-IR"/>
        </w:rPr>
        <w:t>فإن ادّعی عدم الشمول کان مصادرةً وخرج البیان عن کونه برهاناً ، وإن لم یفرغ عن عدم الشمول فلا یتمّ البرهان المذکور ، إذ کیف یفترض أنّ التحرّک مع عدم العلم بالتکلیف بلا مقتضٍ ، مع أنّ المقتضی للتحرّک هو حقّ الطاعة الذی ندّعی شموله للتکالیف المشکوکة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فهو قیاس لحقّ الطاعة الثابت للمولی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الطاعة الثابت للآمر العقلائیّ ، وهو قیاس بلا موجب ؛ لأنّ حقّ الطاعة للآمر العقلائیّ مجعول لا محالة من قبل العقلاء ، أو آمرٍ أعلی ، فیکون محدّداً سعةً وضیقاً تبعاً لجعله ، وهو عادةً یجعل فی حدود التکالیف المقطوعة ، وأمّا حقّ الطاعة للمولی سبحانه فهو حقّ ذاتیّ تکوینیّ غیر مجعول ، ولا یلزم من ضیق دائرة ذلک الحقّ المجعول ضیق دائرة هذا الحقّ الذاتیّ ، کما هو واضح ، فالمعوّل فی تحدید دائرة هذا الحقّ علی وجدان العقل العملی ، وهو یقتضی التعمیم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العملیّة الأوّلیّة هی أصالة الاشتغال بحکم العقل مالم یثبت الترخیص فی ترک التحفّظ</w:t>
      </w:r>
      <w:r>
        <w:rPr>
          <w:rFonts w:eastAsia="IRNazanin" w:cs="IRNazanin"/>
          <w:color w:val="111111"/>
          <w:sz w:val="28"/>
          <w:szCs w:val="28"/>
          <w:rtl w:val="true"/>
          <w:lang w:bidi="fa-IR"/>
        </w:rPr>
        <w:t xml:space="preserve">. </w:t>
      </w:r>
      <w:bookmarkStart w:id="772" w:name="pg14075_144745"/>
    </w:p>
    <w:p>
      <w:pPr>
        <w:pStyle w:val="Heading6"/>
        <w:numPr>
          <w:ilvl w:val="5"/>
          <w:numId w:val="1"/>
        </w:numPr>
        <w:rPr/>
      </w:pPr>
      <w:bookmarkStart w:id="773" w:name="__RefHeading___Toc509140_1738255347"/>
      <w:bookmarkStart w:id="774" w:name="_Toc263"/>
      <w:bookmarkEnd w:id="772"/>
      <w:bookmarkEnd w:id="773"/>
      <w:r>
        <w:rPr>
          <w:rtl w:val="true"/>
        </w:rPr>
        <w:t>القاعدة العملیّة الثانویّة فی حالةِ الشکّ</w:t>
      </w:r>
      <w:bookmarkEnd w:id="774"/>
    </w:p>
    <w:p>
      <w:pPr>
        <w:pStyle w:val="Heading6"/>
        <w:numPr>
          <w:ilvl w:val="5"/>
          <w:numId w:val="1"/>
        </w:numPr>
        <w:rPr/>
      </w:pPr>
      <w:bookmarkStart w:id="775" w:name="__RefHeading___Toc509142_1738255347"/>
      <w:bookmarkStart w:id="776" w:name="_Toc264"/>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والقاعدة العملیّة الثانویّة فی حالة الشکّ التی ترفع موضوع القاعدة الاولی هی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من الشارع فی ترک التحفّظ والاحتیاط تجاه التکلیف المشکوک ، ولمَّا کانت القاعدة الاولی مقیّدةً بعدم ثبوت الترخیص فی ترک التحفّظ کانت البراءة الشرعیّة رافعةً لقیدها ، ونافیةً لموضوعها ، ومبدّلةً للضیق بالسعة</w:t>
      </w:r>
      <w:r>
        <w:rPr>
          <w:rFonts w:eastAsia="IRNazanin" w:cs="IRNazanin"/>
          <w:color w:val="111111"/>
          <w:sz w:val="28"/>
          <w:szCs w:val="28"/>
          <w:rtl w:val="true"/>
          <w:lang w:bidi="fa-IR"/>
        </w:rPr>
        <w:t>.</w:t>
      </w:r>
    </w:p>
    <w:p>
      <w:pPr>
        <w:pStyle w:val="Heading6"/>
        <w:numPr>
          <w:ilvl w:val="5"/>
          <w:numId w:val="1"/>
        </w:numPr>
        <w:rPr/>
      </w:pPr>
      <w:bookmarkStart w:id="777" w:name="__RefHeading___Toc509144_1738255347"/>
      <w:bookmarkStart w:id="778" w:name="_Toc265"/>
      <w:bookmarkEnd w:id="777"/>
      <w:r>
        <w:rPr>
          <w:rtl w:val="true"/>
        </w:rPr>
        <w:t>[</w:t>
      </w:r>
      <w:r>
        <w:rPr>
          <w:rtl w:val="true"/>
        </w:rPr>
        <w:t>أدلّة البراءة الشرعیّة</w:t>
      </w:r>
      <w:r>
        <w:rPr>
          <w:rtl w:val="true"/>
        </w:rPr>
        <w:t>]</w:t>
      </w:r>
      <w:bookmarkEnd w:id="778"/>
    </w:p>
    <w:p>
      <w:pPr>
        <w:pStyle w:val="BookText"/>
        <w:rPr/>
      </w:pPr>
      <w:r>
        <w:rPr>
          <w:rFonts w:ascii="IRNazanin" w:hAnsi="IRNazanin" w:eastAsia="IRNazanin"/>
          <w:color w:val="111111"/>
          <w:sz w:val="28"/>
          <w:sz w:val="28"/>
          <w:szCs w:val="28"/>
          <w:rtl w:val="true"/>
          <w:lang w:bidi="fa-IR"/>
        </w:rPr>
        <w:t xml:space="preserve">ویستدلّ لإثبات البراءة الشرعیّة بعددٍ من الآیات الکریمة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الآیات فعدیدة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الموصول فیها إمّا أن یراد به المال ، أو الفعل ، أو التکلیف ، أو الجامع ، والأوّل هو المتیقّن ؛ لأنّه المناسب لمورد الآیة حیث أمرت بالنفقة وعقّبت ذلک بالکبری المذکورة ، ولکن لاموجب للاقتصار علی المتیقّن ، بل نتمسّک بالإطلاق لإثبات الاحتمال الأخیر ، فیکون معنی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لا یکلّف مالاً إلاّبقدر ما رزق وأعطی ، ولا یکلّف بفعل إلاّفی حدود ما أقدر علیه من أفعال ، ولا یکلّف بتکلیفٍ إلاّإذا کان قد آتاه وأوصله إلی المکلّف ، فالإیتاء بالنسبة إلی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w:t>
      </w:r>
    </w:p>
    <w:p>
      <w:pPr>
        <w:pStyle w:val="BookText"/>
        <w:rPr/>
      </w:pPr>
      <w:r>
        <w:rPr>
          <w:rFonts w:ascii="IRNazanin" w:hAnsi="IRNazanin" w:eastAsia="IRNazanin"/>
          <w:color w:val="111111"/>
          <w:sz w:val="28"/>
          <w:sz w:val="28"/>
          <w:szCs w:val="28"/>
          <w:rtl w:val="true"/>
          <w:lang w:bidi="fa-IR"/>
        </w:rPr>
        <w:t>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لا یجعل المکلّف مسؤولاً تجاه تکلیفٍ غیر واصل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الشیخ الأنصاریّ علی هذا الاستدلال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الجامع من اسم الموصول غیر ممکنة ؛ لأنّ اسم الموصول حینئذٍ بلحاظ شموله للتکلیف یکون مفعولاً مطلقاً ، وبلحاظ شموله للمال یکون مفعولاً به ، والنسبة بین الفعل والمفعول المطلق تغایر النسبة بین الفعل والمفعول به ، فإنّ الاولی هی نسبة الحدث إلی طورٍ من أطواره ، والثانیة هی نسبة المغایر إلی المغایر ، فیلزم من استعمال الموصول فی الجامع إرادة کلتا النسبتین من هیئة ربط الفعل بمفعوله ، وهو من استعمال اللفظ فی معنیین ، مع أنّ کلّ لفظٍ لا یستعمل إلاّفی 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تدلّ علی أنّ الله تعالی لا یعذّب حتّی یبعث الرسول ، ولیس الرسول إلاّکمثالٍ للبیان ، فکأ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نفی العقاب فی حالة عدم صدور البیان من الشارع ، لا فی حالة صدوره وعدم وصوله إلی المکلّف ؛ لأنّ الرسول إنّما یؤخذ کمثالٍ لصدور البیان من الشارع ، لا للوصول الفعلیّ إلی المکلّف ، وما نحن بصدده إنّما هو التأمین من ناحیة تکلیفٍ لم یصل إلینا بیانه حتّی ولو کان هذا البیان قد صدر من الشارع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فی ما اوحِیَ إِلیَّ مُحَرَّماً عَلی طَاعِمٍ یطْعَمُهُ إلاّ أَنْ یَکُونَ مَیْتَةً أَوْ دَمَاً مَسْفُوحاً أَو لَحْمَ خِنْزِیرٍ فَإنَّهُ رجْسٌ أَوْ فسْقاً اهِلَّ لِغَیْرِ اللهِ بهِ </w:t>
      </w:r>
    </w:p>
    <w:p>
      <w:pPr>
        <w:pStyle w:val="BookText"/>
        <w:rPr/>
      </w:pPr>
      <w:r>
        <w:rPr>
          <w:rFonts w:ascii="Amiri" w:hAnsi="Amiri" w:eastAsia="Amiri" w:cs="Amiri"/>
          <w:color w:val="111111"/>
          <w:sz w:val="28"/>
          <w:sz w:val="28"/>
          <w:szCs w:val="28"/>
          <w:rtl w:val="true"/>
          <w:lang w:bidi="ar-SA"/>
        </w:rPr>
        <w:t>فَمَن اضْطُرَّ غَیْرَ بَاغٍ وَلَا عَادٍ فَإنَّ ربَّکَ غَفُورٌ رَحِیمٌ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لَقّن نبیّه صلی‌الله‌علیه‌وآله‌وسلم کیفیّة المحاجّة مع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یتمسّک بعدم الوجدان ، وهذا ظاهر فی أنّ عدم الوجدان کافٍ للتأمین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 النبیّ فی ما اوحی إلیه یساوق عدم الوجود الفعلیّ للحکم ، فکیف یقاس علی ذلک عدم وجدان المکلّف المحتمل أن یکون بسبب ضیاع النصوص الشرعیّة؟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بالإضلال فیها إمّا تسجیلهم ضالّین ومنحرفین ، وإمّا نوعٌ من العقاب ، کالخذلان والطرد من أبواب الرحمة ، وعلی أیّ حالٍ فقد انیط الإضلال ببیان ما یتّقون لهم ، وحیث اضیف البیان لهم فهو ظاهرفی وصوله إلیهم ، فمع عدم وصول البیان لا عقاب ولا ضلال ، وهو معنی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فعدیدة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الصادق علیه‌السلام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والإطلاق یساوق السعة والتأمین ، والشاکّ یصدق بشأنه أنّه لم یرده النهی فیکون مؤمّناً عن التکلیف المشکوک ، وهو المطلوب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علی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الورود تارةً یکون بمعنی الصدور ، </w:t>
      </w:r>
    </w:p>
    <w:p>
      <w:pPr>
        <w:pStyle w:val="BookText"/>
        <w:rPr/>
      </w:pPr>
      <w:r>
        <w:rPr>
          <w:rFonts w:ascii="IRNazanin" w:hAnsi="IRNazanin" w:eastAsia="IRNazanin"/>
          <w:color w:val="111111"/>
          <w:sz w:val="28"/>
          <w:sz w:val="28"/>
          <w:szCs w:val="28"/>
          <w:rtl w:val="true"/>
          <w:lang w:bidi="fa-IR"/>
        </w:rPr>
        <w:t>واخری بمعنی الوصول ، فإذا کان مفاد الروایة جعل صدور النهی غایةً فلا یتمّ الاستدلال ؛ لأنّ الشاکّ یحتمل صدور النهی وتحقّق الغایة ، وإذا کان مفادها جعل وصول النهی إلی المکلّف غایةً ثبت المطلوب ، ولکن لا معیّن للثانی فلا یمکن الاستدلال بالروایة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الورود دائماً یستبطن حیثیّة الوفود علی شیءٍ فلا یطلق علی حیثیّة الصدور البحتة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هذا لا یتمّ الاستدلال ، إذ لم یعلم أنّ الملحوظ فیه وفود النهی علی المکلّف المساوق لوصوله إلیه ، بل لعلّ الملحوظ وفوده علی الشیء نفسه ، کما یناسبه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فکأنّ النهی یرد علی المادّة ؛ فهناک مورود علیه ومورود عنه بقطع النظر عن المکلّف ، وهذا یعنی أنّ الغایة صدور النهی من الشارع ووقوعه علی المادّة ، سواء وصل إلی المکلّف أوْ لا ، فلا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 وهو الحدیث المرویّ عن النبیّ صلی‌الله‌علیه‌وآله‌وسلم ، ومفاده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 والنسیان ، وما اکرهوا علیه ، وما لا یعلمون ، وما لا یطیقون ، وما اضطرّوا إلیه ، والحسد ، والطیرة ، والتفکّر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علی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الرفع یوجد فیه بدواً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رفعاً واقعیّاً للتکلیف المشکوک ، فیکون الحدیث مقیّداً ومخصّصاً لإطلاق أدلّة الأحکام الواقعیّة الإلزامیّة بفرض العلم بها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رفعاً ظاهریّاً ، بمعنی تأمین الشاکّ ونفی وجوب الاحتیاط </w:t>
      </w:r>
    </w:p>
    <w:p>
      <w:pPr>
        <w:pStyle w:val="BookText"/>
        <w:rPr/>
      </w:pPr>
      <w:r>
        <w:rPr>
          <w:rFonts w:ascii="IRNazanin" w:hAnsi="IRNazanin" w:eastAsia="IRNazanin"/>
          <w:color w:val="111111"/>
          <w:sz w:val="28"/>
          <w:sz w:val="28"/>
          <w:szCs w:val="28"/>
          <w:rtl w:val="true"/>
          <w:lang w:bidi="fa-IR"/>
        </w:rPr>
        <w:t>علیه فی مقابل وضع التکلیف المشکوک وضعاً ظاهریّاً بإیجاب الاحتیاط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الاحتمالین ینفع لإثبات السعة ؛ لأنّ التکلیف المشکوک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واقعاً ، وإمّا ظاهراً ، ولکنّ الاحتمال الأوّل ساقط ؛ لأنّه یؤدّی إلی تقیّد الأحکام الواقعیّة الإلزامیّة بالعلم بها ، وقد سبق أنّ أخذ العلم بالحکم قیداً لنفس الحکم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قلتم بإمکان أخذ العلم بالجعل فی موضوع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ظاهر الحدیث أنّ المرفوع والمعلوم شیء واحد ، بمعنی أنّ الرفع والعلم یتبادلان علی مرکزٍ واحد ، فإذا افترضنا أنّ العلم بالجعل مأخوذ فی موضوع المجعول فهذا معناه أنّ العلم لوحظ متعلّقاً بالجعل ، وأنّ الرفع إنّما هو رفع للمجعول بتقییده بالعلم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 ظاهر الحدیث ، فلابدّ إذن من افتراض أنّ الرفع یتعلّق بالمجعول ، وکذلک العلم ، فکأ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المجعول مرفوع حتّی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هذاالأساس یتعیّن حمل الرفع علی أنّه ظاهریّ لا واقعیّ ، وإلاّ لزم أخذ العلم بالمجعول قیداً لنفس المجعول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التکلیف تارةً یکون علی نحو الشبهة الموضوعیّة ، کالشکّ فی حرمة المائع المردّد بین الخلّ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یکون علی نحو الشبهة الحکمیّة ، کالشکّ فی حرمة لحم الأرنب مثلاً ، وعلیه فالرفع الظاهریّ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باختصاصه بالشبهة الموضوعیّة ، وقد یقال باختصاصه بالشبهة الحکمیّة ، وقد یقال بعمومه لکلتا الشبهتین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الاحتمال الأوّل فقد استدلّ علیه بوحدة السیاق لاسم الموصول فی الفقرات المتعدّدة ، إذ من الواضح أنّ المقصود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الموضوع الخارجیّ ، أو الفعل الخارجیّ ، لانفس التکلیف ، فیحمل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 الخارجیّ أیضاً ، فیکون مفاد الجملة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الخمر غیر المعلوم </w:t>
      </w:r>
    </w:p>
    <w:p>
      <w:pPr>
        <w:pStyle w:val="BookText"/>
        <w:rPr/>
      </w:pPr>
      <w:r>
        <w:rPr>
          <w:rFonts w:ascii="IRNazanin" w:hAnsi="IRNazanin" w:eastAsia="IRNazanin"/>
          <w:color w:val="111111"/>
          <w:sz w:val="28"/>
          <w:sz w:val="28"/>
          <w:szCs w:val="28"/>
          <w:rtl w:val="true"/>
          <w:lang w:bidi="fa-IR"/>
        </w:rPr>
        <w:t>مرفوع الحرمة ، کما أنّ الفعل المضطرّ إلیه مرفوع الحرمة ، فلا یشمل حالات الشکّ فی أصل جعل الحرمة علی نحو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السیاق إنّما تقتضی کون مدلول اللفظ المتکرّر واحداً فی السیاق الواحد ، لا کون المصادیق من سنخٍ واحد ، فإذا افترضنا أنّ اسم الموصول قد استعمل فی جمیع تلک الفقرات فی معناه العام المبهم ، غیر أنّ مصداقه یختلف من جملةٍ إلی اخری باختلاف صفاته لم تنثلم بذلک وحدة السیاق فی مرحلة المدلول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الثانی فیستند إلی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 ما بإزاء اسم الموصول غیر معلوم ، فإن کان ما بإزائه التکلیف فهو بنفسه غیر معلوم ، وإن کان ما بإزائه الموضوع الخارجیّ فهو بنفسه لیس مشکوکاً ، وإنّما المشکوک کونه خمراً مثلاً ، فلا یکون عدم العلم مسنداً إلی مدلول اسم الموصول حقیقةً ، وهذا خلاف ظاهر الحدیث ، فیتعیّن أن یراد باسم الموصول التکلیف ، ومعه یختصّ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بالإمکان أن یکون ما بإزاء اسم الموصول نفس عنوان الخمر ، لا المائع المشکوک کونه خمراً ، فعدم العلم یکون مسنداً إلیه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ما بإزاء اسم الموصول ینبغی أن یکون هو التکلیف فإنّ هذا لا یوجب الاختصاص بالشبهة الحکمیّة ؛ لأنّ التکلیف بمعنی الحکم المجعول مشکوک فی الشبهة الموضوعیّة أیضاً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الثالث فهو یتوقّف علی تصویر جامعٍ یمکن أن یراد باسم الموصول علی نحوٍ ینطبق علی الشبهة الحکمیّة والموضوعیّة ، وهذا الجامع له فرضیّتان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باسم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 سواء کان تکلیفاً أو موضوعاً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إسناد الرفع إلی التکلیف حقیقیّ ؛ لأنّه قابل للرفع بنفسه ، وإسناده إلی الموضوع مجازیّ وبلحاظ حکمه ، ولا یمکن الجمع بین الإسناد الحقیقیّ والمجازیّ فی استعمالٍ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الرفع إلی التکلیف لیس حقیقیّاً أیضاً ؛ لِمَا عرفت سابقاً من أنّه رفع ظاهریّ لا واقعیّ ، فالإسنادان کلاهما عنائیّان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باسم الموصول التکلیف المجعول ، وهو مشکوک فی الشبهة الحکمیّة والموضوعیّة معاً ، وإنّما یختلفان فی منشأ الشکّ ، فإنّ المنشأ فی الاولی عدم العلم بالجعل ، وفی الثانیة عدم العلم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والمعیّن للاحتمال الثالث بعد تصویر الجامع هو الإطلاق ، فتتمّ دلالة حدیث الرفع علی البراءة ونفی وجوب التحفّظ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زکریّا بن یحیی ، عن أبی عبدالله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الوضع عن المکلّف تعبیر آخر عن الرفع عنه ، فتکون دلالة هذه الروایة علی وزان دلالة الحدیث السابق ، ویستفاد منها نفی وجوب التحفّظ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 الاستدلال أمران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الحجب هنا اسند إلی الله تعالی ، فیختصّ بالأحکام المجهولة التی ینشأ عدم العلم بها من قبل الشارع ، لإخفائه لها ، ولا یشمل ما تشکّ فیه عادةً من الأحکام التی یحتمل عدم وصولها لعوارض اتّفاقیّة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الحجب لم یسند إلی المولی سبحانه بما هو شارع وحاکم لینصرف إلی ذلک النحو من الحجب ، بل اسند إلیه بما هو ربّ العالَمین ، وبیده الأمر من قبلُ ومن بعدُ ، وبهذا یشمل کلّ حجبٍ یقع فی العالَم ، ولا موجب لتقییده بالحجب الواقع منه بما هو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القضیّة ماحجب عن العباد ، فتختصّ بما کان غیر معلومٍ لهم جمیعاً ، فلا یشمل التکالیف التی یشکّ فیها بعض العباد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علی ذلک باستظهار الانحلالیّة من الحدیث ، بمعنی أنّ کلّ ما حجب عن عبدٍ فهو موضوع عنه ، فالعباد لُوحظوا بنحو العموم الاستغراقیّ ، لا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سنان ، عن أبی عبدالله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فیه حلال وحرام فهو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تجعل الحلّیّة مع افتراض وجود حرامٍ وحلالٍ واقعیّ ، وتضع لهذه الحلّیّة غایة ، وهی تمییز الحرام ، فهذه الحلّیّة ظاهریّة إذن ، وهی تعبیر آخر عن الترخیص فی ترک التحفّظ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جماعة من المحقّقین </w:t>
      </w:r>
      <w:r>
        <w:rPr>
          <w:rStyle w:val="FootnoteAnchor"/>
          <w:rtl w:val="true"/>
        </w:rPr>
        <w:footnoteReference w:id="157"/>
      </w:r>
      <w:r>
        <w:rPr>
          <w:rFonts w:ascii="IRNazanin" w:hAnsi="IRNazanin" w:eastAsia="IRNazanin"/>
          <w:color w:val="111111"/>
          <w:sz w:val="28"/>
          <w:sz w:val="28"/>
          <w:szCs w:val="28"/>
          <w:rtl w:val="true"/>
          <w:lang w:bidi="fa-IR"/>
        </w:rPr>
        <w:t xml:space="preserve">إلی أنّ هذه الروایة مختصّة بالشبهات الموضوعیّة ، وذلک لقرینتین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طبیعةٍ منقسمةٍ فعلاً إلی أفرادٍ محلّلةٍ وأفرادٍ محرّمة ، وأنّ هذا الانقسام هو السبب فی الشکّ فی حرمة هذا الفرد أو ذاک ، وهذا إنّما یصدق فی الشبهة الموضوعیّة ، لا فی مثل الشکّ فی </w:t>
      </w:r>
    </w:p>
    <w:p>
      <w:pPr>
        <w:pStyle w:val="BookText"/>
        <w:rPr/>
      </w:pPr>
      <w:r>
        <w:rPr>
          <w:rFonts w:ascii="IRNazanin" w:hAnsi="IRNazanin" w:eastAsia="IRNazanin"/>
          <w:color w:val="111111"/>
          <w:sz w:val="28"/>
          <w:sz w:val="28"/>
          <w:szCs w:val="28"/>
          <w:rtl w:val="true"/>
          <w:lang w:bidi="fa-IR"/>
        </w:rPr>
        <w:t xml:space="preserve">حرمة شرب التتن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الشبهات الحکمیّة ؛ فإنّ الشکّ فیها لا ینشأ من تنوّع أفراد الطبیعة ، بل من عدم وصول النصّ الشرعیّ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الحدیث إذا حمل علی الشبهة الحکمیّة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صرفاً ؛ لأنّ العلم بالحرام فیها مساوق للعلم بالحرام بعینه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حمل علی الشبهة الموضوعیّة کان للکلمة المذکورة فائدة ملحوظة لأجل حصر الغایة للحلّیّة بالعلم التفصیلیّ دون العلم الإجمالی الذی یغلب تواجده فی الشبهات الموضوعیّة ، إذ مَن الذی لا یعلم عادةً بوجود جبنٍ حرام ، وبوجود لحمٍ حرام ، وبوجود شرابٍ نجس؟ وإنّما الشکّ فی أنّ هذا الجبن أو اللحم أو الشراب المعیَّن هل هو من الحرام النجس ، أوْ لا؟ وعلیه فیکون الحمل علی الشبهة الموضوعیّة متعیّناً عرفاً ؛ لأنّ التأکید الصرف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النصوص التی استدلّ بها علی البراءة من الکتاب والسنّة ، وقد لاحظنا أنّ بعضها تامّ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یضاف إلی ذلک التمسّک بعموم دلیل الاستصحاب ، وذلک بأحد لحاظین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نلتفت إلی بدایة الشریعة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التکلیف المشکوک لم یکن قد جُعل فی تلک الفترة یقیناً ؛ لأنّ تشریع الأحکام کان تدریجیّاً فیستصحب عدم جعل 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یلتفت المکلّف إلی حالة ما قبل تکلیفه ، کحالة صغره مثلاً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التکلیف لم یکن ثابتاً علیّ فی تلک الفترة یقیناً ، ویشکّ فی ثبوته بعد البلوغ فیستصحب عدمه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المحقّق النائینیّ قدس‌سره </w:t>
      </w:r>
      <w:r>
        <w:rPr>
          <w:rStyle w:val="FootnoteAnchor"/>
          <w:rtl w:val="true"/>
        </w:rPr>
        <w:footnoteReference w:id="158"/>
      </w:r>
      <w:r>
        <w:rPr>
          <w:rFonts w:ascii="IRNazanin" w:hAnsi="IRNazanin" w:eastAsia="IRNazanin"/>
          <w:color w:val="111111"/>
          <w:sz w:val="28"/>
          <w:sz w:val="28"/>
          <w:szCs w:val="28"/>
          <w:rtl w:val="true"/>
          <w:lang w:bidi="fa-IR"/>
        </w:rPr>
        <w:t xml:space="preserve">علی إجراء الاستصحاب بأحد هذین </w:t>
      </w:r>
    </w:p>
    <w:p>
      <w:pPr>
        <w:pStyle w:val="BookText"/>
        <w:rPr/>
      </w:pPr>
      <w:r>
        <w:rPr>
          <w:rFonts w:ascii="IRNazanin" w:hAnsi="IRNazanin" w:eastAsia="IRNazanin"/>
          <w:color w:val="111111"/>
          <w:sz w:val="28"/>
          <w:sz w:val="28"/>
          <w:szCs w:val="28"/>
          <w:rtl w:val="true"/>
          <w:lang w:bidi="fa-IR"/>
        </w:rPr>
        <w:t xml:space="preserve">اللحاظین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عدم حدوث ما یشکّ فی حدوثه إنّما یجری إذا کان الأثر المطلوب إثباته بالاستصحاب منوطاً بعدم الحدوث ، فنتوصّل إلیه تعبّداً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نشکّ فی حدوث النجاسة فی الماء ، والأثر المطلوب تصحیح الوضوء به ، وهو منوط بعدم حدوث النجاسة ، فنجری استصحاب عدم حدوث النجاسة ونثبت بالتعبّد الاستصحابیّ أنّ الوضوء به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الأثر المطلوب إثباته بالاستصحاب یکفی فی تحقّقه واقعاً مجرّد عدم العلم بحدوث ذلک الشیء فیکون ذلک الأثر محقّقاً وجداناً فی حالة الشکّ فی الحدوث ، ولا نحتاج حینئذٍ إلی إجراء استصحاب عدم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الکلام ؛ لأنّ الأثر المطلوب هنا هو التأمین ونفی استحقاق العقاب ، وهذا الأثر مترتّب علی مجرّد عدم البیان وعدم العلم بحدوث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لقاعدة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حاصل وجداناً ، وأیّ معنیً حینئذٍ لمحاولة تحصیله تعبّداً بالاستصحاب؟ وهل هو إلاّنحو من تحصیل الحاصل؟</w:t>
      </w:r>
    </w:p>
    <w:p>
      <w:pPr>
        <w:pStyle w:val="BookText"/>
        <w:rPr/>
      </w:pPr>
      <w:r>
        <w:rPr>
          <w:rFonts w:ascii="IRNazanin" w:hAnsi="IRNazanin" w:eastAsia="IRNazanin"/>
          <w:color w:val="111111"/>
          <w:sz w:val="28"/>
          <w:sz w:val="28"/>
          <w:szCs w:val="28"/>
          <w:rtl w:val="true"/>
          <w:lang w:bidi="fa-IR"/>
        </w:rPr>
        <w:t xml:space="preserve">وهذا الاعتراض غیر صحیح ؛ لعدّة اعتبارات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ننکر قاعدة قبح العقاب بلا بیان ، فالأثر المطلوب لا یکفی فیه إذن مجرّد عدم العلم ، کما هو واضح من مسلک حقّ الطاعة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إذا آمنّا بقاعدة قبح العقاب بلا بیانٍ فلا شکّ فی أنّ قبح العقاب علی مخالفة تکلیفٍ مشکوکٍ لم یصل إذن الشارع فیه ثابت بدرجةٍ أقلّ من قبحه علی مخالفة تکلیفٍ مشکوکٍ قد بُیّن إذن الشارع فی مخالفته ، والمطلوب بالاستصحاب تحقیق هذه الدرجة الأعلی من قبح العقاب والمعذّریّة ، وما هو ثابت بمجرّد الشکّ الدرجة الأدنی ، فلیس هناک تحصیل للحاصل</w:t>
      </w:r>
      <w:r>
        <w:rPr>
          <w:rFonts w:eastAsia="IRNazanin" w:cs="IRNazanin"/>
          <w:color w:val="111111"/>
          <w:sz w:val="28"/>
          <w:szCs w:val="28"/>
          <w:rtl w:val="true"/>
          <w:lang w:bidi="fa-IR"/>
        </w:rPr>
        <w:t xml:space="preserve">. </w:t>
      </w:r>
      <w:bookmarkStart w:id="779" w:name="pg14075_144755"/>
    </w:p>
    <w:p>
      <w:pPr>
        <w:pStyle w:val="Heading6"/>
        <w:numPr>
          <w:ilvl w:val="5"/>
          <w:numId w:val="1"/>
        </w:numPr>
        <w:rPr/>
      </w:pPr>
      <w:bookmarkStart w:id="780" w:name="__RefHeading___Toc509146_1738255347"/>
      <w:bookmarkStart w:id="781" w:name="_Toc266"/>
      <w:bookmarkEnd w:id="779"/>
      <w:bookmarkEnd w:id="780"/>
      <w:r>
        <w:rPr>
          <w:rtl w:val="true"/>
        </w:rPr>
        <w:t>الاعتراضات علی أدلّة البراءة</w:t>
      </w:r>
      <w:bookmarkEnd w:id="781"/>
    </w:p>
    <w:p>
      <w:pPr>
        <w:pStyle w:val="BookText"/>
        <w:rPr/>
      </w:pPr>
      <w:r>
        <w:rPr>
          <w:rFonts w:ascii="IRNazanin" w:hAnsi="IRNazanin" w:eastAsia="IRNazanin"/>
          <w:color w:val="111111"/>
          <w:sz w:val="28"/>
          <w:sz w:val="28"/>
          <w:szCs w:val="28"/>
          <w:rtl w:val="true"/>
          <w:lang w:bidi="fa-IR"/>
        </w:rPr>
        <w:t xml:space="preserve">ویوجد هناک اعتراضان رئیسیّان علی أدلّة البراءة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الأدلّة إنّما تشمل حالة الشکّ البدویّ ، ولا تشمل حالة الشکّ المقترن بعلم إجمالیّ ، کما تقدّم فی الحلقة السابقة </w:t>
      </w:r>
      <w:r>
        <w:rPr>
          <w:rStyle w:val="FootnoteAnchor"/>
          <w:rtl w:val="true"/>
        </w:rPr>
        <w:footnoteReference w:id="159"/>
      </w:r>
      <w:r>
        <w:rPr>
          <w:rFonts w:ascii="IRNazanin" w:hAnsi="IRNazanin" w:eastAsia="IRNazanin"/>
          <w:color w:val="111111"/>
          <w:sz w:val="28"/>
          <w:sz w:val="28"/>
          <w:szCs w:val="28"/>
          <w:rtl w:val="true"/>
          <w:lang w:bidi="fa-IR"/>
        </w:rPr>
        <w:t>، والفقیه حینما یلحظ الشبهات الحکمیّة ککلٍّ یوجد لدیه علم إجمالیّ بوجود عددٍ کبیر من التکالیف المنتشرة فی تلک الشبهات ، فلا یمکنه إجراء أصل البراءة فی أیّ شبهةٍ من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المذکور وإن کان ثابتاً ولکنّه منحلٌّ ؛ لأنّ الفقیه من خلال استنباطه وتتبّعه یتواجد لدیه علم تفصیلیّ بعددٍ محدّدٍ من التکالیف لا یقلّ عن العدد الذی کان یعلمه بالعلم الإجمالیّ فی البدایة ، ومن هنا یتحوّل علمه الإجمالیّ إلی علمٍ تفصیلیٍّ بالتکلیف فی هذه المواقع ، وشکٍّ بدویٍّ فی التکلیف فی سائر المواقع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حلقةٍ سابقةٍ </w:t>
      </w:r>
      <w:r>
        <w:rPr>
          <w:rStyle w:val="FootnoteAnchor"/>
          <w:rtl w:val="true"/>
        </w:rPr>
        <w:footnoteReference w:id="160"/>
      </w:r>
      <w:r>
        <w:rPr>
          <w:rFonts w:ascii="Amiri" w:hAnsi="Amiri" w:eastAsia="Amiri" w:cs="Amiri"/>
          <w:color w:val="111111"/>
          <w:sz w:val="28"/>
          <w:sz w:val="28"/>
          <w:szCs w:val="28"/>
          <w:rtl w:val="true"/>
          <w:lang w:bidi="ar-SA"/>
        </w:rPr>
        <w:t>أنّ العلم الإجمالی إذا انحلّ إلی علمٍ تفصیلیٍّ وشکٍّ بدویٍّ بطلت منجّزیّته ، وجرت الاصول المؤمّنة خارج نطاق العلم التفصیلی</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والاعتراض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البراءة معارضة بأدلّةٍ شرعیّةٍ وروایاتٍ تدلّ علی وجوب الاحتیاط ، وهذه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رافعة لموضوع أدلّة البراءة ، وإمّا مکافئة لها ، وذلک أنّ هذه الروایات بیان لوجوب الاحتیاط ، لا للتکلیف الواقعیّ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فدلیل البراءة إن کانت البراءة فیه مجعولةً فی حقّ من لم یتمّ عنده البیان </w:t>
      </w:r>
    </w:p>
    <w:p>
      <w:pPr>
        <w:pStyle w:val="BookText"/>
        <w:rPr/>
      </w:pPr>
      <w:r>
        <w:rPr>
          <w:rFonts w:ascii="IRNazanin" w:hAnsi="IRNazanin" w:eastAsia="IRNazanin"/>
          <w:color w:val="111111"/>
          <w:sz w:val="28"/>
          <w:sz w:val="28"/>
          <w:szCs w:val="28"/>
          <w:rtl w:val="true"/>
          <w:lang w:bidi="fa-IR"/>
        </w:rPr>
        <w:t>لاعلی التکلیف الواقعیّ ولا علی وجوب الاحتیاط کانت تلک الروایات رافعةً لموضوع البراءة المجعولة فیه ؛ باعتبارها بیاناً لوجوب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البراءة فی دلیلها مجعولةً فی حقّ من لم یتمّ عنده البیان علی التکلیف الواقعیّ فروایات الاحتیاط لا ترفع موضوعها ، ولکنّها تعارضها ، ومع التعارض لا یمکن أیضاً الاعتماد علی أدلّة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النحو الأوّل من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المستفادة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فإنّ الرسول اعتُبر کمثالٍ لمطلق البیان وإقامة الحجّة ، وإقامة الحجّة کما تحصل بإیصال الحکم الواقعیّ کذلک بإ یصال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فروایات وجوب الاحتیاط بمثابة بعث الرسول ، وبذلک ترفع موضوع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النحو الثانی من أدلّة البراءة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حدیث الرفع أو الحجب ، فإنّ مفاده الرفع الظاهریّ للتکلیف الواقعیّ المشکوک ، ومعنی الرفع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الاحتیاط ، فالبراءة المستفادة من هذا الحدیث وأمثاله تستبطن بنفسها نفی وجوب الاحتیاط ؛ ولیست منوطةً بعدم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ونستعرض فی ما یلی جملةً من الروایات التی تدّعی دلالتها علی وجوب الاحتیاط ، وسنری أنّها لا تنهض لإثبات ذلک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الشُبهات فقد استبرأ لدینه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غایة ما تدلّ علیه الترغیب فی الاتّقاء ، ولیس فیها ما یدلّ علی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أمیر المؤمنین علیه‌السلام من أنّه قال لکمیل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 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وإن اشتملت علی أمرٍ بالاحتیاط ولکنّه قیّد بالمشیئة ، وهذا یصرفه عن الظهور فی الوجوب ، ویجعله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إفادة أنّ الدین أمر مهمّ ، فأیّ مرتبةٍ من الاحتیاط تلتزم بها تجاهه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البیان لا یکفی لإثبات الوجوب ؛ إذ لم یدلّ دلیل علی وجوب الأورعیّة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حمزة بن 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علی أبی عبدالله علیه‌السلام بعض خطب أبیه ؛ حتّی إذا بلغ موضعاً منها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واسکت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لایسعکم فی ما ینزل بکم ممّا لا تعلمون إلاّالکفّ عنه والتثبّت ؛ والردّ إلی أئمّة الهدی حتّی یحملوکم فیه علی القصد ، ویُجلوا عنکم فیه العمی ، ویعرّفوکم فیه الحقّ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تأمر بالکفّ والتریّث من أجل مراجعة الإمام وأخذ الحکم منه ، لابالکفّ والاجتناب بعد المراجعة وعدم التمکن من تعیین الحکم ، وما نریده هو إجراء البراءة بعد المراجعة والفحص ؛ لما سیأتی من أنّ البراءة </w:t>
      </w:r>
    </w:p>
    <w:p>
      <w:pPr>
        <w:pStyle w:val="BookText"/>
        <w:rPr/>
      </w:pPr>
      <w:r>
        <w:rPr>
          <w:rFonts w:ascii="IRNazanin" w:hAnsi="IRNazanin" w:eastAsia="IRNazanin"/>
          <w:color w:val="111111"/>
          <w:sz w:val="28"/>
          <w:sz w:val="28"/>
          <w:szCs w:val="28"/>
          <w:rtl w:val="true"/>
          <w:lang w:bidi="fa-IR"/>
        </w:rPr>
        <w:t>مشروطة بالفحص وبذل الجهد فی التوصّل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سعید الزهریّ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الشبهة خیر من الاقتحام فی الهلکة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وجود هلکةٍ فی اقتحام الشبهة ، وهذا یعنی تنجّز التکلیف الواقعیّ المشکوک وعدم کونه مؤمّناً عنه ، وهو معنی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یتوقّف علی حمل الشبهة علی الاشتباه بمعنی الشکّ ، مع أنّ الأصل فی مدلول الشبهة لغةً المثل والمحاکی ، وإنّما یطلق علی الشکّ عنوان الشبهة ؛ لأنّ المماثلة والمشابهة تؤدّی إلی التحیّر والشکّ ، وعلیه فلا موجب لحمل الشبهة علی الشکّ ، بل بإمکان حملها علی ما یشبه الحقّ شَبَهاً صوریّاً ، وهو باطل فی حقیقته ، کما هو الحال فی کثیرٍ من الدعوات الباطلة التی تبدو بالتدلیس وکأ نّها واجدة لسمات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فُسّرت الشبهة بذلک فی جملةٍ من الروایات ، کما فی کلامٍ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الحسن علیهما‌السلام حیث روی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الشبهة شبهةً لأ نّها تشبه الحقّ ، فأمّا أولیاء الله فضیاؤهم فیها الیقین ودلیلهم سمت الهدی ، وأمّا أعداء الله فدعاؤهم فیها الضلال ودلیلهم العمی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یکون مفاد الروایة التحذیر من الانخراط فی الدعوات والاتّجاهات التی تحمل بعض شعارات الحقّ لمجرّد حسن الظنّ بوضعها الظاهریّ بدون تمحیصٍ وتدقیقٍ فی واقعها ، ولاربط لها حینئذٍ بتعیین الوظیفة العملیّة فی موارد الشکّ فی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مشهور المعلّقین علی الروایة فقد افترضوا أنّ الشبهة بمعنی الشکّ تأثّراً بشیوع هذا الإطلاق فی عرفهم الاصولی ، وحاولوا المناقشة فی الاستدلال بوجهٍ آخر مبنیٍّ علی مسلک قاعدة قبح العقاب بلا بیان ، إذ علی هذا المسلک تکون الشبهة البدویّة مؤمّناً عنها بالقاعدة المذکورة مالم یجعل الشارع منجّزاً للتکلیف المشکوک بإیجاب الاحتیاط ونحو ذلک ، وهذا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التنجّز واستحقاق العقاب من تبعات وجوب الاحتیاط ، ولیس سابقاً علیه ، ونحن إذا لا حظنا الروایة المذکورة نجد أنّها تفترض مسبقاً أنّ الإقدام مظنّة للهلکة ، وتنصح بالوقوف حذراً من الهلکة ، ومقتضی ذلک أنّها تتحدّث عن تکالیف قد تنجّزت وخرجت عن موضوع قاعدة قبح العقاب بلا بیانٍ فی المرتبة السابقة ، ولیست بصدد إیجاب الاحتیاط وتنجیز الواقع المشکوک بنفسها ، ونتیجة ذلک أنّ الروایة لا تدلّ علی وجوب الاحتیاط ، وأ نّها تختصّ بالحالات التی یکون التکلیف المشکوک فیها منجّزاً بمنجّزٍ سابقٍ ، کالعلم الإجمالیّ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 عن أبی عبدالله علیه‌السلام ،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فاتّبعه ، وأمرٌ بیِّن لک غیّه فاجتنبه ، وأمر اختُلف فیه فردّه إلی الله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 نّه یراد أن یدّعی أنّ الشبهات الحکمیّة من القسم الثالث ، وقد امرنا فیه بالردّ إلی الله وعدم الترسّل فی التصرّف ، وهو معنی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 إلی الله لیس بمعنی الاحتیاط ، بل لعلّه بمعنی الرجوع إلی الکتاب والسنّة فی استنباط الحکم فی مقابل ما یکون بیّناً متّفقاً علی رشده أو غیّه ، </w:t>
      </w:r>
    </w:p>
    <w:p>
      <w:pPr>
        <w:pStyle w:val="BookText"/>
        <w:rPr/>
      </w:pPr>
      <w:r>
        <w:rPr>
          <w:rFonts w:ascii="IRNazanin" w:hAnsi="IRNazanin" w:eastAsia="IRNazanin"/>
          <w:color w:val="111111"/>
          <w:sz w:val="28"/>
          <w:sz w:val="28"/>
          <w:szCs w:val="28"/>
          <w:rtl w:val="true"/>
          <w:lang w:bidi="fa-IR"/>
        </w:rPr>
        <w:t xml:space="preserve">فکأ 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متّفقاً علی غیّه ورشده وبیّناً فی نفسه عُومِل علی أساس ذلک ، وما کان مختلفاً فیه فلابدّ من الرجوع فیه إلی الکتاب والسنّة ، ولا یجوز التخرّص فیه والرجم بالغیب ، وبهذا یکون مفاد الروایة أجنبیّاً عمّا هو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المراد بالأمر بالردّ إلی الله الأمر بالاحتیاط فنحن ننکر أن تکون الشبهة الحکمیّة بعد قیام الدلیل الشرعیّ علی البراءة من القسم الثالث ، بل الإقدام فیها بیّن الرشد ؛ لقیام الدلیل القطعیّ علی إذن الشارع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العموم فالظاهر عدم تمامیّة سائرالروایات التی یستدلّ بها علی وجوب الاحتیاط ، وعلیه فدلیل البراءة سلیم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المعارضة کان الرجحان فی جانب البراءة ، لا وجوب الاحتیاط ؛ وذلک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قرآنیّ ، ودلیل وجوب الاحتیاط من أخبار الآحاد ، وکلّما تعارض هذان القسمان قُدّم الدلیل القرآنیّ القطعیّ ولم یکن خبر الواحد حجّةً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لا یشمل حالات العلم الإجمالیّ ، کما سیأتی ، ودلیل وجوب الاحتیاط شامل لذلک ، فیکون دلیل البراءة أخصّ فیخصّصه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وجوب الاحتیاط أخصّ من دلیل الاستصحاب القاضی باستصحاب عدم التکلیف ، فإن افترضنا أنّ دلیل الاحتیاط ودلیل البراءة متکافئان وتساقطا رجعنا إلی دلیل الاستصحاب ، إذ کلّما وجد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ومعارض للمخصّص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المخصّص مع معارضه ورجعنا إلی العامّ</w:t>
      </w:r>
      <w:r>
        <w:rPr>
          <w:rFonts w:eastAsia="IRNazanin" w:cs="IRNazanin"/>
          <w:color w:val="111111"/>
          <w:sz w:val="28"/>
          <w:szCs w:val="28"/>
          <w:rtl w:val="true"/>
          <w:lang w:bidi="fa-IR"/>
        </w:rPr>
        <w:t xml:space="preserve">. </w:t>
      </w:r>
      <w:bookmarkStart w:id="782" w:name="pg14075_144761"/>
    </w:p>
    <w:p>
      <w:pPr>
        <w:pStyle w:val="Heading6"/>
        <w:numPr>
          <w:ilvl w:val="5"/>
          <w:numId w:val="1"/>
        </w:numPr>
        <w:rPr/>
      </w:pPr>
      <w:bookmarkStart w:id="783" w:name="__RefHeading___Toc509148_1738255347"/>
      <w:bookmarkStart w:id="784" w:name="_Toc267"/>
      <w:bookmarkEnd w:id="782"/>
      <w:bookmarkEnd w:id="783"/>
      <w:r>
        <w:rPr>
          <w:rtl w:val="true"/>
        </w:rPr>
        <w:t>تحدید مفادِ البراءة</w:t>
      </w:r>
      <w:bookmarkEnd w:id="784"/>
    </w:p>
    <w:p>
      <w:pPr>
        <w:pStyle w:val="Heading6"/>
        <w:numPr>
          <w:ilvl w:val="5"/>
          <w:numId w:val="1"/>
        </w:numPr>
        <w:rPr/>
      </w:pPr>
      <w:bookmarkStart w:id="785" w:name="__RefHeading___Toc509150_1738255347"/>
      <w:bookmarkStart w:id="786" w:name="_Toc268"/>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بعد أن ثبت أنّ الوظیفة العملیّة الثانویّة هی أصالة البراءة نتکلّم عن تحدید مفاد هذا الأصل وحدوده ، وذلک فی عدّة نقاط</w:t>
      </w:r>
      <w:r>
        <w:rPr>
          <w:rFonts w:eastAsia="IRNazanin" w:cs="IRNazanin"/>
          <w:color w:val="111111"/>
          <w:sz w:val="28"/>
          <w:szCs w:val="28"/>
          <w:rtl w:val="true"/>
          <w:lang w:bidi="fa-IR"/>
        </w:rPr>
        <w:t>.</w:t>
      </w:r>
    </w:p>
    <w:p>
      <w:pPr>
        <w:pStyle w:val="Heading6"/>
        <w:numPr>
          <w:ilvl w:val="5"/>
          <w:numId w:val="1"/>
        </w:numPr>
        <w:rPr/>
      </w:pPr>
      <w:bookmarkStart w:id="787" w:name="__RefHeading___Toc509152_1738255347"/>
      <w:bookmarkStart w:id="788" w:name="_Toc269"/>
      <w:bookmarkEnd w:id="787"/>
      <w:r>
        <w:rPr>
          <w:rtl w:val="true"/>
        </w:rPr>
        <w:t>البراءة مشروطة بالفحص</w:t>
      </w:r>
      <w:bookmarkEnd w:id="788"/>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هذا الأصل مشروط بالفحص والیأس عن الظفر بدلیل ، فلا یجوز إجراء البراءة لمجرّد الشکّ فی التکلیف وبدون فحصٍ فی مظانّ وجوده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یتراءی فی بادئ الأمر أنّ فی أدلّة البراءة الشرعیّة إطلاقاً حتّی لحالة ما قبل الفحص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عدم العلم صادق قبل الفحص أیضاً ، ولکنّ هذا الإطلاق یجب رفع الید عنه ؛ وذلک للُامور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أدلّة البراءة تثبت المسؤولیّة والإدانة فی حالة وجود بیانٍ علی التکلیف فی معرض الوصول علی نحو لو فحص عنه المکلّف لوصل إلیه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الثانیة إذا تمّت دلالتها علی البراءة فهی تدلّ فی نفس الوقت علی أنّ البراءة مغیّاة ببعث الرسول ، وبعد حمل الرسول علی المثال یثبت أنّ الغایة هی توفیر البیان علی نحوٍ یُتاح للمکلّف الوصول إلیه ، کما هو شأن الناس مع الرسول ، وعلیه فیثبت بمفهوم الغایة أنّه متی توفّر البیان علی هذا النحو فاستحقاق العذاب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الشاکّ قبل الفحص یحتمل تحقّق الغایة وتوفّر البیان ، فلابدّ من الفحص ، وکذلک أیضاً الآیة الرابعة ، فإنّ البیان لهم جُعل غایةً للبراءة ، وهو یصدق مع توفیر بیانٍ فی معرض الوصول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للمکلّف علماً إجمالیّاً بوجود تکالیف فی الشبهات الحکمیّة ، کما </w:t>
      </w:r>
      <w:bookmarkStart w:id="789" w:name="pg14075_144762"/>
    </w:p>
    <w:p>
      <w:pPr>
        <w:pStyle w:val="BookText"/>
        <w:rPr/>
      </w:pPr>
      <w:bookmarkEnd w:id="789"/>
      <w:r>
        <w:rPr>
          <w:rFonts w:ascii="IRNazanin" w:hAnsi="IRNazanin" w:eastAsia="IRNazanin"/>
          <w:color w:val="111111"/>
          <w:sz w:val="28"/>
          <w:sz w:val="28"/>
          <w:szCs w:val="28"/>
          <w:rtl w:val="true"/>
          <w:lang w:bidi="fa-IR"/>
        </w:rPr>
        <w:t>تقدّم ، وهذا العلم إنّما ینحلّ بالفحص لکی یُحرز عدد من التکالیف بصورةٍ تفصیلیّة ، وما لم ینحلّ لا تجری البراءة ، فلابدّ من الفحص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الدالّة علی وجوب التعلّم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المکلّف یوم القیامة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تعمل؟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أعلم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مقیّدةً لإطلاق دلیل البراءة ، ومثبتةً أنّ الشکّ بدون فحصٍ وتعلّمٍ لیس عذراً شرعاً</w:t>
      </w:r>
      <w:r>
        <w:rPr>
          <w:rFonts w:eastAsia="IRNazanin" w:cs="IRNazanin"/>
          <w:color w:val="111111"/>
          <w:sz w:val="28"/>
          <w:szCs w:val="28"/>
          <w:rtl w:val="true"/>
          <w:lang w:bidi="fa-IR"/>
        </w:rPr>
        <w:t>.</w:t>
      </w:r>
    </w:p>
    <w:p>
      <w:pPr>
        <w:pStyle w:val="Heading6"/>
        <w:numPr>
          <w:ilvl w:val="5"/>
          <w:numId w:val="1"/>
        </w:numPr>
        <w:rPr/>
      </w:pPr>
      <w:bookmarkStart w:id="790" w:name="__RefHeading___Toc509154_1738255347"/>
      <w:bookmarkStart w:id="791" w:name="_Toc270"/>
      <w:bookmarkEnd w:id="790"/>
      <w:r>
        <w:rPr>
          <w:rtl w:val="true"/>
        </w:rPr>
        <w:t>التمییز بین الشکّ فی التکلیف و الشکّ فی المکلَّف به</w:t>
      </w:r>
      <w:bookmarkEnd w:id="791"/>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الضابط لجریان أصل البراءة هو الشکّ فی التکلیف ، لا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تارةً یشکّ فی ثبوت الحکم الشرعیّ ، کما إذا شکّ فی حرمة شرب التتن أو فی وجوب صلاة الخسوف ، واخری یعلم بالحکم الشرعیّ ویشکّ فی امتثاله ، کما إذا علم بأنّ صلاة الظهر واجبة وشکّ فی أنّها هل أتی بها ، أوْ لا؟</w:t>
      </w:r>
    </w:p>
    <w:p>
      <w:pPr>
        <w:pStyle w:val="BookText"/>
        <w:rPr/>
      </w:pPr>
      <w:r>
        <w:rPr>
          <w:rFonts w:ascii="IRNazanin" w:hAnsi="IRNazanin" w:eastAsia="IRNazanin"/>
          <w:color w:val="111111"/>
          <w:sz w:val="28"/>
          <w:sz w:val="28"/>
          <w:szCs w:val="28"/>
          <w:rtl w:val="true"/>
          <w:lang w:bidi="fa-IR"/>
        </w:rPr>
        <w:t>فالشکّ الأوّل هو مجری البراءة العقلیّة والبراءة الشرعیّة عند المشهور ، وهو مجری البراءة الشرعیّة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الثانی لا تجری فیه البراءة العقلیّة ولا الشرعیّة ؛ لأنّ التکلیف فیه معلوم ، وإنّما الشکّ فی امتثاله والخروج عن عهدته ، فیجری هنا أصل یسمّی بأصالة الاشتغال ، ومفاده کون التکلیف فی العهدة حتّی یحصل الجزم بامتثاله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الفقیه أن یمیّز بدقّةٍ کلّ حالةٍ من حالات الشکّ التی یفترضها ، وهل أنّها من الشکّ فی التکلیف لتجری البراءة ، أو من الشکّ فی المکلّف به لتجری أصالة </w:t>
      </w:r>
    </w:p>
    <w:p>
      <w:pPr>
        <w:pStyle w:val="BookText"/>
        <w:rPr/>
      </w:pPr>
      <w:r>
        <w:rPr>
          <w:rFonts w:ascii="IRNazanin" w:hAnsi="IRNazanin" w:eastAsia="IRNazanin"/>
          <w:color w:val="111111"/>
          <w:sz w:val="28"/>
          <w:sz w:val="28"/>
          <w:szCs w:val="28"/>
          <w:rtl w:val="true"/>
          <w:lang w:bidi="fa-IR"/>
        </w:rPr>
        <w:t>الاشتغال؟ والتمییز فی الشبهات الحکمیّة واضح عادةً ؛ لأنّ الشکّ فی الشبهة الحکمیّة إنّما یکون عادةً فی التکلیف ، وأمّا الشبهات الموضوعیّة ففیها من کلا القسمین ، ولهذا لابدّ من تمییز الشبهة الموضوعیّة بدقّةٍ وتحدید دخولها فی هذا القسم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بادئ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الموضوعیّة لیس الشکّ فیها شکّاً فی التکلیف ، بل التکلیف فی الشبهات الموضوعیّة معلوم دائماً فلا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بمعنی الجعل معلوم فی حالات الشبهة الموضوعیّة ، وأمّا التکلیف بمعنی المجعول فهو مشکوک فی کثیرٍ من هذه الحالات ، ومتی کان مشکوکاً جرت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إذا جُعل مقیّداً بقیدٍ کان وجود التکلیف المجعول وفعلیّته تابعاً لوجود القید خارجاً وفعلیّته ، وحینئذٍ فالشکّ یتصوّر علی 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أصل وجود القید ، وهذا یعنی الشکّ فی فعلیّة التکلیف المجعول ،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الصلاة مقیّداً بالخسوف ، فإذا شکّ فی الخسوف شکّ فی فعلیّة الوجوب ؛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بوجود القید فی ضمن فردٍ ویشکّ فی وجوده ضمن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إکرام الإنسان مقیّداً بالعدالة ، ویعلم بأنّ هذا عادل ویشکّ فی أنّ ذاک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الغسل مقیّداً بالماء ، بمعنی أنّه یجب الغسل بالماء ویعلم بأنّ هذا ماء ویشکّ فی أنّ ذاک ماء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فرق بین المثالین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المشکوک فی المثال الأوّل لو کان فرداً ثانیاً حقّاً لحدث وجوب آخر للإکرام ؛ لأنّ وجوب الإکرام بالنسبة إلی أفراد العادل </w:t>
      </w:r>
    </w:p>
    <w:p>
      <w:pPr>
        <w:pStyle w:val="BookText"/>
        <w:rPr/>
      </w:pPr>
      <w:r>
        <w:rPr>
          <w:rFonts w:ascii="IRNazanin" w:hAnsi="IRNazanin" w:eastAsia="IRNazanin"/>
          <w:color w:val="111111"/>
          <w:sz w:val="28"/>
          <w:sz w:val="28"/>
          <w:szCs w:val="28"/>
          <w:rtl w:val="true"/>
          <w:lang w:bidi="fa-IR"/>
        </w:rPr>
        <w:t>شمولیّ وانحلالیّ ، بمعنی أنّ کلّ فردٍ له وجوب 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المشکوک فی المثال الثانی فهو لو کان فرداً ثانیاً حقّاً للماء لَما حدث وجوب آخر للغسل ؛ لأنّ وجوب الغسل بالنسبة إلی أفراد الماء بدلیّ ، فلا یجب الغسل بکلّ فردٍ من الماء ، بل بصرف الوجود ، فکون المشکوک فرداً من الماء لا یعنی تعدّداً فی الواجب ، بل یعنی أنّک لو غسلت به لکفاک ولاعتُبِرت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تجری البراءة فی المثال الأوّل ؛ لأنّ الشکّ شکّ فی الوجوب الزائد ، فلا یجب أن تکرم من تشکّ فی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أصالة الاشتغال فی المثال الثانی ؛ لأنّ الشکّ شکّ فی الامتثال ، فلا یجوز أن تکتفی بالغسل بالمائع الذی تشکّ فی أنّه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شکّ فی القید إطلاقاً ، وإنّما الشکّ فی وجود متعلّق الأمر ، وهذا واضح فی أنّه شکّ فی الامتثال مع العلم بالتکلیف ؛ فتجری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مورد الکلمة المعروفة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الشغل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وجود مسقطٍ شرعیٍّ للتکلیف ، ذلک أنّ التکلیف کما یسقط عقلاً بالامتثال أو العصیان کذلک قد یسقط بمسقطٍ شرعیٍّ ؛ من قبیل الاضحیة المسقطة شرعاً للأمر بالعقیقة ، وعلیه فقد یشکّ فی وقوع المسقط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نحو الشبهة الحکمیّة بأن یکون قد ضحّی ویشکّ فی أنّ الشارع هل جعلها مسقطة؟ أو علی نحو الشبهة الموضوعیّة بأن یکون عالماً بأنّ الشارع جعل الاضحیة مسقطة ؛ ولکنّه یشکّ فی أنّه ضحّی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والمسقط الشرعیّ لا یکون مسقطاً إلاّإذا اخذ عدمه قیداً فی الطلب أو الوجوب ، وحینئذٍ فإن فُرض أنّه احتُمل أخْذُ عدمه قیداً وشرطاً فی الوجوب علی نحوٍ لا یحدث وجوب مع وجود المسقط فالشکّ فی المسقط بهذا المعنی یکون شکّاً فی </w:t>
      </w:r>
      <w:bookmarkStart w:id="792" w:name="pg14075_144765"/>
    </w:p>
    <w:p>
      <w:pPr>
        <w:pStyle w:val="BookText"/>
        <w:rPr/>
      </w:pPr>
      <w:bookmarkEnd w:id="792"/>
      <w:r>
        <w:rPr>
          <w:rFonts w:ascii="IRNazanin" w:hAnsi="IRNazanin" w:eastAsia="IRNazanin"/>
          <w:color w:val="111111"/>
          <w:sz w:val="28"/>
          <w:sz w:val="28"/>
          <w:szCs w:val="28"/>
          <w:rtl w:val="true"/>
          <w:lang w:bidi="fa-IR"/>
        </w:rPr>
        <w:t>أصل التکلیف ، ویدخل فی النحو الأوّل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أنّ مسقطیّته کانت بمعنی أخْذِ عدمه قیداً فی بقاء الوجوب فهو مسقط بمعنی کونه رافعاً للوجوب ، لا أنّه مانع عن حدوثه ، فالوجوب معلوم ویشکّ فی سقوطه ، والمعروف فی مثل ذلک أنّ الشکّ فی السقوط هنا کالشکّ فی السقوط الناشئ من احتمال الامتثال یکون مجریً لأصالة الاشتغال ؛ لا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الأصحّ أنّه فی نفسه مجری للبراءة ؛ لأنّ مرجعه إلی الشکّ فی الوجوب بقاءً ، ولکنّ استصحاب بقاء الوجوب مقدّم علی البراءة</w:t>
      </w:r>
      <w:r>
        <w:rPr>
          <w:rFonts w:eastAsia="IRNazanin" w:cs="IRNazanin"/>
          <w:color w:val="111111"/>
          <w:sz w:val="28"/>
          <w:szCs w:val="28"/>
          <w:rtl w:val="true"/>
          <w:lang w:bidi="fa-IR"/>
        </w:rPr>
        <w:t>.</w:t>
      </w:r>
    </w:p>
    <w:p>
      <w:pPr>
        <w:pStyle w:val="Heading6"/>
        <w:numPr>
          <w:ilvl w:val="5"/>
          <w:numId w:val="1"/>
        </w:numPr>
        <w:rPr/>
      </w:pPr>
      <w:bookmarkStart w:id="793" w:name="__RefHeading___Toc509156_1738255347"/>
      <w:bookmarkStart w:id="794" w:name="_Toc271"/>
      <w:bookmarkEnd w:id="793"/>
      <w:r>
        <w:rPr>
          <w:rtl w:val="true"/>
        </w:rPr>
        <w:t>البراءة عن الاستحباب</w:t>
      </w:r>
      <w:bookmarkEnd w:id="794"/>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البراءة هل تجری عند الشکّ فی التکالیف الإلزامیّة فقط ، أو تشمل موارد الشکّ فی الاستحباب والکراهیة أیضاً؟</w:t>
      </w:r>
    </w:p>
    <w:p>
      <w:pPr>
        <w:pStyle w:val="BookText"/>
        <w:rPr/>
      </w:pPr>
      <w:r>
        <w:rPr>
          <w:rFonts w:ascii="IRNazanin" w:hAnsi="IRNazanin" w:eastAsia="IRNazanin"/>
          <w:color w:val="111111"/>
          <w:sz w:val="28"/>
          <w:sz w:val="28"/>
          <w:szCs w:val="28"/>
          <w:rtl w:val="true"/>
          <w:lang w:bidi="fa-IR"/>
        </w:rPr>
        <w:t>ولعلّ المشهور أنّها لاتجری فی موارد الشکّ فی حکم غیر إلزامیّ ؛ لقصور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کان مفاده السعة ونفی الضیق والتأمین من ناحیة العقاب فواضح ؛ لأنّ الحکم الاستحبابیّ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لاضیق ولا عقاب من ناحیته جزماً ، فلا معنی للتأمین عنه بهذا اللسان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کان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لم یفترض کون المرفوع ممّا فیه مظنّة للعقاب ولکن لا محصّل لإجرائه فی الاستحباب المشکوک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بذلک إثبات الترخیص فی الترک فهو متیقّن فی نفسه ، وإن ارید عدم رجحان الاحتیاط فهو معلوم البطلان ؛ لوضوح أنّ الاحتیاط راجح علی أیّ حال</w:t>
      </w:r>
      <w:r>
        <w:rPr>
          <w:rFonts w:eastAsia="IRNazanin" w:cs="IRNazanin"/>
          <w:color w:val="111111"/>
          <w:sz w:val="28"/>
          <w:szCs w:val="28"/>
          <w:rtl w:val="true"/>
          <w:lang w:bidi="fa-IR"/>
        </w:rPr>
        <w:t xml:space="preserve">. </w:t>
      </w:r>
      <w:bookmarkStart w:id="795" w:name="pg14075_144766"/>
    </w:p>
    <w:p>
      <w:pPr>
        <w:pStyle w:val="Heading5"/>
        <w:numPr>
          <w:ilvl w:val="4"/>
          <w:numId w:val="1"/>
        </w:numPr>
        <w:rPr/>
      </w:pPr>
      <w:bookmarkStart w:id="796" w:name="__RefHeading___Toc509158_1738255347"/>
      <w:bookmarkStart w:id="797" w:name="_Toc272"/>
      <w:bookmarkEnd w:id="795"/>
      <w:bookmarkEnd w:id="796"/>
      <w:r>
        <w:rPr/>
        <w:t>2</w:t>
      </w:r>
      <w:r>
        <w:rPr>
          <w:rtl w:val="true"/>
        </w:rPr>
        <w:t xml:space="preserve"> - </w:t>
      </w:r>
      <w:r>
        <w:rPr>
          <w:rtl w:val="true"/>
        </w:rPr>
        <w:t>قاعدة منجّزیة العلم الإجمالی</w:t>
      </w:r>
      <w:bookmarkEnd w:id="797"/>
    </w:p>
    <w:p>
      <w:pPr>
        <w:pStyle w:val="Heading6"/>
        <w:numPr>
          <w:ilvl w:val="5"/>
          <w:numId w:val="1"/>
        </w:numPr>
        <w:rPr/>
      </w:pPr>
      <w:bookmarkStart w:id="798" w:name="__RefHeading___Toc509160_1738255347"/>
      <w:bookmarkStart w:id="799" w:name="_Toc273"/>
      <w:bookmarkEnd w:id="798"/>
      <w:r>
        <w:rPr>
          <w:rtl w:val="true"/>
        </w:rPr>
        <w:t>اشارة</w:t>
      </w:r>
      <w:bookmarkEnd w:id="799"/>
    </w:p>
    <w:p>
      <w:pPr>
        <w:pStyle w:val="BookText"/>
        <w:rPr/>
      </w:pPr>
      <w:r>
        <w:rPr>
          <w:rFonts w:ascii="IRNazanin" w:hAnsi="IRNazanin" w:eastAsia="IRNazanin"/>
          <w:color w:val="111111"/>
          <w:sz w:val="28"/>
          <w:sz w:val="28"/>
          <w:szCs w:val="28"/>
          <w:rtl w:val="true"/>
          <w:lang w:bidi="fa-IR"/>
        </w:rPr>
        <w:t>کلّ ما تقدّم کان فی تحدید الوظیفة العملیّة فی حالات الشکّ البدویّ المجرّد عن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نفترض الشکّ فی إطار علمٍ إجمالیّ ، والعلم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بالجامع مع شکوکٍ بعدد أطراف العلم ، وکلّ شکٍّ یمثّل احتمالاً من احتمالات انطباق الجامع ، ومورد کلّ واحدٍ من هذه الاحتمالات یسمّی بطرفٍ من أطراف العلم الإجمالیّ ، والواقع المجمل المردّد بینها هو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تحدید الوظیفة العملیّة تجاه الشکّ المقرون بالعلم الإجمالیّ تارةً یقع بلحاظ حکم العقل وبقطع النظر عن الاصول الشرعیّة المؤمّنة کأصالة البراءة ، واخری یقع بلحاظ تلک الاصول ، فهنا مقامان </w:t>
      </w:r>
      <w:r>
        <w:rPr>
          <w:rFonts w:eastAsia="IRNazanin" w:cs="IRNazanin"/>
          <w:color w:val="111111"/>
          <w:sz w:val="28"/>
          <w:szCs w:val="28"/>
          <w:rtl w:val="true"/>
          <w:lang w:bidi="fa-IR"/>
        </w:rPr>
        <w:t>:</w:t>
      </w:r>
    </w:p>
    <w:p>
      <w:pPr>
        <w:pStyle w:val="Heading6"/>
        <w:numPr>
          <w:ilvl w:val="5"/>
          <w:numId w:val="1"/>
        </w:numPr>
        <w:rPr/>
      </w:pPr>
      <w:bookmarkStart w:id="800" w:name="__RefHeading___Toc509162_1738255347"/>
      <w:bookmarkStart w:id="801" w:name="_Toc274"/>
      <w:bookmarkEnd w:id="800"/>
      <w:r>
        <w:rPr>
          <w:rtl w:val="true"/>
        </w:rPr>
        <w:t>منجّزیّة العلم الإجمالیّ عقلاً</w:t>
      </w:r>
      <w:bookmarkEnd w:id="801"/>
    </w:p>
    <w:p>
      <w:pPr>
        <w:pStyle w:val="BookText"/>
        <w:rPr/>
      </w:pPr>
      <w:r>
        <w:rPr>
          <w:rFonts w:ascii="Amiri" w:hAnsi="Amiri" w:eastAsia="Amiri" w:cs="Amiri"/>
          <w:color w:val="111111"/>
          <w:sz w:val="28"/>
          <w:sz w:val="28"/>
          <w:szCs w:val="28"/>
          <w:rtl w:val="true"/>
          <w:lang w:bidi="ar-SA"/>
        </w:rPr>
        <w:t>أمّا المقام الأوّل فلا شکّ فی أنّ العلم بالجامع الذی یتضمّنه العلم الإجمالیّ حجّة ومنجّز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السؤال أنّه ما هو المنجّز بهذا العلم؟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 بوجوب الظهر أو الجمعة وکان الواجب فی الواقع الظهر فلا شکّ فی أنّ الوجوب یتنجّز بالعلم الإجمالیّ ، وإنّما البحث فی أنّ الوجوب بأیّ مقدارٍ یتنجّز بالعلم؟ فهل یتنجّز وجوب صلاة الظهر خاصّةً بوصفه المصداق المحقّق واقعاً للجامع المعلوم ، أو کلا الوجوبین المعلوم تحقّق الجامع بینهما ، أو الوجوب </w:t>
      </w:r>
    </w:p>
    <w:p>
      <w:pPr>
        <w:pStyle w:val="BookText"/>
        <w:rPr/>
      </w:pPr>
      <w:r>
        <w:rPr>
          <w:rFonts w:ascii="IRNazanin" w:hAnsi="IRNazanin" w:eastAsia="IRNazanin"/>
          <w:color w:val="111111"/>
          <w:sz w:val="28"/>
          <w:sz w:val="28"/>
          <w:szCs w:val="28"/>
          <w:rtl w:val="true"/>
          <w:lang w:bidi="fa-IR"/>
        </w:rPr>
        <w:t>بمقدار إضافته إلی الجامع بین الظهر والجمعة لا إلی الظهر بالخصوص ولا إلی الجمعة کذلک؟</w:t>
      </w:r>
    </w:p>
    <w:p>
      <w:pPr>
        <w:pStyle w:val="BookText"/>
        <w:rPr/>
      </w:pPr>
      <w:r>
        <w:rPr>
          <w:rFonts w:ascii="IRNazanin" w:hAnsi="IRNazanin" w:eastAsia="IRNazanin"/>
          <w:color w:val="111111"/>
          <w:sz w:val="28"/>
          <w:sz w:val="28"/>
          <w:szCs w:val="28"/>
          <w:rtl w:val="true"/>
          <w:lang w:bidi="fa-IR"/>
        </w:rPr>
        <w:t xml:space="preserve">فعلی الأوّل یدخل فی العهدة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خاصّةً باعتبارها الواجب الواقعیّ الذی تنجّز بالعلم الإجمالیّ ، ولکن حیث إنّ المکلّف لا یمیّز الواجب الواقعیّ عن غیره لزمه الإتیان بالطرفین لیضمن الإتیان بما تنجّز واشتغلت به عهدته ، ویسمّی الإتیان بکلا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قطعیّة للتکلیف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یدخل فی العهدة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 الصلاتین معاً ، فتکون الموافقة القطعیّة واجبةً عقلاً بسبب العلم المذکور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یدخل فی العهدة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الصلاتین ؛ لأنّ الوجوب لم یتنجّز بالعلم إلاّبقدر إضافته إلی الجامع ، فلا یسعه ترک الجامع بترک کلا الطرفین معاً ، ویسمّی ترکهما معاً بالمخالفة القطعیّة للتکلیف المعلوم بالإجمال ، فیکفیه أن یأتی بأحدهما ؛ لأنّ ذلک یفی بالجامع ، ویسمّی الإتیان بأحد الطرفین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بالافتراض الأوّل باعتبار أنّ المصداق الواقعیّ هو المطابق الخارجیّ للصورة العلمیّة ، وحیث إنّ العلم ینجّز بما هو مرآة للخارج ، ولا خارج بإزائه إلاّذلک المصداق فیکون هو المنجّز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بالافتراض الثانیّ باعتبار أنّ العلم بالجامع نسبته بما هو إلی کلٍّ من الطرفین علی نحو واحد ، ومجرّد کون أحد الطرفین محقّقاً دون الآخر لا یجعل الجامع بما هو معلوم منطبقاً علیه دون الآخر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بالافتراض الثالث باعتبار أنّ العلم حیث إنّه لا یسری من الجامع إلی أیٍّ من الطرفین بخصوصه ، فالتنجّز المعلوم له یقف علی الجامع أیضاً ؛ ولا </w:t>
      </w:r>
      <w:bookmarkStart w:id="802" w:name="pg14075_144768"/>
    </w:p>
    <w:p>
      <w:pPr>
        <w:pStyle w:val="BookText"/>
        <w:rPr/>
      </w:pPr>
      <w:bookmarkEnd w:id="802"/>
      <w:r>
        <w:rPr>
          <w:rFonts w:ascii="IRNazanin" w:hAnsi="IRNazanin" w:eastAsia="IRNazanin"/>
          <w:color w:val="111111"/>
          <w:sz w:val="28"/>
          <w:sz w:val="28"/>
          <w:szCs w:val="28"/>
          <w:rtl w:val="true"/>
          <w:lang w:bidi="fa-IR"/>
        </w:rPr>
        <w:t>یسری منه ، 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بُنی علی مسلک قاعدة قبح العقاب بلا بیانٍ فاللازم رفع الید عن هذه القاعدة بقدر ما تنجّز بالعلم ؛ وهو الجامع ، فکلّ من الطرفین لا یکون منجّزاً بخصوصیّته ؛ بل بجامعه ، وینتج حینئذٍ أنّ العلم الإجمالیّ یستتبع عقلاً حرمة المخالفةالقطعیّة دون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بُنی علی مسلک حقّ الطاعة فالجامع منجّز بالعلم ، وکلّ من الخصوصیّتین للطرفین منجّزة بالاحتمال ، وبذلک تُحرم المخالفة القطعیّة ؛ وتجب الموافقة القطعیّة عقلاً ، غیر أنّ حرمة المخالفة القطعیّة عقلاً تمثّل منجّزیّة العلم ، ووجوب الموافقة القطعیّة یمثّل منجّزیّة مجموع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فالمسلکان مشترکان فی التسلیم بتنجّز الجامع بالعلم ، ویمتاز المسلک الثانی بتنجّز الطرفین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الأوّل</w:t>
      </w:r>
      <w:r>
        <w:rPr>
          <w:rFonts w:eastAsia="IRNazanin" w:cs="IRNazanin"/>
          <w:color w:val="111111"/>
          <w:sz w:val="28"/>
          <w:szCs w:val="28"/>
          <w:rtl w:val="true"/>
          <w:lang w:bidi="fa-IR"/>
        </w:rPr>
        <w:t>.</w:t>
      </w:r>
    </w:p>
    <w:p>
      <w:pPr>
        <w:pStyle w:val="Heading6"/>
        <w:numPr>
          <w:ilvl w:val="5"/>
          <w:numId w:val="1"/>
        </w:numPr>
        <w:rPr/>
      </w:pPr>
      <w:bookmarkStart w:id="803" w:name="__RefHeading___Toc509164_1738255347"/>
      <w:bookmarkStart w:id="804" w:name="_Toc275"/>
      <w:bookmarkEnd w:id="803"/>
      <w:r>
        <w:rPr>
          <w:rtl w:val="true"/>
        </w:rPr>
        <w:t>جریان الاصول فی أطراف العلم الإجمالی</w:t>
      </w:r>
      <w:bookmarkEnd w:id="804"/>
    </w:p>
    <w:p>
      <w:pPr>
        <w:pStyle w:val="BookText"/>
        <w:rPr/>
      </w:pPr>
      <w:r>
        <w:rPr>
          <w:rFonts w:ascii="IRNazanin" w:hAnsi="IRNazanin" w:eastAsia="IRNazanin"/>
          <w:color w:val="111111"/>
          <w:sz w:val="28"/>
          <w:sz w:val="28"/>
          <w:szCs w:val="28"/>
          <w:rtl w:val="true"/>
          <w:lang w:bidi="fa-IR"/>
        </w:rPr>
        <w:t xml:space="preserve">وأمّا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الکلام عن جریان الاصول الشرعیّة المؤمّنة فی أطراف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تارةً بلحاظ عالم الإمکان ، واخری بلحاظ عالم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بلحاظ عالم الإمکان فقد ذهب المشهور إلی استحالة جریان البراءة وأمثالها فی کلّ أطراف العلم الإجمالیّ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ترخیص فی المخالفة القطعیّة ، والمخالفة القطعیّة معصیة محرّمة وقبیحة عقلاً ، فلا یعقل ورود الترخیص فیها من قبل الشارع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لیس بشیء ؛ لأنّه یرتبط بتشخیص نوعیّة حکم العقل بحرمة </w:t>
      </w:r>
    </w:p>
    <w:p>
      <w:pPr>
        <w:pStyle w:val="BookText"/>
        <w:rPr/>
      </w:pPr>
      <w:r>
        <w:rPr>
          <w:rFonts w:ascii="IRNazanin" w:hAnsi="IRNazanin" w:eastAsia="IRNazanin"/>
          <w:color w:val="111111"/>
          <w:sz w:val="28"/>
          <w:sz w:val="28"/>
          <w:szCs w:val="28"/>
          <w:rtl w:val="true"/>
          <w:lang w:bidi="fa-IR"/>
        </w:rPr>
        <w:t>المخالفة القطعیّة للتکلیف المعلوم بالإجمال ، فإن کان حکماً معلّقاً علی عدم ورود الترخیص الظاهریّ من المولی علی الخلاف ، فلا یکون الترخیص المولویّ مصادماً له ؛ بل رافعاً لموضوعه ، فمردّ الاستحالة إلی دعوی أنّ حکم العقل لیس معلّقاً ، بل هو منجّز ومطلق ، وهی دعوی غیر مبرهنةٍ ولا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الترخیص فی المخالفة القطعیّة ینافی الوجوب الواقعیّ المعلوم بالإجمال ، فبدلاً عن الاستدلال بالمنافاة بین الترخیص المذکور وحکم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بالمنافاة بینه وبین الوجوب الواقعیّ المعلوم ؛ لِمَا تقدّم من أنّ الأحکام التکلیفیّة متنافیة ومتضادّة ، فلا یمکن أن یوجب المولی شیئاً ویرخّص فی ترکه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الترخیص المذکور واقعیّاً ، أی لم یؤخذ فی موضوعه الشکّ ، کما لو قیل بأ نّک مرخّص فی ترک الواجب الواقعیّ المعلوم إجمالاً ، ولا یتمّ إذا کان الترخیص المذکور متمثّلاً فی ترخیصین ظاهریّین کلّ منهما مجعول علی طرفٍ ومترتّب علی الشکّ فی ذلک الطرف ؛ وذلک لِمَا تقدّم من أنّ التنافی إنّما هو بین الأحکام الواقعیّة ، لا بین الحکم الواقعیّ والظاهریّ ، فالوجوب الواقعیّ ینافیه الترخیص الواقعیّ فی مورده ، لا الترخیص الظاهریّ ، وعلیه فلا محذور ثبوتاً فی جعل البراءة فی کلٍّ من الطرفین بوصفها حکماً ظاهریّاً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بلحاظ عالم الوقوع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دلیل البراءة شامل لکلٍّ من طرفی العلم الإجمالیّ ؛ لأنّه مشکوک وممّا لا یعلم ، فلو کنّا قد بنینا علی استحالة الترخیص فی المخالفة القطعیّة فی ما تقدّم ، لکانت هذه الاستحالة قرینةً عقلیّةً علی رفع الید عن إطلاق دلیل البراءة بالنسبة إلی أحد الطرفین علی الأقلّ ؛ لئلاّ یلزم الترخیص فی المخالفة القطعیّة ، وحیث لا معیّن للطرف الخارج عن دلیل </w:t>
      </w:r>
    </w:p>
    <w:p>
      <w:pPr>
        <w:pStyle w:val="BookText"/>
        <w:rPr/>
      </w:pPr>
      <w:r>
        <w:rPr>
          <w:rFonts w:ascii="IRNazanin" w:hAnsi="IRNazanin" w:eastAsia="IRNazanin"/>
          <w:color w:val="111111"/>
          <w:sz w:val="28"/>
          <w:sz w:val="28"/>
          <w:szCs w:val="28"/>
          <w:rtl w:val="true"/>
          <w:lang w:bidi="fa-IR"/>
        </w:rPr>
        <w:t>الأصل فإطلاق دلیل الأصل لکلّ طرفٍ یعارض إطلاقه للطرف الآخر ، ویسقط الإطلاقان معاً ، فلا تجری البراءة الشرعیّة هنا ولا هناک ؛ للتعارض بین الأصلین ، ویجری کلّ فقیهٍ حینئذٍ وفقاً للمبنی الذی اختاره فی المقام الأوّل لتشخیص حکم العقل بالمنجّزیّة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مسلک حقّ الطاعة القائل بمنجّزیّة العلم والاحتمال معاً تجب الموافقة القطعیّة ؛ لأنّ الاحتمال فی کلٍّ من الطرفین منجّز عقلاً مالم یرد إذن فی مخالفته ، والمفروض عدم ثبوت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مسلک قاعدة قبح العقاب بلا بیانٍ القائل بمنجّزیّة العلم دون الاحتمال فیقتصر علی مقدار ما تقتضیه منجّزیّة العلم بالجامع علی الافتراضات الثلاثة المتقدّمة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نبنِ علی استحالة الترخیص فی المخالفة القطعیّة عن طریق إجراء أصلین مؤمّنین فی الطرفین فقد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یبقی مانع من التمسّک بإطلاق دلیل البراءة لإثبات جریانها فی کلٍّ من الطرفین ، ونتیجة ذلک جواز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مع هذا عدم جواز التمسّک بالإطلاق المذکور ،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الترخیص فی المخالفة القطعیّة وإن لم یکن منافیاً عقلاً للتکلیف الواقعیّ المعلوم بالإجمال إذا کان ترخیصاً منتزعاً عن حکمین ظاهریّین فی الطرفین ولکنّه منافٍ له عقلائیاً وعرفاً ، ویکفی ذلک فی تعذّر الأخذ بإطلاق دلیل البراءة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قد تمّ علیه البیان بالعلم الإجمالیّ ، فیدخل فی مفهوم </w:t>
      </w:r>
      <w:bookmarkStart w:id="805" w:name="pg14075_144771"/>
    </w:p>
    <w:p>
      <w:pPr>
        <w:pStyle w:val="BookText"/>
        <w:rPr/>
      </w:pPr>
      <w:bookmarkEnd w:id="805"/>
      <w:r>
        <w:rPr>
          <w:rFonts w:ascii="Amiri" w:hAnsi="Amiri" w:eastAsia="Amiri" w:cs="Amiri"/>
          <w:color w:val="111111"/>
          <w:sz w:val="28"/>
          <w:sz w:val="28"/>
          <w:szCs w:val="28"/>
          <w:rtl w:val="true"/>
          <w:lang w:bidi="ar-SA"/>
        </w:rPr>
        <w:t xml:space="preserve">الغایة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مفهوم الغایة أنّه مع بعث الرسول وإقامة الحجّة یستحقّ العقاب ، وهذا ینافی إطلاق دلیل الأصل المقتضی للترخیص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نصل إلی نفس النتائج المشار إلیها سابقاً علی تقدیر استحالة الترخیص فی المخالفة القطعیّة ، فلا تجری البراءة فی کلا الطرفین ؛ لأنّ ذلک ینافی التکلیف المعلوم بالإجمال ولو عقلائیّاً ، ولا تجری فی أحدهما دون الآخر ؛ إذ لا مبرّر لترجیح أحدهما علی الآخر ، مع أنّ نسبتهما إلی دلیل الأصل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من مجموع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النهائیة بناءً علی مسلک حقّ الطاعة حرمةالمخالفة القطعیّة ووجوب الموافقة القطعیّة معاً ، وبناءً علی مسلک قاعدة قبح العقاب بلا بیانٍ حرمة المخالفة القطعیّة وعدم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ذکرناه علی المسلک المختار یُعرف أنّ القاعدة العملیّة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البراءة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فی موارد العلم الإجمالیّ ، وتوجد قاعدة عملیّة ثالثة تطابق مفاد القاعدة العملیّة الاولی ، ونسمّی هذه القاعدة الثالثة بأصالة الاشتغال فی موارد العلم الإجمالیّ ، أو بقاعدة منجّزیّة العلم الإجمالیّ</w:t>
      </w:r>
      <w:r>
        <w:rPr>
          <w:rFonts w:eastAsia="IRNazanin" w:cs="IRNazanin"/>
          <w:color w:val="111111"/>
          <w:sz w:val="28"/>
          <w:szCs w:val="28"/>
          <w:rtl w:val="true"/>
          <w:lang w:bidi="fa-IR"/>
        </w:rPr>
        <w:t>.</w:t>
      </w:r>
    </w:p>
    <w:p>
      <w:pPr>
        <w:pStyle w:val="Heading6"/>
        <w:numPr>
          <w:ilvl w:val="5"/>
          <w:numId w:val="1"/>
        </w:numPr>
        <w:rPr/>
      </w:pPr>
      <w:bookmarkStart w:id="806" w:name="__RefHeading___Toc509166_1738255347"/>
      <w:bookmarkStart w:id="807" w:name="_Toc276"/>
      <w:bookmarkEnd w:id="806"/>
      <w:r>
        <w:rPr>
          <w:rtl w:val="true"/>
        </w:rPr>
        <w:t>تحدید أرکان هذه القاعدة</w:t>
      </w:r>
      <w:bookmarkEnd w:id="807"/>
    </w:p>
    <w:p>
      <w:pPr>
        <w:pStyle w:val="BookText"/>
        <w:rPr/>
      </w:pPr>
      <w:r>
        <w:rPr>
          <w:rFonts w:ascii="Amiri" w:hAnsi="Amiri" w:eastAsia="Amiri" w:cs="Amiri"/>
          <w:color w:val="111111"/>
          <w:sz w:val="28"/>
          <w:sz w:val="28"/>
          <w:szCs w:val="28"/>
          <w:rtl w:val="true"/>
          <w:lang w:bidi="ar-SA"/>
        </w:rPr>
        <w:t xml:space="preserve">نستطیع أن نستخلص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منجّزیّة العلم الإجمالیّ لها عدّة أرکان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العلم بالجامع ، إذ لولا العلم بالجامع لکانت الشبهة فی کلّ </w:t>
      </w:r>
    </w:p>
    <w:p>
      <w:pPr>
        <w:pStyle w:val="BookText"/>
        <w:rPr/>
      </w:pPr>
      <w:r>
        <w:rPr>
          <w:rFonts w:ascii="Amiri" w:hAnsi="Amiri" w:eastAsia="Amiri" w:cs="Amiri"/>
          <w:color w:val="111111"/>
          <w:sz w:val="28"/>
          <w:sz w:val="28"/>
          <w:szCs w:val="28"/>
          <w:rtl w:val="true"/>
          <w:lang w:bidi="ar-SA"/>
        </w:rPr>
        <w:t>طرفٍ بدویّةً وتجری فیها البراءة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العلم علی الجامع وعدم سرایته إلی الفرد ، إذ لو کان الجامع معلوماً فی ضمن فردٍ معیّنٍ لکان علماً تفصیلیّاً لا إجمالیّاً ، ولَما کان منجِّزاً إلاّ بالنسبة إلی ذلک الفرد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الطرفین مشمولاً فی نفسه وبقطع النظر عن التعارض الناشئ من العلم الإجمالیّ لدلیل أصالة البراءة ، إذ لو کان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مشمولٍ لدلیل البراءة لسببٍ آخر لجرت البراءة فی الطرف الآخر بدون محذور ؛ لأنّ البراءة فی طرفٍ واحدٍ لا تعنی الترخیص فی المخالفة القطعیّة ، وإنّما لا تجری لأنّها معارضة بالبراءة فی الطرف الآخر ، فإذا افترضنا أنّ الطرف الآخر کان محروماً من البراءة لسببٍ آخر فلا مانع من جریان البراءة فی الطرف المقابل له ، ومع جریانها لا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جریان البراءة فی کلٍّ من الطرفین مؤدّیاً إلی الترخیص فی المخالفة القطعیّة ، وإمکان وقوعها خارجاً علی وجهٍ مأذون فیه ، إذ لو کانت المخالفة القطعیّة ممتنعةً علی المکلّف حتّی مع الإذن والترخیص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فی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فی إجراء البراءة فی کلٍّ من الطرفین ؛ لأنّ ذلک لن یؤدّی إلی تمکین المکلّف من إیقاع المخالفة القطعیّة لیکون منافیاً للتکلیف المعلوم بالإجمال عقلاً أو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الحالات التی تسقط فیها قاعدة منجّزیّة العلم الإجمالیّ یرجع فیها هذا السقوط إلی اختلال أحد هذه الأرکان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فیختلّ 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انکشف للعالم بالإجمال خطؤه ، أو تشکّک فی ذلک فیزول علمه بالجامع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فیما إذا کان فی أحد الطرفین ما یوجب سقوط التکلیف لو کان مورداً له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إجمالاً بأنّ أحد الحلیبین من الحلیب المحرّم ، ولکنّه </w:t>
      </w:r>
    </w:p>
    <w:p>
      <w:pPr>
        <w:pStyle w:val="BookText"/>
        <w:rPr/>
      </w:pPr>
      <w:r>
        <w:rPr>
          <w:rFonts w:ascii="IRNazanin" w:hAnsi="IRNazanin" w:eastAsia="IRNazanin"/>
          <w:color w:val="111111"/>
          <w:sz w:val="28"/>
          <w:sz w:val="28"/>
          <w:szCs w:val="28"/>
          <w:rtl w:val="true"/>
          <w:lang w:bidi="fa-IR"/>
        </w:rPr>
        <w:t xml:space="preserve">مضطرّ إلی الحلیب البارد منهما اضطراراً یسقط الحرمة لو کان هو الحرام ، ففی مثل ذلک لا یوجد علم بجامع الحرمة ، إذ لو کان الحلیب المحرّم هو الحلیب البارد فلا حرمة فیه فعلاً بسبب الاضطرار ، ولا فی الآخر ، ولو کان هو الحلیب الآخر فالحرمة ثابتة فعلاً ، وهذا یعنی أنّ الحرمة لا یُعلم ثبوتها فعلاً فی أحد الحلیبین ؛ ومن أجل 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إلی طرفٍ معیّنٍ للعلم الإجمالیّ یوجب سقوطه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حالات اختلال 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المکلّف بفعلٍ مترسّلاً ، ثمّ یعلم إجمالاً بأنّ الشارع أوجب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ذلک الفعل ، وإمّا 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یکون التکلیف قد سقط بالإتیان بالمکلّف به ، وعلی الثانی یکون ثابتاً ، فالتکلیف لا یعلم ثبوته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 الرکن الثانی فیما إذا علم المکلّف إجمالاً بنجاسة أحد المائعین ، ثمّ علم تفصیلاً بأنّ أحدهما المعیَّن نجس ، ففی مثل ذلک لا یبقی العلم واقفاً علی الجامع ، بل یسری إلی الفرد ، وهو معنی ما یقال من انحلال العلم الإجمالیّ بالعلم التفصیلیّ والشکّ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ینحلّ العلم الإجمالیّ بالعلم التفصیلیّ نتیجةً لاختلال الرکن الثانی کذلک قد ینحلّ بعلمٍ إجمالیٍّ أصغر منه لاختلال هذا الرکن أیضاً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نعلم إجمالاً بنجاسة مائعین فی ضمن عشرة ، فهذا العلم الإجمالیّ له عشرة أطراف ؛ والمعلوم نجاسته فیه إثنان منها ، وقد نعلم بعد ذلک إجمالاً بنجاسة مائعین فی ضمن هذه الخمسة بالذات من تلک العشرة ، فینحلّ العلم الإجمالیّ الأوّل بالعلم الإجمالیّ الثانی ، ویکون الشکّ فی الخمسة الاخری شکّاً بدویّاً ؛ لأنّ العلم بجامع اثنین فی عشرةٍ سری إلی خصوصیّةٍ جدیدة ، وهی کون الاثنین فی ضمن الخمسة ، فلم یعد التردّد فی نطاق العشرة ، بل فی نطاق الخمسة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ویسمّی العلم الإجمالیّ المنحلّ بالعلم الإجمالیّ الکبیر ، والعلم الإجمالیّ المسبّب لانحلاله بالعلم الإجمالیّ الصغیر ؛ لأنّ أطرافه 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ذلک بقاعدة انحلال العلم الإجمالیّ الکبیر بالعلم الإجمالیّ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ویتوقّف انحلال علمٍ إجمالیٍّ بعلمٍ إجمالیٍّ 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أطراف الثانی بعض أطراف العلم الأوّل المنحلّ ، کما رأینا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یزید عدد المعلوم بالإجمال فی العلم الأوّل المنحلّ علی المعلوم إجمالاً بالعلم الثانی ، فلو زاد لم ینحلّ ، کما لو افترضنا فی المثال أنّ العلم الثانی تعلّق بنجاسة مائعٍ فی ضمن الخمسة فإنّ العلم الإجمالیّ بنجاسة المائع الثانی فی ضمن العشرة یظل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 الرکن الثالث فیما إذا کان أحد الطرفین مجریً لاستصحاب منجّزٍ للتکلیف ، لا للبراءة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إجمالاً بنجاسة أحد الإناءین ، غیر أنّ أحدهما کان نجساً فی السابق ویشکّ فی بقاء نجاسته ، ففی هذه الحالة یکون الإناء المسبوق بالنجاسة مجریً فی نفسه لاستصحاب النجاسة ، لا لأصالة البراءة أو أصالة الطهارة ، فتجری الاصول المؤمّنة فی الإناء الآخر بدون معارض ، وتبطل بذلک منجّزیّة العلم الإجمالیّ ، ویسمّی ذلک بالانحلال الحکمیّ تمییزاً له عن الانحلال الحقیقیّ الذی تقدّم فی حالة اختلال الرکن الثانی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یسمّی بالانحلال الحکمیّ لأنّ العلم الإجمالیّ موجود حقیقةً ولکنّه لا حکم له عملیّاً ؛ لأنّ الإناء المسبوق بالنجاسة حکمه منجّز بالاستصحاب ، والإناء الآخر لا منجّزیّة لحکمه ؛ لجریان الأصل المؤمّن فیه ، فکأنّ العلم الإجمالیّ غیر موجود ، وهذا هو محصّل ما یقال من أنّ العلم الإجمالیّ إذا کان أحد طرفیه مجریً لأصلٍ مثبتٍ للتکلیف وکان الطرف الآخر مجریً لأصلٍ مؤمّنٍ انحلّ العلم </w:t>
      </w:r>
    </w:p>
    <w:p>
      <w:pPr>
        <w:pStyle w:val="BookText"/>
        <w:rPr/>
      </w:pPr>
      <w:r>
        <w:rPr>
          <w:rFonts w:ascii="Amiri" w:hAnsi="Amiri" w:eastAsia="Amiri" w:cs="Amiri"/>
          <w:color w:val="111111"/>
          <w:sz w:val="28"/>
          <w:sz w:val="28"/>
          <w:szCs w:val="28"/>
          <w:rtl w:val="true"/>
          <w:lang w:bidi="ar-SA"/>
        </w:rPr>
        <w:t>الإجمالیّ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آخر لاختلال هذا الرکن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طرفی العلم الإجمالیّ خارجاً عن محلّ الابتلاء ، ومعنی الخروج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المخالفة فی هذا الطرف ممّا لا تقع من المکلّف عادةً ؛ لأنّ ظروفه لا تیسّر له ذلک وإن کانت لا تعجّزه تعجیزاً حقیقیّاً ، فالمخالفة غیر مقدورةٍ عرفاً وإن کانت مقدورةً عقلاً ، کما لو علم بنجاسة وحرمة طعامٍ مردّدٍ بین اللبن الموجود علی مائدته ولبنٍ موجودٍ فی بلدٍ آخر لا یصل إلیه عادةً فی حیاته ؛ وإن کان الوصول ممکناً من الناحیة النظریّة والعقلیّة ، ففی هذه الحالة لا یکون هذا اللبن الخارج عن محلّ الابتلاء مجریً للبراءة فی نفسه ، إذ لا محصّل عرفاً للتأمین من ناحیة تکلیفٍ لا یتعرّض المکلّف إلی مخالفته عادةً ، فتجری البراءة عن حرمة اللبن الآخر بدون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ما یقال عادةً من أنّ تنجیز العلم الإجمالیّ یشترط فیه دخول کلا طرفیه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 الرکن الرابع فی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دوران الأمر بین المحذورین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إجمالاً بأنّ هذا الفعل إمّا واجب وإمّا حرام ، فإنّ هذا العلم الإجمالیّ لا تمکن مخالفته القطعیّة ، کما لا تمکن موافقته القطعیّة ، فإذا جرت البراءة عن الوجوب وجرت البراءة عن الحرمة معاً لم یلزم محذور الترخیص فی المخالفة القطعیّة ؛ لأنّها غیر معقولةٍ علی کلّ حال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کون الأطراف غیر محصورة ، وتسمّی بالشبهة غیر المحصورة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للعلم الإجمالیّ أطراف کثیرة جدّاً علی نحوٍ لا یتیسّر للمکلّف ارتکاب المخالفة فیهاجمیعاً لکثرتها ، ففی مثل ذلک تجری البراءة فی جمیع الأطراف ، إذ لا یلزم من ذلک تمکین المکلّف من المخالفة القطعیّة</w:t>
      </w:r>
      <w:r>
        <w:rPr>
          <w:rFonts w:eastAsia="IRNazanin" w:cs="IRNazanin"/>
          <w:color w:val="111111"/>
          <w:sz w:val="28"/>
          <w:szCs w:val="28"/>
          <w:rtl w:val="true"/>
          <w:lang w:bidi="fa-IR"/>
        </w:rPr>
        <w:t xml:space="preserve">. </w:t>
      </w:r>
      <w:bookmarkStart w:id="808" w:name="pg14075_144776"/>
    </w:p>
    <w:p>
      <w:pPr>
        <w:pStyle w:val="Heading5"/>
        <w:numPr>
          <w:ilvl w:val="4"/>
          <w:numId w:val="1"/>
        </w:numPr>
        <w:rPr/>
      </w:pPr>
      <w:bookmarkStart w:id="809" w:name="__RefHeading___Toc509168_1738255347"/>
      <w:bookmarkStart w:id="810" w:name="_Toc277"/>
      <w:bookmarkEnd w:id="808"/>
      <w:bookmarkEnd w:id="809"/>
      <w:r>
        <w:rPr>
          <w:rtl w:val="true"/>
        </w:rPr>
        <w:t>[</w:t>
      </w:r>
      <w:r>
        <w:rPr>
          <w:rtl w:val="true"/>
        </w:rPr>
        <w:t>دوران الأمر بین الأقل والأکثر</w:t>
      </w:r>
      <w:r>
        <w:rPr>
          <w:rtl w:val="true"/>
        </w:rPr>
        <w:t>]</w:t>
      </w:r>
      <w:bookmarkEnd w:id="810"/>
    </w:p>
    <w:p>
      <w:pPr>
        <w:pStyle w:val="Heading6"/>
        <w:numPr>
          <w:ilvl w:val="5"/>
          <w:numId w:val="1"/>
        </w:numPr>
        <w:rPr/>
      </w:pPr>
      <w:bookmarkStart w:id="811" w:name="__RefHeading___Toc509170_1738255347"/>
      <w:bookmarkStart w:id="812" w:name="_Toc278"/>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والآن بعد أن اتّضحت القاعدة العملیّة الثانویّة وهی البراءة الشرعیّة ، والقاعدة العملیّة الثالثة وهی منجّزیّة العلم الإجمالیّ نستعرض جملةً من الحالات التی وقع البحث فی إدراجها ضمن القاعدة الاولی أو الثانیة</w:t>
      </w:r>
      <w:r>
        <w:rPr>
          <w:rFonts w:eastAsia="IRNazanin" w:cs="IRNazanin"/>
          <w:color w:val="111111"/>
          <w:sz w:val="28"/>
          <w:szCs w:val="28"/>
          <w:rtl w:val="true"/>
          <w:lang w:bidi="fa-IR"/>
        </w:rPr>
        <w:t>.</w:t>
      </w:r>
    </w:p>
    <w:p>
      <w:pPr>
        <w:pStyle w:val="Heading6"/>
        <w:numPr>
          <w:ilvl w:val="5"/>
          <w:numId w:val="1"/>
        </w:numPr>
        <w:rPr/>
      </w:pPr>
      <w:bookmarkStart w:id="813" w:name="__RefHeading___Toc509172_1738255347"/>
      <w:bookmarkStart w:id="814" w:name="_Toc279"/>
      <w:bookmarkEnd w:id="813"/>
      <w:r>
        <w:rPr>
          <w:rtl w:val="true"/>
        </w:rPr>
        <w:t>حالة تردّد أجزاء الواجب بین الأقلّ و الأکثر</w:t>
      </w:r>
      <w:bookmarkEnd w:id="814"/>
    </w:p>
    <w:p>
      <w:pPr>
        <w:pStyle w:val="BookText"/>
        <w:rPr/>
      </w:pPr>
      <w:r>
        <w:rPr>
          <w:rFonts w:ascii="IRNazanin" w:hAnsi="IRNazanin" w:eastAsia="IRNazanin"/>
          <w:color w:val="111111"/>
          <w:sz w:val="28"/>
          <w:sz w:val="28"/>
          <w:szCs w:val="28"/>
          <w:rtl w:val="true"/>
          <w:lang w:bidi="fa-IR"/>
        </w:rPr>
        <w:t xml:space="preserve">والحالة الرئیسیّة من حالات التردّد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وجب مرکّب بوجوبٍ واحدٍ وکان کلّ جزءٍ فی المرکّب واجباً بوجوب ضمنیّ ؛ وتردّد أمر هذا المرکّب بین أن یکون مشتملاً علی تسعة أجزاءٍ أو عشرةٍ ، فهل تدخل هذه الحالة فی حالات العلم الإجمالیّ ، أو حالات الشکّ البدویّ؟</w:t>
      </w:r>
    </w:p>
    <w:p>
      <w:pPr>
        <w:pStyle w:val="BookText"/>
        <w:rPr/>
      </w:pPr>
      <w:r>
        <w:rPr>
          <w:rFonts w:ascii="IRNazanin" w:hAnsi="IRNazanin" w:eastAsia="IRNazanin"/>
          <w:color w:val="111111"/>
          <w:sz w:val="28"/>
          <w:sz w:val="28"/>
          <w:szCs w:val="28"/>
          <w:rtl w:val="true"/>
          <w:lang w:bidi="fa-IR"/>
        </w:rPr>
        <w:t>ویجب أن نعرف قبل کلّ شیءٍ أنّ العلم الإجمالیّ لا یمکن أن یوجد إلاّإذا افترض جامع بین فردین متباینین وکان ذلک الجامع معلوماً ومردّداً فی انطباقه بین الفردین ، وأمّا إذا کان الجامع معلوماً فی ضمن أحد الفردین ویحتمل وجوده فی ضمن فردٍ آخر أیضاً فلیس هذا من العلم الإجمالیّ ، بل هو علم تفصیلیّ بالفرد الأوّل مع الشکّ البدویّ فی الفرد الثانی ، وهذا معناه أنّ طرفی العلم الإجمالیّ یجب أن یکونا متباینین ، ویستحیل أن یکونا متداخلین تداخل الأقلّ والأکثر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یبدو أنّ الحالة المطروحة للبحث لیست من حالات العلم الإجمالیّ ، إذ لیس فیها علم بالجامع بین فردین متباینین ، بل علم تفصیلیّ بوجوب التسعة وشکّ بدویّ فی وجوب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بوجوب التسعة أو العشرة کلام صوریّ ؛ لأنّ التسعة لیست مباینةً للعشرة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حاول بعض المحقّقین </w:t>
      </w:r>
      <w:r>
        <w:rPr>
          <w:rStyle w:val="FootnoteAnchor"/>
          <w:rtl w:val="true"/>
        </w:rPr>
        <w:footnoteReference w:id="171"/>
      </w:r>
      <w:r>
        <w:rPr>
          <w:rFonts w:ascii="IRNazanin" w:hAnsi="IRNazanin" w:eastAsia="IRNazanin"/>
          <w:color w:val="111111"/>
          <w:sz w:val="28"/>
          <w:sz w:val="28"/>
          <w:szCs w:val="28"/>
          <w:rtl w:val="true"/>
          <w:lang w:bidi="fa-IR"/>
        </w:rPr>
        <w:t xml:space="preserve">إبراز أنّ الدوران فی الحقیقة بین متباینین لا بین متداخلین لکی یتشکّل علم إجمالیّ ، وتطبّق القاعدة الثالثة ، وحاصل المحاولة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المعلوم فی الحالة المذکورة إمّا متعلّق بالتسعة المطلقة ، أو بالتسعة المقیّدة بالجزء العاشر ، وإطلاق التسعة وتقییدها حالتان متباینتان ، وبذلک یتشکّل علم إجمالیّ بوجوب التسعة أو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بوجوب التسعة أو العشرة منحلّ إلی العلم التفصیلیّ بأحد طرفیه ، والشکّ البدویّ فی الطرف الآخر ، لأنّ التسعة معلومة الوجوب علی أیّ حال ، والجزءالعاشر مشکوک الوجوب ، وإذا انحلّ العلم الإجمالیّ سقط عن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طرفی العلم الإجمالیّ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التسعة المطلقة ، ووجوب التسعة المقیّدة بالعاشر ، وکلّ من هذین الطرفین لیس معلوماً بالتفصیل ، وإنّما المعلوم وجوب التسعة علی الإجمال ، وهذا نفس العلم الإجمالیّ فکیف ینحلّ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یتّجه البحث إلی أنّه هل یوجد علم إجمالیّ ، أوْ لا؟ بدلاً عن البحث فی أنّه هل ینحلّ بعد افتراض وجوده؟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علمٍ إجمالیٍّ بالتکلیف ؛ وذلک لأنّ وجوب التسعة المطلقة لا یعنی وجوب التسعة ووجوب الإطلاق ، فإنّ الإطلاق کیفیّة فی لحاظ المولی تنتج عدم وجوب العاشر ولیس شیئاً یوجبه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التسعة فی ضمن العشرة فمعناه وجوب التسعة ووجوب العاشر ، وهذا معناه أنّنا حینما نلحظ ما أوجبه المولی علی المکلّف نجد أنّه لیس مردّداً بین متباینین ، بل بین الأقلّ والأکثر ، فلا یمکن تصویر العلم الإجمالیّ بالوجوب ، </w:t>
      </w:r>
      <w:bookmarkStart w:id="815" w:name="pg14075_144778"/>
    </w:p>
    <w:p>
      <w:pPr>
        <w:pStyle w:val="BookText"/>
        <w:rPr/>
      </w:pPr>
      <w:bookmarkEnd w:id="815"/>
      <w:r>
        <w:rPr>
          <w:rFonts w:ascii="IRNazanin" w:hAnsi="IRNazanin" w:eastAsia="IRNazanin"/>
          <w:color w:val="111111"/>
          <w:sz w:val="28"/>
          <w:sz w:val="28"/>
          <w:szCs w:val="28"/>
          <w:rtl w:val="true"/>
          <w:lang w:bidi="fa-IR"/>
        </w:rPr>
        <w:t>وإنّما یمکن تصویر العلم الإجمالیّ بالنسبة إلی الخصوصیّات اللحاظیّة التی تحدّد کیفیّة لحاظ المولی للطبیعة عند أمره بها ؛ لأنّه إمّا أن یکون قد لاحظها مطلقةً أو مقیّدة ، غیر أنّ هذا لیس علماً إجمالیّاً بالتکلیف لیکون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أنّه لا یوجد علم إجمالیّ منجّز ، وأنّ البراءة تجری عن الأمر العاشر المشکوک کونه جزءً للواجب فیکفیه الإتیان بالأقلّ</w:t>
      </w:r>
      <w:r>
        <w:rPr>
          <w:rFonts w:eastAsia="IRNazanin" w:cs="IRNazanin"/>
          <w:color w:val="111111"/>
          <w:sz w:val="28"/>
          <w:szCs w:val="28"/>
          <w:rtl w:val="true"/>
          <w:lang w:bidi="fa-IR"/>
        </w:rPr>
        <w:t>.</w:t>
      </w:r>
    </w:p>
    <w:p>
      <w:pPr>
        <w:pStyle w:val="Heading6"/>
        <w:numPr>
          <w:ilvl w:val="5"/>
          <w:numId w:val="1"/>
        </w:numPr>
        <w:rPr/>
      </w:pPr>
      <w:bookmarkStart w:id="816" w:name="__RefHeading___Toc509174_1738255347"/>
      <w:bookmarkStart w:id="817" w:name="_Toc280"/>
      <w:bookmarkEnd w:id="816"/>
      <w:r>
        <w:rPr>
          <w:rtl w:val="true"/>
        </w:rPr>
        <w:t>[</w:t>
      </w:r>
      <w:r>
        <w:rPr>
          <w:rtl w:val="true"/>
        </w:rPr>
        <w:t xml:space="preserve">حالة الشکّ فی إطلاق الجزئیّة </w:t>
      </w:r>
      <w:r>
        <w:rPr>
          <w:rtl w:val="true"/>
        </w:rPr>
        <w:t>:]</w:t>
      </w:r>
      <w:bookmarkEnd w:id="817"/>
    </w:p>
    <w:p>
      <w:pPr>
        <w:pStyle w:val="BookText"/>
        <w:rPr/>
      </w:pPr>
      <w:r>
        <w:rPr>
          <w:rFonts w:ascii="IRNazanin" w:hAnsi="IRNazanin" w:eastAsia="IRNazanin"/>
          <w:color w:val="111111"/>
          <w:sz w:val="28"/>
          <w:sz w:val="28"/>
          <w:szCs w:val="28"/>
          <w:rtl w:val="true"/>
          <w:lang w:bidi="fa-IR"/>
        </w:rPr>
        <w:t>ولا فرق فی جریان البراءة عن مشکوک الجزئیّة بین أن یکون الشکّ فی أصل الجزئیّة ، کما إذا شکّ فی جزئیّة السورة ، أو فی إطلاقها بعد العلم بأصل الجزئیّة ، کما إذا علمنا بأنّ السورة جزء ولکن شککنا فی أنّ جزئیّتها هل تختصّ بالصحیح ، أو تشمل المریض أیضاً؟ فإنّه تجری البراءة حینئذٍ عن وجوب السورة بالنسبة إلی المریض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صورة من الشکّ فی إطلاق الجزئیّة وقع البحث فیها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ثبت أنّ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حال التذکّر وشکّ فی إطلاق هذه الجزئیّة للناسی ، فهل تجری البراءة عن السورة بالنسبة إلی الناسی لکی نثبت بذلک جواز الاکتفاء بما صدر منه فی حالة النسیان من الصلاة الناقصة التی لا سورة فیها؟</w:t>
      </w:r>
    </w:p>
    <w:p>
      <w:p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الصورة هی إحدی حالات دوران الواجب بین الأقلّ والأکثر ، فتجری البراءة عن الزائد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حالات الدوران المذکورة تفترض وجود أمرٍ موجّهٍ إلی المکلّف علی أیّ حال ، ویتردّد متعلّق هذا الأمر بین التسعة أو العشرة مثلاً ، وفی الصورة المفروضة فی المقام نحن نعلم بأنّ غیر الناسی مأمور بالعشرة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السورة ؛ لأنّنا نعلم بجزئیّتها فی حال التذکّر ، وأمّا </w:t>
      </w:r>
      <w:bookmarkStart w:id="818" w:name="pg14075_144779"/>
    </w:p>
    <w:p>
      <w:pPr>
        <w:pStyle w:val="BookText"/>
        <w:rPr/>
      </w:pPr>
      <w:bookmarkEnd w:id="818"/>
      <w:r>
        <w:rPr>
          <w:rFonts w:ascii="IRNazanin" w:hAnsi="IRNazanin" w:eastAsia="IRNazanin"/>
          <w:color w:val="111111"/>
          <w:sz w:val="28"/>
          <w:sz w:val="28"/>
          <w:szCs w:val="28"/>
          <w:rtl w:val="true"/>
          <w:lang w:bidi="fa-IR"/>
        </w:rPr>
        <w:t>الناسی فلا یحتمل أن یکون مأموراً بالتسعة ، أی بالأقلّ ؛ لأنّ الأمر بالتسعة لو صدر من الشارع لکان متوجّهاً نحو الناسی خاصّة ؛ لأنّ المتذکّر مأمور بالعشرة لا بالتسعة ، ولا یعقل توجیه الأمر إلی الناسی خاصّة ؛ لأنّ الناسی لا یلتفت إلی کونه ناسیاً لینبعث عن ذلک الأمر ، وعلیه فالصلاة الناقصة التی أتی بها لیست مصداقاً للواجب یقیناً ، وإنّما یحتمل کونها مسقطةً للواجب عن ذمّته ، فیکون من حالات الشکّ فی المسقط ، وتجری حینئذٍ أصالة الاشتغال ، وتأتی تتمّة الکلام عن ذلک فی حلقةٍ مقبلةٍ إن شاء الله تعالی</w:t>
      </w:r>
      <w:r>
        <w:rPr>
          <w:rFonts w:eastAsia="IRNazanin" w:cs="IRNazanin"/>
          <w:color w:val="111111"/>
          <w:sz w:val="28"/>
          <w:szCs w:val="28"/>
          <w:rtl w:val="true"/>
          <w:lang w:bidi="fa-IR"/>
        </w:rPr>
        <w:t>.</w:t>
      </w:r>
    </w:p>
    <w:p>
      <w:pPr>
        <w:pStyle w:val="Heading6"/>
        <w:numPr>
          <w:ilvl w:val="5"/>
          <w:numId w:val="1"/>
        </w:numPr>
        <w:rPr/>
      </w:pPr>
      <w:bookmarkStart w:id="819" w:name="__RefHeading___Toc509176_1738255347"/>
      <w:bookmarkStart w:id="820" w:name="_Toc281"/>
      <w:bookmarkEnd w:id="819"/>
      <w:r>
        <w:rPr>
          <w:rtl w:val="true"/>
        </w:rPr>
        <w:t>حالة احتمال الشرطیّة</w:t>
      </w:r>
      <w:bookmarkEnd w:id="820"/>
    </w:p>
    <w:p>
      <w:pPr>
        <w:pStyle w:val="BookText"/>
        <w:rPr/>
      </w:pPr>
      <w:r>
        <w:rPr>
          <w:rFonts w:ascii="IRNazanin" w:hAnsi="IRNazanin" w:eastAsia="IRNazanin"/>
          <w:color w:val="111111"/>
          <w:sz w:val="28"/>
          <w:sz w:val="28"/>
          <w:szCs w:val="28"/>
          <w:rtl w:val="true"/>
          <w:lang w:bidi="fa-IR"/>
        </w:rPr>
        <w:t>عالجنا فی ما سبق حالة احتمال الجزء الزائد ، والآن نعالج حالة احتمال الشرط الزائد ، کما لو احتمل أنّ الصلاة مشروطة بالإیقاع فی المسجد علی نحوٍ یکون إیقاعها فی المسجد قیداً شرعیّاً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القید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تحصیص المولی للواجب بحصّةٍ خاصّةٍ علی نحوٍ یکون الأمر متعلّقاً بذات الفعل وبالتقیّد ، فحالة الشکّ فی شرطیّة شیءٍ مرجعها إلی العلم بوجوب ذات الفعل والشکّ فی وجوب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دوران بین الأقلّ والأکثر بالنسبة إلی ما أوجبه المولی علی المکلّف ، ولیس دوراناً بین المتباینین ؛ فلا یتصوّر العلم الإجمالیّ المنجّز ، بل تجری البراءة عن وجوب التقیّد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یفصّل بین أن یکون ما یحتمل شرطیّته محتمل الشرطیّة فی نفس </w:t>
      </w:r>
      <w:bookmarkStart w:id="821" w:name="pg14075_144780"/>
    </w:p>
    <w:p>
      <w:pPr>
        <w:pStyle w:val="BookText"/>
        <w:rPr/>
      </w:pPr>
      <w:bookmarkEnd w:id="821"/>
      <w:r>
        <w:rPr>
          <w:rFonts w:ascii="IRNazanin" w:hAnsi="IRNazanin" w:eastAsia="IRNazanin"/>
          <w:color w:val="111111"/>
          <w:sz w:val="28"/>
          <w:sz w:val="28"/>
          <w:szCs w:val="28"/>
          <w:rtl w:val="true"/>
          <w:lang w:bidi="fa-IR"/>
        </w:rPr>
        <w:t>متعلّق الأمر ابتداءً ، أو فی متعلّق المتعلّق ، أی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للأمر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فتارةً یحتمل کون الدعاء عند العتق قیداً فی الواجب ، واخری یحتمل کون الإیمان قیداً فی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تجری البراءة ؛ لأنّ قیدیّة الدعاء للمتعلّق معناها تقیّده والأمر بهذاالتقیید ، فیکون الشکّ فی هذه القیدیّة راجعاً إلی الشکّ فی وجوب التقیید فتجری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لا تجری البراءة ؛ لأنّ قیدیّة الإیمان للرقبة لا تعنی الأمر بهذاالتقیید ؛ لوضوح أنّ جعل الرقبة مؤمنةً لیس تحت الأمر ، وقد لا یکون تحت الاختیار أصلاً ، فلا یعود الشکّ فی هذه القیدیّة إلی الشکّ فی وجوب التقیید لتجری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الرقبة بالإیمان وإن لم یکن تحت الأمر علی تقدیر أخذه قیداً ولکنّ تقیّد العتق بإیمان الرقبة المعتوقة تحت الأمر علی هذا التقدیر ، فالشکّ فی قیدیّة الإیمان شکّ فی وجوب تقیّد العتق بإیمان الرقبة ، وهو تقیّد داخل فی اختیار المکلّف ، ویعقل تعلّق الوجوب به ، فإذا شکّ فی وجوبه جرت البراءة عنه</w:t>
      </w:r>
      <w:r>
        <w:rPr>
          <w:rFonts w:eastAsia="IRNazanin" w:cs="IRNazanin"/>
          <w:color w:val="111111"/>
          <w:sz w:val="28"/>
          <w:szCs w:val="28"/>
          <w:rtl w:val="true"/>
          <w:lang w:bidi="fa-IR"/>
        </w:rPr>
        <w:t>.</w:t>
      </w:r>
    </w:p>
    <w:p>
      <w:pPr>
        <w:pStyle w:val="Heading6"/>
        <w:numPr>
          <w:ilvl w:val="5"/>
          <w:numId w:val="1"/>
        </w:numPr>
        <w:rPr/>
      </w:pPr>
      <w:bookmarkStart w:id="822" w:name="__RefHeading___Toc509178_1738255347"/>
      <w:bookmarkStart w:id="823" w:name="_Toc282"/>
      <w:bookmarkEnd w:id="822"/>
      <w:r>
        <w:rPr>
          <w:rtl w:val="true"/>
        </w:rPr>
        <w:t>حالات دوران الواجب بین التعیین و التخییر</w:t>
      </w:r>
      <w:bookmarkEnd w:id="823"/>
    </w:p>
    <w:p>
      <w:pPr>
        <w:pStyle w:val="BookText"/>
        <w:rPr/>
      </w:pPr>
      <w:r>
        <w:rPr>
          <w:rFonts w:ascii="IRNazanin" w:hAnsi="IRNazanin" w:eastAsia="IRNazanin"/>
          <w:color w:val="111111"/>
          <w:sz w:val="28"/>
          <w:sz w:val="28"/>
          <w:szCs w:val="28"/>
          <w:rtl w:val="true"/>
          <w:lang w:bidi="fa-IR"/>
        </w:rPr>
        <w:t>وقد یدور أمر الواجب الواحد بین التعیین والتخییر ، سواء کان التخییر المحتمل عقلیاً أو شرعیّاً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بوجوبٍ مردّدٍ بین أن یکون متعلّقاً بإکرام زیدٍ کیفما اتّفق ، أو بإهداء کتاب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بوجوبٍ مردّدٍ بین أن یکون متعلّقاً بإحدی الخصال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بالعتق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الحالات نلاحظ أنّ العنوان الذی یتعلّق به الوجوب مردّد بین عنوانین متباینین وإن کان بینهما من حیث الصدق الخارجیّ عموم وخصوص مطلق ، وحیث إنّ الوجوب یتعلّق بالعناوین صحّ أن یدّعی وجود علمٍ إجمالیٍّ بوقوع أحد العنوانین المتباینین فی عالم المفهوم متعلّقاً للوجوب ، ومجرّد أنّ أحدهما أوسع صدقاً من الآخر لا یوجب کونهما من الأقلّ والأکثر ما داما متباینین فی عالم العناوین والمفاهیم الذی هو عالم عروض الوجوب وتعلّقه ، فالعلم الإجمالیّ بالوجوب إذن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العلم مع هذا غیر منجّز للاحتیاط ورعایة الوجوب التعیینیّ المحتمل ، بل یکفی المکلّف أن یأتی بالجامع ولو فی ضمن غیر ما یحتمل تعیّنه ؛ وذلک لاختلال الرکن الثالث من أرکان تنجیز العلم الإجمالیّ المتقدّمة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الطرفین مشمولاً فی نفسه للبراءة بقطع النظر عن التعارض الحاصل بین الأصلین من ناحیة العلم الإجمالی ، فإنَّ هذا الرکن لا یصدق فی المقام ؛ وذلک لأنّ وجوب الجامع الأوسع صدقاً لیس مجریً للبراءة بقطع النظر عن التعارض بین الأصلین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بالبراءة عنه التوصّل إلی ترک الجامع رأساً فهذا توصّل بالأصل المذکور إلی المخالفة القطعیّة التی تتحقّق بترک الجامع رأساً ، فإذا کان أصل واحد یؤدّی إلی هذا المحذور تعذّر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بالبراءة عنه التأمین من ناحیة الوجوب التخییریّ فقط فهو لغو ؛ لأنّ المکلّف فی حالة ترک الجامع رأساً یعلم أنّه غیر مأمونٍ من أجل صدور المخالفة القطعیّة منه ، فأیّ أثرٍ لنفی استناد عدم الأمن إلی جهةٍ مخصوصة؟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یتبرهن أنّ أصل البراءة عن وجوب الجامع لا یجری بقطع النظر عن التعارض ، وفی هذه الحالة تجری البراءة عن الوجوب التعیینیّ بلا معارض</w:t>
      </w:r>
      <w:r>
        <w:rPr>
          <w:rFonts w:eastAsia="IRNazanin" w:cs="IRNazanin"/>
          <w:color w:val="111111"/>
          <w:sz w:val="28"/>
          <w:szCs w:val="28"/>
          <w:rtl w:val="true"/>
          <w:lang w:bidi="fa-IR"/>
        </w:rPr>
        <w:t xml:space="preserve">. </w:t>
      </w:r>
      <w:bookmarkStart w:id="824" w:name="pg14075_144782"/>
    </w:p>
    <w:p>
      <w:pPr>
        <w:pStyle w:val="Heading5"/>
        <w:numPr>
          <w:ilvl w:val="4"/>
          <w:numId w:val="1"/>
        </w:numPr>
        <w:rPr/>
      </w:pPr>
      <w:bookmarkStart w:id="825" w:name="__RefHeading___Toc509180_1738255347"/>
      <w:bookmarkStart w:id="826" w:name="_Toc283"/>
      <w:bookmarkEnd w:id="824"/>
      <w:bookmarkEnd w:id="825"/>
      <w:r>
        <w:rPr/>
        <w:t>3</w:t>
      </w:r>
      <w:r>
        <w:rPr>
          <w:rtl w:val="true"/>
        </w:rPr>
        <w:t xml:space="preserve"> - </w:t>
      </w:r>
      <w:r>
        <w:rPr>
          <w:rtl w:val="true"/>
        </w:rPr>
        <w:t>الاستصحاب</w:t>
      </w:r>
      <w:bookmarkEnd w:id="826"/>
    </w:p>
    <w:p>
      <w:pPr>
        <w:pStyle w:val="Heading6"/>
        <w:numPr>
          <w:ilvl w:val="5"/>
          <w:numId w:val="1"/>
        </w:numPr>
        <w:rPr/>
      </w:pPr>
      <w:bookmarkStart w:id="827" w:name="__RefHeading___Toc509182_1738255347"/>
      <w:bookmarkStart w:id="828" w:name="_Toc284"/>
      <w:bookmarkEnd w:id="827"/>
      <w:r>
        <w:rPr>
          <w:rtl w:val="true"/>
        </w:rPr>
        <w:t>تعریف الاستصحاب</w:t>
      </w:r>
      <w:bookmarkEnd w:id="828"/>
    </w:p>
    <w:p>
      <w:pPr>
        <w:pStyle w:val="BookText"/>
        <w:rPr/>
      </w:pPr>
      <w:r>
        <w:rPr>
          <w:rFonts w:ascii="IRNazanin" w:hAnsi="IRNazanin" w:eastAsia="IRNazanin"/>
          <w:color w:val="111111"/>
          <w:sz w:val="28"/>
          <w:sz w:val="28"/>
          <w:szCs w:val="28"/>
          <w:rtl w:val="true"/>
          <w:lang w:bidi="fa-IR"/>
        </w:rPr>
        <w:t xml:space="preserve">عُرّف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الحکم ببقاء ما کان ، وهو قاعدة من قواعد الاستنباط لدی کثیرٍ من المحقّقین ، ووظیفة هذه القاعدة علی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حالةٍ کانت متیقّنةً فی زمانٍ ومشکوکةً بقاءً یمکن إثبات بقائها بهذه القاعدة التی تسمّی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القائلون بالاستصحاب فی أنّ الاعتماد علیه هل هو علی نحو الأماریّة </w:t>
      </w:r>
      <w:r>
        <w:rPr>
          <w:rStyle w:val="FootnoteAnchor"/>
          <w:rtl w:val="true"/>
        </w:rPr>
        <w:footnoteReference w:id="173"/>
      </w:r>
      <w:r>
        <w:rPr>
          <w:rFonts w:ascii="IRNazanin" w:hAnsi="IRNazanin" w:eastAsia="IRNazanin"/>
          <w:color w:val="111111"/>
          <w:sz w:val="28"/>
          <w:sz w:val="28"/>
          <w:szCs w:val="28"/>
          <w:rtl w:val="true"/>
          <w:lang w:bidi="fa-IR"/>
        </w:rPr>
        <w:t xml:space="preserve">، أو علی نحو الأصل العملی </w:t>
      </w:r>
      <w:r>
        <w:rPr>
          <w:rStyle w:val="FootnoteAnchor"/>
          <w:rtl w:val="true"/>
        </w:rPr>
        <w:footnoteReference w:id="174"/>
      </w:r>
      <w:r>
        <w:rPr>
          <w:rFonts w:ascii="IRNazanin" w:hAnsi="IRNazanin" w:eastAsia="IRNazanin"/>
          <w:color w:val="111111"/>
          <w:sz w:val="28"/>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اختلفوا فی طریقة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بعضهم علیه بحکم العقل </w:t>
      </w:r>
      <w:r>
        <w:rPr>
          <w:rStyle w:val="FootnoteAnchor"/>
          <w:rtl w:val="true"/>
        </w:rPr>
        <w:footnoteReference w:id="175"/>
      </w:r>
      <w:r>
        <w:rPr>
          <w:rFonts w:ascii="IRNazanin" w:hAnsi="IRNazanin" w:eastAsia="IRNazanin"/>
          <w:color w:val="111111"/>
          <w:sz w:val="28"/>
          <w:sz w:val="28"/>
          <w:szCs w:val="28"/>
          <w:rtl w:val="true"/>
          <w:lang w:bidi="fa-IR"/>
        </w:rPr>
        <w:t xml:space="preserve">وإدراکه ولو ظنّاً بقاءَ الحالة السابقة ، وبعضهم بالسیرة العقلائیّة </w:t>
      </w:r>
      <w:r>
        <w:rPr>
          <w:rStyle w:val="FootnoteAnchor"/>
          <w:rtl w:val="true"/>
        </w:rPr>
        <w:footnoteReference w:id="176"/>
      </w:r>
      <w:r>
        <w:rPr>
          <w:rFonts w:ascii="IRNazanin" w:hAnsi="IRNazanin" w:eastAsia="IRNazanin"/>
          <w:color w:val="111111"/>
          <w:sz w:val="28"/>
          <w:sz w:val="28"/>
          <w:szCs w:val="28"/>
          <w:rtl w:val="true"/>
          <w:lang w:bidi="fa-IR"/>
        </w:rPr>
        <w:t xml:space="preserve">، وبعضهم بالروایات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وقع الکلام فی کیفیّة تعریف الاستصحاب بنحوٍ یکون محوراً لکلّ هذه الاتّجاهات ، وصالحاً لدعوی الأماریّة تارةً ، ودعوی الأصلیّة اخری ، وللاستدلال علیه بالأدلّة المتنوّعة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اعترض السیّد الاستاذ علی التعریف المتقدّم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إنّما یناسب افتراض الاستصحاب أصلاً ، وأمّا إذا افترض أمارةً فلا یصح تعریفه بذلک ، بل یجب تعریفه بالحیثیّة الکاشفة عن البقاء ، ولیست هی إلاّالیقین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هو الیقین بالحدوث ، فلا یوجد معنیً جامع یلائم کلّ المسالک یسمیّ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حیثیّة الکاشفیّة عن البقاء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بالیقین بالحدوث فضلاً عن الشکّ فی البقاء ، بل بنفس الحدوث بدعوی غلبة أنّ ما یحدث یبقی ، ولیس الیقین إلاّطریقاً إلی تلک الأمارة ، کالیقین بوثاقة الراوی ، فلو ارید تعریف الاستصحاب بنفس الأمارة لتعیّن أن یُعرّف بالحدوث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سواء بُنی علی الأماریّة أو علی الأصلیّة لا شکّ فی وجود حکم ظاهریّ مجعولٍ فی مورد الاستصحاب ، وإنّما الخلاف فی أنّه هل هو بنکتة الکشف ، أوْ لا؟ فلا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یُعرّف الاستصحاب بنفس الأمارة ، بل تعریفه بذلک الحکم الظاهریّ المجعول یلائم کلا المسلکین أیضاً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بالإمکان تعریف الاستصحاب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الحالة السابقة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بالحالة السابقة الیقین بالحدوث ، وهذه المرجعیّة أمر محفوظ علی کلّ المسالک والاتّجاهات ؛ لأنّها عنوان ینتزع من الأماریّة والأصلیّة معاً ، ویبقی </w:t>
      </w:r>
      <w:bookmarkStart w:id="829" w:name="pg14075_144784"/>
    </w:p>
    <w:p>
      <w:pPr>
        <w:pStyle w:val="BookText"/>
        <w:rPr/>
      </w:pPr>
      <w:bookmarkEnd w:id="829"/>
      <w:r>
        <w:rPr>
          <w:rFonts w:ascii="IRNazanin" w:hAnsi="IRNazanin" w:eastAsia="IRNazanin"/>
          <w:color w:val="111111"/>
          <w:sz w:val="28"/>
          <w:sz w:val="28"/>
          <w:szCs w:val="28"/>
          <w:rtl w:val="true"/>
          <w:lang w:bidi="fa-IR"/>
        </w:rPr>
        <w:t xml:space="preserve">المجال مفتوحاً لافتراض أیّ لسانٍ یُجعل به الاستصحاب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لسان جعل الحالة السابقة منجّزة ، أو لسان جعلها کاشفة ، أو جعل الحکم ببقاء المتیقّن ؛ لأنّ المرجعیّة تنتزع من کلّ هذه الألسنة ، کما هو واضح</w:t>
      </w:r>
      <w:r>
        <w:rPr>
          <w:rFonts w:eastAsia="IRNazanin" w:cs="IRNazanin"/>
          <w:color w:val="111111"/>
          <w:sz w:val="28"/>
          <w:szCs w:val="28"/>
          <w:rtl w:val="true"/>
          <w:lang w:bidi="fa-IR"/>
        </w:rPr>
        <w:t>.</w:t>
      </w:r>
    </w:p>
    <w:p>
      <w:pPr>
        <w:pStyle w:val="Heading6"/>
        <w:numPr>
          <w:ilvl w:val="5"/>
          <w:numId w:val="1"/>
        </w:numPr>
        <w:rPr/>
      </w:pPr>
      <w:bookmarkStart w:id="830" w:name="__RefHeading___Toc509184_1738255347"/>
      <w:bookmarkStart w:id="831" w:name="_Toc285"/>
      <w:bookmarkEnd w:id="830"/>
      <w:r>
        <w:rPr>
          <w:rtl w:val="true"/>
        </w:rPr>
        <w:t>التمییز بین الاستصحاب و غیره</w:t>
      </w:r>
      <w:bookmarkEnd w:id="831"/>
    </w:p>
    <w:p>
      <w:pPr>
        <w:pStyle w:val="BookText"/>
        <w:rPr/>
      </w:pPr>
      <w:r>
        <w:rPr>
          <w:rFonts w:ascii="IRNazanin" w:hAnsi="IRNazanin" w:eastAsia="IRNazanin"/>
          <w:color w:val="111111"/>
          <w:sz w:val="28"/>
          <w:sz w:val="28"/>
          <w:szCs w:val="28"/>
          <w:rtl w:val="true"/>
          <w:lang w:bidi="fa-IR"/>
        </w:rPr>
        <w:t>هناک قواعد مزعومة تشابه الاستصحاب ، ولکنّها تختلف عنه فی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 ، وهی تشترک مع الاستصحاب فی افتراض الیقین والشکّ ، غیر أنّ الشکّ فی موارد القاعدة یتعلّق بنفس ما تعلّق به الیقین وبلحاظ نفس الفترة الزمنیّة ، وأمّا فی موارد الاستصحاب فالشکّ یتعلّق ببقاء المتیقّن ، لا بنفس المرحلة الزمنیّة التی تعلّق بها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مزیداً من التدقیق أمکننا أن نلاحظ أنّ الاستصحاب لا یتقوّم دائماً بالشکّ فی البقاء ، فقد یجری بدون ذلک ، کما إذا وقعت حادثة وکان حدوثها مردّداً بین الساعة الاولی والساعة الثانیة ویشکّ فی ارتفاعها ، فإنّنا بالاستصحاب نثبت وجودها فی الساعة الثانیة ، مع أنّ وجودها المشکوک فی الساعة الثانیة لیس بقاءً علی أیّ حال ، بل هو مردّد بین الحدوث والبقاء ، ومع هذا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مبنیّ علی الفراغ عن ثبوت الحالة المراد إثباتها ، وقاعدة الیقین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نتائج الفرق المذکور بین الاستصحاب وقاعدة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موارد قاعدة الیقین ناقض تکویناً للیقین السابق ، ولهذا یستحیل أن یجتمع معه فی زمانٍ واحد ، وأمّا الشکّ فی موارد الاستصحاب فهو لیس ناقضاً حقیقة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المقتضی والمانع ، وهی القاعدة التی یُبنی فیها عند إحراز </w:t>
      </w:r>
    </w:p>
    <w:p>
      <w:pPr>
        <w:pStyle w:val="BookText"/>
        <w:rPr/>
      </w:pPr>
      <w:r>
        <w:rPr>
          <w:rFonts w:ascii="IRNazanin" w:hAnsi="IRNazanin" w:eastAsia="IRNazanin"/>
          <w:color w:val="111111"/>
          <w:sz w:val="28"/>
          <w:sz w:val="28"/>
          <w:szCs w:val="28"/>
          <w:rtl w:val="true"/>
          <w:lang w:bidi="fa-IR"/>
        </w:rPr>
        <w:t xml:space="preserve">المقتضی والشکّ فی وجود المانع علی انتفاء المانع وثبوت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القاعدة تشترک مع الاستصحاب فی وجود الیقین والشکّ ، ولکنّهما فیها متعلّقان بأمرین متغایرین ذاتاً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والمانع ، خلافاً لوضعهما فی الاستصحاب حیث إنّ متعلّقهما واحد ذاتاً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تختلف هذه القواعد فی أرکانها المقوّمة لها ، کذلک فی حیثیات الکشف النوعیّ المزعومة فیها ، فإنّ حیثیّة الکشف فی الاستصحاب تقوم علی أساس غلبة أنّ الحادث یبقی ، وحیثیّة الکشف فی قاعدة الیقین تقوم علی أساس غلبة أنّ الیقین لا یُخطئ ، وحیثیّة الکشف فی قاعدة المقتضی والمانع تقوم علی أساس غلبة أنّ المقتضیات نافذة ومؤثّرة فی معلولاتها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فی الاستصحاب یقع فی عدّة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أرکانه التی یتقوّم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ما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تطبیقاته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وسنتکلّم فی هذه المقامات تباعاً إن شاء الله تعالی </w:t>
      </w:r>
      <w:r>
        <w:rPr>
          <w:rFonts w:eastAsia="IRNazanin" w:cs="IRNazanin"/>
          <w:color w:val="111111"/>
          <w:sz w:val="28"/>
          <w:szCs w:val="28"/>
          <w:rtl w:val="true"/>
          <w:lang w:bidi="fa-IR"/>
        </w:rPr>
        <w:t xml:space="preserve">: </w:t>
      </w:r>
      <w:bookmarkStart w:id="832" w:name="pg14075_144786"/>
    </w:p>
    <w:p>
      <w:pPr>
        <w:pStyle w:val="Heading6"/>
        <w:numPr>
          <w:ilvl w:val="5"/>
          <w:numId w:val="1"/>
        </w:numPr>
        <w:rPr/>
      </w:pPr>
      <w:bookmarkStart w:id="833" w:name="__RefHeading___Toc509186_1738255347"/>
      <w:bookmarkStart w:id="834" w:name="_Toc286"/>
      <w:bookmarkEnd w:id="832"/>
      <w:bookmarkEnd w:id="833"/>
      <w:r>
        <w:rPr/>
        <w:t>1</w:t>
      </w:r>
      <w:r>
        <w:rPr>
          <w:rtl w:val="true"/>
        </w:rPr>
        <w:t xml:space="preserve"> - </w:t>
      </w:r>
      <w:r>
        <w:rPr>
          <w:rtl w:val="true"/>
        </w:rPr>
        <w:t>أدلّة الاستصحاب</w:t>
      </w:r>
      <w:bookmarkEnd w:id="834"/>
    </w:p>
    <w:p>
      <w:pPr>
        <w:pStyle w:val="BookText"/>
        <w:rPr/>
      </w:pPr>
      <w:r>
        <w:rPr>
          <w:rFonts w:ascii="IRNazanin" w:hAnsi="IRNazanin" w:eastAsia="IRNazanin"/>
          <w:color w:val="111111"/>
          <w:sz w:val="28"/>
          <w:sz w:val="28"/>
          <w:szCs w:val="28"/>
          <w:rtl w:val="true"/>
          <w:lang w:bidi="fa-IR"/>
        </w:rPr>
        <w:t xml:space="preserve">وقد استُدِلّ علی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 نّه مفید للظنّ بالبقاء ، واخری بجریان السیرة العقلائیّة علیه ، وثالثةً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ممنوع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صغرویاً فلأنّ إفادة الحالة السابقة بمجرّدها للظنّ بالبقاء ممنوعة ، وإنّما قد تفید لخصوصیّةٍ فی الحالة السابقة من حیث کونها مقتضیةً للبقاء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یُستشهد لإفادة الحالة السابقة للظنّ بنحو کلّیٍّ بجریان السیرة العقلائیّة علی العمل بالاستصحاب ، والعقلاء لا یعملون إلاّبالطرق الظنّیة والکاشفة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علی افتراض وجودها فالأقرب فی تفسیرها أنّها قائمة بنکتة الإلفة والعادة ، لا بنکتة الکشف ، ولهذا یقال بوجودها حتّی فی الحیوانات التی تتأثّر بالإلفة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کبرویّاً فلعدم قیام دلیلٍ علی حجّیّة مثل هذا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الجری والانسیاق العملیّ علی طبق الحالة السابقة وإن کان غالباً فی سلوک الناس ولکنّه بدافعٍ من الإلفة والعادة التی توجب الغفلة عن احتمال الارتفاع ، أو الاطمئنان بالبقاء فی کثیرٍ من الأحیان ، ولیس بدافعٍ من البناء عل حجّیّة الحالة السابقة فی إثبات البقاء تعبّداً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العمدة فی مقام الاستدلال ، فمن الروایات المستدلّ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 عن أبی عبدالله علیه‌السلام ، حیث سأله عن المرتبة التی یتحقّق بها النوم الناقض للوضوء ،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عن الحکم فی حالة الشکّ فی وقوع النوم ،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فی جنبه شیء ولم یعلم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عدم التفاته </w:t>
      </w:r>
    </w:p>
    <w:p>
      <w:pPr>
        <w:pStyle w:val="BookText"/>
        <w:rPr/>
      </w:pPr>
      <w:r>
        <w:rPr>
          <w:rFonts w:ascii="IRNazanin" w:hAnsi="IRNazanin" w:eastAsia="IRNazanin"/>
          <w:color w:val="111111"/>
          <w:sz w:val="28"/>
          <w:sz w:val="28"/>
          <w:szCs w:val="28"/>
          <w:rtl w:val="true"/>
          <w:lang w:bidi="fa-IR"/>
        </w:rPr>
        <w:t xml:space="preserve">إلی ما حُرّک فی جنبه جعله یشکّ فی أنّه نام فعلاً ، أوْ لا ، فاستفهم عن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حتی یستیقن أنّه قد نام ، حتّی یجیء من ذلک أمر بیِّن ، وإلاّ فإنّه علی یقینٍ من وضوئه ، ولا ینقض الیقین أبداً بالشکّ ، ولکن ینقضه بیقینٍ آخر</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هذه الروایة یقع فی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الروایة بتحلیل مفاد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علی یقینٍ من وضوئه ، 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بالکلام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اعتُبر البناء علی الشکّ نقضاً للیقین مع أنّ الیقین بالطهارة حدوثاً لا یتزعزع بالشکّ فی الحدث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المکلّف فی الحالة المفروضة فی السؤال بنی علی أنّه محدِث لمَا کان ذلک منافیاً لیقینه ؛ لأنّ الیقین بالحدوث لا ینافی الارتفاع فکیف یسند نقض الیقین إلی الشکّ؟</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ینقض الیقین تکویناً إذا تعلّق بنفس ما تعلّق به الیقین ، وأمّا إذاتغایر المتعلّقان فلاتنافی بین الیقین والشکّ لیکون الشکّ ناقضاًوهادماً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نعرف أنّ الشکّ فی قاعدة الیقین ناقض تکوینیّ للیقین المفترض فیها ، لوحدة متعلقیهما ذاتاً وزماناً ، وأنّ الشکّ فی مورد الاستصحاب لیس ناقضاً تکوینیّاً للیقین المفترض فیه ؛ لأنّ أحدهما متعلّق بالحدوث ، والآخر متعلّق بالبقاء ، ولهذا یجتمعان فی وقتٍ واحد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هذا قد یسند النقض إلی هذا الشکّ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ناقض للیقین بإعمال عنایةٍ عرفیّة ، وهی أن تلغی ملاحظة الزمان ، فلا نقطّع الشیء إلی حدوثٍ </w:t>
      </w:r>
    </w:p>
    <w:p>
      <w:pPr>
        <w:pStyle w:val="BookText"/>
        <w:rPr/>
      </w:pPr>
      <w:r>
        <w:rPr>
          <w:rFonts w:ascii="IRNazanin" w:hAnsi="IRNazanin" w:eastAsia="IRNazanin"/>
          <w:color w:val="111111"/>
          <w:sz w:val="28"/>
          <w:sz w:val="28"/>
          <w:szCs w:val="28"/>
          <w:rtl w:val="true"/>
          <w:lang w:bidi="fa-IR"/>
        </w:rPr>
        <w:t>وبقاء ، بل نلحظه بما هو أمر واحد ، ففی هذه الملاحظة یُری الشکّ والیقین واردین علی مصبٍّ واحدٍ ومتعلَّقٍ فارد ، فیصحّ بهذا الاعتبار إسناد النقض إلی الشکّ ، فکأنّ الشکّ نقض الیقین ، وبهذا الاعتبار یُری أیضاً أنّ الیقین والشکّ غیر مجتمعین ، کما هو الحال فی کلّ منقوضٍ مع ناقضه ، وعلی هذا الأساس جری التعبیر فی الروایة ، فأسند النقض إلی الشکّ ونهی عن جعله 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عناصر الجملة المذکورة الواردة فی کلام الإمام علیه‌السلام فإنّها جملة شرطیّة ، والشرط فیها هو أن لا یستیقن أنّه قد نام ، وأمّا الجزاء ففیه ثلاثة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محذوفاً ومقدّراً ،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 للجزاء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التزام بالتقدیر ، وهو خلاف الأصل فی المحاورة ، والتزام بالتکرار ؛ لأنّ عدم وجوب الوضوء یکون قد بیّن مرّةً قبل الجملة الشرطیّة ، ومرّةً فی جزائها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وتندفع 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التقدیر فی مثل المقام لیس علی خلاف الأصل ؛ لوجود القرینة المتّصلة علی تعیینه وبیانه ، حیث صرّح بعدم وجوب الوضوء قبل الجملة الشرطیّة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وتندفع 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التکرار الملفّق من التصریح والتقدیر لیس علی خلاف الطبع ، ولیس هذا تکراراً حقیقیّاً ، کما هو واضح ، فهذا الاحتمال لاغبار علیه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فیتخلّص بذلک من التقدیر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یُلاحظ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ربط بین الشرط والجزاء ؛ لوضوح أنّ الیقین </w:t>
      </w:r>
    </w:p>
    <w:p>
      <w:pPr>
        <w:pStyle w:val="BookText"/>
        <w:rPr/>
      </w:pPr>
      <w:r>
        <w:rPr>
          <w:rFonts w:ascii="IRNazanin" w:hAnsi="IRNazanin" w:eastAsia="IRNazanin"/>
          <w:color w:val="111111"/>
          <w:sz w:val="28"/>
          <w:sz w:val="28"/>
          <w:szCs w:val="28"/>
          <w:rtl w:val="true"/>
          <w:lang w:bidi="fa-IR"/>
        </w:rPr>
        <w:t xml:space="preserve">بالوضوء غیر مترتّبٍ علی عدم الیقین بالنوم ، بل هو ثابت علی أیّ حال ، ومن هنا یتعیّن حینئذٍ لأجل تصویر الترتّب بین الشرط والجزاء أن یحمل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جملة إنشائیّة یراد بها الحکم بأ نّه متیقّن تعبّداً ، لا خبریّة تتحدّث عن الیقین الواقعیّ له بوقوع الوضوء منه ، فإنّ الیقین التعبّدیّ بالوضوء یمکن أن یکون مترتّباً علی عدم الیقین بالنوم ؛ لأنّه حکم شرعیّ ، خلافاً للیقین الواقعیّ بالوضوء فإنّه ثابت علی أیّ حال ، ولکنّ حمل الجملة المذکورة علی الإنشاء خلاف ظاهرها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تمهید للجزاء ، أو تتمیم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أضعف من سابقه ؛ لأنّ الجزاء لا یناسب الواو ، والشرط وتتمیماته لا تناسب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یتبیّن أنّ الاحتمال الأوّل هو الأقوی ، ولکن یبقی أنّ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یقینٍ فعلیٍّ بالوضوء ، وهذا إنّما ینسجم مع حمل الیقین علی الیقین التعبّدیّ الشرعیّ ، کما یفترضه الاحتمال الثانی ؛ لأنّ الیقین إذا حملناه علی الیقین التعبّدیّ الشرعیّ فهو یقین فعلیّ بالوضوء ، ولا ینسجم مع حمله علی الیقین الواقعی ؛ لأنّ الیقین الواقعیّ بالوضوء لیس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المناسب حینئذٍ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فظهور الجملة المذکورة فی فعلیّة الیقین قد یُتّخذ قرینةً علی حملها علی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المکلّف عند الشکّ فی النوم علی یقینٍ واقعیٍّ فعلاً بأ نّه کان متطهّراً ، فلماذا تفترضون أنّ فعلیّة الیقین لا تنسجم مع حمله علی الیقین الواقعی؟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النقض إلی الشکّ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یصحّ إذا الغیت خصوصیّة الزمان وجُرّد الشیء المتیقّن والمشکوک عن وصف الحدوث والبقاء ، کما تقدّم توضیحه ، وبهذا اللحاظ</w:t>
      </w:r>
    </w:p>
    <w:p>
      <w:pPr>
        <w:pStyle w:val="BookText"/>
        <w:rPr/>
      </w:pPr>
      <w:r>
        <w:rPr>
          <w:rFonts w:ascii="Amiri" w:hAnsi="Amiri" w:eastAsia="Amiri" w:cs="Amiri"/>
          <w:color w:val="111111"/>
          <w:sz w:val="28"/>
          <w:sz w:val="28"/>
          <w:szCs w:val="28"/>
          <w:rtl w:val="true"/>
          <w:lang w:bidi="ar-SA"/>
        </w:rPr>
        <w:t>یکون الشکّ ناقضاً للیقین ؛ ولا یکون الیقین فعلیّاً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الظاهر أنّ ظهور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جملة خبریّة لا إنشائیّة أقوی من ظهور الیقین فی الفعلیّة ، وهکذا نعرف أنّ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یستیقن بالنوم فلا یجب الوضوء ؛ لأنّه کان علی یقینٍ من وضوئه ثمّ شکّ ، ولا ینبغی أن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الروایة هل هی ناظرة إلی الاستصحاب ، أو إلی قاعدة المقتضی والمانع؟</w:t>
      </w:r>
    </w:p>
    <w:p>
      <w:p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الاستصحاب یتعلّق فیه الشکّ ببقاء المتیقّن ، وقد فرض فی الروایة الیقین بالوضوء ، والوضوء لیس له بقاء لیعقل الشکّ فی بقائه ، وإنّما الشکّ فی حدوث النوم ، وینطبق ذلک علی قاعدة المقتضی والمانع ؛ لأنّ الوضوء مقتضٍ للطهارة ، والنوم رافع ومانع عنها ، فالمقتضی فی مورد الروایة معلوم والمانع مشکوک فیبنی علی أصالة عدم المانع وثبوت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قد فُرض له فی الشریعة بقاء واستمرار ، ولهذا عبِّر عن الحدث بأ نّه ناقض للوضوء ، وقیل للمصلّی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وضوء ، ولیس ذلک إلاّلافتراضه أمراً مستمرّاً فیتعلّق الشکّ ببقائه وینطبق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إلی ظهور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وحدة متعلّق الیقین والشکّ یتعیّن تنزیل الروایة علی الاستصحاب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افتراض تکفّل الروایة للاستصحاب یقع الکلام </w:t>
      </w:r>
    </w:p>
    <w:p>
      <w:pPr>
        <w:pStyle w:val="BookText"/>
        <w:rPr/>
      </w:pPr>
      <w:r>
        <w:rPr>
          <w:rFonts w:ascii="IRNazanin" w:hAnsi="IRNazanin" w:eastAsia="IRNazanin"/>
          <w:color w:val="111111"/>
          <w:sz w:val="28"/>
          <w:sz w:val="28"/>
          <w:szCs w:val="28"/>
          <w:rtl w:val="true"/>
          <w:lang w:bidi="fa-IR"/>
        </w:rPr>
        <w:t>فی أنّه هل یُستفاد منها جعل الاستصحاب علی وجهٍ کلّیٍّ کقاعدةٍ عامّة ، أو لا تدلّ علی أکثر من جریان الاستصحاب فی باب الوضوء عند الشکّ فی الحدث؟</w:t>
      </w:r>
    </w:p>
    <w:p>
      <w:pPr>
        <w:pStyle w:val="BookText"/>
        <w:rPr/>
      </w:pPr>
      <w:r>
        <w:rPr>
          <w:rFonts w:ascii="IRNazanin" w:hAnsi="IRNazanin" w:eastAsia="IRNazanin"/>
          <w:color w:val="111111"/>
          <w:sz w:val="28"/>
          <w:sz w:val="28"/>
          <w:szCs w:val="28"/>
          <w:rtl w:val="true"/>
          <w:lang w:bidi="fa-IR"/>
        </w:rPr>
        <w:t xml:space="preserve">قد یقال بعدم الدلالة علی الاستصحاب کقاعدةٍ عامّة ؛ لأنّ اللام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أن یکون للجنس فتکون الجملة المذکورة مطلقةً ، کذلک یحتمل أن یکون للعهد وللإشارة إلی الیقین المذکور فی الجملة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الیقین بالوضوء ، فلا یکون للجملة إطلاق لغیر مورد الشکّ فی انتقاض الوضوء ، وإجمال للام وتردّده بین الجنس والعهد کافٍ فی منع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مساق التعلیل للجزاء المحذوف ، کما تقدم ، وظهور التعلیل فی کونه تعلیلاً بأمرٍ عرفیٍّ وتحکیم مناسبات الحکم والموضوع المرکوزة علیه یقتضی حمل الیقین والشکّ علی طبیعیّ الیقین والشکّ ؛ لأنّ التعلیل بکبری الاستصحاب عرفیّ ومطابق للمناسبات العرفیّة ، بخلاف التعلیل باستصحاب مجعولٍ فی خصوص باب الوضوء</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أنّها للعهد والإشارة إلی الیقین الوارد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یقتضی ذلک اختصاص القول المذکور بباب الوضوء ؛ لأنّ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قیداً للیقین ، حیث إنّ الیقین لا یتعدّی عادةً إلی متعلّقه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هو قید للظرف ، ومحصّل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ناحیة الوضوء علی یقین ، وهذا یعنی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فی معناها الکلّیّ ، فإذا اشیر إلیها لم یقتض ذلک الاختصاص </w:t>
      </w:r>
    </w:p>
    <w:p>
      <w:pPr>
        <w:pStyle w:val="BookText"/>
        <w:rPr/>
      </w:pPr>
      <w:r>
        <w:rPr>
          <w:rFonts w:ascii="IRNazanin" w:hAnsi="IRNazanin" w:eastAsia="IRNazanin"/>
          <w:color w:val="111111"/>
          <w:sz w:val="28"/>
          <w:sz w:val="28"/>
          <w:szCs w:val="28"/>
          <w:rtl w:val="true"/>
          <w:lang w:bidi="fa-IR"/>
        </w:rPr>
        <w:t>بباب الوضوء ، خلافاً لِمَا إذا کان القید راجعاً إلی نفس الیقین ، وکان مفاد الجملة المذکورة أنّه علی یقینٍ بالوضوء ، فإنّ الإشارة إلی هذا الیقین توجب الاختصاص</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فالاستدلال بالروایة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w:t>
      </w:r>
      <w:r>
        <w:rPr>
          <w:rStyle w:val="FootnoteAnchor"/>
          <w:rtl w:val="true"/>
        </w:rPr>
        <w:footnoteReference w:id="180"/>
      </w:r>
      <w:r>
        <w:rPr>
          <w:rFonts w:ascii="IRNazanin" w:hAnsi="IRNazanin" w:eastAsia="IRNazanin"/>
          <w:color w:val="111111"/>
          <w:sz w:val="28"/>
          <w:sz w:val="28"/>
          <w:szCs w:val="28"/>
          <w:rtl w:val="true"/>
          <w:lang w:bidi="fa-IR"/>
        </w:rPr>
        <w:t>عدیدة اخری یستدلّ بها علی الاستصحاب ، ولا شکّ فی دلالة جملةٍ منها</w:t>
      </w:r>
      <w:r>
        <w:rPr>
          <w:rFonts w:eastAsia="IRNazanin" w:cs="IRNazanin"/>
          <w:color w:val="111111"/>
          <w:sz w:val="28"/>
          <w:szCs w:val="28"/>
          <w:rtl w:val="true"/>
          <w:lang w:bidi="fa-IR"/>
        </w:rPr>
        <w:t xml:space="preserve">. </w:t>
      </w:r>
      <w:bookmarkStart w:id="835" w:name="pg14075_144793"/>
    </w:p>
    <w:p>
      <w:pPr>
        <w:pStyle w:val="Heading6"/>
        <w:numPr>
          <w:ilvl w:val="5"/>
          <w:numId w:val="1"/>
        </w:numPr>
        <w:rPr/>
      </w:pPr>
      <w:bookmarkStart w:id="836" w:name="__RefHeading___Toc509188_1738255347"/>
      <w:bookmarkStart w:id="837" w:name="_Toc287"/>
      <w:bookmarkEnd w:id="835"/>
      <w:bookmarkEnd w:id="836"/>
      <w:r>
        <w:rPr/>
        <w:t>2</w:t>
      </w:r>
      <w:r>
        <w:rPr>
          <w:rtl w:val="true"/>
        </w:rPr>
        <w:t xml:space="preserve"> - </w:t>
      </w:r>
      <w:r>
        <w:rPr>
          <w:rtl w:val="true"/>
        </w:rPr>
        <w:t>أرکان الاستصحاب</w:t>
      </w:r>
      <w:bookmarkEnd w:id="837"/>
    </w:p>
    <w:p>
      <w:pPr>
        <w:pStyle w:val="BookText"/>
        <w:rPr/>
      </w:pPr>
      <w:r>
        <w:rPr>
          <w:rFonts w:ascii="IRNazanin" w:hAnsi="IRNazanin" w:eastAsia="IRNazanin"/>
          <w:color w:val="111111"/>
          <w:sz w:val="28"/>
          <w:sz w:val="28"/>
          <w:szCs w:val="28"/>
          <w:rtl w:val="true"/>
          <w:lang w:bidi="fa-IR"/>
        </w:rPr>
        <w:t>وبعد الفراغ عن ثبوت الاستصحاب شرعاً یقع الکلام فی تحدید أرکانه علی ضوء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دلیل الاستصحاب المتقدّم تقوّمه بأربعة 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المتیقّنة والمشکوکة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الحالة السابقة فی مرحلة البقاء ذات أثر مصحّح للتعبّد ببقائها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ولنأخذ هذه الأرکان تباعاً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الرکن الأوّل فهو مأخوذ فی لسان الدلیل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 ذلک کون الیقین بالحالة السابقة دخیلاً فی موضوع الاستصحاب ، فمجرّد حدوث الشیء لا یکفی لجریان استصحابه مالم یکن هذا الحدوث متیقّناً ، ومجرّد الشک فی وجود شیءٍ لا یکفی لاستصحابه مالم یکن ثبوته فی السابق معلوماً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ترتّب بحث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السابقة قد تثبت بالأمارة لابالیقین ، فإذا کان الاستصحاب حکماً مترتّباً علی الیقین فکیف یجری إذا شُکّ فی بقاء شیءٍ لم یکن حدوثه متیقّناً بل ثابتاً بالأمارة؟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حاول المحقّق النائینیّ رحمه‌الله </w:t>
      </w:r>
      <w:r>
        <w:rPr>
          <w:rStyle w:val="FootnoteAnchor"/>
          <w:rtl w:val="true"/>
        </w:rPr>
        <w:footnoteReference w:id="181"/>
      </w:r>
      <w:r>
        <w:rPr>
          <w:rFonts w:ascii="IRNazanin" w:hAnsi="IRNazanin" w:eastAsia="IRNazanin"/>
          <w:color w:val="111111"/>
          <w:sz w:val="28"/>
          <w:sz w:val="28"/>
          <w:szCs w:val="28"/>
          <w:rtl w:val="true"/>
          <w:lang w:bidi="fa-IR"/>
        </w:rPr>
        <w:t>أن یُخرّج ذلک علی أساس قیام الأمارات مقام القطع الموضوعیّ ، فالیقین هنا جزء الموضوع للاستصحاب ، فهو قطع موضوعیّ وتقوم مقامه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أنکر رکنیّة الیقین بالحدوث </w:t>
      </w:r>
      <w:r>
        <w:rPr>
          <w:rStyle w:val="FootnoteAnchor"/>
          <w:rtl w:val="true"/>
        </w:rPr>
        <w:footnoteReference w:id="182"/>
      </w:r>
      <w:r>
        <w:rPr>
          <w:rFonts w:ascii="IRNazanin" w:hAnsi="IRNazanin" w:eastAsia="IRNazanin"/>
          <w:color w:val="111111"/>
          <w:sz w:val="28"/>
          <w:sz w:val="28"/>
          <w:szCs w:val="28"/>
          <w:rtl w:val="true"/>
          <w:lang w:bidi="fa-IR"/>
        </w:rPr>
        <w:t>واستظهر أنّه مأخوذ فی لسان الدلیل بما هو معرّف ومشیر إلی الحدوث ، فالاستصحاب مترتّب علی الحدوث لا علی الیقین به ، والأمارة تثبت الحدوث فتنقّح بذلک 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فمأخوذ أیضاً فی لسان الدلیل ، والمراد به مطلق عدم العلم ، فیشمل حالة الظنّ أیضاً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ظاهره حصر ما یسمح بأن ینقض به الیقین بالیقین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یکون موجوداً وجوداً فعلیّاً ، کما فی الشاکّ الملتفت إلی شکّه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واخری یکون موجوداً وجوداً تقدیریّاً ، کما فی الغافل الذی لو التفت إلی الواقعة لشکّ فیها ، ولکنّه غیر شاکٍّ فعلاً لغفلته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وقع البحث فی أنّ الشکّ المأخوذ فی موضوع دلیل الاستصحاب هل یشمل القسمین معاً ، أو یختصّ بالقسم الأوّل؟ فإذا کان المکلّف علی یقینٍ من الحدث ثمّ شکّ فی بقائه وقام وصلّی ملتفتاً إلی شکّه فلا ریب فی أنّ استصحاب الحدث یجری فی حقّه وهو یصلّی ، وبذلک تکون الصلاة من حین وقوعها محکومةً بالبطلان ، وفی مثل هذه الحالة لا یمکن للمکلّف إذا فرغ من صلاته هذه أن یتمسّک لصحّتها بقاعدة الفراغ ؛ لأنّها إنّما تجری فی صلاةٍ لم یثبت الحکم ببطلانها حین إیقاعها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المکلّف علی یقینٍ من الحدث ، ثمّ غفل وذهل عن حاله وقام </w:t>
      </w:r>
    </w:p>
    <w:p>
      <w:pPr>
        <w:pStyle w:val="BookText"/>
        <w:rPr/>
      </w:pPr>
      <w:r>
        <w:rPr>
          <w:rFonts w:ascii="IRNazanin" w:hAnsi="IRNazanin" w:eastAsia="IRNazanin"/>
          <w:color w:val="111111"/>
          <w:sz w:val="28"/>
          <w:sz w:val="28"/>
          <w:szCs w:val="28"/>
          <w:rtl w:val="true"/>
          <w:lang w:bidi="fa-IR"/>
        </w:rPr>
        <w:t>وصلّی ذاهلاً ، وبعد الصلاة التفت وشکّ فی أنّه هل کان لا یزال محدثاً حین صلّی ، أوْ لا؟ فقد یقال بأنّ استصحاب الحدث لم یکن جاریاً حین الصلاة ؛ لأنّ الشکّ لم یکن فعلیّاً بل تقدیریّاً ، فالصلاة لم تقترن بقاعدةٍ شرعیّةٍ تحکم ببطلانها ، فبإمکان المکلّف حینئذٍ أن یرجع عند التفاته بعد الفراغ من الصلاة إلی قاعدة الفراغ ، فیحکم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الاستصحاب لم یکن جاریاً حین الصلاة ، ولکن لماذا لا یجری الآن مع أنّ الشکّ فعلیّ ، وباستصحاب الحدث فعلاً یثبت أنّ صلاته التی فرغ منها باطلة؟</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الاستصحاب ظرف جریانه هو نفس ظرف جریان قاعدة الفراغ ، وکلّما اتّحد ظرف جریان الاستصحاب والقاعدة تقدّمت قاعدة الفراغ ، خلافاً لِمَا إذا کان ظرف جریان الاستصحاب أثناء الصلاة فإنّه حینئذٍ لا یدع مجالاً لرجوع المکلّف بعد الفراغ من صلاته إلی قاعدة الفراغ ؛ لأنّ موضوعها صلاة لم یحکم ببطلانها فی ظرف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لا تجری بالنسبة إلی الصلاة المفروضة فی هذا المثال علی أیّ حال ؛ حتّی لو لم یجر استصحاب الحدث فی أثنائها ؛ وذلک لأنّ قاعدة الفراغ لا تجری عند إحراز وقوع الفعل المشکوک الصحّة مع الغفلة ، ففی المثال المذکور لا یمکن تصحیح الصلاة بحال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وحدة القضیّة المتیقّنة والمشکوکة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 ظهور الدلیل فی أنّ الشکّ الذی یمثّل الرکن الثانی یتعلّق بعین ما تعلّق به الیقین الذی یُمثّل الرکن الأوّل ، إذ لو تغایر متعلّق الشکّ مع متعلّق الیقین فلن یکون العمل بالشکّ نقضاً للیقین ، وإنّما یکون نقضاً له فی حالة وحدة المتعلّق لهما معاً ، والمقصود بالوحدة ، الوحدة الذاتیّة لا الزمانیّة ، فلا ینافیها أن یکون الیقین متعلّقاً </w:t>
      </w:r>
    </w:p>
    <w:p>
      <w:pPr>
        <w:pStyle w:val="BookText"/>
        <w:rPr/>
      </w:pPr>
      <w:r>
        <w:rPr>
          <w:rFonts w:ascii="IRNazanin" w:hAnsi="IRNazanin" w:eastAsia="IRNazanin"/>
          <w:color w:val="111111"/>
          <w:sz w:val="28"/>
          <w:sz w:val="28"/>
          <w:szCs w:val="28"/>
          <w:rtl w:val="true"/>
          <w:lang w:bidi="fa-IR"/>
        </w:rPr>
        <w:t xml:space="preserve">بحدوث الشیء والشکّ ببقائه ، فإنّ النقض یصدق مع الوحدة الذاتیّة وتجرید کلّ من الیقین والشکّ عن خصوصیّة الزمان ، کما تقدّم ، وقد ترتّب علی هذا الرکن 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لوحظ من أنّ هذا الرکن یمکن تواجده فی الشبهات الموضوعیّة بأن تشکّ فی بقاء نفس ما کنت علی یقینٍ منه ، ولکن من الصعب الالتزام بوجوده فی الشبهات الحکمیّة ؛ وذلک لأنّ الحکم المجعول تابع فی وجوده لوجود القیود المأخوذة فی موضوعه عند جعله ، فإذا کانت هذه القیود کلّها متوفّرةً ومحرزةً فلا یمکن الشکّ فی وجود الحکم المجعول ، وما دامت باقیةً ومعلومةً فلا یمکن الشکّ فی بقاء الحکم المجعول ، وإنّما یتصوّر الشکّ فی بقائه بعد الیقین بحدوثه إذا أحرز المکلّف فی البدایة أنّ القیود کلّها موجودة ، ثمّ اختلّت خصوصیّة من الخصوصیّات فی الأثناء ، واحتمل المکلّف أن تکون هذه الخصوصیّة من تلک القیود ، فإنّه سوف یشکّ حینئذٍ فی بقاء الحکم المجعول ؛ لاحتمال 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متغیّراً بالنجاسة فیعلم بنجاسته ، ثمّ یزول التغیّر الفعلیّ فیشک فی بقاء النجاسة ؛ لاحتمال أنّ فعلیّة التغیّر قید فی النجاسة المجعولة شرعاً ، وفی هذه الحالة لو لاحظ المکلّف بدقّةٍ قضیّته المتیقّنة وقضیّته المشکوکة لرآهما مختلفتین ؛ لأنّ القضیّة المتیقّنة هی نجاسة الماء المتّصف بالتغیّر الفعلیّ ، والقضیّة المشکوکة هی نجاسة الماء الذی زال عنه التغیّر الفعلیّ ، فکیف یجری الاستصحاب؟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الوحدة المعتبرة بین المتیقّن والمشکوک لیست وحدةً حقیقیّةً مبنیّةً علی الدقّة والاستیعاب ، بل وحدة عرفیّة علی نحوٍ لو کان المشکوک ثابتاً فی الواقع لا عتبر العرف هذا الثبوت بقاءً لِمَا سبق ، لا حدوثاً لشیءٍ </w:t>
      </w:r>
    </w:p>
    <w:p>
      <w:pPr>
        <w:pStyle w:val="BookText"/>
        <w:rPr/>
      </w:pPr>
      <w:r>
        <w:rPr>
          <w:rFonts w:ascii="IRNazanin" w:hAnsi="IRNazanin" w:eastAsia="IRNazanin"/>
          <w:color w:val="111111"/>
          <w:sz w:val="28"/>
          <w:sz w:val="28"/>
          <w:szCs w:val="28"/>
          <w:rtl w:val="true"/>
          <w:lang w:bidi="fa-IR"/>
        </w:rPr>
        <w:t>جدید ، إذ کلّما صدق علی المشکوک أنّه بقاء عرفاً للمتیقّن انطبق علی العمل بالشکّ أنّه نقض للیقین بالشکّ فیشمله دلیل الاستصحاب ، ولا شکّ فی أنّ الماء المتغیّر إذا کان نجساً بعد زوال التغیّر فلیست هذه النجاسة عرفاً إلاّامتداداً للنجاسة المعلومة حدوثاً ، وإن کانت النجاستان مختلفتین فی بعض الخصوصیّات والظروف ، فیجری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بعض القیود تعتبر عرفاً مقوّمةً للحکم ومنوّعةً له علی نحوٍ یری العرف أنّ الحکم المرتبط بها مغایر للحکم الثابت بدونها ، کما فی وجوب إکرام الضیف المرتبط بالضیافة ، فإنّ الضیافة قید منوّع ، فلو وجب علیک أن تکرم ضیفک بعد خروجه من ضیافتک أیضاً بوصفه فقیراً فلا یعتبر هذا الوجوب استمراراً لوجوب إکرامه من أجل الضیافة ، بل وجوباً آخر ؛ لأنّ الضیافة خصوصیّة مقوّمة ومنوّعة ، فإذا کنتَ علی یقینٍ من وجوب إکرام الضیف وشککت فی وجوب إکرامه بعد خروجه من ضیافتک باعتبار فقره لم یجرِ استصحاب الوجوب ؛ لأنّ الوجوب المشکوک هنا مغایر للوجوب المتیقّن ولیس استمراراً 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نخرج بنتیجة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القیود للحکم علی قسمین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منها یعتبر مقوّماً ومنوّعاً ، وقسم لیس کذلک ، وکلّما نشأ الشکّ من القسم الأوّل لم یجرِ الاستصحاب ، وکلّما نشأ من القسم الثانی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القسم الأوّل بالحیثیات التقییدیّة ، والقسم الثانی بالحیثیات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الرکن الرابع فقد یبیّن بإحدی صیغتین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یتوقّف جریانه علی أن یکون المستصحب حکماً شرعیّاً أو موضوعاً یترتّب علیه الحکم الشرعیّ ؛ لأنّه إذا لم یکن کذلک یعتبر أجنبیّاً عن الشارع ، فلا معنی لصدور التعبّد منه بذلک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الصیغة تسبّب عدّة مشاکل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استصحاب عدم التکلیف مع أنّ عدم التکلیف لیس حکماً ولا موضوعاً لحکم؟</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یجری استصحاب شرط الواجب وقیده کالطهارة ، کما هو مورد الروایة؟ فإنّ قید الواجب لیس حکماً ولا موضوعاً یترتّب علیه الحکم ، فإنّ الحکم إنّما یترتّب علی قید الوجوب لا علی قید الواجب ، ومن هنا وُضعت الصیغة الاخری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یتوقّف جریانه علی أن یکون لإثبات الحالة السابقة فی مرحلة البقاء أثر عملیّ ، أی صلاحیة للتنجیز والتعذیر ، وهذا حاصل فی موارد استصحاب عدم التکلیف ، فإنّ إثبات عدم التکلیف بقاءً معذّر ، وکذلک فی موارد استصحاب قید الواجب ، فإنّ إثباته بقاءً معذّر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الصیغة هی الصحیحة ؛ لأنّ برهان هذا الرکن لا یثبت أکثر ممّا تقرّره هذه الصیغة ، کما سنری ، وبرهان توقّف الاستصحاب علی هذا الرکن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الحالة السابقة فی مرحلة البقاء تعبّداً إذا لم یکن مؤثّراً فی التنجیز والتعذیر یعتبر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ینهی عن نقض الیقین بالشکّ ، ولا یراد بذلک النهی عن النقض الحقیقیّ ؛ لأنّ الیقین ینتقض بالشکّ حقیقةً ، وإنّما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النقض العملی ، ومرجع ذلک إلی الأمر بالجری علی طبق ما یقتضیه الیقین من إقدامٍ أو إحجامٍ وتنجیزٍ وتعذیر ، ومن الواضح أنّ المستصحَب إذا لم یکن له أثر عملیّ وصلاحیّة للتنجیز والتعذیر فلا یقتضی الیقین به جریاً عملیاً محدّداً لیؤمر المکلّف بابقاء هذا الجری وینهی عن النقض العملی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الرکن یتواجد فیما إذا کان المستصحَب حکماً قابلاً للتنجیز والتعذیر ، أو عدم حکمٍ قابلٍ لذلک ، أو موضوعاً لحکمٍ کذلک ، أو متعلّقاً 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والظرف الذی یعتبر فیه تواجد هذا الرکن هو ظرف البقاء لا ظرف الحدوث ، فإذا کان للحالة السابقة أثر عملیّ وصلاحیّة للتنجیز والتعذیر فی مرحلة البقاء جری الاستصحاب فیها ، ولو لم یکن لحدوثها أثر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لکفر الابن فی حیاة أبیه أثر عملیّ ، ولکن کان لبقائه کافراً إلی حین موت الأب أثر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نفی الإرث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وشککنا فی بقائه کافراً کذلک جری استصحاب کفره</w:t>
      </w:r>
      <w:r>
        <w:rPr>
          <w:rFonts w:eastAsia="IRNazanin" w:cs="IRNazanin"/>
          <w:color w:val="111111"/>
          <w:sz w:val="28"/>
          <w:szCs w:val="28"/>
          <w:rtl w:val="true"/>
          <w:lang w:bidi="fa-IR"/>
        </w:rPr>
        <w:t xml:space="preserve">. </w:t>
      </w:r>
      <w:bookmarkStart w:id="838" w:name="pg14075_144800"/>
    </w:p>
    <w:p>
      <w:pPr>
        <w:pStyle w:val="Heading6"/>
        <w:numPr>
          <w:ilvl w:val="5"/>
          <w:numId w:val="1"/>
        </w:numPr>
        <w:rPr/>
      </w:pPr>
      <w:bookmarkStart w:id="839" w:name="__RefHeading___Toc509190_1738255347"/>
      <w:bookmarkStart w:id="840" w:name="_Toc288"/>
      <w:bookmarkEnd w:id="838"/>
      <w:bookmarkEnd w:id="839"/>
      <w:r>
        <w:rPr/>
        <w:t>3</w:t>
      </w:r>
      <w:r>
        <w:rPr>
          <w:rtl w:val="true"/>
        </w:rPr>
        <w:t xml:space="preserve"> - </w:t>
      </w:r>
      <w:r>
        <w:rPr>
          <w:rtl w:val="true"/>
        </w:rPr>
        <w:t>مقدار ما یثبت بالاستصحاب</w:t>
      </w:r>
      <w:bookmarkEnd w:id="840"/>
    </w:p>
    <w:p>
      <w:pPr>
        <w:pStyle w:val="BookText"/>
        <w:rPr/>
      </w:pPr>
      <w:r>
        <w:rPr>
          <w:rFonts w:ascii="IRNazanin" w:hAnsi="IRNazanin" w:eastAsia="IRNazanin"/>
          <w:color w:val="111111"/>
          <w:sz w:val="28"/>
          <w:sz w:val="28"/>
          <w:szCs w:val="28"/>
          <w:rtl w:val="true"/>
          <w:lang w:bidi="fa-IR"/>
        </w:rPr>
        <w:t>دلیل الاستصحاب کما عرفنا مفاده النهی عن النقض العملیّ للیقین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النهی لا یراد به تحریم النقض العملیّ ، بل یراد به بیان أنّ الشارع حکم ببقاء المتیقّن عند الشکّ فی بقائه ، والنهی إرشاد إلی هذا الحکم ، فکأ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 لأنّی أحکم بأنّ المتیقّن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والحکم ببقاء المتیقّن هنا لایعنی بقاءه حقیقةً ، وإلاّ لزال الشکّ ؛ مع أنّ الاستصحاب حکم الشکّ ، بل یعنی بقاءه من الناحیة العملیّة ، أی تنزیله منزلة الباقی عملیّاً ، ومرجع ذلک إلی القول بأنّ الشیء الذی کنت علی یقینٍ منه فشککت فی بقائه نُزّل منزلة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المستصحَب حکماً فتنزیله منزلة الباقی معناه التعبّد ببقائه ، وإذا کان موضوعاً لحکمٍ فتنزیله منزلة الباقی معناه التعبّد بحکمه وأثره ، وإذا کان للمستصحَب حکم شرعیّ وکان هذا الحکم بنفسه موضوعاً لحکمٍ شرعیٍّ آخر فتنزیله منزلة الباقی معناه التعبّد بحکمه ، والتعبّد بحکمه هو بدوره یعنی التعبّد بما لهذا الحکم من حکمٍ أیضاً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یکون المستصحب حکماً ولا موضوعاً لحکم ، ولکنّه سبب تکوینیّ أو ملازم خارجیّ لشیءٍ آخر وذلک الشیء هو موضوع الحکم ، کما لو فرضنا أنّ حیاة زیدٍ التی کنّا علی یقینٍ منها ثمّ شککنا فی بقائها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بقائها إلی زمان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لنبات لحیته ، وکان نبات اللحیة موضوعاً لحکمٍ شرعیّ ، ففی مثل ذلک هل یجری استصحاب حیاة زیدٍ لإثبات ذلک الحکم الشرعیّ تعبّداً ، أوْ 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بین المحقّقین عدم اقتضاء دلیل الاستصحاب لذلک ، وهذا هو </w:t>
      </w:r>
    </w:p>
    <w:p>
      <w:pPr>
        <w:pStyle w:val="BookText"/>
        <w:rPr/>
      </w:pPr>
      <w:r>
        <w:rPr>
          <w:rFonts w:ascii="IRNazanin" w:hAnsi="IRNazanin" w:eastAsia="IRNazanin"/>
          <w:color w:val="111111"/>
          <w:sz w:val="28"/>
          <w:sz w:val="28"/>
          <w:szCs w:val="28"/>
          <w:rtl w:val="true"/>
          <w:lang w:bidi="fa-IR"/>
        </w:rPr>
        <w:t>الصحیح ؛ لأنّه إن ارید إثبات ذلک الحکم الشرعیّ باستصحاب حیاة زیدٍ مباشرةً بلا تعبّدٍ بنبات اللحیة فهو غیر ممکن ؛ لأنّ ذلک الحکم موضوعه نبات اللحیة ، لا حیاة زید ، فما لم یثبت بالتنزیل والتعبّد نبات اللحیة لا یترتّب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إثبات نبات اللحیة أوّلاً باستصحاب الحیاة ، وبالتالی إثبات ذلک الحکم الشرعیّ فهو خلاف ظاهر دلیل الاستصحاب ؛ لأنّ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مشکوک البقاء منزلة الباقی ، والتنزیل دائماً ینصرف عرفاً إلی توسعة دائرة الآثار المجعولة من قبل المنزّل لا غیرها ، ونبات اللحیة أثر للحیاة ؛ ولکنّه أثر تکوینیّ ولیس بجعلٍ من الشارع بما هو شارع ، فهو کما لو قال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الفقاع منزلة الخمر ، فکما یترتّب علی ذلک توسعة دائرة الحرمة لا توسعة الآثار التکوینیّة للخمر بالتنزیل ، کذلک یترتّب علی استصحاب الحیاة توسعة الأحکام الشرعیّة للحیاة عملیّاً ، لا توسعة آثارها التکوینیّة التی منها نبات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صحّ القول بأنّ الاستصحاب یترتّب علیه الأحکام الشرعیّة للمستصحب ، دون الآثار العقلیّة التکوینیّة وأحکامها الشرعیّة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ویسمّی الاستصحاب الذی یراد به إثبات حکمٍ شرعیٍّ مترتِّبٍ علی أثرٍ تکوینیّ للمستصحَب بالأصل المثبت ، ویقال عادةً بعدم جریان الأصل المثبت ، ویراد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استصحاب الحیاة لا یثبت الحکم الشرعیّ لنبات اللحیة ، ویسمّی نبات اللحیة بالواسطة العقلیّة</w:t>
      </w:r>
      <w:r>
        <w:rPr>
          <w:rFonts w:eastAsia="IRNazanin" w:cs="IRNazanin"/>
          <w:color w:val="111111"/>
          <w:sz w:val="28"/>
          <w:szCs w:val="28"/>
          <w:rtl w:val="true"/>
          <w:lang w:bidi="fa-IR"/>
        </w:rPr>
        <w:t xml:space="preserve">. </w:t>
      </w:r>
      <w:bookmarkStart w:id="841" w:name="pg14075_144802"/>
    </w:p>
    <w:p>
      <w:pPr>
        <w:pStyle w:val="Heading6"/>
        <w:numPr>
          <w:ilvl w:val="5"/>
          <w:numId w:val="1"/>
        </w:numPr>
        <w:rPr/>
      </w:pPr>
      <w:bookmarkStart w:id="842" w:name="__RefHeading___Toc509192_1738255347"/>
      <w:bookmarkStart w:id="843" w:name="_Toc289"/>
      <w:bookmarkEnd w:id="841"/>
      <w:bookmarkEnd w:id="842"/>
      <w:r>
        <w:rPr/>
        <w:t>4</w:t>
      </w:r>
      <w:r>
        <w:rPr>
          <w:rtl w:val="true"/>
        </w:rPr>
        <w:t xml:space="preserve"> - </w:t>
      </w:r>
      <w:r>
        <w:rPr>
          <w:rtl w:val="true"/>
        </w:rPr>
        <w:t>عموم جریان الاستصحاب</w:t>
      </w:r>
      <w:bookmarkEnd w:id="843"/>
    </w:p>
    <w:p>
      <w:pPr>
        <w:pStyle w:val="BookText"/>
        <w:rPr/>
      </w:pPr>
      <w:r>
        <w:rPr>
          <w:rFonts w:ascii="IRNazanin" w:hAnsi="IRNazanin" w:eastAsia="IRNazanin"/>
          <w:color w:val="111111"/>
          <w:sz w:val="28"/>
          <w:sz w:val="28"/>
          <w:szCs w:val="28"/>
          <w:rtl w:val="true"/>
          <w:lang w:bidi="fa-IR"/>
        </w:rPr>
        <w:t>بعد أن تمّت دلالة النصوص علی جریان الاستصحاب نتمسّک بإطلاقها لإثبات جریانه فی کلّ الحالات التی تتمّ فیها أرکانه ، وهذا معنی عموم جریانه ، ولکن هناک أقوال تتّجه إلی التفصیل فی جریانه بین بعض الموارد وبعض ، بدعوی قصور إطلاق الدلیل عن الشمول لجمیع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ونقتصر علی ذکر أهمّها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الشیخ الأنصاریّ والمحقّق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من جریان الاستصحاب فی موارد الشکّ فی الرافع وعدم جریانه فی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مدّعاهما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المتیقّن الذی یشکّ 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شیئاً قابلاً للبقاء والاستمرار بطبعه ، وإنّما یرتفع برافع ، والشکّ فی بقائه ینشأ من احتمال طروّ الرافع ، ففی مثل ذلک یجری استصحابه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التی تستمرّ بطبعها متی ما حدثت ما لم ینقضها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المتیقّن الذی یشکّ فی بقائه محدود القابلیّة للبقاء فی نفسه ، کالشمعة التی تنتهی لا محالة بمرور زمنٍ حتّی لو لم یهبّ علیها الریح ، فإذا شکّ فی بقاء نورها لاحتمال انتهاء قابلیّته لم یجرِ الاستصحاب ، ویسمّی ذلک بمورد الشکّ فی المقتضی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وبالنظرة الاولی یبدو أنّ هذا التفصیل علی خلاف إطلاق دلیل الاستصحاب ؛ لشمول إطلاقه لموارد الشکّ فی المقتضی ، فلابدّ للقائلین بعدم </w:t>
      </w:r>
    </w:p>
    <w:p>
      <w:pPr>
        <w:pStyle w:val="BookText"/>
        <w:rPr/>
      </w:pPr>
      <w:r>
        <w:rPr>
          <w:rFonts w:ascii="IRNazanin" w:hAnsi="IRNazanin" w:eastAsia="IRNazanin"/>
          <w:color w:val="111111"/>
          <w:sz w:val="28"/>
          <w:sz w:val="28"/>
          <w:szCs w:val="28"/>
          <w:rtl w:val="true"/>
          <w:lang w:bidi="fa-IR"/>
        </w:rPr>
        <w:t xml:space="preserve">الشمول من إبراز نکتةٍ فی الدلیل تمنع عن إطلاقه ، وهذه النکتة قد ادُّعی أنّها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وتقریب استفادة الاختصاص منها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حلّ لما هو محکم ومبرَم ، وقد جعل الاستصحاب بلسان النهی عن النقض ، فلابدّ أن تکون الحالة السابقة التی یُنهی عن نقضها محکمةً ومبرمةً ومستمرّةً بطبیعتها لکی یصدق النقض علی رفع الید عنها ، وأمّا إذا کانت مشکوکة القابلیّة للبقاء فهی علی فرض انتهاء قابلیّتها لا یصحّ إسناد النقض إلیها ؛ لانحلالها بحسب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لا تقول عن الخیوط المتفکّکة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نقضتُها إذا فَصَلتَ بعضها عن بعض ، وإنّما تقول عن الحبل المحکم ذلک إذا حللته ، فیختصّ الدلیل إذن بموارد إحراز قابلیّة المستصحَب للبقاء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لم یسند إلی المتیقّن والمستصحب لنفتّش عن جهة إحکامٍ فیه حتّی نجدها فی افتراض قابلیّته للبقاء ، بل اسند إلی نفس الیقین فی الروایة ، والیقین بنفسه حالة مستحکمة وفیها رسوخ مصحّح لإسناد النقض إلیها بقطع النظر عن حالة المستصحَب ومدی قابلیّته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یفترض کون العمل بالشکّ نقضاً للیقین بالشکّ ، وهذا لا یصدق حقیقةً إلاّإذا کان الشکّ متعلّقاً بعین ما تعلّق به الیقین حقیقةً أو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قاعدة الیقین مع یقینها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بقاء الطهارة مع الیقین بحدوثها ، فإنّ الشکّ هنا وإن کان متعلّقاً بغیر ما تعلّق به الیقین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متعلّق بالبقاء ، والیقین متعلّق بالحدوث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إنّ المتیقّن له قابلیّة البقاء والاستمرار فکأنّ الیقین بالعنایة قد تعلّق به بما هو باقٍ ومستمرّ ، فیکون الشکّ متعلّقاً بعین ما تعلّق به الیقین ، وبهذا یصدق النقض علی العمل بالشکّ ، وأمّا فی موارد الشکّ فی المقتضی فالیقین غیر متعلّق بالبقاء ، لا حقیقةً ولا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فواضح ، وأمّا الثانی فلأنّ المتیقّن لم تحرز قابلیّته </w:t>
      </w:r>
    </w:p>
    <w:p>
      <w:pPr>
        <w:pStyle w:val="BookText"/>
        <w:rPr/>
      </w:pPr>
      <w:r>
        <w:rPr>
          <w:rFonts w:ascii="IRNazanin" w:hAnsi="IRNazanin" w:eastAsia="IRNazanin"/>
          <w:color w:val="111111"/>
          <w:sz w:val="28"/>
          <w:sz w:val="28"/>
          <w:szCs w:val="28"/>
          <w:rtl w:val="true"/>
          <w:lang w:bidi="fa-IR"/>
        </w:rPr>
        <w:t>للبقاء ، وعلیه فلا یکون العمل بالشکّ نقضاً للیقین لیشمله النهی المجعول فی دلیل الاستصحاب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صدق النقض وإن کان یتوقّف علی وحدة متعلّق الیقین والشکّ ولکن یکفی فی هذه الوحدة تجرید الیقین والشکّ من خصوصیّة الزمان الحدوثیّ والبقائیّ وإضافتهما إلی ذاتٍ واحدة ، کما تقدّم توضیحه فیما مضی ، وهذه العنایة التجریدیّة تُطبّق علی موارد الشکّ فی المقتضی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فالاستصحاب یجری فی موارد الشکّ فی المقتضی أیضاً</w:t>
      </w:r>
      <w:r>
        <w:rPr>
          <w:rFonts w:eastAsia="IRNazanin" w:cs="IRNazanin"/>
          <w:color w:val="111111"/>
          <w:sz w:val="28"/>
          <w:szCs w:val="28"/>
          <w:rtl w:val="true"/>
          <w:lang w:bidi="fa-IR"/>
        </w:rPr>
        <w:t xml:space="preserve">. </w:t>
      </w:r>
      <w:bookmarkStart w:id="844" w:name="pg14075_144805"/>
    </w:p>
    <w:p>
      <w:pPr>
        <w:pStyle w:val="Heading6"/>
        <w:numPr>
          <w:ilvl w:val="5"/>
          <w:numId w:val="1"/>
        </w:numPr>
        <w:rPr/>
      </w:pPr>
      <w:bookmarkStart w:id="845" w:name="__RefHeading___Toc509194_1738255347"/>
      <w:bookmarkStart w:id="846" w:name="_Toc290"/>
      <w:bookmarkEnd w:id="844"/>
      <w:bookmarkEnd w:id="845"/>
      <w:r>
        <w:rPr/>
        <w:t>5</w:t>
      </w:r>
      <w:r>
        <w:rPr>
          <w:rtl w:val="true"/>
        </w:rPr>
        <w:t xml:space="preserve"> - </w:t>
      </w:r>
      <w:r>
        <w:rPr>
          <w:rtl w:val="true"/>
        </w:rPr>
        <w:t>تطبیقات</w:t>
      </w:r>
      <w:bookmarkEnd w:id="846"/>
    </w:p>
    <w:p>
      <w:pPr>
        <w:pStyle w:val="Heading6"/>
        <w:numPr>
          <w:ilvl w:val="5"/>
          <w:numId w:val="1"/>
        </w:numPr>
        <w:rPr/>
      </w:pPr>
      <w:bookmarkStart w:id="847" w:name="__RefHeading___Toc509196_1738255347"/>
      <w:bookmarkStart w:id="848" w:name="_Toc291"/>
      <w:bookmarkEnd w:id="847"/>
      <w:r>
        <w:rPr/>
        <w:t>1</w:t>
      </w:r>
      <w:r>
        <w:rPr>
          <w:rtl w:val="true"/>
        </w:rPr>
        <w:t xml:space="preserve"> - </w:t>
      </w:r>
      <w:r>
        <w:rPr>
          <w:rtl w:val="true"/>
        </w:rPr>
        <w:t>استصحاب الحکم المعلّق</w:t>
      </w:r>
      <w:bookmarkEnd w:id="848"/>
    </w:p>
    <w:p>
      <w:pPr>
        <w:pStyle w:val="BookText"/>
        <w:rPr/>
      </w:pPr>
      <w:r>
        <w:rPr>
          <w:rFonts w:ascii="IRNazanin" w:hAnsi="IRNazanin" w:eastAsia="IRNazanin"/>
          <w:color w:val="111111"/>
          <w:sz w:val="28"/>
          <w:sz w:val="28"/>
          <w:szCs w:val="28"/>
          <w:rtl w:val="true"/>
          <w:lang w:bidi="fa-IR"/>
        </w:rPr>
        <w:t xml:space="preserve">فی موارد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یشکّ فی بقاءالجعل لاحتمال نسخه فیجری استصحاب بقاء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یشکّ فی بقاء المجعول بعد افتراض تحقّقه وفعلیّته ، کما إذا حرم العصیر العنبیّ بالغلیان وشکّ فی بقاء الحرمة بعد ذهاب الثلثین بغیر النار فیجری استصحاب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یکون الشکّ فی حالةٍ وسطی بین الجعل والمجعول ، وتوضیح ذلک فی المثال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الشارع حرمة العنب إذا غلی ، ونفترض عنباً ولکنّه بعدُ لم یغلِ فهنا المجعول لیس فعلیّاً ، بل فعلیّته فرع تحقّق الغلیان ، فلا علم لنا بفعلیّة المجعول الآن ، ولکنّا نعلم بقضیّةٍ شرطیّة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العنب لو غلی لحرم ، فإذا تیبّس العنب بعد ذلک وأصبح زبیباً نشکّ فی أنّ تلک القضیّة الشرطیّة هل لا تزال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هذا الزبیب إذا غلی یحرم کالعنب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فالشک هنا لیس فی بقاء الجعل ونسخه ، إذ لا نحتمل النسخ ، ولیس فی بقاء المجعول بعد العلم بفعلیّته ، إذ لم یوجد علم بفعلیّة المجعول بعد ، وإنّما الشکّ فی بقاء تلک القضیّة الشرطیّة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یجری استصحاب تلک القضیّة الشرطیّة ؛ لأنّها متیقّنة حدوثاً ومشکوکة بقاءً ، ویسمّی باستصحاب الحکم المعلّق ، أو بالاستصحاب التعلیقی</w:t>
      </w:r>
      <w:r>
        <w:rPr>
          <w:rFonts w:eastAsia="IRNazanin" w:cs="IRNazanin"/>
          <w:color w:val="111111"/>
          <w:sz w:val="28"/>
          <w:szCs w:val="28"/>
          <w:rtl w:val="true"/>
          <w:lang w:bidi="fa-IR"/>
        </w:rPr>
        <w:t xml:space="preserve">. </w:t>
      </w:r>
      <w:bookmarkStart w:id="849" w:name="pg14075_144806"/>
    </w:p>
    <w:p>
      <w:pPr>
        <w:pStyle w:val="BookText"/>
        <w:rPr/>
      </w:pPr>
      <w:bookmarkEnd w:id="849"/>
      <w:r>
        <w:rPr>
          <w:rFonts w:ascii="IRNazanin" w:hAnsi="IRNazanin" w:eastAsia="IRNazanin"/>
          <w:color w:val="111111"/>
          <w:sz w:val="28"/>
          <w:sz w:val="28"/>
          <w:szCs w:val="28"/>
          <w:rtl w:val="true"/>
          <w:lang w:bidi="fa-IR"/>
        </w:rPr>
        <w:t xml:space="preserve">ولکن ذهب المحقّق النائینیّ رحمه‌الله </w:t>
      </w:r>
      <w:r>
        <w:rPr>
          <w:rStyle w:val="FootnoteAnchor"/>
          <w:rtl w:val="true"/>
        </w:rPr>
        <w:footnoteReference w:id="184"/>
      </w:r>
      <w:r>
        <w:rPr>
          <w:rFonts w:ascii="IRNazanin" w:hAnsi="IRNazanin" w:eastAsia="IRNazanin"/>
          <w:color w:val="111111"/>
          <w:sz w:val="28"/>
          <w:sz w:val="28"/>
          <w:szCs w:val="28"/>
          <w:rtl w:val="true"/>
          <w:lang w:bidi="fa-IR"/>
        </w:rPr>
        <w:t>إلی عدم جریان الاستصحاب ، إذ لیس فی الحکم الشرعیّ إلاّالجعل والمجعول ، والجعل لا شکّ فی بقائه فالرکن الثانیّ مختلّ ، والمجعول لا یقین بحدوثه فالرکن الأوّل 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القضیّة الشرطیّة فلیس لها وجود فی عالم التشریع بما هی قضیّة شرطیّة وراء الجعل والمجعول لیجری استصحابها</w:t>
      </w:r>
      <w:r>
        <w:rPr>
          <w:rFonts w:eastAsia="IRNazanin" w:cs="IRNazanin"/>
          <w:color w:val="111111"/>
          <w:sz w:val="28"/>
          <w:szCs w:val="28"/>
          <w:rtl w:val="true"/>
          <w:lang w:bidi="fa-IR"/>
        </w:rPr>
        <w:t>.</w:t>
      </w:r>
    </w:p>
    <w:p>
      <w:pPr>
        <w:pStyle w:val="Heading6"/>
        <w:numPr>
          <w:ilvl w:val="5"/>
          <w:numId w:val="1"/>
        </w:numPr>
        <w:rPr/>
      </w:pPr>
      <w:bookmarkStart w:id="850" w:name="__RefHeading___Toc509198_1738255347"/>
      <w:bookmarkStart w:id="851" w:name="_Toc292"/>
      <w:bookmarkEnd w:id="850"/>
      <w:r>
        <w:rPr/>
        <w:t>2</w:t>
      </w:r>
      <w:r>
        <w:rPr>
          <w:rtl w:val="true"/>
        </w:rPr>
        <w:t xml:space="preserve"> - </w:t>
      </w:r>
      <w:r>
        <w:rPr>
          <w:rtl w:val="true"/>
        </w:rPr>
        <w:t>استصحاب التدریجیّات</w:t>
      </w:r>
      <w:bookmarkEnd w:id="851"/>
    </w:p>
    <w:p>
      <w:pPr>
        <w:pStyle w:val="BookText"/>
        <w:rPr/>
      </w:pPr>
      <w:r>
        <w:rPr>
          <w:rFonts w:ascii="IRNazanin" w:hAnsi="IRNazanin" w:eastAsia="IRNazanin"/>
          <w:color w:val="111111"/>
          <w:sz w:val="28"/>
          <w:sz w:val="28"/>
          <w:szCs w:val="28"/>
          <w:rtl w:val="true"/>
          <w:lang w:bidi="fa-IR"/>
        </w:rPr>
        <w:t xml:space="preserve">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قارّة توجد وتبقی ، وإمّا تدریجیّة کالحرکة توجد وتفنی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القسم الأوّل لا إشکال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القسم الثانی فقد یقال بعدم اجتماع الرکن الأوّل والثانی معاً ؛ لأنّ الأمر التدریجیّ سلسلة حدوثات ، فإذا علم بأنّ شخصاً یمشی وشکّ فی بقاء مشیه لم یکن بالإمکان استصحاب المشی لترتیب ماله من الأثر ؛ لأنّ الحصّة الاولی منه معلومة الحدوث ولکنّها لا شکّ فی تصرّمها ، والحصّة الثانیّة مشکوکة ولا یقین بها ، فلم تتمّ أرکان الاستصحاب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یستشکل فی إجراء الاستصحاب فی الزمان ، کاستصحاب النهار ونحو ذلک ؛ لأنّه من الامور التدریجیّة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التدریجیّ علی الرغم من تدرّجه فی الوجود وتصرّمه قطعةً بعد قطعةٍ له وحدة ویعتبر شیئاً واحداً مستمرّاً علی نحوٍ یصدق علی القطعة الثانیة عنوان البقاء ، فتتمّ أرکان الاستصحاب حینما </w:t>
      </w:r>
      <w:bookmarkStart w:id="852" w:name="pg14075_144807"/>
    </w:p>
    <w:p>
      <w:pPr>
        <w:pStyle w:val="BookText"/>
        <w:rPr/>
      </w:pPr>
      <w:bookmarkEnd w:id="852"/>
      <w:r>
        <w:rPr>
          <w:rFonts w:ascii="IRNazanin" w:hAnsi="IRNazanin" w:eastAsia="IRNazanin"/>
          <w:color w:val="111111"/>
          <w:sz w:val="28"/>
          <w:sz w:val="28"/>
          <w:szCs w:val="28"/>
          <w:rtl w:val="true"/>
          <w:lang w:bidi="fa-IR"/>
        </w:rPr>
        <w:t>نلحظ الأمر التدریجیّ بوصفه شیئاً واحداً مستمرّاً ، فنجد أنّه متیقّن بدایةً ومشکوک نهایةً فیجری استصحابه ، وهذه الوحدة مناطها فی الأمر التدریجیّ اتّصال قطعاته بعضها ببعضٍ اتّصالاً حقیقیّاً ، کما فی حرکة الماء من أعلی إلی أسفل ، أو اتّصالاً عرفیاً ، کما فی حرکة المشی عند الإنسان فإنّ المشی یتخلّله السکون والوقوف ولکنّه یُعتبر عرفاً متواصلاً</w:t>
      </w:r>
      <w:r>
        <w:rPr>
          <w:rFonts w:eastAsia="IRNazanin" w:cs="IRNazanin"/>
          <w:color w:val="111111"/>
          <w:sz w:val="28"/>
          <w:szCs w:val="28"/>
          <w:rtl w:val="true"/>
          <w:lang w:bidi="fa-IR"/>
        </w:rPr>
        <w:t>.</w:t>
      </w:r>
    </w:p>
    <w:p>
      <w:pPr>
        <w:pStyle w:val="Heading6"/>
        <w:numPr>
          <w:ilvl w:val="5"/>
          <w:numId w:val="1"/>
        </w:numPr>
        <w:rPr/>
      </w:pPr>
      <w:bookmarkStart w:id="853" w:name="__RefHeading___Toc509200_1738255347"/>
      <w:bookmarkStart w:id="854" w:name="_Toc293"/>
      <w:bookmarkEnd w:id="853"/>
      <w:r>
        <w:rPr/>
        <w:t>3</w:t>
      </w:r>
      <w:r>
        <w:rPr>
          <w:rtl w:val="true"/>
        </w:rPr>
        <w:t xml:space="preserve"> - </w:t>
      </w:r>
      <w:r>
        <w:rPr>
          <w:rtl w:val="true"/>
        </w:rPr>
        <w:t>استصحاب الکلّی</w:t>
      </w:r>
      <w:bookmarkEnd w:id="854"/>
    </w:p>
    <w:p>
      <w:pPr>
        <w:pStyle w:val="BookText"/>
        <w:rPr/>
      </w:pPr>
      <w:r>
        <w:rPr>
          <w:rFonts w:ascii="IRNazanin" w:hAnsi="IRNazanin" w:eastAsia="IRNazanin"/>
          <w:color w:val="111111"/>
          <w:sz w:val="28"/>
          <w:sz w:val="28"/>
          <w:szCs w:val="28"/>
          <w:rtl w:val="true"/>
          <w:lang w:bidi="fa-IR"/>
        </w:rPr>
        <w:t xml:space="preserve">إذا وجد زید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 الإنسان فیه ضمناً ؛ لأنّ الطبیعیّ موجود فی ضمن فرده ، فهناک وجود واحد یضاف إلی الفرد وإلی الطبیعیّ الکلّیّ ، ومن حیث تعلّق الیقین بالحدوث والشکّ فی البقاء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یتواجد کلا هذین الرکنین فی الفرد والطبیعیّ معاً ، واخری یتواجدان فی الطبیعیّ فقط ، وثالثةً لا یتواجدان لا فی الفرد ولا فی الطبیعیّ ، فهناک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بدخول زیدٍ إلی المسجد ویشکّ فی خروجه ، فهنا الوجود الحادث فی المسجد بما هو وجود لزیدٍ وبما هووجود لطبیعیّ الإنسان متیقّن الحدوث ومشکوک البقاء ، فإن کان الأثر الشرعیّ مترتّباً علی وجود زیدٍ بأن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ما دام زید موجوداً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استصحاب الفرد ، وإن کان الأثر مترتّباً علی وجود الکلّیّ بأن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ما دام إنسان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استصحاب الکلّیّ ، ویسمّی هذا بالقسم الأوّل من استصحاب الکلّیّ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بدخول أحد شخصین إلی المسجد قبل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زید ، وإمّا خالد ، غیر أنّ زیداً فعلاً نراه خارج المسجد ، فإذا کان هو الداخل فقد خرج ، وأمّا خالد فلعلّه إذا کان هو الداخل لا یزال باقیاً ، فهنا إذا لوحظ کلّ من الفردین فأرکان الاستصحاب فیه غیر متواجدة ؛ لأنّ زیداً لا شکّ فی عدم وجوده </w:t>
      </w:r>
      <w:bookmarkStart w:id="855" w:name="pg14075_144808"/>
    </w:p>
    <w:p>
      <w:pPr>
        <w:pStyle w:val="BookText"/>
        <w:rPr/>
      </w:pPr>
      <w:bookmarkEnd w:id="855"/>
      <w:r>
        <w:rPr>
          <w:rFonts w:ascii="IRNazanin" w:hAnsi="IRNazanin" w:eastAsia="IRNazanin"/>
          <w:color w:val="111111"/>
          <w:sz w:val="28"/>
          <w:sz w:val="28"/>
          <w:szCs w:val="28"/>
          <w:rtl w:val="true"/>
          <w:lang w:bidi="fa-IR"/>
        </w:rPr>
        <w:t>فعلاً ، وخالد لا یقین بوجوده سابقاً لیستصحَب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لوحظ طبیعیّ الإنسان أمکن القول بأنّ وجوده متیقّن حدوثاً ومشکوک بقاءً ، فیجری استصحابه إذا کان له أثر ، ویسمّی هذا بالقسم الثانی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بدخول زیدٍ وبخروجه أیضاً ، ولکن یُشکّ فی أنّ خالداً قد دخل فی نفس اللحظة التی خرج فیها زید أو قبل ذلک علی نحوٍ لم یخلُ المسجد من إنسان ، فهنا لا مجال لاستصحاب الفرد ، کما تقدّم فی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بجریان استصحاب الکلّیّ ؛ لأنّ جامع الإنسان متیقّن حدوثاً مشکوک بقاءً ، ویسمّی هذا بالقسم الثالث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عدم جریانه ؛ لاختلال الرکن الثالث ، فإنّ وجود الجامع المعلوم حدوثاً مغایر لوجوده المشکوک والمحتمل بقاءً ، فلم یتّحد متعلّق الیقین ومتعلّق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لو کان موجوداً فعلاً فهو موجود بوجودٍ آخر غیر ما کان حدوثاً ، خلافاً للحالةالثانیة فإنّ الجامع لو کان موجوداً فیها بقاءً فهو موجود بعین الوجود الذی حدث ضمنه</w:t>
      </w:r>
      <w:r>
        <w:rPr>
          <w:rFonts w:eastAsia="IRNazanin" w:cs="IRNazanin"/>
          <w:color w:val="111111"/>
          <w:sz w:val="28"/>
          <w:szCs w:val="28"/>
          <w:rtl w:val="true"/>
          <w:lang w:bidi="fa-IR"/>
        </w:rPr>
        <w:t>.</w:t>
      </w:r>
    </w:p>
    <w:p>
      <w:pPr>
        <w:pStyle w:val="Heading6"/>
        <w:numPr>
          <w:ilvl w:val="5"/>
          <w:numId w:val="1"/>
        </w:numPr>
        <w:rPr/>
      </w:pPr>
      <w:bookmarkStart w:id="856" w:name="__RefHeading___Toc509202_1738255347"/>
      <w:bookmarkStart w:id="857" w:name="_Toc294"/>
      <w:bookmarkEnd w:id="856"/>
      <w:r>
        <w:rPr/>
        <w:t>4</w:t>
      </w:r>
      <w:r>
        <w:rPr>
          <w:rtl w:val="true"/>
        </w:rPr>
        <w:t xml:space="preserve"> - </w:t>
      </w:r>
      <w:r>
        <w:rPr>
          <w:rtl w:val="true"/>
        </w:rPr>
        <w:t>الاستصحاب فی حالات الشکّ فی التقدّم و التأخّر</w:t>
      </w:r>
      <w:bookmarkEnd w:id="857"/>
    </w:p>
    <w:p>
      <w:pPr>
        <w:pStyle w:val="Heading6"/>
        <w:numPr>
          <w:ilvl w:val="5"/>
          <w:numId w:val="1"/>
        </w:numPr>
        <w:rPr/>
      </w:pPr>
      <w:bookmarkStart w:id="858" w:name="__RefHeading___Toc509204_1738255347"/>
      <w:bookmarkStart w:id="859" w:name="_Toc295"/>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تارةً یُشکّ فی أنّ الواقعة الفلانیّة حدثت ، أوْ لا؟ فیجری استصحاب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یشکّ فی أنّها ارتفعت ، أوْ لا؟ فیجری استصحاب بقائها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نعلم بأ نّها حدثت أو ارتفعت ؛ ولکنّا لا نعلم بالضبط تأریخ حدوثها أو ارتفاعها ، مثلاً نعلم أنّ زیداً الکافر قد أسلم ، ولکن لا نعلم هل أسلم صباحاً أو بعد الظهر؟ فهذا یعنی أنّ فترة ما قبل الظهر هی فترة الشکّ ، فإذا کان لبقاء زیدٍ کافراً فی هذه الفترة وعدم إسلامه فیها أثر مصحّح للتعبّد جری استصحاب بقائه کافراً وعدم إسلامه إلی الظهر ، وثبت بهذا الاستصحاب کلّ أثر شرعیٍّ یترتّب علی </w:t>
      </w:r>
    </w:p>
    <w:p>
      <w:pPr>
        <w:pStyle w:val="BookText"/>
        <w:rPr/>
      </w:pPr>
      <w:r>
        <w:rPr>
          <w:rFonts w:ascii="IRNazanin" w:hAnsi="IRNazanin" w:eastAsia="IRNazanin"/>
          <w:color w:val="111111"/>
          <w:sz w:val="28"/>
          <w:sz w:val="28"/>
          <w:szCs w:val="28"/>
          <w:rtl w:val="true"/>
          <w:lang w:bidi="fa-IR"/>
        </w:rPr>
        <w:t>بقائه کافراً وعدم إسلامه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هناک أثر شرعیّ مترتّب علی حدوث الإسلام بعد الظهر فلا یترتّب هذا الأثر علی الاستصحاب المذکور ؛ لأنّ الحدوث کذلک لازم تکوینیّ لعدم الإسلام قبل الظهر ، فهو بمثابة نبات اللحیة بالنسبة إلی حیاة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نلاحظ أنّ موضوع الحکم الشرعیّ قد یکون بکامله مجریً للاستصحاب إثباتاً أونفیاً ، وقد یکون مرکّباً من جزءین أو أکثر ، ویکون أحد الجزءین ثابتاً وجداناً والآخر غیر متیقّن ، ففی هذه الحالة لا معنی لإجراء الاستصحاب بالنسبة إلی الجزء الثابت وجداناً ، کما هو واضح ، ولکن قد تتواجد أرکانه وشروطه لإثبات الجزء الآخر المشکوک فیثبت الحکم ، أولنفیه فیُنفی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إرث الحفید من جدّه مترتّباً علی موضوعٍ مرکّبٍ 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موت الجدّ ، والآخر عدم إسلام الأب إلی حین موت الجدّ ، وإلاّ کان مقدّماً علی الحفید ، فإذا افترضنا أنّ الجدّ مات یوم الجمعة وأنّ الابن کان کافراً فی حیاة أبیه ولا ندری هل أسلم علی عهده ، أوْ لا؟ فهنا الجزء الأوّل من موضوع إرث الحفید محرز وجداناً ، والجزء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إسلام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فیجری استصحاب الجزء الثانی ، وبضمّ الاستصحاب إلی الوجدان نحرز موضوع الحکم الشرعیّ لإرث الحفید ، ولکن علی شرط أن یکون الأثر الشرعیّ مترتّباً علی ذات الجزءین ، وأمّا إذا کان مترتّباً علی وصف الاقتران والاجتماع بینهما فلا جدوی للاستصحاب المذکور ؛ لأنّ الاقتران والاجتماع لازم عقلیّ وأثر تکوینیّ للمستصحب ، وقد عرفنا أنّ الآثار الشرعیّة المترتّبة علی المستصحب بواسطةٍ عقلیّةٍ لا تثبت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یفترض أنّ الجزء الثانی معلوم الارتفاع فعلاً بأن کنّا نعلم فعلاً أنّ الأب قد أسلم ، ولکن نشکّ فی تأریخ ذلک وأ نّه هل أسلم قبل وفاة أبیه ، أو بعد ذلک؟ </w:t>
      </w:r>
      <w:bookmarkStart w:id="860" w:name="pg14075_144810"/>
    </w:p>
    <w:p>
      <w:pPr>
        <w:pStyle w:val="BookText"/>
        <w:rPr/>
      </w:pPr>
      <w:bookmarkEnd w:id="860"/>
      <w:r>
        <w:rPr>
          <w:rFonts w:ascii="IRNazanin" w:hAnsi="IRNazanin" w:eastAsia="IRNazanin"/>
          <w:color w:val="111111"/>
          <w:sz w:val="28"/>
          <w:sz w:val="28"/>
          <w:szCs w:val="28"/>
          <w:rtl w:val="true"/>
          <w:lang w:bidi="fa-IR"/>
        </w:rPr>
        <w:t xml:space="preserve">وفی مثل ذلک یجری استصحاب کفر الأب إلی حین وفاة الجدّ ، ولا یضرّ بذلک أنّنا نعلم بأنّ الأب لم یعد کافراً فعلاً ؛ لأنّ المهمّ تواجد الشکّ فی الظرف الذی یراد إجراء الاستصحاب بلحاظه ، وهو فترة حیاة الجدّ إلی حین وفاته ، فیستصحب بقاء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 وهو کفر الأب إلی حین حدوث الجزء الأوّل وهو موت الجدّ ، فیتمّ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قد یجری الاستصحاب علی هذا الوجه لإحراز الموضوع بضمّ الاستصحاب إلی الوجدان کذلک قد یجری لنفی أحد الجزءین ، ففی نفس المثال إذا کان الأب معلوم الإسلام فی حیاة أبیه وشُکّ فی کفره عند وفاته جری استصحاب إسلامه وعدم کفره إلی حین موت الأب ، ونفینا بذلک إرث الحفید من الجدّ ، سواء کنّا نعلم بکفر الأب بعد وفاة أبیه ، أوْ لا</w:t>
      </w:r>
      <w:r>
        <w:rPr>
          <w:rFonts w:eastAsia="IRNazanin" w:cs="IRNazanin"/>
          <w:color w:val="111111"/>
          <w:sz w:val="28"/>
          <w:szCs w:val="28"/>
          <w:rtl w:val="true"/>
          <w:lang w:bidi="fa-IR"/>
        </w:rPr>
        <w:t>.</w:t>
      </w:r>
    </w:p>
    <w:p>
      <w:pPr>
        <w:pStyle w:val="Heading6"/>
        <w:numPr>
          <w:ilvl w:val="5"/>
          <w:numId w:val="1"/>
        </w:numPr>
        <w:rPr/>
      </w:pPr>
      <w:bookmarkStart w:id="861" w:name="__RefHeading___Toc509206_1738255347"/>
      <w:bookmarkStart w:id="862" w:name="_Toc296"/>
      <w:bookmarkEnd w:id="861"/>
      <w:r>
        <w:rPr>
          <w:rtl w:val="true"/>
        </w:rPr>
        <w:t>[</w:t>
      </w:r>
      <w:r>
        <w:rPr>
          <w:rtl w:val="true"/>
        </w:rPr>
        <w:t xml:space="preserve">حالة مجهولَی التأریخ </w:t>
      </w:r>
      <w:r>
        <w:rPr>
          <w:rtl w:val="true"/>
        </w:rPr>
        <w:t>:]</w:t>
      </w:r>
      <w:bookmarkEnd w:id="862"/>
    </w:p>
    <w:p>
      <w:pPr>
        <w:pStyle w:val="BookText"/>
        <w:rPr/>
      </w:pPr>
      <w:r>
        <w:rPr>
          <w:rFonts w:ascii="IRNazanin" w:hAnsi="IRNazanin" w:eastAsia="IRNazanin"/>
          <w:color w:val="111111"/>
          <w:sz w:val="28"/>
          <w:sz w:val="28"/>
          <w:szCs w:val="28"/>
          <w:rtl w:val="true"/>
          <w:lang w:bidi="fa-IR"/>
        </w:rPr>
        <w:t xml:space="preserve">وعلی هذا الأساس قد یفترض أنّ موضوع الحکم الشرعیّ مرکّب من جزءین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کفر الأب وموت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الجزءین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الثبوت ابتداءً ویعلم بارتفاعه ، ولکن لا ندری بالضبط متی ارتفع ، والجزء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العدم ابتداءً ویعلم بحدوثه ، ولکن لا ندری بالضبط متی حدث ، وهذا یعنی أنّ هذا الجزء إذا کان قد حدث قبل أن یرتفع ذلک الجزء فقد تحقّق موضوع الحکم الشرعیّ ، لوجود الجزءین معاً فی زمانٍ واحد ، وأمّا إذا کان قد حدث بعد ارتفاع الجزء الآخر فلا یجدی فی تکمیل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الحالة إذا نظرنا إلی الجزء المعلوم الثبوت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المحتمل بقاؤه إلی حین حدوث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فنستصحب بقاءه إلی ذلک الحین ؛ لأنّ أرکان الاستصحاب متواجدة فیه ، ویترتّب علی ذلک ثبوت الحکم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نظرنا إلی الجزء الثانی المعلوم عدمه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من </w:t>
      </w:r>
    </w:p>
    <w:p>
      <w:pPr>
        <w:pStyle w:val="BookText"/>
        <w:rPr/>
      </w:pPr>
      <w:r>
        <w:rPr>
          <w:rFonts w:ascii="IRNazanin" w:hAnsi="IRNazanin" w:eastAsia="IRNazanin"/>
          <w:color w:val="111111"/>
          <w:sz w:val="28"/>
          <w:sz w:val="28"/>
          <w:szCs w:val="28"/>
          <w:rtl w:val="true"/>
          <w:lang w:bidi="fa-IR"/>
        </w:rPr>
        <w:t xml:space="preserve">المحتمل بقاء عدمه إلی حین ارتفاع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فنستصحب عدمه إلی ذلک الحین ؛ لأنّ أرکان الاستصحاب متواجدة فیه ، ویترتّب علی ذلک 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والاستصحابان متعارضان ؛ لعدم إمکان جریانهما معاً ، ولامرجّح لأحدهما علی الآخر فیسقطان معاً ، وتسمّی هذه الحالة بحالة مجهولَی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وحالة مجهولَی التأریخ لها ثلاث صور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زمان ارتفاع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حدوث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 ارتفاع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ولنفرضه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زمان حدوث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ولا یعلم هل هو قبل الظهر أوبعده؟</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 حدوث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ولنفرضه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زمان ارتفاع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ولا یعلم هل هو قبل الظهر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الاولی لا شکّ فی جریان کلٍّ من الاستصحابین المشار إلیهما ، بمعنی استحقاقه للجریان ووقوع التعارض بینهما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الصوره الثانیة فقد یقال بأنّ استصحاب بقاء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 لأنّ بقاءه لیس مشکوکاً ، بل هو معلوم قبل الظهر ، ومعلوم العدم عند الظهر فکیف نستصحبه؟ وإنّما یجری استصحاب عدم حدوث الجزء الثانی </w:t>
      </w:r>
      <w:bookmarkStart w:id="863" w:name="pg14075_144812"/>
    </w:p>
    <w:p>
      <w:pPr>
        <w:pStyle w:val="BookText"/>
        <w:rPr/>
      </w:pPr>
      <w:bookmarkEnd w:id="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وینعکس الأمر فی الصورة الثالثة ؛ فیجری استصحاب بقاء الجزء الأوّل دون عدم حدوث الجزء الثانی لنفس السبب ، وهذا ما یُعبّر عنه بأنّ الاستصحاب یجری فی مجهول التأریخ دون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معلوم التأریخ إنّما یکون معلوماً حین ننسبه إلی ساعات الیوم الاعتیادیّة ، وأمّا حین ننسبه إلی الجزء الآخر المجهول التأریخ فلا ندری هل هو موجود حینه ، أوْ لا؟ فیمکن جریان استصحابه إلی حین وجود الجزء الآخر ، وهذا ما یُعبّر عنه بأنّ الاستصحاب فی کلٍّ من مجهول التأریخ ومعلوم التأریخ یجری فی نفسه ویسقط الاستصحابان بالمعارضة ؛ لأنّ ما هو معلوم التأریخ إنّمایعلم تأریخه فی نفسه لابتأریخه النسبی ، أی مضافاً إلی الآخر ، فهما معاً مجهولان بلحاظ التأریخ النسبی</w:t>
      </w:r>
      <w:r>
        <w:rPr>
          <w:rFonts w:eastAsia="IRNazanin" w:cs="IRNazanin"/>
          <w:color w:val="111111"/>
          <w:sz w:val="28"/>
          <w:szCs w:val="28"/>
          <w:rtl w:val="true"/>
          <w:lang w:bidi="fa-IR"/>
        </w:rPr>
        <w:t>.</w:t>
      </w:r>
    </w:p>
    <w:p>
      <w:pPr>
        <w:pStyle w:val="Heading6"/>
        <w:numPr>
          <w:ilvl w:val="5"/>
          <w:numId w:val="1"/>
        </w:numPr>
        <w:rPr/>
      </w:pPr>
      <w:bookmarkStart w:id="864" w:name="__RefHeading___Toc509208_1738255347"/>
      <w:bookmarkStart w:id="865" w:name="_Toc297"/>
      <w:bookmarkEnd w:id="864"/>
      <w:r>
        <w:rPr>
          <w:rtl w:val="true"/>
        </w:rPr>
        <w:t>[</w:t>
      </w:r>
      <w:r>
        <w:rPr>
          <w:rtl w:val="true"/>
        </w:rPr>
        <w:t xml:space="preserve">توارد الحالتین </w:t>
      </w:r>
      <w:r>
        <w:rPr>
          <w:rtl w:val="true"/>
        </w:rPr>
        <w:t>:]</w:t>
      </w:r>
      <w:bookmarkEnd w:id="865"/>
    </w:p>
    <w:p>
      <w:pPr>
        <w:pStyle w:val="BookText"/>
        <w:rPr/>
      </w:pPr>
      <w:r>
        <w:rPr>
          <w:rFonts w:ascii="IRNazanin" w:hAnsi="IRNazanin" w:eastAsia="IRNazanin"/>
          <w:color w:val="111111"/>
          <w:sz w:val="28"/>
          <w:sz w:val="28"/>
          <w:szCs w:val="28"/>
          <w:rtl w:val="true"/>
          <w:lang w:bidi="fa-IR"/>
        </w:rPr>
        <w:t>وقد تفترض حالتان متضادّتان کلّ منهما بمفردها موضوع لحکمٍ شرعیّ ، کالطهارة من الحدث والحدث ، أو الطهارة من الخبث والخبث ، فإذا علم المکلّف بإحدی الحالتین وشکّ فی طروء الاخری استصحب الاولی ، وإذا علم بطروء کلتا الحالتین ولم یعلم المتقدّمة والمتأخّرة منهما تعارض استصحاب الطهارة مع استصحاب الحدث أو الخبث ؛ لأنّ کلاًّ من الحالتین متیقّنة سابقاً ومشکوکة بقاءً ، ویسمّی أمثال ذلک بتوارد الحالتین</w:t>
      </w:r>
      <w:r>
        <w:rPr>
          <w:rFonts w:eastAsia="IRNazanin" w:cs="IRNazanin"/>
          <w:color w:val="111111"/>
          <w:sz w:val="28"/>
          <w:szCs w:val="28"/>
          <w:rtl w:val="true"/>
          <w:lang w:bidi="fa-IR"/>
        </w:rPr>
        <w:t>.</w:t>
      </w:r>
    </w:p>
    <w:p>
      <w:pPr>
        <w:pStyle w:val="Heading6"/>
        <w:numPr>
          <w:ilvl w:val="5"/>
          <w:numId w:val="1"/>
        </w:numPr>
        <w:rPr/>
      </w:pPr>
      <w:bookmarkStart w:id="866" w:name="__RefHeading___Toc509210_1738255347"/>
      <w:bookmarkStart w:id="867" w:name="_Toc298"/>
      <w:bookmarkEnd w:id="866"/>
      <w:r>
        <w:rPr/>
        <w:t>5</w:t>
      </w:r>
      <w:r>
        <w:rPr>
          <w:rtl w:val="true"/>
        </w:rPr>
        <w:t xml:space="preserve"> - </w:t>
      </w:r>
      <w:r>
        <w:rPr>
          <w:rtl w:val="true"/>
        </w:rPr>
        <w:t>الاستصحاب فی حالات الشکّ السببیّ و المسبّبی</w:t>
      </w:r>
      <w:bookmarkEnd w:id="86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الاستصحاب إذا جری وکان المستصحَب موضوعاً لحکمٍ شرعیٍّ ترتّب ذلک الحکم الشرعیّ تعبّداً علی الاستصحاب المذکور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بقاء طهارة الماء فنستصحب بقاء طهارته ، وهذه الطهارة موضوع للحکم بجواز </w:t>
      </w:r>
    </w:p>
    <w:p>
      <w:pPr>
        <w:pStyle w:val="BookText"/>
        <w:rPr/>
      </w:pPr>
      <w:r>
        <w:rPr>
          <w:rFonts w:ascii="IRNazanin" w:hAnsi="IRNazanin" w:eastAsia="IRNazanin"/>
          <w:color w:val="111111"/>
          <w:sz w:val="28"/>
          <w:sz w:val="28"/>
          <w:szCs w:val="28"/>
          <w:rtl w:val="true"/>
          <w:lang w:bidi="fa-IR"/>
        </w:rPr>
        <w:t>شربه فیترتّب جواز الشرب علی الاستصحاب المذکور ، ویسمّی بالنسبة إلی جواز الشرب بالاستصحاب الموضوعیّ ؛ لأنّه ینقِّح موضوع هذا الأثر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لاحظنا جواز الشرب نفسه فی المثال فهو أیضاً متیقّن الحدوث ومشکوک البقاء ؛ لأنّ الماء حینما کان طاهراً یقیناً کان جائز الشرب یقیناً أیضاً ، وحینما أصبح مشکوک الطهارة فهو مشکوک فی جواز شربه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استصحاب جواز الشرب وحده لا یکفی لإثبات طهارة الماء ؛ لأنّ الطهارة لیست أثراً شرعیّاً لجواز الشرب ، بل العکس هو الصحیح ، وتنزیل مشکوک البقاء منزلة الباقی ناظر إلی الآثار الشرعیّة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هنا یُعرف أنّ استصحاب الموضوع یُحرز به الحکم تعبّداً وعملیّاً ، وأمّا استصحاب الحکم فلا یُحرز به الموضوع کذلک ، وکلّ استصحابین من هذا القبیل یطلق علی الموضوعیّ منهما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یعالج المشکلة فی مرحلة الموضوع الذی هو بمثابة السبب الشرعیّ للحکم ، ویطلق علی الآخر منهما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یعالج المشکلة فی مرحلة الحکم الذی هو بمثابة المسبّب شرعاً للموضوع</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الحالة التی شرحنا فیها فکرة الأصل السببیّ والمسبّبیّ لا یوجد تعارض بین الأصلین فی النتیجة ؛ لأنّ طهارة الماء وجواز الشرب متلائمان ، ولکن هناک حالات لا یمکن أن تجتمع فیها نتیجة الأصل السببیّ ونتیجة الأصل المسبّبیّ معاً فیتعارض الأصلان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مثال ذلک فی نفس الماء المذکور سابقاً إذا استصحبنا طهارته وغسلنا به ثوباً نجساً ، فإنّ من أحکام طهارة الماء أن یطهر الثوب بغسله به ، وهذا معناه أنّ استصحاب طهارةالماء یحرز تعبّداً وعملیّاً أنّ الثوب قد طهر ؛ لأنّه أثر شرعیّ للمستصحب ، ولکن إذا لاحظنا الثوب نفسه نجد أنّا علی یقینٍ من نجاسته وعدم طهارته سابقاً ، ونشکّ الآن فی أنّه طهر ، أوْ لا ؛ لأ نّنا لا نعلم ما إذا کان قد غسل بماءٍ طاهرٍ حقّاً ، وبذلک تتواجد الأرکان لجریان </w:t>
      </w:r>
    </w:p>
    <w:p>
      <w:pPr>
        <w:pStyle w:val="BookText"/>
        <w:rPr/>
      </w:pPr>
      <w:r>
        <w:rPr>
          <w:rFonts w:ascii="IRNazanin" w:hAnsi="IRNazanin" w:eastAsia="IRNazanin"/>
          <w:color w:val="111111"/>
          <w:sz w:val="28"/>
          <w:sz w:val="28"/>
          <w:szCs w:val="28"/>
          <w:rtl w:val="true"/>
          <w:lang w:bidi="fa-IR"/>
        </w:rPr>
        <w:t>استصحاب النجاسة وعدم الطهارة فی الثوب ، ونلاحظ بناءً علی هذا أنّ الأصل السببیّ الذی یعالج المشکلة فی مرحلة الموضوع والسبب ویجری فی حکم الماء نفسه یتعبّدنا بطهارة الثوب ، وأنّ الأصل المسبّبیّ الذی یعالج المشکلة فی مرحلة الحکم والمسبّب ویجری فی حکم الثوب نفسه یتعبّدنا بعدم طهارة الثوب ، وهذا معنی التنافی بین نتیجتی الأصلین وتعارضهما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هناقاعدة تقتضی تقدیم الأصل السببیّ علی الأصل المسبّبی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کلّماکان أحد الأصلین یعالج مورد الأصل الثانی دون العکس قُدّم الأصل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تنطبق علی المقام ؛ لأنّ الأصل السببیّ یحرز لنا تعبّداً طهارة الثوب ؛ لأنّها أثر شرعیّ لطهارة الماء ، ولکنّ الأصل المسبّبیّ لا یحرز لنا نجاسة الماء ولا ینفی طهارته ؛ لأنّ ثبوت الموضوع لیس أثراً شرعیّاً لحکمه ، وعلی هذا الأساس یقدّم الأصل السببیّ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الشیخ الأنصاریّ والمشهور </w:t>
      </w:r>
      <w:r>
        <w:rPr>
          <w:rStyle w:val="FootnoteAnchor"/>
          <w:rtl w:val="true"/>
        </w:rPr>
        <w:footnoteReference w:id="186"/>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الاستصحاب السببیّ حاکم علی الاستصحاب المسبّبیّ ؛ لأنّ الرکن الثانی فی المسبّبیّ هو الشکّ فی نجاسة الثوب وطهارته ، والرکن الثانی فی السببیّ هو الشکّ فی طهارة الماء ونجاسته ، والأصل السببیّ بإحرازه الأثر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طهارة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یهدم الرکن الثانی للأصل المسبّبیّ ، ولکنّ الأصل المسبّبیّ باعتبار عجزه عن إحراز نجاسة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یهدم الرکن الثانی للأصل السببیّ ، فالأصل السببیّ تامّ الأرکان فیجری ، والأصل المسبّبیّ قد انهدم رکنه الثانی فلا یجری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عُمِّمت فکرة الحکومة للأصل السببیّ علی الأصل المسبّبیّ لحالات التوافق بین الأصلین أیضاً ، فاعتبر الأصل المسبّبیّ طولیاً دائماً ومترتّباً علی عدم جریان الأصل السببیّ ، سواء کان موافقاً له أو مخالفاً ؛ لأنّ الأصل السببیّ إذا جری ألغی موضوع الأصل المسبّبیّ علی أیّ حال</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14075_144816"/>
      <w:bookmarkStart w:id="869" w:name="pg14075_144816"/>
      <w:bookmarkEnd w:id="869"/>
    </w:p>
    <w:p>
      <w:pPr>
        <w:pStyle w:val="Heading3"/>
        <w:numPr>
          <w:ilvl w:val="2"/>
          <w:numId w:val="1"/>
        </w:numPr>
        <w:rPr/>
      </w:pPr>
      <w:bookmarkStart w:id="870" w:name="pg14075_144816"/>
      <w:bookmarkStart w:id="871" w:name="__RefHeading___Toc509212_1738255347"/>
      <w:bookmarkStart w:id="872" w:name="_Toc299"/>
      <w:bookmarkEnd w:id="870"/>
      <w:bookmarkEnd w:id="871"/>
      <w:r>
        <w:rPr>
          <w:rtl w:val="true"/>
        </w:rPr>
        <w:t>تعارض الأدلّة</w:t>
      </w:r>
      <w:bookmarkEnd w:id="872"/>
    </w:p>
    <w:p>
      <w:pPr>
        <w:pStyle w:val="Heading4"/>
        <w:numPr>
          <w:ilvl w:val="3"/>
          <w:numId w:val="1"/>
        </w:numPr>
        <w:rPr/>
      </w:pPr>
      <w:bookmarkStart w:id="873" w:name="__RefHeading___Toc509214_1738255347"/>
      <w:bookmarkStart w:id="874" w:name="_Toc300"/>
      <w:bookmarkEnd w:id="873"/>
      <w:r>
        <w:rPr>
          <w:rtl w:val="true"/>
        </w:rPr>
        <w:t>اشارة</w:t>
      </w:r>
      <w:bookmarkEnd w:id="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 العملیّة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 والاصول العملیّة</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عرفنا فی ما سبق </w:t>
      </w:r>
      <w:r>
        <w:rPr>
          <w:rStyle w:val="FootnoteAnchor"/>
          <w:rtl w:val="true"/>
        </w:rPr>
        <w:footnoteReference w:id="187"/>
      </w:r>
      <w:r>
        <w:rPr>
          <w:rFonts w:ascii="IRNazanin" w:hAnsi="IRNazanin" w:eastAsia="IRNazanin"/>
          <w:color w:val="111111"/>
          <w:sz w:val="28"/>
          <w:sz w:val="28"/>
          <w:szCs w:val="28"/>
          <w:rtl w:val="true"/>
          <w:lang w:bidi="fa-IR"/>
        </w:rPr>
        <w:t xml:space="preserve">أنّ الأدلّة علی قسمین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المحرزة ، والأدلّة العملیّة أو الاصول العملیّة ، ومن هنا یقع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التعارض بین دلیلین من الأدلّة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فی التعارض بین دلیلین عملیّین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 فی التعارض بین دلیلٍ محرزٍ ودلیلٍ عملی</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ثلاثة فصولٍ نذکرها فی ما یلی تباعاً إن شاء الله تعالی</w:t>
      </w:r>
      <w:r>
        <w:rPr>
          <w:rFonts w:eastAsia="IRNazanin" w:cs="IRNazanin"/>
          <w:color w:val="111111"/>
          <w:sz w:val="28"/>
          <w:szCs w:val="28"/>
          <w:rtl w:val="true"/>
          <w:lang w:bidi="fa-IR"/>
        </w:rPr>
        <w:t xml:space="preserve">. </w:t>
      </w:r>
      <w:bookmarkStart w:id="875" w:name="pg14075_144819"/>
    </w:p>
    <w:p>
      <w:pPr>
        <w:pStyle w:val="Heading4"/>
        <w:numPr>
          <w:ilvl w:val="3"/>
          <w:numId w:val="1"/>
        </w:numPr>
        <w:rPr/>
      </w:pPr>
      <w:bookmarkStart w:id="876" w:name="__RefHeading___Toc509216_1738255347"/>
      <w:bookmarkStart w:id="877" w:name="_Toc301"/>
      <w:bookmarkEnd w:id="875"/>
      <w:bookmarkEnd w:id="876"/>
      <w:r>
        <w:rPr/>
        <w:t>1</w:t>
      </w:r>
      <w:r>
        <w:rPr>
          <w:rtl w:val="true"/>
        </w:rPr>
        <w:t xml:space="preserve"> - </w:t>
      </w:r>
      <w:r>
        <w:rPr>
          <w:rtl w:val="true"/>
        </w:rPr>
        <w:t>التعارض بین الأدّلةِ المحرزة</w:t>
      </w:r>
      <w:bookmarkEnd w:id="877"/>
    </w:p>
    <w:p>
      <w:pPr>
        <w:pStyle w:val="Heading5"/>
        <w:numPr>
          <w:ilvl w:val="4"/>
          <w:numId w:val="1"/>
        </w:numPr>
        <w:rPr/>
      </w:pPr>
      <w:bookmarkStart w:id="878" w:name="__RefHeading___Toc509218_1738255347"/>
      <w:bookmarkStart w:id="879" w:name="_Toc302"/>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 xml:space="preserve">الدلیل المحرز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دلیل شرعیّ لفظی ، أو دلیل شرعیّ غیر لفظی ، أو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العقلیّ لا یکون حجّةً إلاّإذا کان قطعیّاً ، وأمّا الدلیل الشرعیّ بقسمیه فقد یکون قطعیّاً ، وقد لا یکون قطعیّاً مع کونه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تعارض الدلیل العقلیّ مع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الدلیل العقلیّ قطعیّاً قُدّم علی معارضه علی أیّ حال ؛ لأنّه یقتضی القطع بخطأ المعارض ، وکلّ دلیلٍ یقطع بخطئه یسقط عن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الدلیل العقلیّ غیر قطعیٍّ فهو لیس حجّةً فی نفسه لکی یُعارض ما هو حجّة من الأدلّة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تعارض دلیلان شرعیّان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یکونان لفظیّین معاً ، واخری یکون أحدهما لفظیّاً دون الآخر ، وثالثةً یکونان معاً من الأدلّة الشرعیّة غیر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الحالة الاولی ؛ لأنّها الحالة التی یدخل ضمنها جلّ موارد التعارض التی یواجهها الفقیه فی الفقه ، وسنقصر حدیثنا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بین دلیلین شرعیّین لفظیّین عبارة عن التنافی بین مدلولی الدلیلین علی نحوٍ یُعلم بأنّ المدلولین لا یمکن أن یکونا ثابتین فی الواقع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تحدید مرکز هذا التنافی نقدّم مقدّمتین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نستذکر فیها ما تقدّم من أنّ الحکم ینحلّ إلی جعلٍ ومجعول ، وأنّ الجعل ثابت بتشریع المولی للحکم ، وأنّ المجعول لا یثبت إلاّعند تحقّق موضوعه وقیوده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الدلیل الشرعیّ اللفظیّ متکفّل لبیان الجعل ، لا لبیان المجعول ؛ لأنّ المجعول یختلف من فردٍ إلی آخر ، فهو </w:t>
      </w:r>
    </w:p>
    <w:p>
      <w:pPr>
        <w:pStyle w:val="BookText"/>
        <w:rPr/>
      </w:pPr>
      <w:r>
        <w:rPr>
          <w:rFonts w:ascii="Amiri" w:hAnsi="Amiri" w:eastAsia="Amiri" w:cs="Amiri"/>
          <w:color w:val="111111"/>
          <w:sz w:val="28"/>
          <w:sz w:val="28"/>
          <w:szCs w:val="28"/>
          <w:rtl w:val="true"/>
          <w:lang w:bidi="ar-SA"/>
        </w:rPr>
        <w:t xml:space="preserve">موجود فی حقّ هذا وغیر موجودٍ فی حقّ ذاک تبعاً لتواجد القیود ، فقوله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مدلوله جعل وجوب الحجّ علی المستطیع ، لا تحقّق الوجوب المجعول ؛ لأنّ هذا تابع لوجود الاستطاعة ، ولا نظر للمولی إلی ذلک ، فمدلول الدلیل دائماً هوالجعل لا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التنافی قد یکون بین جعلین ، وقد یکون بین مجعولین مع عدم التنافی بین الجعلین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الحجّ علی المستطیع وجعل حرمة الحجّ علی المستطیع ، فإنّ التنافی هنا بین الجعلین ؛ لأنّ الأحکام التکلیفیّة متضادّة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الوضوء علی الواجد للماء وجعل وجوب التیمّم علی الفاقد له ، فإنّ الجعلین هنا لا تنافی بینهما ؛ إذ یمکن صدورهما معاً من الشارع ، ولکنّ المجعولین لا یمکن فعلیّتهما معاً ؛ لأنّ المکلّف إن کان واجداً للماء ثبت المجعول الأوّل علیه ، وإلاّ ثبت المجعول الثانی ، ولا یمکن ثبوت المجعولین معاً علی مکلّفٍ واحدٍ فی حالةٍ واحدة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 یوجد تنافٍ بین الجعلین ولا بین المجعولین ، ولکنّ التنافی فی مرحلة امتثال الحکمین المجعولین ، بمعنی أنّه لا یمکن امتثالهما معاً ، وذلک کما فی حالات الأمرین بالضدّین علی وجه الترتّب بنحوٍ یکون الأمر بکلٍّ من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بترک الضدّ الآخر ، فإنّ بالإمکان صدور جعلین لهذین الأمرین معاً ، کما أنّ بالإمکان أن یصبح مجعولاهما فعلیّین معاً ، وذلک فیما إذا ترک المکلّف کلا الضدّین فیکون کلّ من المجعولین ثابتاً ، لتحقّق قیده ، ولکنّ </w:t>
      </w:r>
    </w:p>
    <w:p>
      <w:pPr>
        <w:pStyle w:val="BookText"/>
        <w:rPr/>
      </w:pPr>
      <w:r>
        <w:rPr>
          <w:rFonts w:ascii="IRNazanin" w:hAnsi="IRNazanin" w:eastAsia="IRNazanin"/>
          <w:color w:val="111111"/>
          <w:sz w:val="28"/>
          <w:sz w:val="28"/>
          <w:szCs w:val="28"/>
          <w:rtl w:val="true"/>
          <w:lang w:bidi="fa-IR"/>
        </w:rPr>
        <w:t>التنافی واقع بین امتثالیهما ، إذ لا یمکن للمکلّف أن یمتثلهما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التنافی وعدم إمکان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بین نفس الجعلین ، واخری بین المجعولین ، وثالثةً بین الامتثالین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اتّضحت هاتان المقدّمتان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دلیلان علی حکمین وحصل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التنافی بین الجعلین لهذین الحکمین فهو تنافٍ بین مدلولی الدلیلین ؛ لِمَا عرفت فی المقدّمة الاولی من أنّ مدلول الدلیل هو الجعل ، ویتحقّق التعارض بین الدلیلین حینئذٍ ؛ لأنّ کلاًّ منهما ینفی مدلول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هناک تنافٍ بین الجعلین ، بل کان بین المجعولین أو بین الامتثالین فلا یرتبط هذا التنافی بمدلول الدلیل ؛ لِمَا عرفت من أنّ فعلیّة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مقام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مدلولةً للدلیل ، فلا یحصل التعارض بین الدلیلین لعدم التنافی بین مدلولیهما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حالات التنافی بین المجعولین مع عدم التنافی بین الجعلین بالورود ، ویعبّر عن الدلیل الذی یکون المجعول فیه نافیاً لموضوع المجعول فی الدلیل الآخر بالدلیل الوارد ، ویُعبّر عن الدلیل الآخر بالمورود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بما إذا کان أحد الدلیلین نافیاً لموضوع الحکم فی الآخر ، بل ینطبق علی ما إذا کان موجداً لفردٍ من موضوع الحکم فی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حجّیّة الأمارة بالنسبة إلی دلیل جواز الإفتاء بحجّة ، فإنّ الأوّل یحقّق فرداً من موضوع الدلیل الثانی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وتسمّی حالات التنافی بین الامتثالین مع عدم التنافی بین الجعلین والمجعولین بالتزاحم ، ومن هنا نعرف أنّ حالات الورود وحالات التزاحم خارجة عن نطاق التعارض بین الأدلّة ، ولا ینطبق علیها أحکام هذا التعارض ، بل حالات الورود یتقدّم فیها الوارد علی المورود دائماً ، وحالات التزاحم یتقدّم فیها </w:t>
      </w:r>
      <w:bookmarkStart w:id="880" w:name="pg14075_144822"/>
    </w:p>
    <w:p>
      <w:pPr>
        <w:pStyle w:val="BookText"/>
        <w:rPr/>
      </w:pPr>
      <w:bookmarkEnd w:id="880"/>
      <w:r>
        <w:rPr>
          <w:rFonts w:ascii="Amiri" w:hAnsi="Amiri" w:eastAsia="Amiri" w:cs="Amiri"/>
          <w:color w:val="111111"/>
          <w:sz w:val="28"/>
          <w:sz w:val="28"/>
          <w:szCs w:val="28"/>
          <w:rtl w:val="true"/>
          <w:lang w:bidi="ar-SA"/>
        </w:rPr>
        <w:t xml:space="preserve">الأهمّ علی الأقلّ أهمّیّةً ، کما تقدّم فی مباحث الدلیل العقلیّ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ویتلخّص من ذلک کلّه أنّ التعارض بین الدلیلین هو التنافی بین مدلولی هذین الدلیلین الحاصل من أجل التضادّ بین الجعلین المفادَین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التنافی علی قسمین ؛ لأنّه تارةً یکون ذاتیّاً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یکون عرضیّاً حصل بسبب العلم الإجمالیّ من الخارج بأنّ المدلولین غیر ثابتین معاً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إنّنا نعلم بعدم وجوب الصلاتین معاً ، فإنّه لولا هذا العلم لأمکن ثبوت المفادَین معاً ، وأمّا مع هذا العلم فلا یمکن ثبوتهما معاً ، بل یکون کلّ من الدلیلین مکذّباً للآخر ونافیاً له بالدلالة الالتزامیّة ، ولا فرق بین هذین القسمین فی الأحکام التالیة </w:t>
      </w:r>
      <w:r>
        <w:rPr>
          <w:rFonts w:eastAsia="IRNazanin" w:cs="IRNazanin"/>
          <w:color w:val="111111"/>
          <w:sz w:val="28"/>
          <w:szCs w:val="28"/>
          <w:rtl w:val="true"/>
          <w:lang w:bidi="fa-IR"/>
        </w:rPr>
        <w:t>:</w:t>
      </w:r>
    </w:p>
    <w:p>
      <w:pPr>
        <w:pStyle w:val="Heading5"/>
        <w:numPr>
          <w:ilvl w:val="4"/>
          <w:numId w:val="1"/>
        </w:numPr>
        <w:rPr/>
      </w:pPr>
      <w:bookmarkStart w:id="881" w:name="__RefHeading___Toc509220_1738255347"/>
      <w:bookmarkStart w:id="882" w:name="_Toc303"/>
      <w:bookmarkEnd w:id="881"/>
      <w:r>
        <w:rPr>
          <w:rtl w:val="true"/>
        </w:rPr>
        <w:t xml:space="preserve">الحکم الأوّل </w:t>
      </w:r>
      <w:r>
        <w:rPr>
          <w:rtl w:val="true"/>
        </w:rPr>
        <w:t xml:space="preserve">: </w:t>
      </w:r>
      <w:r>
        <w:rPr>
          <w:rtl w:val="true"/>
        </w:rPr>
        <w:t>قاعدة الجمع العُرفی</w:t>
      </w:r>
      <w:bookmarkEnd w:id="882"/>
    </w:p>
    <w:p>
      <w:pPr>
        <w:pStyle w:val="BookText"/>
        <w:rPr/>
      </w:pPr>
      <w:r>
        <w:rPr>
          <w:rFonts w:ascii="IRNazanin" w:hAnsi="IRNazanin" w:eastAsia="IRNazanin"/>
          <w:color w:val="111111"/>
          <w:sz w:val="28"/>
          <w:sz w:val="28"/>
          <w:szCs w:val="28"/>
          <w:rtl w:val="true"/>
          <w:lang w:bidi="fa-IR"/>
        </w:rPr>
        <w:t xml:space="preserve">والحکم الأوّل من أحکام تعارض الأدلّة اللفظیّة ما تقرّره قاعدة الجمع العرفیّ ،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إذا لم یکن مستقرّاً فی نظر العرف ، بل کان أحد الدلیلین قرینةً علی تفسیر مقصود الشارع من الدلیل الآخر وجب الجمع بینهما بتأویل الدلیل الآخر وفقاً للقرینة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ونقصد بالقرینة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المعدّ من قبل المتکلّم لأجل تفسیر الکلام الآخر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هذه القاعدة واضح ، فإنّ المتکلّم إذا صدر منه کلامان وکان الظاهر من أحدهما ینافی الظاهر من الآخر ، ولکنّ أحد الکلامین کان قد اعدّ من قبل المتکلّم لتفسیر مقصوده من الکلام المقابل له ، فلابدّ أن یقدّم ظاهر ما أعدّه المتکلّم کذلک علی الآخر ؛ لأنّنا یجب أن نفهم مقصود المتکلّم من مجموع کلامیه </w:t>
      </w:r>
    </w:p>
    <w:p>
      <w:pPr>
        <w:pStyle w:val="BookText"/>
        <w:rPr/>
      </w:pPr>
      <w:r>
        <w:rPr>
          <w:rFonts w:ascii="IRNazanin" w:hAnsi="IRNazanin" w:eastAsia="IRNazanin"/>
          <w:color w:val="111111"/>
          <w:sz w:val="28"/>
          <w:sz w:val="28"/>
          <w:szCs w:val="28"/>
          <w:rtl w:val="true"/>
          <w:lang w:bidi="fa-IR"/>
        </w:rPr>
        <w:t>وفقاً للطریقة التی یقرّرها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وإعداد المتکلّم أحد الکلامین لتفسیر مقصوده من الکلام الآخر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 الشخصیّ ، أی الإعداد من قبل شخص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الإعداد قد یفهم بعبارةٍ صریحة ، کما إذا قال فی أحد کلامیه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بکلامی السابق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بظهور الکلام فی کونه ناظراً إلی مفاد الکلام الآخر وإن لم تکن العبارة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تارةً یکون بلسان التصرّف فی موضوع القضیّة التی تکفّلها الکلام الآخر ، واخری بلسان التصرّف فی محمولها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الکلام الثانی ناظر إلی مدلول الکلام الأوّل بلسان التصرّف فی موضوع الحرمة ، إذ ینفی انطباقه علی الربا بین الوالد وولده ، ولیس المقصود نفیه حقیقةً ، وإنّما هو مجرّد لسانٍ وادّعاء للتنبیه علی أنّ الکلام الثانی ناظر إلی مفاد الکلام الأوّل لیکون قرینةً علی تحدید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حکم یؤدّی إلی الضرر ، فإنّ هذا ناظر إجمالاً إلی الأحکام الثابتة فی الشریعة وینفی وجودها فی حالة الضرر ، فیکون قرینةً علی أنّ المراد بأدلّة سائر الأحکام تشریعها فی غیر حالة الضرر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دلیلٍ ثبت إعداده الشخصیّ للقرینیّة علی مفاد الآخر بسوقه مساق التفسیر صریحاً ، أو بظهوره فی النظر إلی الموضوع أو المحمول یُسمّی بالدلیل الحاکم ، ویُسمّی الآخر بالدلیل المحکوم ، ویقدّم الدلیل الحاکم علی الدلیل المحکوم بالقرینیّة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تقدیم الحاکم فی الأمثلة المذکورة تضییق دائرة الدلیل </w:t>
      </w:r>
    </w:p>
    <w:p>
      <w:pPr>
        <w:pStyle w:val="BookText"/>
        <w:rPr/>
      </w:pPr>
      <w:r>
        <w:rPr>
          <w:rFonts w:ascii="IRNazanin" w:hAnsi="IRNazanin" w:eastAsia="IRNazanin"/>
          <w:color w:val="111111"/>
          <w:sz w:val="28"/>
          <w:sz w:val="28"/>
          <w:szCs w:val="28"/>
          <w:rtl w:val="true"/>
          <w:lang w:bidi="fa-IR"/>
        </w:rPr>
        <w:t>المحکوم وإخراج بعض الحالات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یختصّ الحاکم بالتضییق ، بل قد یکون موسّعاً ، کما فی حالات التنزیل نظیر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حاکم علی أدلّة أحکام الصلاة ،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ناظر إلی تلک الأحکام وموسّع لموضوعها بالتنزیل ، إذ یُنزّل الطواف منزلة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من خلال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 بین الدلیل الوارد النافی لموضوع الحکم فی الدلیل المورود وبین الدلیل الحاکم الناظر إلی موضوع القضیّة فی الدلیل المحکوم ، ولکنّهما یختلفان اختلافاً أساسیّاً ؛ لأنّ الدلیل الوارد نافٍ لموضوع الحکم فی الدلیل المورود حقیقةً ، وأمّا الدلیل الحاکم المذکور فهو یستعمل النفی کمجرّدِ لسانٍ لأجل التنبیه علی أنّه ناظر إلی الدلیل المحکوم وقرینة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هذا الاختلاف الأساسیّ بین الدلیل الوارد والدلیل الحاکم المذکور أنّ تقدّم الدلیل الوارد بالورود لا یتوقّف علی أن یکون فیه ما یُشعر أو یُدلّ علی نظره إلی الدلیل المورود ولحاظه له ؛ لأنّه ینفی موضوع الدلیل المورود ، ومع نفیه لموضوعه ینتفی حکمه حتماً ، سواء کان ناظراً إلیه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الحاکم فهو حتّی لو کان لسانه لسان نفی الموضوع لا ینفی موضوع الدلیل المحکوم حقیقةً ، وإنّما یُستعمل هذا اللسان لکی ینفی الحکم ، فمفاد الدلیل الحاکم لبّاً وحقیقةً نفی الحکم ولکن بلسان نفی الموضوع ، وهذا اللسان یُؤتی به لکی یثبت نظر الدلیل الحاکم إلی مفاد الدلیل المحکوم وتقدّمه علیه بالقرینیّة ، وکلّما انتفی ظهوره فی النظر انتفت قرینیّته ، وبالتالی زال السبب الموجب لتقدیمه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العرفیّ النوعیّ ، بمعنی أنّ المتکلّم العرفیّ استقرّ </w:t>
      </w:r>
      <w:bookmarkStart w:id="883" w:name="pg14075_144825"/>
    </w:p>
    <w:p>
      <w:pPr>
        <w:pStyle w:val="BookText"/>
        <w:rPr/>
      </w:pPr>
      <w:bookmarkEnd w:id="883"/>
      <w:r>
        <w:rPr>
          <w:rFonts w:ascii="IRNazanin" w:hAnsi="IRNazanin" w:eastAsia="IRNazanin"/>
          <w:color w:val="111111"/>
          <w:sz w:val="28"/>
          <w:sz w:val="28"/>
          <w:szCs w:val="28"/>
          <w:rtl w:val="true"/>
          <w:lang w:bidi="fa-IR"/>
        </w:rPr>
        <w:t>بناؤه عموماً کلّما تکلّم بکلامین من هذا القبیل أن یجعل من أحدهما المعیَّن قرینةً علی الآخر ، وحیث إنّ الأصل فی کلّ متکلّم أنّه یجری وفق المواصفات العرفیّة العامّة للمحاورة فیکون ظاهر حاله هو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حالات الإعداد العرفیّ النوعیّ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الکلام الأخصّ موضوعاً لیکون قرینةً ومحدّداً لمفاد الکلام الأعمّ موضوعاً ، ومن هنا تعیّن تخصیص العامّ بالخاص ، وتقیید المطلق بالمقیّد ، بل تقدیم کلّ ظاهرٍ علی ما هو أقلّ منه ظهوراً بدرجةٍ ملحوظةٍ وواضحةٍ عرفاً ؛ لوجود بناءاتٍ عرفیّةٍ عامّةٍ علی أنّ المتکلّم یُعوِّل علی الأخصّ والأظهر فی تفسیر العامّ والظاهر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وتسمّی جمیع حالات القرینیّة بموارد الجمع العرفیّ ، ویسمّی التعارض فی موارده بالتعارض غیر المستقرّ ؛ لأنّه یحلّ بالجمع العرفیّ تمییزاً له عن التعارض المستقرّ ، وهو التعارض الذی لا یتیسّر فیه الجمع العرفیّ</w:t>
      </w:r>
      <w:r>
        <w:rPr>
          <w:rFonts w:eastAsia="IRNazanin" w:cs="IRNazanin"/>
          <w:color w:val="111111"/>
          <w:sz w:val="28"/>
          <w:szCs w:val="28"/>
          <w:rtl w:val="true"/>
          <w:lang w:bidi="fa-IR"/>
        </w:rPr>
        <w:t>.</w:t>
      </w:r>
    </w:p>
    <w:p>
      <w:pPr>
        <w:pStyle w:val="Heading5"/>
        <w:numPr>
          <w:ilvl w:val="4"/>
          <w:numId w:val="1"/>
        </w:numPr>
        <w:rPr/>
      </w:pPr>
      <w:bookmarkStart w:id="884" w:name="__RefHeading___Toc509222_1738255347"/>
      <w:bookmarkStart w:id="885" w:name="_Toc304"/>
      <w:bookmarkEnd w:id="884"/>
      <w:r>
        <w:rPr>
          <w:rtl w:val="true"/>
        </w:rPr>
        <w:t xml:space="preserve">الحکم الثانی </w:t>
      </w:r>
      <w:r>
        <w:rPr>
          <w:rtl w:val="true"/>
        </w:rPr>
        <w:t xml:space="preserve">: </w:t>
      </w:r>
      <w:r>
        <w:rPr>
          <w:rtl w:val="true"/>
        </w:rPr>
        <w:t>قاعدة تساقط المتعارضَین</w:t>
      </w:r>
      <w:bookmarkEnd w:id="885"/>
    </w:p>
    <w:p>
      <w:pPr>
        <w:pStyle w:val="BookText"/>
        <w:rPr/>
      </w:pPr>
      <w:r>
        <w:rPr>
          <w:rFonts w:ascii="IRNazanin" w:hAnsi="IRNazanin" w:eastAsia="IRNazanin"/>
          <w:color w:val="111111"/>
          <w:sz w:val="28"/>
          <w:sz w:val="28"/>
          <w:szCs w:val="28"/>
          <w:rtl w:val="true"/>
          <w:lang w:bidi="fa-IR"/>
        </w:rPr>
        <w:t>وإذا لم یکن أحد الدلیلین قرینةً بالنسبة إلی الدلیل الآخر فالتعارض مستقرّ فی نظر العرف ، وحینئذٍ نتکلّم عن القاعدة بلحاظ دلیل الحجّیّة ، بمعنی أنّنا إذا لم یوجد أمامنا سوی دلیل الحجّیّة العامِّ الذی ینتسب إلیه المتعارضان فما هو مقتضی هذا الدلیل بالنسبة إلی هذه الحالة؟</w:t>
      </w:r>
    </w:p>
    <w:p>
      <w:pPr>
        <w:pStyle w:val="BookText"/>
        <w:rPr/>
      </w:pPr>
      <w:r>
        <w:rPr>
          <w:rFonts w:ascii="IRNazanin" w:hAnsi="IRNazanin" w:eastAsia="IRNazanin"/>
          <w:color w:val="111111"/>
          <w:sz w:val="28"/>
          <w:sz w:val="28"/>
          <w:szCs w:val="28"/>
          <w:rtl w:val="true"/>
          <w:lang w:bidi="fa-IR"/>
        </w:rPr>
        <w:t>وقبل أن نشخِّص ما هو مقتضی دلیل الحجّیّة نستعرض الممکنات ثبوتاً ، ثمّ نعرض دلیل الحجّیّة علی هذه الممکنات لنری وفاءه بأیّ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ولاستعراض الممکنات ثبوتاً نذکر عدداً من الفروض ؛ لنمیِّز بین ما هو ممکن منها وما هو مستحیل ثبوتاً وواقعاً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الافتراض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الشارع قد جعل الحجّیّة لکلٍّ من الدلیلین </w:t>
      </w:r>
    </w:p>
    <w:p>
      <w:pPr>
        <w:pStyle w:val="BookText"/>
        <w:rPr/>
      </w:pPr>
      <w:r>
        <w:rPr>
          <w:rFonts w:ascii="IRNazanin" w:hAnsi="IRNazanin" w:eastAsia="IRNazanin"/>
          <w:color w:val="111111"/>
          <w:sz w:val="28"/>
          <w:sz w:val="28"/>
          <w:szCs w:val="28"/>
          <w:rtl w:val="true"/>
          <w:lang w:bidi="fa-IR"/>
        </w:rPr>
        <w:t xml:space="preserve">المتعارضین ، وهذا مستحیل ؛ لأنّ هذین الدلیلین کلّ واحدٍ منهما یکذّب الآخر فکیف یطلب الشارع منّا أن نصدّق المکذِّب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لاتطلب منّا تصدیق الدلیل بمعنی الاقتناع الوجدانی به ، بل تصدیقه بمعنی العمل علی طبقه وجعله منجّزاً ومعذّراً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الأمر کذلک ، غیر أنّ التصدیق العملیّ بالمتکاذبَین غیر ممکنٍ أیضاً ، فدلیل الحرمة معنی حجّیّته الجری علی أساس أنّ هذا حرام وتنجّز الحرمة علینا ، والدلیل المعارض یکذّبه وینفی الحرمة ، ومعنی حجّیّته الجری علی أساس أنّ هذا لیس بحرامٍ وإطلاق العنان والتأمین من ناحیة الحرمة ، ولا یمکن أن تجتمع هاتان الحجّیّتان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الشارع قد جعل الحجّیّة لکلٍّ منهما ، ولکنّها حجّیّة مشروطة بعدم الالتزام بالآخر ، فهناک حجّیّتان مشروطتان ، فإذا التزم المکلّف بأحد الدلیلین لم یکن الآخر حجّةً علیه ، بل الحجّة علیه ما التزم به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غیر معقولٍ أیضاً ، إذ فی حالة عدم التزام المکلّف بکلٍّ من الدلیلین یکون کلّ منهما حجّةً علیه ، فیعود محذور الافتراض الأوّل وهو ثبوت الحجّیّة للمکذَّب والمکذِّب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الافتراض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الشارع قد جعل الحجّیّة لأحدهما المعیّن ، بأن اختار أحد المتعارضین لمیزةٍ فی نظره فجعله حجّةً دون الآخر ، وهذا افتراض معقول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الافتراض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جعل حجّیّةً واحدةً تخییریّة ، بمعنی أنّه أوجب العمل والالتزام بمؤدّی أحد الدلیلین ، فلابدّ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یلتزم بمفاد دلیل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فیبنی علی حرمة الفعل وتکون الحرمة منجّزةً علیه ، وإمّا أن </w:t>
      </w:r>
    </w:p>
    <w:p>
      <w:pPr>
        <w:pStyle w:val="BookText"/>
        <w:rPr/>
      </w:pPr>
      <w:r>
        <w:rPr>
          <w:rFonts w:ascii="IRNazanin" w:hAnsi="IRNazanin" w:eastAsia="IRNazanin"/>
          <w:color w:val="111111"/>
          <w:sz w:val="28"/>
          <w:sz w:val="28"/>
          <w:szCs w:val="28"/>
          <w:rtl w:val="true"/>
          <w:lang w:bidi="fa-IR"/>
        </w:rPr>
        <w:t xml:space="preserve">یلتزم بالدلیل المعارض الدالّ علی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فیلتزم بالإباحة وتکون الحرمة مؤمّناً عنها حینئذٍ ، وهذا الافتراض معقول أیضاً ، وأثره أنّه لا یسمح للمکلّف بإهمال الدلیلین المتعارضین والرجوع إلی أصلٍ عملیٍّ أو دلیلٍ عامٍّ قد یثبت به حکم ثالث غیر ما دلّ علیه کلا الدلیلین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الافتراض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الشارع قد أسقط کلا الدلیلین عن الحجّیّة وافترض وجودهما کعدمهما ، وهذا أمر معقول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یتّضح أنّ المعقول من الافتراضات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الافتراضات الثلاثة الأخیرة ، وإذا عرضنا هذه الافتراضات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دلیل الحجّیّة وجدنا أنّه لا یصلح لإثبات الافتراض الثالث ؛ لأنّ نسبته إلی کلٍّ من الدلیلین نسبة واحدة ، فإثبات حجّیّة أحدهما خاصّةً به دون الآخر جزاف 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یصلح دلیل الحجّیّة لإثبات الافتراض الرابع ؛ لأنّ مفاده الحجّیّة التعیینیّة لا التخییریّة ، أی وجوب الأخذ بکلٍّ من الدلیلین تعییناً ، فإثبات الوجوب التخییریّ والحجّیّة الواحدة التخییریّة بحاجةٍ إلی لسانٍ آخر فی الدلیل ، وهذا یعنی أنّ دلیل الحجیة لا یصلح لإثبات حجّیّة الدلیلین المتعارضین بوجهٍ من الوجوه ، وذلک یتطابق مع الافتراض الخامس ، ومن هنا کان الحکم الثانی فی باب التعارض قاعدة تساقط المتعارضین بلحاظ دلیل الحجّیّة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هل یتساقط المتعارضان بحیث یُفترض کأ نّهما غیر موجودین ، أو یتساقطان فی حدود تعارضهما فی المدلول المطابقیّ ، فإذا کانا متَّفقین فی مدلولٍ التزامیٍّ مشترکٍ بینهما کانا حجّةً فی إثباته ، لعدم التعارض بالنسبة إلیه؟ وجهان ، بل قولان مبنیّان علی أنّ الدلالة الالتزامیّة هل هی تابعة للدلالة المطابقیّة فی الحجّیّة ، أوْ لا؟ </w:t>
      </w:r>
      <w:bookmarkStart w:id="886" w:name="pg14075_144828"/>
    </w:p>
    <w:p>
      <w:pPr>
        <w:pStyle w:val="BookText"/>
        <w:rPr/>
      </w:pPr>
      <w:bookmarkEnd w:id="886"/>
      <w:r>
        <w:rPr>
          <w:rFonts w:ascii="IRNazanin" w:hAnsi="IRNazanin" w:eastAsia="IRNazanin"/>
          <w:color w:val="111111"/>
          <w:sz w:val="28"/>
          <w:sz w:val="28"/>
          <w:szCs w:val="28"/>
          <w:rtl w:val="true"/>
          <w:lang w:bidi="fa-IR"/>
        </w:rPr>
        <w:t xml:space="preserve">فإن قلنا بالتبعیّة تعیّن الوجه الأوّل ، وإن أنکرناها أمکن المصیر إلی الوجه الثانی ، وعلی أساسه تقوم قاعدة نفی الثالث فی باب التعارض ، ویُراد بنفی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آخر غیر ما دلّ علیه المتعارضان معاً ؛ لأنّ هذا الحکم ینفیه کلا الدلیلین التزاماً ولا تعارض بینهما فی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الکلام عن تبعیّة الدلالة الالتزامیّة للدلالة المطابقیّة فی الحجّیة</w:t>
      </w:r>
      <w:r>
        <w:rPr>
          <w:rFonts w:eastAsia="IRNazanin" w:cs="IRNazanin"/>
          <w:color w:val="111111"/>
          <w:sz w:val="28"/>
          <w:szCs w:val="28"/>
          <w:rtl w:val="true"/>
          <w:lang w:bidi="fa-IR"/>
        </w:rPr>
        <w:t>.</w:t>
      </w:r>
    </w:p>
    <w:p>
      <w:pPr>
        <w:pStyle w:val="Heading5"/>
        <w:numPr>
          <w:ilvl w:val="4"/>
          <w:numId w:val="1"/>
        </w:numPr>
        <w:rPr/>
      </w:pPr>
      <w:bookmarkStart w:id="887" w:name="__RefHeading___Toc509224_1738255347"/>
      <w:bookmarkStart w:id="888" w:name="_Toc305"/>
      <w:bookmarkEnd w:id="887"/>
      <w:r>
        <w:rPr>
          <w:rtl w:val="true"/>
        </w:rPr>
        <w:t xml:space="preserve">الحکم الثالث </w:t>
      </w:r>
      <w:r>
        <w:rPr>
          <w:rtl w:val="true"/>
        </w:rPr>
        <w:t xml:space="preserve">: </w:t>
      </w:r>
      <w:r>
        <w:rPr>
          <w:rtl w:val="true"/>
        </w:rPr>
        <w:t>قاعدة الترجیح للروایات الخاصّة</w:t>
      </w:r>
      <w:bookmarkEnd w:id="888"/>
    </w:p>
    <w:p>
      <w:pPr>
        <w:pStyle w:val="BookText"/>
        <w:rPr/>
      </w:pPr>
      <w:r>
        <w:rPr>
          <w:rFonts w:ascii="IRNazanin" w:hAnsi="IRNazanin" w:eastAsia="IRNazanin"/>
          <w:color w:val="111111"/>
          <w:sz w:val="28"/>
          <w:sz w:val="28"/>
          <w:szCs w:val="28"/>
          <w:rtl w:val="true"/>
          <w:lang w:bidi="fa-IR"/>
        </w:rPr>
        <w:t xml:space="preserve">وقاعدة تساقط المتعارضین متَّبعة فی کلّ حالات التعارض بین الأدلّة ، ولکن قد یُستثنی من ذلک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الروایات الواردة عن المعصومین علیهم‌السلام ، إذ یقال بوجود دلیلٍ خاصٍّ فی هذه الحالة علی ثبوت الحجّیّة لأحد الخبرین ، وهو ما کان واجداً لمزیّةٍ معیّنةٍ فیرجَّح علی الآخر ، ونخرج بهذا الدلیل الخاصّ عن قاعدة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الخاصّ یتمثّل فی روایاتٍ تسمّی بأخبار الترجیح ، ولعلّ أهمّها روایة عبدالرحمان ابن أبی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 فما وافق کتاب الله فخذوه ، وما خالف کتاب الله فردّوه ، فإن لم تجدوهما فی کتاب الله فاعرضوهما علی أخبار العامّة ، فما وافق أخبارهم فذروه ، وما خالف أخبارهم فخذوه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تشتمل علی مرجّحین مترتّبَین ، ففی المرتبة الاولی یرجَّح ما وافق الکتاب علی ما خالفه ، وفی المرتبة الثانیة وفی حالة عدم تواجد المرجّح الأوّل یرجَّح ما خالف العامّة علی ما وافقهم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لاحظنا المرجّح الأوّل وجدنا أنّه مرتبط بصفتین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الخبر المرجوح للکتاب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الخبر الراجح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الصفة الاولی فمن الواضح أنّ المخالفة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والمعارضة فی حالات التعارض غیر المستقرّ ، کمخالفة الحاکم للمحکوم ، والخاصّ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والمعارضة فی حالات التعارض المستقرّ ، کالمخالفة بین عامّین متساویَین أو خاصَّین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الواحد إذا کان مخالفاً للکتاب من القسم الثانی فهو ساقط عن الحجّیّة فی نفسه ، حتّی إذا لم یعارضه خبر آخر ؛ لِمَا تقدّم </w:t>
      </w:r>
      <w:r>
        <w:rPr>
          <w:rStyle w:val="FootnoteAnchor"/>
          <w:rtl w:val="true"/>
        </w:rPr>
        <w:footnoteReference w:id="191"/>
      </w:r>
      <w:r>
        <w:rPr>
          <w:rFonts w:ascii="IRNazanin" w:hAnsi="IRNazanin" w:eastAsia="IRNazanin"/>
          <w:color w:val="111111"/>
          <w:sz w:val="28"/>
          <w:sz w:val="28"/>
          <w:szCs w:val="28"/>
          <w:rtl w:val="true"/>
          <w:lang w:bidi="fa-IR"/>
        </w:rPr>
        <w:t>فی مباحث الدلیل اللفظیّ من أنّ حجّیّة خبر الواحد مشروطة بعدم معارضته ومخالفته لدلیلٍ قطعیّ ، وکنّا نقصد بالمخالفة هناک المخالفة علی نحو التعارض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خبر الواحد مخالفاً من القسم الأوّل فهو المقصود فی روایة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موافقة الخبر الراجح للکتاب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یُراد بها مجرّد عدم المخالفة لا أکثر من ذلک ، بقرینة وضوح عدم مجیء جمیع التفاصیل وجزئیات الأحکام الشرعیّة فی الکتاب الکریم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فالمرجّح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الخبرین مخالفاً للکتاب الکریم مخالفة القرینة لِمَا یقابلها ، فإنّ الخبر المتّصف بهذه المخالفة لو انفرد لکان قرینةً علی تفسیر المقصود من الکتاب الکریم وحجّةً فی ذلک ، ولکن حین </w:t>
      </w:r>
      <w:bookmarkStart w:id="889" w:name="pg14075_144830"/>
    </w:p>
    <w:p>
      <w:pPr>
        <w:pStyle w:val="BookText"/>
        <w:rPr/>
      </w:pPr>
      <w:bookmarkEnd w:id="889"/>
      <w:r>
        <w:rPr>
          <w:rFonts w:ascii="IRNazanin" w:hAnsi="IRNazanin" w:eastAsia="IRNazanin"/>
          <w:color w:val="111111"/>
          <w:sz w:val="28"/>
          <w:sz w:val="28"/>
          <w:szCs w:val="28"/>
          <w:rtl w:val="true"/>
          <w:lang w:bidi="fa-IR"/>
        </w:rPr>
        <w:t>یعارضه خبر مثله لیس متّصفاً بهذه المخالفة یقدَّم علیه 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لاحظنا المرجّح الثانی وجدنا أنّه یأتی بعد افتراض عدم إمکان علاج التعارض علی أساس المرجّح الأوّل ، وقد نصّت الروایة فی المرجّح الثانی علی الأخذ بما خالف أخبار العامّة ، وتقدیمه علی ما وافق أخبارهم ، ومن هنا قد یقال باختصاص هذا الترجیح بما إذا کانت المخالفة والموافقة لأخبارهم ، ولا یکفی للترجیح المخالفة والموافقة لِمَا هو المعروف من فتاواهم وآرائهم إذا لم تکن مستندةً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التعدّی إلی المخالفة والموافقة مع الفتاوی والآراء أیضاً وإن کانت علی أساس غیر الأخبار من أدلّة الاستنباط عندهم ؛ لأنّ الترجیح لیس حکماً تعبّدیّاً صرفاً ، بل هو حکم له مناسبات عرفیّة مرکوزة بلحاظ أنّ ما اکتنف الأئمّة علیهم‌السلام من ظروف التقیّة أوجب تطرّق احتمال التقیّة إلی الخبر الموافق دون المخالف ، وهذا کما یجری فی موارد الموافقة والمخالفة لأخبارهم کذلک فی موارد الموافقة والمخالفة لآرائهم المستندة إلی مدرکٍ آخر</w:t>
      </w:r>
      <w:r>
        <w:rPr>
          <w:rFonts w:eastAsia="IRNazanin" w:cs="IRNazanin"/>
          <w:color w:val="111111"/>
          <w:sz w:val="28"/>
          <w:szCs w:val="28"/>
          <w:rtl w:val="true"/>
          <w:lang w:bidi="fa-IR"/>
        </w:rPr>
        <w:t>.</w:t>
      </w:r>
    </w:p>
    <w:p>
      <w:pPr>
        <w:pStyle w:val="Heading5"/>
        <w:numPr>
          <w:ilvl w:val="4"/>
          <w:numId w:val="1"/>
        </w:numPr>
        <w:rPr/>
      </w:pPr>
      <w:bookmarkStart w:id="890" w:name="__RefHeading___Toc509226_1738255347"/>
      <w:bookmarkStart w:id="891" w:name="_Toc306"/>
      <w:bookmarkEnd w:id="890"/>
      <w:r>
        <w:rPr>
          <w:rtl w:val="true"/>
        </w:rPr>
        <w:t xml:space="preserve">الحکم الرابع </w:t>
      </w:r>
      <w:r>
        <w:rPr>
          <w:rtl w:val="true"/>
        </w:rPr>
        <w:t xml:space="preserve">: </w:t>
      </w:r>
      <w:r>
        <w:rPr>
          <w:rtl w:val="true"/>
        </w:rPr>
        <w:t>قاعدة التخییر للروایات الخاصّة</w:t>
      </w:r>
      <w:bookmarkEnd w:id="891"/>
    </w:p>
    <w:p>
      <w:pPr>
        <w:pStyle w:val="BookText"/>
        <w:rPr/>
      </w:pPr>
      <w:r>
        <w:rPr>
          <w:rFonts w:ascii="IRNazanin" w:hAnsi="IRNazanin" w:eastAsia="IRNazanin"/>
          <w:color w:val="111111"/>
          <w:sz w:val="28"/>
          <w:sz w:val="28"/>
          <w:szCs w:val="28"/>
          <w:rtl w:val="true"/>
          <w:lang w:bidi="fa-IR"/>
        </w:rPr>
        <w:t>وإذا لم یوجد مرجّح فی مجال الخبرین المتعارضین فقد یقال بوجود دلیلٍ خاصٍّ أیضاً یقتضی الحجّیّة التخییریّة ، فلا تصل النوبة إلی إعمال قاعدة التساقط ، وهذا یعنی أنّ الافتراض الرابع مع الافتراضات الخمسة الذی عجز دلیل الحجّیّة العامّ عن إثباته تَوفَّرَ لدینا دلیل خاصّ علیه یُسمّی بأخبار التخییر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أهمّ أخبار التخییر روایة سماعة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اختلف علیه رجلان من أهل دینه فی أمرٍ کلاهما یرویه ، أحدهما یأمر بأخذه والآخر ینهاه عنه ، کیف یصنع؟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یُرجِئه حتّی یلقی من یخبره ، فهو </w:t>
      </w:r>
    </w:p>
    <w:p>
      <w:pPr>
        <w:pStyle w:val="BookText"/>
        <w:rPr/>
      </w:pPr>
      <w:r>
        <w:rPr>
          <w:rFonts w:ascii="Amiri" w:hAnsi="Amiri" w:eastAsia="Amiri" w:cs="Amiri"/>
          <w:color w:val="111111"/>
          <w:sz w:val="28"/>
          <w:sz w:val="28"/>
          <w:szCs w:val="28"/>
          <w:rtl w:val="true"/>
          <w:lang w:bidi="ar-SA"/>
        </w:rPr>
        <w:t>فی سعةٍ حتّی یلقاه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بالروایة یقوم علی دعوی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مخیَّر فی العمل بأیٍّ من الخبرین حتّی یلقی الإمام ، فیکون مفاده جعل الحجّیّة التخییریّة ، مع أنّ بالإمکان أن یراد بالسعة هنا عدم کونه ملزماً بالفحص السریع وشدّ الرّحال إلی الإمام فوراً ، وأ نّه لا یطالَب بتعیین الواقع حتّی یلقی الإمام حسب ما تقتضیه الظروف والمناسبات ، وأمّا ماذا یعمل خلال هذه الفترة؟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تکون الروایة متعرّضةً له مباشرةً ، ولکنّ مقتضی إطلاقها المقامیّ أنّه یعمل نفس ما کان یعمله قبل مجیء الحدیثین المتعارضین ، وعلی هذا الاحتمال لا تدلّ الروایة علی الحجّیّة التخییریّة</w:t>
      </w:r>
      <w:r>
        <w:rPr>
          <w:rFonts w:eastAsia="IRNazanin" w:cs="IRNazanin"/>
          <w:color w:val="111111"/>
          <w:sz w:val="28"/>
          <w:szCs w:val="28"/>
          <w:rtl w:val="true"/>
          <w:lang w:bidi="fa-IR"/>
        </w:rPr>
        <w:t xml:space="preserve">. </w:t>
      </w:r>
      <w:bookmarkStart w:id="892" w:name="pg14075_144832"/>
    </w:p>
    <w:p>
      <w:pPr>
        <w:pStyle w:val="Heading4"/>
        <w:numPr>
          <w:ilvl w:val="3"/>
          <w:numId w:val="1"/>
        </w:numPr>
        <w:rPr/>
      </w:pPr>
      <w:bookmarkStart w:id="893" w:name="__RefHeading___Toc509228_1738255347"/>
      <w:bookmarkStart w:id="894" w:name="_Toc307"/>
      <w:bookmarkEnd w:id="892"/>
      <w:bookmarkEnd w:id="893"/>
      <w:r>
        <w:rPr/>
        <w:t>2</w:t>
      </w:r>
      <w:r>
        <w:rPr>
          <w:rtl w:val="true"/>
        </w:rPr>
        <w:t xml:space="preserve"> - </w:t>
      </w:r>
      <w:r>
        <w:rPr>
          <w:rtl w:val="true"/>
        </w:rPr>
        <w:t>التعارض بین الاصول العملیّة</w:t>
      </w:r>
      <w:bookmarkEnd w:id="894"/>
    </w:p>
    <w:p>
      <w:pPr>
        <w:pStyle w:val="BookText"/>
        <w:rPr/>
      </w:pPr>
      <w:r>
        <w:rPr>
          <w:rFonts w:ascii="IRNazanin" w:hAnsi="IRNazanin" w:eastAsia="IRNazanin"/>
          <w:color w:val="111111"/>
          <w:sz w:val="28"/>
          <w:sz w:val="28"/>
          <w:szCs w:val="28"/>
          <w:rtl w:val="true"/>
          <w:lang w:bidi="fa-IR"/>
        </w:rPr>
        <w:t xml:space="preserve">إذا لاحظنا الاصول العملیّة المتقدّمة وجدنا أنّ بعضها وارد علی بعض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البراءة الشرعیّة وارد علی أصالة الاشتغال الثابتة بحکم العقل علی مسلک حقّ الطاعة ، ولکن فی حالاتٍ اخری لا یوجد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التعارض بین البراءة والاستصحاب ، کما إذا علم بحرمة مقاربة الحائض وشکّ فی بقاء الحرمة بعد النقاء ، فإنّ الاستصحاب یقتضی بقاء الحرمة ، والبراءة تقتضی التأمین عنها ، فیتعارض دلیل الاستصحاب مع دلیل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تقدیم دلیل الاستصحاب علی دلیل البراءة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حاکم علی دلیل البراءة ؛ لأنّ دلیل البراءة اخذ فی موضوعه عدم الیقین بالحرمة ، ودلیل الاستصحاب لسانه لسان إبقاء الیقین والمنع عن انتقاضه ، فیکون ناظراً إلی إلغاء موضوع البراءة وحاکماً علی دلیلها ، وهذا بخلاف العکس فإنّ دلیل البراءة لیس لسانه افتراض المکلّف متیقّناً بعدم الحرمة ، بل مجرّد التأمین عن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أظهر عرفاً فی الشمول من دلیل البراءة ؛ باعتبار أنّ فی بعض روایاته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والتأبید یجعله أقوی دلالةً علی الشمول والعموم من دلیل البراءة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التعارض بین الأصل السببیّ والأصل المسبّبیّ ، وقد سبق الکلام عن ذلک فی الاستصحاب ، وتقدّم أنّ الأصل السببیّ مقدّم ، وقد فسرّ الشیخ الأنصاریّ ذلک علی أساس حکومته علی الأصل المسبّبیّ ، فلاحظ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895" w:name="pg14075_144833"/>
    </w:p>
    <w:p>
      <w:pPr>
        <w:pStyle w:val="Heading4"/>
        <w:numPr>
          <w:ilvl w:val="3"/>
          <w:numId w:val="1"/>
        </w:numPr>
        <w:rPr/>
      </w:pPr>
      <w:bookmarkStart w:id="896" w:name="__RefHeading___Toc509230_1738255347"/>
      <w:bookmarkStart w:id="897" w:name="_Toc308"/>
      <w:bookmarkEnd w:id="895"/>
      <w:bookmarkEnd w:id="896"/>
      <w:r>
        <w:rPr/>
        <w:t>3</w:t>
      </w:r>
      <w:r>
        <w:rPr>
          <w:rtl w:val="true"/>
        </w:rPr>
        <w:t xml:space="preserve"> - </w:t>
      </w:r>
      <w:r>
        <w:rPr>
          <w:rtl w:val="true"/>
        </w:rPr>
        <w:t>التعارض بین الأدّلة المحرزة والاصول العملیّة</w:t>
      </w:r>
      <w:bookmarkEnd w:id="897"/>
    </w:p>
    <w:p>
      <w:pPr>
        <w:pStyle w:val="BookText"/>
        <w:rPr/>
      </w:pPr>
      <w:r>
        <w:rPr>
          <w:rFonts w:ascii="IRNazanin" w:hAnsi="IRNazanin" w:eastAsia="IRNazanin"/>
          <w:color w:val="111111"/>
          <w:sz w:val="28"/>
          <w:sz w:val="28"/>
          <w:szCs w:val="28"/>
          <w:rtl w:val="true"/>
          <w:lang w:bidi="fa-IR"/>
        </w:rPr>
        <w:t>إذا قام دلیل محرز علی حکم فلا شکّ فی أنّه لا تجری الاصول العملیّة المخالفة له ، وهذا واضح إذا کان الدلیل المحرز قطعیّاً ، إذ یکون حینئذٍ وارداً ؛ لأنّ الاصول العملیّة اخذ فی موضوع دلیلها الشکّ ، وهو ینتفی حقیقةً بورود الدلیل المحرز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الدلیل المحرز أمارةً 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فیتقدّم أیضاً بدون شکّ ، وإنّما البحث فی تکییف هذا التقدیم وتفسیره ، إذ قد یستشکل فیه بأنّ الأمارة لمّا کانت ظنّیةً فهی لا تنفی الشکّ حقیقةً ، وعلی هذا فموضوع دلیل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 فما الموجب لطرح دلیل الأصل والأخذ بالأمارة؟ ولماذا لا نفترض التعارض بین دلیل الأصل ودلیل حجّیة تلک الأمارة فلا نعمل بأیّ واحدٍ منهما؟</w:t>
      </w:r>
    </w:p>
    <w:p>
      <w:pPr>
        <w:pStyle w:val="BookText"/>
        <w:rPr/>
      </w:pPr>
      <w:r>
        <w:rPr>
          <w:rFonts w:ascii="IRNazanin" w:hAnsi="IRNazanin" w:eastAsia="IRNazanin"/>
          <w:color w:val="111111"/>
          <w:sz w:val="28"/>
          <w:sz w:val="28"/>
          <w:szCs w:val="28"/>
          <w:rtl w:val="true"/>
          <w:lang w:bidi="fa-IR"/>
        </w:rPr>
        <w:t xml:space="preserve">وهناک محاولات لدفع هذا الاستشکال وتبریر تقدیم الأمارة علی الأصل ؛ نذکر منها محاولتین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الأصل وإن اخذ فی موضوعه عدم العلم لکنّ العلم هنا لوحظ کمثال ، والمقصود عدم الدلیل الذی تقوم به الحجّة فی إثبات الحکم الواقعیّ ؛ سواء کان قطعاً أو أمارةً ، وعلیه فدلیل حجّیّة الأمارة بجعله الحجّیّة والدلیلیّة لها یکون نافیاً لموضوع دلیل الأصل حقیقةً ووارداً علیه ، والوارد یتقدّم علی المورود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والمحاولة الاخری مبنیّة علی التسلیم بأنّ دلیل الأصل ظاهر فی نفسه فی أخذ عدم العلم فی موضوعه بما هو عدم العلم ؛ لابما هو عدم الحجّة ، وهذا یعنی </w:t>
      </w:r>
    </w:p>
    <w:p>
      <w:pPr>
        <w:pStyle w:val="BookText"/>
        <w:rPr/>
      </w:pPr>
      <w:r>
        <w:rPr>
          <w:rFonts w:ascii="IRNazanin" w:hAnsi="IRNazanin" w:eastAsia="IRNazanin"/>
          <w:color w:val="111111"/>
          <w:sz w:val="28"/>
          <w:sz w:val="28"/>
          <w:szCs w:val="28"/>
          <w:rtl w:val="true"/>
          <w:lang w:bidi="fa-IR"/>
        </w:rPr>
        <w:t xml:space="preserve">أنّ دلیل حجّیّة الأمارة لیس وارداً علی دلیل الأصل ؛ لأنّه لا ینفی الشکّ ، ولا یوجِد العلم حقیقةً ، ولکن مع هذا تُقدَّم الأمارة علی الأصل ، وهذا التقدیم من نتائج قیام الأمارة مقام القطع الموضوعیّ ، حیث إنّ أدلّة الاصول اخذ فی موضوعها الشکّ وعدم القطع ، فالقطع بالنسبة إلیها قطع موضوعیّ بمعنی أنّ عدمه دخیل فی موضوعها ، فإذا استُفید من دلیل الحجّیّة أنّ الأمارة تقوم مقام القطع الموضوعیّ فهذا یعنی أنّه کما ینتفی الأصل بالقطع ینتفی بالأمارة أیضاً ، وقیام الأمارة مقام القطع الموضوعیّ عبارة اخری عن دعوی أنّ دلیل حجّیّة الأمارة حاکم علی دلیل الأصل ؛ لأنَّ لسانه إلغاء الشکّ وتنزیل الأمارة منزلة العلم ، فهو بهذا یتصرّف فی موضوع دلیل الأصل ویحکم علیه ، کما یحکم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دلیل حرمة الربا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أردنا تحریره فی هذه الحلقة ، وقد بدأنا بکتابتها فی النجف الأشرف فی الیوم الرابع عشر من جمادی الاولی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وفرغنا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السابع من جمادی الثانیة فی نفس السنة ، والحمد لله بعدد علمه ، وهو ولیّ التوفیق</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14075_144836"/>
      <w:bookmarkStart w:id="899" w:name="pg14075_144836"/>
      <w:bookmarkEnd w:id="899"/>
    </w:p>
    <w:p>
      <w:pPr>
        <w:pStyle w:val="Heading2"/>
        <w:numPr>
          <w:ilvl w:val="1"/>
          <w:numId w:val="1"/>
        </w:numPr>
        <w:rPr/>
      </w:pPr>
      <w:bookmarkStart w:id="900" w:name="pg14075_144836"/>
      <w:bookmarkStart w:id="901" w:name="__RefHeading___Toc509232_1738255347"/>
      <w:bookmarkStart w:id="902" w:name="_Toc309"/>
      <w:bookmarkEnd w:id="900"/>
      <w:bookmarkEnd w:id="901"/>
      <w:r>
        <w:rPr>
          <w:rtl w:val="true"/>
        </w:rPr>
        <w:t>فهرس الموضوعات</w:t>
      </w:r>
      <w:bookmarkEnd w:id="902"/>
    </w:p>
    <w:p>
      <w:pPr>
        <w:pStyle w:val="BookText"/>
        <w:rPr/>
      </w:pPr>
      <w:r>
        <w:rPr>
          <w:rFonts w:ascii="IRNazanin" w:hAnsi="IRNazanin" w:eastAsia="IRNazanin"/>
          <w:color w:val="111111"/>
          <w:sz w:val="28"/>
          <w:sz w:val="28"/>
          <w:szCs w:val="28"/>
          <w:rtl w:val="true"/>
          <w:lang w:bidi="fa-IR"/>
        </w:rPr>
        <w:t>کلمة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الحَلقَة الاولی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مُقدّمَة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للحلقات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الحوزة العلمیّة فی دراسة هذا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مبرّرات استبدال الکتب الدراسیّة فی هذا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محاولات للاستبدال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الملحوظة فی هذه الحلقات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إرشادات فی مجال دراسة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مُقَدّمَة للحلقة الاولی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التعریف بعلمِ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کلمة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علم الاصول منطق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أهمّیة علم الاصول فی عملیة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الاصول والفقه یمثِّلان النظریة والتطبیق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التفاعل بین الفکر الاصولیِّ والفکر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جوازُ عملیّةِ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موقف المعارضین للاجتهاد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تقسیم الحکم إلی تکلیفیٍّ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أقسام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بحوث عِلم الاصول</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العنصر المشترک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مبادئ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الوضع والعلاقة اللغویة؟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قد ینقلب المجاز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تصنیف اللغة إلی معانٍ اسمیّةٍ وحرفیّة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هیئة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المدلول اللغویّ والمدلول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الجملة الخبریة والجملة 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الدلالات التی یبحث عنها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تطبیقات حجّیة الظهور علی الأدلّة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القرینة المتَّصلة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دراسة العلاقات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العلاقات القائمة بین نفس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علاقة التضادّ بین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هل تستلزم الحرمة 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العلاقات القائمة بین الحکم وموضوعه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الجعل والفعلیة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العلاقات القائمة بین الحکم ومتعلّقه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العلاقات القائمة بین الحکم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العَلاقات القائمة فی داخل الحکم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النوع الثانی الاصول العملیّة</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الأساسیّة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الثانویة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موارد التردّد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الحالة السابقة المتیقّنة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الشکّ فی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وحدة الموضوع فی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تعارض الأدلّة</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حالة التعارض بین دلیلین لفظیَّین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حالات التعارض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الحلقة الثانیة</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موضوع علمِ الاصول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فائدة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مبادئ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التضادّ بین الأحکام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شمول الحکم الشرعیّ لجمیع وقائع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الحکم الواقعیّ والحکم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اجتماع 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القضیّة الحقیقیّة والقضیّة الخارجیّة للأحکام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حجّیة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معذّریّة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جواز الإسناد إلی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تلخیص ومقارنة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تحدید المنهج فی الأدلّة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المنهج علی 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فائدة المنجّزیّة والمعذّریّة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المنهج علی 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مقدار ما یثبت بالأدلّة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تبعیّة الدلالة الالتزامیّة للمطابقیّة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وفاءُ الدلیل بدور القطع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إثبات الدلیل لجواز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تحدید دلالات الدلیل الشرعی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التصوّریّ والظهور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الوضع وعلاقته بالدلالات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الوضع التعیینیّ والتعیّنی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تحویل المجاز إلی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استعمال اللفظ وإرادة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الاشتراک والترادف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تصنیف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المقارنة بین الحروف والأسماء الموازیة لها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تنوّع 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المقارنة بین الجمل التامّة والناقصة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دلالات اخری للأمر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الاحتراز فی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الإطلاق فی 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الحالات المختلفة لاسم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بعض التطبیقات لقرینة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تعریف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أدوات العموم ونحو دلالتها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دلالة الجمع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الشرط المسوق لتحقیق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جمل الغایة والاستثناء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التطابق بین الدلالات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مناسبات الحکم والموضوع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إثبات المِلاک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دلالة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دلالة السکوت والتقریر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الإحراز الوجدانیّ للدلیل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المعاصرة للمعصومین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درجة الوثوق فی وسائل الإحراز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أدلّة حجّیّة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أدلّة نفی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تحدید دائرة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إثباتُ حجیة الدلالة فی الدلیل الشرعی</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الاستدلال علی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ظواهر الکتاب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تقسیمات للقضایا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قاعدة إمکان التکلیفِ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قاعدة تنوّع القیود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تنوّع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أحکام القیود المتنوّعة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قیود الواجب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المسؤولیة قبل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متی یجوز عقلاً التعجیز؟</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أخْذ العِلم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استحالة اختصاص الحکم بالعالم به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أخذ العلم بحکمٍ فی موضوع حکمٍ آخر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أخذ قصدِ امتثال الأمر فی 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اشتراط التکلیفِ بالقدرة بمعنیً آخر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التخییر والکفائیّة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الشرعیّ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العقلیّ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الوجوب الغیریّ لمقدّماتِ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مُسقِطات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إمکانُ النَسخِ وتصویرُه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الملازَمة بین الحُسنِ والقبح ، والأمرِ والنهی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الاستقراء والقیاس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العملیّة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القاعدة العملیّة الأوّلیّة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القاعدة العملیّة الثانویّة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الاعتراضات علی أدلّة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البراءة مشروطة بالفحص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التمییز بین الشکّ فی التکلیف والشکّ فی المکلَّف به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البراءة عن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منجّزیّة العلم الإجمالیّ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جریان الاصول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تحدید أرکان هذه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حالة تردّد أجزاء الواجب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الشکّ فی إطلاق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حالة احتمال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حالات دوران الواجب بین التعیین والتخییر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تعریف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التمییز بین الاستصحاب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حالات الشکّ فی التقدّم والتأخّر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مجهولَی 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الحالتین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حالات الشکّ السببیّ والمسبّبی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تعارض الأدلّة</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تساقط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الحکم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الترجیح للروایات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الحکم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التخییر للروایات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 والاصول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التعریف بعلمِ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کلمة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علم الاصول منطق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أهمّیة علم الاصول فی عملیة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الاصول والفقه یمثِّلان النظریة والتطبیق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التفاعل بین الفکر الاصولیِّ والفکر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جوازُ عملیّةِ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موقف المعارضین للاجتهاد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تقسیم الحکم إلی تکلیفیٍّ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أقسام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بحوث عِلم الاصول</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المشترک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مبادئ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الوضع والعلاقة اللغویة؟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قد ینقلب المجاز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تصنیف اللغة إلی معانٍ اسمیّةٍ وحرفیّة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هیئة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المدلول اللغویّ والمدلول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الجملة الخبریة والجملة 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الدلالات التی یبحث عنها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تطبیقات حجّیة الظهور علی الأدلّة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القرینة المتَّصلة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دراسة العلاقات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العلاقات القائمة بین نفس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علاقة التضادّ بین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هل تستلزم الحرمة 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العلاقات القائمة بین الحکم وموضوعه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الجعل والفعلیة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العلاقات القائمة بین الحکم ومتعلّقه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العلاقات القائمة بین الحکم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العَلاقات القائمة فی داخل الحکم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النوع الثانی الاصول العملیّة</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الأساسیّة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الثانویة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موارد التردّد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الحالة السابقة المتیقّنة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الشکّ فی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وحدة الموضوع فی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تعارض الأدلّة</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حالة التعارض بین دلیلین لفظیَّین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حالات التعارض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الحلقة الثانیة</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موضوع علمِ الاصول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فائدة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مبادئ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التضادّ بین الأحکام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شمول الحکم الشرعیّ لجمیع وقائع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الحکم الواقعیّ والحکم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اجتماع 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القضیّة الحقیقیّة والقضیّة الخارجیّة للأحکام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حجّیة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معذّریّة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جواز الإسناد إلی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تلخیص ومقارنة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تحدید المنهج فی الأدلّة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المنهج علی 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فائدة المنجّزیّة والمعذّریّة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المنهج علی 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مقدار ما یثبت بالأدلّة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تبعیّة الدلالة الالتزامیّة للمطابقیّة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وفاءُ الدلیل بدور القطع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الدلیل لجواز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تحدید دلالات الدلیل الشرعی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التصوّریّ والظهور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الوضع وعلاقته بالدلالات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الوضع التعیینیّ والتعیّنی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تحویل المجاز إلی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استعمال اللفظ وإرادة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الاشتراک والترادف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تصنیف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المقارنة بین الحروف والأسماء الموازیة لها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تنوّع 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المقارنة بین الجمل التامّة والناقصة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دلالات اخری للأمر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الاحتراز فی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الإطلاق فی 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الحالات المختلفة لاسم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بعض التطبیقات لقرینة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تعریف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أدوات العموم ونحو دلالتها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دلالة الجمع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الشرط المسوق لتحقیق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 الغایة والاستثناء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التطابق بین الدلالات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مناسبات الحکم والموضوع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إثبات المِلاک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دلالة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دلالة السکوت والتقریر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الإحراز الوجدانیّ للدلیل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المعاصرة للمعصومین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درجة الوثوق فی وسائل الإحراز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أدلّة حجّیّة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نفی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تحدید دائرة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إثباتُ حجیة الدلالة فی الدلیل الشرعی</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الاستدلال علی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ظواهر الکتاب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تقسیمات للقضایا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قاعدة إمکان التکلیفِ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قاعدة تنوّع القیود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تنوّع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أحکام القیود المتنوّعة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قیود الواجب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المسؤولیة قبل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متی یجوز عقلاً التعجیز؟</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أخْذ العِلم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استحالة اختصاص الحکم بالعالم به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أخذ العلم بحکمٍ فی موضوع حکمٍ آخر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أخذ قصدِ امتثال الأمر فی 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اشتراط التکلیفِ بالقدرة بمعنیً آخر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التخییر والکفائیّة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الشرعیّ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العقلیّ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الوجوب الغیریّ لمقدّماتِ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مُسقِطات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إمکانُ النَسخِ وتصویرُه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الملازَمة بین الحُسنِ والقبح ، والأمرِ والنهی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الاستقراء والقیاس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العملیّة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العملیّة الأوّلیّة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القاعدة العملیّة الثانویّة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الاعتراضات علی أدلّة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البراءة مشروطة بالفحص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التمییز بین الشکّ فی التکلیف والشکّ فی المکلَّف به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البراءة عن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منجّزیّة العلم الإجمالیّ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جریان الاصول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تحدید أرکان هذه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حالة تردّد أجزاء الواجب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الشکّ فی إطلاق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حالة احتمال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حالات دوران الواجب بین التعیین والتخییر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تعریف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التمییز بین الاستصحاب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کلمة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الحَلقَة الاولی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مُقدّمَة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للحلقات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الحوزة العلمیّة فی دراسة هذا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مبرّرات استبدال الکتب الدراسیّة فی هذا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محاولات للاستبدال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الملحوظة فی هذه الحلقات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إرشادات فی مجال دراسة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مُقَدّمَة للحلقة الاولی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التعریف بعلمِ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کلمة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علم الاصول منطق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أهمّیة علم الاصول فی عملیة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الاصول والفقه یمثِّلان النظریة والتطبیق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التفاعل بین الفکر الاصولیِّ والفکر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جوازُ عملیّةِ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موقف المعارضین للاجتهاد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تقسیم الحکم إلی تکلیفیٍّ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أقسام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بحوث عِلم الاصول</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العنصر المشترک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مبادئ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الوضع والعلاقة اللغویة؟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هو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قد ینقلب المجاز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تصنیف اللغة إلی معانٍ اسمیّةٍ وحرفیّة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هیئة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المدلول اللغویّ والمدلول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الجملة الخبریة والجملة 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الدلالات التی یبحث عنها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تطبیقات حجّیة الظهور علی الأدلّة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القرینة المتَّصلة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دراسة العلاقات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تقسیم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العلاقات القائمة بین نفس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علاقة التضادّ بین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هل تستلزم الحرمة 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العلاقات القائمة بین الحکم وموضوعه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الجعل والفعلیة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العلاقات القائمة بین الحکم ومتعلّقه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العلاقات القائمة بین الحکم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العَلاقات القائمة فی داخل الحکم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النوع الثانی الاصول العملیّة</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الأساسیّة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العملیّة الثانویة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انحلال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موارد التردّد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الحالة السابقة المتیقّنة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الشکّ فی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وحدة الموضوع فی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تعارض الأدلّة</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حالة التعارض بین دلیلین لفظیَّین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حالات التعارض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الحلقة الثانیة</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موضوع علمِ الاصول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فائدة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الحکم الشرعیّ وتقسیمه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مبادئ الحکم التکلیفی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التضادّ بین الأحکام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شمول الحکم الشرعیّ لجمیع وقائع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الحکم الواقعیّ والحکم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اجتماع 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القضیّة الحقیقیّة والقضیّة الخارجیّة للأحکام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تنویعُ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حجّیة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معذّریّة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جواز الإسناد إلی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تلخیص ومقارنة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تحدید المنهج فی الأدلّة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المنهج علی 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فائدة المنجّزیّة والمعذّریّة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المنهج علی 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مقدار ما یثبت بالأدلّة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تبعیّة الدلالة الالتزامیّة للمطابقیّة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وفاءُ الدلیل بدور القطع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إثبات الدلیل لجواز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تحدید دلالات الدلیل الشرعی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التصوّریّ والظهور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الوضع وعلاقته بالدلالات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الوضع التعیینیّ والتعیّنی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توقّف الوضع علی تصوّر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تحویل المجاز إلی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استعمال اللفظ وإرادة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الاشتراک والترادف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تصنیف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المقارنة بین الحروف والأسماء الموازیة لها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تنوّع المدلول التصدیقیّ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المقارنة بین الجمل التامّة والناقصة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دلالات اخری للأمر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الاحتراز فی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الإطلاق فی 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الحالات المختلفة لاسم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بعض التطبیقات لقرینة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تعریف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أدوات العموم ونحو دلالتها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دلالة الجمع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الشرط المسوق لتحقیق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جمل الغایة والاستثناء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التطابق بین الدلالات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مناسبات الحکم والموضوع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إثبات المِلاک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دلالة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دلالة السکوت والتقریر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الإحراز الوجدانیّ للدلیل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المعاصرة للمعصومین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درجة الوثوق فی وسائل الإحراز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أدلّة حجّیّة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أدلّة نفی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تحدید دائرة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إثباتُ حجیة الدلالة فی الدلیل الشرعی</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الاستدلال علی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ظواهر الکتاب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تقسیمات للقضایا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قاعدة إمکان التکلیفِ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قاعدة تنوّع القیود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تنوّع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أحکام القیود المتنوّعة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قیود الواجب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المسؤولیة قبل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متی یجوز عقلاً التعجیز؟</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أخْذ العِلم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استحالة اختصاص الحکم بالعالم به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أخذ العلم بحکمٍ فی موضوع حکمٍ آخر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أخذ قصدِ امتثال الأمر فی 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اشتراط التکلیفِ بالقدرة بمعنیً آخر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التخییر والکفائیّة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الشرعیّ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التخییر العقلیّ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الوجوب الغیریّ لمقدّماتِ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مُسقِطات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إمکانُ النَسخِ وتصویرُه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الملازَمة بین الحُسنِ والقبح ، والأمرِ والنهی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الاستقراء والقیاس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العملیّة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القاعدة العملیّة الأوّلیّة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القاعدة العملیّة الثانویّة فی حالةِ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البراءة الشرعیّة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الاعتراضات علی أدلّة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البراءة مشروطة بالفحص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التمییز بین الشکّ فی التکلیف والشکّ فی المکلَّف به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البراءة عن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منجّزیّة العلم الإجمالیّ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جریان الاصول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تحدید أرکان هذه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حالة تردّد أجزاء الواجب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الشکّ فی إطلاق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حالة احتمال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حالات دوران الواجب بین التعیین والتخییر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تعریف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التمییز بین الاستصحاب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حالات الشکّ فی التقدّم والتأخّر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مجهولَی 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الحالتین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حالات الشکّ السببیّ والمسبّبی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تعارض الأدلّة</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تساقط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الحکم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الترجیح للروایات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الحکم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التخییر للروایات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الأدّلة المحرزة والاصول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المصنّف قدس‌سره بذلک الفقید العزیز العلاّمة الجلیل حجّة الإسلام والمسلمین السیّد عبد الغنی نجل سماحة آیة الله السیّد أحمد الأردبیلی أحد عیون تلامذته تقویً ونبلاً وفضلاً ، وقد تربّی علی یده قرابة عشرین عاماً وهاجر إلی أردبیل وأسّس هناک حوزة جلیلة ، وکان له دور کبیر فی حثّ السیّد المصنّف علی إنجاز هذه الحلقات ، کما کان من أعزّ أبنائه علیه وأحبّهم إلیه ، وقد فجع بوفاته ؛ إذ توفی فی الیوم الثامن والعشرین من رجب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فإنّا لله وإنّا إلیه راجعون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بحث قیّم کتبه سماحة السیّد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الشهید الصدر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للحلقات الثلاث جمیعاً ، لتوضیح الأسباب التی دعت إلی وضعها ، وما لوحظ فیها من خصائص ، وبعض الإرشادات فی مجال تدریسها ، ویمکن الاستفادة منه أیضاً فی التعرّف علی مدی ضرورة استبدال الکتب الدراسیّة فی المواد العلمیّة الاخری المطروحة فی الحوزات العلمیّة بما هو أفضل منها فی مجال التدریس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الملحوظ أنّ الطرق التی استعرضها المؤلّف قدس‌سره فی الحلقة الثانیة لإثبات السیرة المعاصرة للمعصومین علیهم‌السلام هی خمس طرق لا أربع ، وذلک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الإحراز الوجدانی للدلیل الشرعی غیر اللفظی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إنّما عبّر عنها بأربع طرق لأنّه ناقش الطریق الأوّل منها وبقیت باقی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سلیمةً عن النقاش</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 الحدیث الأول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 الحدیث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 الحدیث الأول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تأسیس الشیعة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 الحدیث الأول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وتأسیس الشیعة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الدُّلَفی ، بدلاً عن المدنیّ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واعتمد نتائج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کلمة علی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بالمعنی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مضموناً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الوضع والعلاقة اللغویّة؟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النائینی رحمه‌الله فی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العراقی فی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صاحب الکفایة فی بحث مفهوم 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المحقق النائینی فی بحث مفهوم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نرید باللغة والنظام اللغویّ العامّ هنا اللغة فی مقابل العرف ، بل النظام القائم بالفعل لدلالة الألفاظ ، سواء کان لغویّاً أوّلیّاً أو ثانویاً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قدس‌سره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الطریق الثالث من طرق إثبات الصدور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الدلیل الشرعی اللفظی تحت عنوان حجیّة الظهور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لغیر القسم السادس ، وأ مّا القسم السادس فنرید به ما کان من قبیل علاقة التلازم بین الحکم العقلی والحکم الشرعی المقرّر فی المبدأ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حکم به العقل حکم به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هذه العلاقة تقوم بین الحکم الشرعی وشیء خارج عن نطاق العالم التشریعی ، وهو حکم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أجّلنا دراسة ذلک إلی الحلقات المقبلة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قدس‌سره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الی هذا القول المحقق النائینی راجع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المحقق الخراسانی هذا القول الی المشهور واختاره هو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التونی فی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هذ االتفسیر جمع من الاصولیین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الایراوانی فی حاشیته علی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العراقی فی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النائینی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الحدیث کالتالی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عن امتی تسعة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 والنسیان ، وما أکرهوا علیه ، وما لا یعلمون ، 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المشترک بین النوعین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المشترک بین النوعین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هذه الکلمة طبقاً لما فی المصدر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الحدیث </w:t>
      </w:r>
      <w:r>
        <w:rPr>
          <w:rFonts w:eastAsia="IRNazanin" w:cs="IRNazanin"/>
          <w:b w:val="false"/>
          <w:bCs w:val="false"/>
          <w:i w:val="false"/>
          <w:iCs w:val="false"/>
          <w:color w:val="333333"/>
          <w:sz w:val="20"/>
          <w:szCs w:val="20"/>
        </w:rPr>
        <w:t>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الی ذلک الشیخ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والمیرزا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حجّیة الظهور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المتّصلة والمنفصلة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الحدیث الأول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الحدیث </w:t>
      </w:r>
      <w:r>
        <w:rPr>
          <w:rFonts w:eastAsia="IRNazanin" w:cs="IRNazanin"/>
          <w:b w:val="false"/>
          <w:bCs w:val="false"/>
          <w:i w:val="false"/>
          <w:iCs w:val="false"/>
          <w:color w:val="333333"/>
          <w:sz w:val="20"/>
          <w:szCs w:val="20"/>
        </w:rPr>
        <w:t>11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الصدور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الأحکام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حادثةٍ إلاّو لله فیها حکم ، وفی الکافی أیضاً ما یستفاد منه هذا المضمون ،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ویمکن القول علی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لا یوجد دلیل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مکرّرة بعینها تقریباً فیما سیأتی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تحدید المنهج فی الأدلّة والاصول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موضوع التعارض بین الأدلّة المحرزة والاصول العملیة ، آخر هذا الجزء</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الواقعی والحکم الظاهری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 القطع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کفایة الا 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 الحدیث الأول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الواقعی والحکم الظاهری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یأتی فی أول بحث حجیة القطع من الحلقة الثالثة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الامارات والاصول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ما أثبتناه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یأتی ضمن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یثبت بالاستصحاب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حجیة القطع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الحدیث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حلول ثلاثة للإشکال أفرزنا بعضها عن بعض بالأقواس لتسهیل الأمر علی الطالب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جاءت العبارة فی الطبعة الاولی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حدّ نسبة الاسم إلی المعانی الاسمیّة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فی هامش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 الحدیث </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اللغة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یأتی فی الحلقة الثالثة عند الحدیث عن ثمرة البحث عن المعانی الحرفیة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الشهید رحمه‌الله استعمل تنوین التنکیر فی غیر مصطلحه النحوی ، فإنّه عند النحاة عبارة عن التنوین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اللاحق لبعض الأسماء المبنیّة فرقاً بین معرفتها ونکرتها ، ویقع فی باب اسم الفعل بالسماع کصهٍ ومهٍ وإ یهٍ ، وفی العلم المختوم بویه بقیاس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سیبویهِ وسیبویهٍ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حین أنّ السیّد الشهید رحمه‌الله قصد بذلک التنوین الذی یلحق الاسم النکرة لإفادة قید الوحدة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فقیراً ، أی فقیراً واحداً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رحمه‌الله استعمل تنوین التمکین أیضاً فی غیر مصطلحه النحوی ، فإنّه عند النحاة عبارة عن التنوین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اللاحق للاسم المعرب المنصرف إعلاماً ببقائه علی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کزید ورجل ورجالٍ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فی هذا المعنی بین ما یدلّ علی قید الوحدة وما لا یدلّ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حین انّه رحمه‌الله قصد بذلک خصوص التنوین الذی لا دلالة فیه علی قید الوحدة ، وإنّما یتمحّض فی الدلالة علی بقاء الاسم المعرب المنصرف علی أصله مثل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معروفٌ خیرٌ من صدقةٍ یتبعها 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إرادة جنس القول المعروف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والنهی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یظهر بالتأمّل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التصوری والظهور التصدیقی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وعلاقته بالدلالات المتقدمة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الحکم التکلیفی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عن الإمام الهادی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علمتم أنّه قولنا فالزموه ، وما لم تعلموا فردّوه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الاحادیث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کحدیث الثقلین ،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وکغیره ، 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الأول ،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 الحدیث </w:t>
      </w:r>
      <w:r>
        <w:rPr>
          <w:rFonts w:eastAsia="IRNazanin" w:cs="IRNazanin"/>
          <w:b w:val="false"/>
          <w:bCs w:val="false"/>
          <w:i w:val="false"/>
          <w:iCs w:val="false"/>
          <w:color w:val="333333"/>
          <w:sz w:val="20"/>
          <w:szCs w:val="20"/>
        </w:rPr>
        <w:t>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البحث عن ذلک فی الحلقة الثالثة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عن المقدّمات قبل الوقت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الفصول فی 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الخراسانی فی کفایةالاصول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الاصولیّون فی کتبهم کالمحقّق النائینی رحمه‌الله راجع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 المحقّق الخراسانی 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التونی فی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الخوئی قدس‌سره فی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صاحب الفصول فی الفصو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العراقی فی نهایة الأفکار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 الشرعی فی الواجب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الأنصاری فی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المیرزاالشیرازی قدس‌سره راجع مباحث الاصول الجزءالاول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البحث عنه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الشرعی وتقسیمه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الأخباریون ، منهم الأمین الاسترآبادی راجع 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البحث عنه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تنویع البحث</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بحث المنهج علی مسلک قبح العقاب بلا بیان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الحدیث الأول ، إلاّأ 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ینطقوا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وفقاً لما فی المصدر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 الحدیث الأول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الحدیث عنه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منجزیة العلم الإ جمالی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الحلقة الاولی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العلم الإ جمالی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المقدّمات ،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العلم ، ذیل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البحث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تنوّع القیود وأحکامها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النائینی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القدماء الی زمان والد الشیخ البهائی قدس‌سره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الأعظم الأنصاری فی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العضدی ، راجع القوانین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النائینی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الأنصاری فی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الحدیث </w:t>
      </w:r>
      <w:r>
        <w:rPr>
          <w:rFonts w:eastAsia="IRNazanin" w:cs="IRNazanin"/>
          <w:b w:val="false"/>
          <w:bCs w:val="false"/>
          <w:i w:val="false"/>
          <w:iCs w:val="false"/>
          <w:color w:val="333333"/>
          <w:sz w:val="20"/>
          <w:szCs w:val="20"/>
        </w:rPr>
        <w:t>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اسحاق بن عمّار ، راجع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ومکاتبة علی بن محمد القاسانی ، راجع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عبد الله بن سنان ، راجع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وکذا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 الحدیث الأوّل</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المجاهد فی مفاتیح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جاءت العبارة فی الطبعة الاولی وتبعتها الطبعات الاخری ، ولکنّ إطلاق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المثنّی علی کلّ الصور الثلاث إمّا من الخطأ الواقع فی الطبع ،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المفرد ، وإمّا أنّه مبنی علی الاکتفاء بمجهولیّة التاریخ النسبی بالمعنی الذی سیأتی توضیحه فی المتن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تنویع البحث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التکلیف بالقدرة بمعنی آخر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البحث عنه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دائرة الحجیّة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 الحدیث الأوّل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بحث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حالات الشکّ السببی والمسبّبی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71142</Words>
  <Characters>340054</Characters>
  <CharactersWithSpaces>408683</CharactersWithSpaces>
  <Paragraphs>2860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2026-08-24T12:04:27Z</dcterms:created>
  <dc:creator>ghaemiyeh.com</dc:creator>
  <dc:description/>
  <dc:language>en-US</dc:language>
  <cp:lastModifiedBy/>
  <dcterms:modified xsi:type="dcterms:W3CDTF">2026-08-24T15:34:38Z</dcterms:modified>
  <cp:revision>1</cp:revision>
  <dc:subject/>
  <dc:title>دروس فی علم الاصول جلد 1</dc:title>
</cp:coreProperties>
</file>

<file path=docProps/custom.xml><?xml version="1.0" encoding="utf-8"?>
<Properties xmlns="http://schemas.openxmlformats.org/officeDocument/2006/custom-properties" xmlns:vt="http://schemas.openxmlformats.org/officeDocument/2006/docPropsVTypes"/>
</file>