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4816_232238742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954818_232238742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954820_2322387425">
            <w:r>
              <w:rPr>
                <w:webHidden/>
                <w:rStyle w:val="IndexLink"/>
                <w:rtl w:val="true"/>
              </w:rPr>
              <w:t>شکر وتقدیر</w:t>
            </w:r>
            <w:r>
              <w:rPr>
                <w:rStyle w:val="IndexLink"/>
                <w:rtl w:val="true"/>
              </w:rPr>
              <w:tab/>
            </w:r>
            <w:r>
              <w:rPr>
                <w:rStyle w:val="IndexLink"/>
              </w:rPr>
              <w:t>16</w:t>
            </w:r>
          </w:hyperlink>
        </w:p>
        <w:p>
          <w:pPr>
            <w:pStyle w:val="Contents2"/>
            <w:tabs>
              <w:tab w:val="clear" w:pos="8743"/>
              <w:tab w:val="right" w:pos="9026" w:leader="dot"/>
            </w:tabs>
            <w:rPr/>
          </w:pPr>
          <w:hyperlink w:anchor="__RefHeading___Toc1954822_2322387425">
            <w:r>
              <w:rPr>
                <w:webHidden/>
                <w:rStyle w:val="IndexLink"/>
                <w:rtl w:val="true"/>
              </w:rPr>
              <w:t>وجوب الصوم وأقسامه وحکم منکره وتارکه</w:t>
            </w:r>
            <w:r>
              <w:rPr>
                <w:rStyle w:val="IndexLink"/>
                <w:rtl w:val="true"/>
              </w:rPr>
              <w:tab/>
            </w:r>
            <w:r>
              <w:rPr>
                <w:rStyle w:val="IndexLink"/>
              </w:rPr>
              <w:t>19</w:t>
            </w:r>
          </w:hyperlink>
        </w:p>
        <w:p>
          <w:pPr>
            <w:pStyle w:val="Contents2"/>
            <w:tabs>
              <w:tab w:val="clear" w:pos="8743"/>
              <w:tab w:val="right" w:pos="9026" w:leader="dot"/>
            </w:tabs>
            <w:rPr/>
          </w:pPr>
          <w:hyperlink w:anchor="__RefHeading___Toc1954824_2322387425">
            <w:r>
              <w:rPr>
                <w:webHidden/>
                <w:rStyle w:val="IndexLink"/>
                <w:rtl w:val="true"/>
              </w:rPr>
              <w:t>فصل</w:t>
            </w:r>
            <w:r>
              <w:rPr>
                <w:rStyle w:val="IndexLink"/>
                <w:rtl w:val="true"/>
              </w:rPr>
              <w:t xml:space="preserve">: </w:t>
            </w:r>
            <w:r>
              <w:rPr>
                <w:rStyle w:val="IndexLink"/>
                <w:rtl w:val="true"/>
              </w:rPr>
              <w:t>فی النیّة</w:t>
            </w:r>
            <w:r>
              <w:rPr>
                <w:rStyle w:val="IndexLink"/>
                <w:rtl w:val="true"/>
              </w:rPr>
              <w:tab/>
            </w:r>
            <w:r>
              <w:rPr>
                <w:rStyle w:val="IndexLink"/>
              </w:rPr>
              <w:t>23</w:t>
            </w:r>
          </w:hyperlink>
        </w:p>
        <w:p>
          <w:pPr>
            <w:pStyle w:val="Contents3"/>
            <w:tabs>
              <w:tab w:val="clear" w:pos="8459"/>
              <w:tab w:val="right" w:pos="9026" w:leader="dot"/>
            </w:tabs>
            <w:rPr/>
          </w:pPr>
          <w:hyperlink w:anchor="__RefHeading___Toc1954826_2322387425">
            <w:r>
              <w:rPr>
                <w:webHidden/>
                <w:rStyle w:val="IndexLink"/>
                <w:rtl w:val="true"/>
              </w:rPr>
              <w:t>اعتبار القصد والقربة</w:t>
            </w:r>
            <w:r>
              <w:rPr>
                <w:rStyle w:val="IndexLink"/>
                <w:rtl w:val="true"/>
              </w:rPr>
              <w:tab/>
            </w:r>
            <w:r>
              <w:rPr>
                <w:rStyle w:val="IndexLink"/>
              </w:rPr>
              <w:t>23</w:t>
            </w:r>
          </w:hyperlink>
        </w:p>
        <w:p>
          <w:pPr>
            <w:pStyle w:val="Contents3"/>
            <w:tabs>
              <w:tab w:val="clear" w:pos="8459"/>
              <w:tab w:val="right" w:pos="9026" w:leader="dot"/>
            </w:tabs>
            <w:rPr/>
          </w:pPr>
          <w:hyperlink w:anchor="__RefHeading___Toc1954828_2322387425">
            <w:r>
              <w:rPr>
                <w:webHidden/>
                <w:rStyle w:val="IndexLink"/>
                <w:rtl w:val="true"/>
              </w:rPr>
              <w:t>اعتبار قصد النوع فی الصوم الواجب</w:t>
            </w:r>
            <w:r>
              <w:rPr>
                <w:rStyle w:val="IndexLink"/>
                <w:rtl w:val="true"/>
              </w:rPr>
              <w:tab/>
            </w:r>
            <w:r>
              <w:rPr>
                <w:rStyle w:val="IndexLink"/>
              </w:rPr>
              <w:t>24</w:t>
            </w:r>
          </w:hyperlink>
        </w:p>
        <w:p>
          <w:pPr>
            <w:pStyle w:val="Contents3"/>
            <w:tabs>
              <w:tab w:val="clear" w:pos="8459"/>
              <w:tab w:val="right" w:pos="9026" w:leader="dot"/>
            </w:tabs>
            <w:rPr/>
          </w:pPr>
          <w:hyperlink w:anchor="__RefHeading___Toc1954830_2322387425">
            <w:r>
              <w:rPr>
                <w:webHidden/>
                <w:rStyle w:val="IndexLink"/>
                <w:rtl w:val="true"/>
              </w:rPr>
              <w:t>اعتبار قصد النوع فی الصوم المندوب</w:t>
            </w:r>
            <w:r>
              <w:rPr>
                <w:rStyle w:val="IndexLink"/>
                <w:rtl w:val="true"/>
              </w:rPr>
              <w:tab/>
            </w:r>
            <w:r>
              <w:rPr>
                <w:rStyle w:val="IndexLink"/>
              </w:rPr>
              <w:t>25</w:t>
            </w:r>
          </w:hyperlink>
        </w:p>
        <w:p>
          <w:pPr>
            <w:pStyle w:val="Contents3"/>
            <w:tabs>
              <w:tab w:val="clear" w:pos="8459"/>
              <w:tab w:val="right" w:pos="9026" w:leader="dot"/>
            </w:tabs>
            <w:rPr/>
          </w:pPr>
          <w:hyperlink w:anchor="__RefHeading___Toc1954832_2322387425">
            <w:r>
              <w:rPr>
                <w:webHidden/>
                <w:rStyle w:val="IndexLink"/>
                <w:rtl w:val="true"/>
              </w:rPr>
              <w:t>کفایة قصد الصوم فی صوم رمضان</w:t>
            </w:r>
            <w:r>
              <w:rPr>
                <w:rStyle w:val="IndexLink"/>
                <w:rtl w:val="true"/>
              </w:rPr>
              <w:tab/>
            </w:r>
            <w:r>
              <w:rPr>
                <w:rStyle w:val="IndexLink"/>
              </w:rPr>
              <w:t>28</w:t>
            </w:r>
          </w:hyperlink>
        </w:p>
        <w:p>
          <w:pPr>
            <w:pStyle w:val="Contents3"/>
            <w:tabs>
              <w:tab w:val="clear" w:pos="8459"/>
              <w:tab w:val="right" w:pos="9026" w:leader="dot"/>
            </w:tabs>
            <w:rPr/>
          </w:pPr>
          <w:hyperlink w:anchor="__RefHeading___Toc1954834_2322387425">
            <w:r>
              <w:rPr>
                <w:webHidden/>
                <w:rStyle w:val="IndexLink"/>
                <w:rtl w:val="true"/>
              </w:rPr>
              <w:t>قصد صوم غیر رمضان فی رمضان</w:t>
            </w:r>
            <w:r>
              <w:rPr>
                <w:rStyle w:val="IndexLink"/>
                <w:rtl w:val="true"/>
              </w:rPr>
              <w:tab/>
            </w:r>
            <w:r>
              <w:rPr>
                <w:rStyle w:val="IndexLink"/>
              </w:rPr>
              <w:t>29</w:t>
            </w:r>
          </w:hyperlink>
        </w:p>
        <w:p>
          <w:pPr>
            <w:pStyle w:val="Contents3"/>
            <w:tabs>
              <w:tab w:val="clear" w:pos="8459"/>
              <w:tab w:val="right" w:pos="9026" w:leader="dot"/>
            </w:tabs>
            <w:rPr/>
          </w:pPr>
          <w:hyperlink w:anchor="__RefHeading___Toc1954836_2322387425">
            <w:r>
              <w:rPr>
                <w:webHidden/>
                <w:rStyle w:val="IndexLink"/>
                <w:rtl w:val="true"/>
              </w:rPr>
              <w:t>المتوخّی وهو من اشتبه علیه شهر رمضان کالمحبوس ونحوه</w:t>
            </w:r>
            <w:r>
              <w:rPr>
                <w:rStyle w:val="IndexLink"/>
                <w:rtl w:val="true"/>
              </w:rPr>
              <w:tab/>
            </w:r>
            <w:r>
              <w:rPr>
                <w:rStyle w:val="IndexLink"/>
              </w:rPr>
              <w:t>31</w:t>
            </w:r>
          </w:hyperlink>
        </w:p>
        <w:p>
          <w:pPr>
            <w:pStyle w:val="Contents3"/>
            <w:tabs>
              <w:tab w:val="clear" w:pos="8459"/>
              <w:tab w:val="right" w:pos="9026" w:leader="dot"/>
            </w:tabs>
            <w:rPr/>
          </w:pPr>
          <w:hyperlink w:anchor="__RefHeading___Toc1954838_2322387425">
            <w:r>
              <w:rPr>
                <w:webHidden/>
                <w:rStyle w:val="IndexLink"/>
                <w:rtl w:val="true"/>
              </w:rPr>
              <w:t>قصد الوجه وعدمه فی الصوم</w:t>
            </w:r>
            <w:r>
              <w:rPr>
                <w:rStyle w:val="IndexLink"/>
                <w:rtl w:val="true"/>
              </w:rPr>
              <w:tab/>
            </w:r>
            <w:r>
              <w:rPr>
                <w:rStyle w:val="IndexLink"/>
              </w:rPr>
              <w:t>33</w:t>
            </w:r>
          </w:hyperlink>
        </w:p>
        <w:p>
          <w:pPr>
            <w:pStyle w:val="Contents3"/>
            <w:tabs>
              <w:tab w:val="clear" w:pos="8459"/>
              <w:tab w:val="right" w:pos="9026" w:leader="dot"/>
            </w:tabs>
            <w:rPr/>
          </w:pPr>
          <w:hyperlink w:anchor="__RefHeading___Toc1954840_2322387425">
            <w:r>
              <w:rPr>
                <w:webHidden/>
                <w:rStyle w:val="IndexLink"/>
                <w:rtl w:val="true"/>
              </w:rPr>
              <w:t>إذا جاء بالمأمور به مع قصد الخلاف خطأً </w:t>
            </w:r>
            <w:r>
              <w:rPr>
                <w:rStyle w:val="IndexLink"/>
                <w:rtl w:val="true"/>
              </w:rPr>
              <w:tab/>
            </w:r>
            <w:r>
              <w:rPr>
                <w:rStyle w:val="IndexLink"/>
              </w:rPr>
              <w:t>36</w:t>
            </w:r>
          </w:hyperlink>
        </w:p>
        <w:p>
          <w:pPr>
            <w:pStyle w:val="Contents3"/>
            <w:tabs>
              <w:tab w:val="clear" w:pos="8459"/>
              <w:tab w:val="right" w:pos="9026" w:leader="dot"/>
            </w:tabs>
            <w:rPr/>
          </w:pPr>
          <w:hyperlink w:anchor="__RefHeading___Toc1954842_2322387425">
            <w:r>
              <w:rPr>
                <w:webHidden/>
                <w:rStyle w:val="IndexLink"/>
                <w:rtl w:val="true"/>
              </w:rPr>
              <w:t>العلم بالمفطرات علی التفصیل</w:t>
            </w:r>
            <w:r>
              <w:rPr>
                <w:rStyle w:val="IndexLink"/>
                <w:rtl w:val="true"/>
              </w:rPr>
              <w:tab/>
            </w:r>
            <w:r>
              <w:rPr>
                <w:rStyle w:val="IndexLink"/>
              </w:rPr>
              <w:t>37</w:t>
            </w:r>
          </w:hyperlink>
        </w:p>
        <w:p>
          <w:pPr>
            <w:pStyle w:val="Contents3"/>
            <w:tabs>
              <w:tab w:val="clear" w:pos="8459"/>
              <w:tab w:val="right" w:pos="9026" w:leader="dot"/>
            </w:tabs>
            <w:rPr/>
          </w:pPr>
          <w:hyperlink w:anchor="__RefHeading___Toc1954844_2322387425">
            <w:r>
              <w:rPr>
                <w:webHidden/>
                <w:rStyle w:val="IndexLink"/>
                <w:rtl w:val="true"/>
              </w:rPr>
              <w:t>نیّة الجاهل بالمفطر</w:t>
            </w:r>
            <w:r>
              <w:rPr>
                <w:rStyle w:val="IndexLink"/>
                <w:rtl w:val="true"/>
              </w:rPr>
              <w:tab/>
            </w:r>
            <w:r>
              <w:rPr>
                <w:rStyle w:val="IndexLink"/>
              </w:rPr>
              <w:t>37</w:t>
            </w:r>
          </w:hyperlink>
        </w:p>
        <w:p>
          <w:pPr>
            <w:pStyle w:val="Contents3"/>
            <w:tabs>
              <w:tab w:val="clear" w:pos="8459"/>
              <w:tab w:val="right" w:pos="9026" w:leader="dot"/>
            </w:tabs>
            <w:rPr/>
          </w:pPr>
          <w:hyperlink w:anchor="__RefHeading___Toc1954846_2322387425">
            <w:r>
              <w:rPr>
                <w:webHidden/>
                <w:rStyle w:val="IndexLink"/>
                <w:rtl w:val="true"/>
              </w:rPr>
              <w:t>نیّة النیابة عن الغیر</w:t>
            </w:r>
            <w:r>
              <w:rPr>
                <w:rStyle w:val="IndexLink"/>
                <w:rtl w:val="true"/>
              </w:rPr>
              <w:tab/>
            </w:r>
            <w:r>
              <w:rPr>
                <w:rStyle w:val="IndexLink"/>
              </w:rPr>
              <w:t>41</w:t>
            </w:r>
          </w:hyperlink>
        </w:p>
        <w:p>
          <w:pPr>
            <w:pStyle w:val="Contents3"/>
            <w:tabs>
              <w:tab w:val="clear" w:pos="8459"/>
              <w:tab w:val="right" w:pos="9026" w:leader="dot"/>
            </w:tabs>
            <w:rPr/>
          </w:pPr>
          <w:hyperlink w:anchor="__RefHeading___Toc1954848_2322387425">
            <w:r>
              <w:rPr>
                <w:webHidden/>
                <w:rStyle w:val="IndexLink"/>
                <w:rtl w:val="true"/>
              </w:rPr>
              <w:t>الصوم فی شهر رمضان لغیره</w:t>
            </w:r>
            <w:r>
              <w:rPr>
                <w:rStyle w:val="IndexLink"/>
                <w:rtl w:val="true"/>
              </w:rPr>
              <w:tab/>
            </w:r>
            <w:r>
              <w:rPr>
                <w:rStyle w:val="IndexLink"/>
              </w:rPr>
              <w:t>42</w:t>
            </w:r>
          </w:hyperlink>
        </w:p>
        <w:p>
          <w:pPr>
            <w:pStyle w:val="Contents3"/>
            <w:tabs>
              <w:tab w:val="clear" w:pos="8459"/>
              <w:tab w:val="right" w:pos="9026" w:leader="dot"/>
            </w:tabs>
            <w:rPr/>
          </w:pPr>
          <w:hyperlink w:anchor="__RefHeading___Toc1954850_2322387425">
            <w:r>
              <w:rPr>
                <w:webHidden/>
                <w:rStyle w:val="IndexLink"/>
                <w:rtl w:val="true"/>
              </w:rPr>
              <w:t>صوم النذر إذا لم ینوه أو نوی غیره</w:t>
            </w:r>
            <w:r>
              <w:rPr>
                <w:rStyle w:val="IndexLink"/>
                <w:rtl w:val="true"/>
              </w:rPr>
              <w:tab/>
            </w:r>
            <w:r>
              <w:rPr>
                <w:rStyle w:val="IndexLink"/>
              </w:rPr>
              <w:t>43</w:t>
            </w:r>
          </w:hyperlink>
        </w:p>
        <w:p>
          <w:pPr>
            <w:pStyle w:val="Contents3"/>
            <w:tabs>
              <w:tab w:val="clear" w:pos="8459"/>
              <w:tab w:val="right" w:pos="9026" w:leader="dot"/>
            </w:tabs>
            <w:rPr/>
          </w:pPr>
          <w:hyperlink w:anchor="__RefHeading___Toc1954852_2322387425">
            <w:r>
              <w:rPr>
                <w:webHidden/>
                <w:rStyle w:val="IndexLink"/>
                <w:rtl w:val="true"/>
              </w:rPr>
              <w:t>التعیین ممّن علیه أکثر من قضاء أو نذر أو کفّارة</w:t>
            </w:r>
            <w:r>
              <w:rPr>
                <w:rStyle w:val="IndexLink"/>
                <w:rtl w:val="true"/>
              </w:rPr>
              <w:tab/>
            </w:r>
            <w:r>
              <w:rPr>
                <w:rStyle w:val="IndexLink"/>
              </w:rPr>
              <w:t>45</w:t>
            </w:r>
          </w:hyperlink>
        </w:p>
        <w:p>
          <w:pPr>
            <w:pStyle w:val="Contents3"/>
            <w:tabs>
              <w:tab w:val="clear" w:pos="8459"/>
              <w:tab w:val="right" w:pos="9026" w:leader="dot"/>
            </w:tabs>
            <w:rPr/>
          </w:pPr>
          <w:hyperlink w:anchor="__RefHeading___Toc1954854_2322387425">
            <w:r>
              <w:rPr>
                <w:webHidden/>
                <w:rStyle w:val="IndexLink"/>
                <w:rtl w:val="true"/>
              </w:rPr>
              <w:t>فروع فی التعیین إذا کان العمل واحداً</w:t>
            </w:r>
            <w:r>
              <w:rPr>
                <w:rStyle w:val="IndexLink"/>
                <w:rtl w:val="true"/>
              </w:rPr>
              <w:tab/>
            </w:r>
            <w:r>
              <w:rPr>
                <w:rStyle w:val="IndexLink"/>
              </w:rPr>
              <w:t>47</w:t>
            </w:r>
          </w:hyperlink>
        </w:p>
        <w:p>
          <w:pPr>
            <w:pStyle w:val="Contents3"/>
            <w:tabs>
              <w:tab w:val="clear" w:pos="8459"/>
              <w:tab w:val="right" w:pos="9026" w:leader="dot"/>
            </w:tabs>
            <w:rPr/>
          </w:pPr>
          <w:hyperlink w:anchor="__RefHeading___Toc1954856_2322387425">
            <w:r>
              <w:rPr>
                <w:webHidden/>
                <w:rStyle w:val="IndexLink"/>
                <w:rtl w:val="true"/>
              </w:rPr>
              <w:t>وقت النیّة</w:t>
            </w:r>
            <w:r>
              <w:rPr>
                <w:rStyle w:val="IndexLink"/>
                <w:rtl w:val="true"/>
              </w:rPr>
              <w:tab/>
            </w:r>
            <w:r>
              <w:rPr>
                <w:rStyle w:val="IndexLink"/>
              </w:rPr>
              <w:t>51</w:t>
            </w:r>
          </w:hyperlink>
        </w:p>
        <w:p>
          <w:pPr>
            <w:pStyle w:val="Contents3"/>
            <w:tabs>
              <w:tab w:val="clear" w:pos="8459"/>
              <w:tab w:val="right" w:pos="9026" w:leader="dot"/>
            </w:tabs>
            <w:rPr/>
          </w:pPr>
          <w:hyperlink w:anchor="__RefHeading___Toc1954858_2322387425">
            <w:r>
              <w:rPr>
                <w:webHidden/>
                <w:rStyle w:val="IndexLink"/>
                <w:rtl w:val="true"/>
              </w:rPr>
              <w:t>فروع فی وقت النیّة</w:t>
            </w:r>
            <w:r>
              <w:rPr>
                <w:rStyle w:val="IndexLink"/>
                <w:rtl w:val="true"/>
              </w:rPr>
              <w:tab/>
            </w:r>
            <w:r>
              <w:rPr>
                <w:rStyle w:val="IndexLink"/>
              </w:rPr>
              <w:t>53</w:t>
            </w:r>
          </w:hyperlink>
        </w:p>
        <w:p>
          <w:pPr>
            <w:pStyle w:val="Contents3"/>
            <w:tabs>
              <w:tab w:val="clear" w:pos="8459"/>
              <w:tab w:val="right" w:pos="9026" w:leader="dot"/>
            </w:tabs>
            <w:rPr/>
          </w:pPr>
          <w:hyperlink w:anchor="__RefHeading___Toc1954860_2322387425">
            <w:r>
              <w:rPr>
                <w:webHidden/>
                <w:rStyle w:val="IndexLink"/>
                <w:rtl w:val="true"/>
              </w:rPr>
              <w:t>کیفیة نیة صوم شهر رمضان</w:t>
            </w:r>
            <w:r>
              <w:rPr>
                <w:rStyle w:val="IndexLink"/>
                <w:rtl w:val="true"/>
              </w:rPr>
              <w:tab/>
            </w:r>
            <w:r>
              <w:rPr>
                <w:rStyle w:val="IndexLink"/>
              </w:rPr>
              <w:t>55</w:t>
            </w:r>
          </w:hyperlink>
        </w:p>
        <w:p>
          <w:pPr>
            <w:pStyle w:val="Contents3"/>
            <w:tabs>
              <w:tab w:val="clear" w:pos="8459"/>
              <w:tab w:val="right" w:pos="9026" w:leader="dot"/>
            </w:tabs>
            <w:rPr/>
          </w:pPr>
          <w:hyperlink w:anchor="__RefHeading___Toc1954862_2322387425">
            <w:r>
              <w:rPr>
                <w:webHidden/>
                <w:rStyle w:val="IndexLink"/>
                <w:rtl w:val="true"/>
              </w:rPr>
              <w:t>حکم یوم الشک</w:t>
            </w:r>
            <w:r>
              <w:rPr>
                <w:rStyle w:val="IndexLink"/>
                <w:rtl w:val="true"/>
              </w:rPr>
              <w:tab/>
            </w:r>
            <w:r>
              <w:rPr>
                <w:rStyle w:val="IndexLink"/>
              </w:rPr>
              <w:t>57</w:t>
            </w:r>
          </w:hyperlink>
        </w:p>
        <w:p>
          <w:pPr>
            <w:pStyle w:val="Contents3"/>
            <w:tabs>
              <w:tab w:val="clear" w:pos="8459"/>
              <w:tab w:val="right" w:pos="9026" w:leader="dot"/>
            </w:tabs>
            <w:rPr/>
          </w:pPr>
          <w:hyperlink w:anchor="__RefHeading___Toc1954864_2322387425">
            <w:r>
              <w:rPr>
                <w:webHidden/>
                <w:rStyle w:val="IndexLink"/>
                <w:rtl w:val="true"/>
              </w:rPr>
              <w:t>کیفیة النیّة فی صوم یوم الشک</w:t>
            </w:r>
            <w:r>
              <w:rPr>
                <w:rStyle w:val="IndexLink"/>
                <w:rtl w:val="true"/>
              </w:rPr>
              <w:tab/>
            </w:r>
            <w:r>
              <w:rPr>
                <w:rStyle w:val="IndexLink"/>
              </w:rPr>
              <w:t>57</w:t>
            </w:r>
          </w:hyperlink>
        </w:p>
        <w:p>
          <w:pPr>
            <w:pStyle w:val="Contents3"/>
            <w:tabs>
              <w:tab w:val="clear" w:pos="8459"/>
              <w:tab w:val="right" w:pos="9026" w:leader="dot"/>
            </w:tabs>
            <w:rPr/>
          </w:pPr>
          <w:hyperlink w:anchor="__RefHeading___Toc1954866_2322387425">
            <w:r>
              <w:rPr>
                <w:webHidden/>
                <w:rStyle w:val="IndexLink"/>
                <w:rtl w:val="true"/>
              </w:rPr>
              <w:t>فروع صوم یوم الشک</w:t>
            </w:r>
            <w:r>
              <w:rPr>
                <w:rStyle w:val="IndexLink"/>
                <w:rtl w:val="true"/>
              </w:rPr>
              <w:tab/>
            </w:r>
            <w:r>
              <w:rPr>
                <w:rStyle w:val="IndexLink"/>
              </w:rPr>
              <w:t>60</w:t>
            </w:r>
          </w:hyperlink>
        </w:p>
        <w:p>
          <w:pPr>
            <w:pStyle w:val="Contents3"/>
            <w:tabs>
              <w:tab w:val="clear" w:pos="8459"/>
              <w:tab w:val="right" w:pos="9026" w:leader="dot"/>
            </w:tabs>
            <w:rPr/>
          </w:pPr>
          <w:hyperlink w:anchor="__RefHeading___Toc1954868_2322387425">
            <w:r>
              <w:rPr>
                <w:webHidden/>
                <w:rStyle w:val="IndexLink"/>
                <w:rtl w:val="true"/>
              </w:rPr>
              <w:t>نیّة القطع أو القاطع فی أثناء النهار</w:t>
            </w:r>
            <w:r>
              <w:rPr>
                <w:rStyle w:val="IndexLink"/>
                <w:rtl w:val="true"/>
              </w:rPr>
              <w:tab/>
            </w:r>
            <w:r>
              <w:rPr>
                <w:rStyle w:val="IndexLink"/>
              </w:rPr>
              <w:t>64</w:t>
            </w:r>
          </w:hyperlink>
        </w:p>
        <w:p>
          <w:pPr>
            <w:pStyle w:val="Contents3"/>
            <w:tabs>
              <w:tab w:val="clear" w:pos="8459"/>
              <w:tab w:val="right" w:pos="9026" w:leader="dot"/>
            </w:tabs>
            <w:rPr/>
          </w:pPr>
          <w:hyperlink w:anchor="__RefHeading___Toc1954870_2322387425">
            <w:r>
              <w:rPr>
                <w:webHidden/>
                <w:rStyle w:val="IndexLink"/>
                <w:rtl w:val="true"/>
              </w:rPr>
              <w:t>عدم لزوم معرفة حقیقة الصوم التفصیلیة</w:t>
            </w:r>
            <w:r>
              <w:rPr>
                <w:rStyle w:val="IndexLink"/>
                <w:rtl w:val="true"/>
              </w:rPr>
              <w:tab/>
            </w:r>
            <w:r>
              <w:rPr>
                <w:rStyle w:val="IndexLink"/>
              </w:rPr>
              <w:t>66</w:t>
            </w:r>
          </w:hyperlink>
        </w:p>
        <w:p>
          <w:pPr>
            <w:pStyle w:val="Contents3"/>
            <w:tabs>
              <w:tab w:val="clear" w:pos="8459"/>
              <w:tab w:val="right" w:pos="9026" w:leader="dot"/>
            </w:tabs>
            <w:rPr/>
          </w:pPr>
          <w:hyperlink w:anchor="__RefHeading___Toc1954872_2322387425">
            <w:r>
              <w:rPr>
                <w:webHidden/>
                <w:rStyle w:val="IndexLink"/>
                <w:rtl w:val="true"/>
              </w:rPr>
              <w:t>العدول من صوم الی صوم</w:t>
            </w:r>
            <w:r>
              <w:rPr>
                <w:rStyle w:val="IndexLink"/>
                <w:rtl w:val="true"/>
              </w:rPr>
              <w:tab/>
            </w:r>
            <w:r>
              <w:rPr>
                <w:rStyle w:val="IndexLink"/>
              </w:rPr>
              <w:t>66</w:t>
            </w:r>
          </w:hyperlink>
        </w:p>
        <w:p>
          <w:pPr>
            <w:pStyle w:val="Contents2"/>
            <w:tabs>
              <w:tab w:val="clear" w:pos="8743"/>
              <w:tab w:val="right" w:pos="9026" w:leader="dot"/>
            </w:tabs>
            <w:rPr/>
          </w:pPr>
          <w:hyperlink w:anchor="__RefHeading___Toc1954874_2322387425">
            <w:r>
              <w:rPr>
                <w:webHidden/>
                <w:rStyle w:val="IndexLink"/>
                <w:rtl w:val="true"/>
              </w:rPr>
              <w:t>فصل</w:t>
            </w:r>
            <w:r>
              <w:rPr>
                <w:rStyle w:val="IndexLink"/>
                <w:rtl w:val="true"/>
              </w:rPr>
              <w:t xml:space="preserve">: </w:t>
            </w:r>
            <w:r>
              <w:rPr>
                <w:rStyle w:val="IndexLink"/>
                <w:rtl w:val="true"/>
              </w:rPr>
              <w:t>فی ما یجب الإمساک عنه فی الصوم من المفطِرات</w:t>
            </w:r>
            <w:r>
              <w:rPr>
                <w:rStyle w:val="IndexLink"/>
                <w:rtl w:val="true"/>
              </w:rPr>
              <w:tab/>
            </w:r>
            <w:r>
              <w:rPr>
                <w:rStyle w:val="IndexLink"/>
              </w:rPr>
              <w:t>69</w:t>
            </w:r>
          </w:hyperlink>
        </w:p>
        <w:p>
          <w:pPr>
            <w:pStyle w:val="Contents3"/>
            <w:tabs>
              <w:tab w:val="clear" w:pos="8459"/>
              <w:tab w:val="right" w:pos="9026" w:leader="dot"/>
            </w:tabs>
            <w:rPr/>
          </w:pPr>
          <w:hyperlink w:anchor="__RefHeading___Toc1954876_2322387425">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954878_2322387425">
            <w:r>
              <w:rPr>
                <w:webHidden/>
                <w:rStyle w:val="IndexLink"/>
                <w:rtl w:val="true"/>
              </w:rPr>
              <w:t>الأول والثانی</w:t>
            </w:r>
            <w:r>
              <w:rPr>
                <w:rStyle w:val="IndexLink"/>
                <w:rtl w:val="true"/>
              </w:rPr>
              <w:t xml:space="preserve">: </w:t>
            </w:r>
            <w:r>
              <w:rPr>
                <w:rStyle w:val="IndexLink"/>
                <w:rtl w:val="true"/>
              </w:rPr>
              <w:t>الأکل والشرب المعتاد منه وغیره قلّ أو کثر</w:t>
            </w:r>
            <w:r>
              <w:rPr>
                <w:rStyle w:val="IndexLink"/>
                <w:rtl w:val="true"/>
              </w:rPr>
              <w:tab/>
            </w:r>
            <w:r>
              <w:rPr>
                <w:rStyle w:val="IndexLink"/>
              </w:rPr>
              <w:t>69</w:t>
            </w:r>
          </w:hyperlink>
        </w:p>
        <w:p>
          <w:pPr>
            <w:pStyle w:val="Contents3"/>
            <w:tabs>
              <w:tab w:val="clear" w:pos="8459"/>
              <w:tab w:val="right" w:pos="9026" w:leader="dot"/>
            </w:tabs>
            <w:rPr/>
          </w:pPr>
          <w:hyperlink w:anchor="__RefHeading___Toc1954880_2322387425">
            <w:r>
              <w:rPr>
                <w:webHidden/>
                <w:rStyle w:val="IndexLink"/>
                <w:rtl w:val="true"/>
              </w:rPr>
              <w:t>حکم التخلیل بعد الأکل ممّن یرید الصوم</w:t>
            </w:r>
            <w:r>
              <w:rPr>
                <w:rStyle w:val="IndexLink"/>
                <w:rtl w:val="true"/>
              </w:rPr>
              <w:tab/>
            </w:r>
            <w:r>
              <w:rPr>
                <w:rStyle w:val="IndexLink"/>
              </w:rPr>
              <w:t>70</w:t>
            </w:r>
          </w:hyperlink>
        </w:p>
        <w:p>
          <w:pPr>
            <w:pStyle w:val="Contents3"/>
            <w:tabs>
              <w:tab w:val="clear" w:pos="8459"/>
              <w:tab w:val="right" w:pos="9026" w:leader="dot"/>
            </w:tabs>
            <w:rPr/>
          </w:pPr>
          <w:hyperlink w:anchor="__RefHeading___Toc1954882_2322387425">
            <w:r>
              <w:rPr>
                <w:webHidden/>
                <w:rStyle w:val="IndexLink"/>
                <w:rtl w:val="true"/>
              </w:rPr>
              <w:t>حکم ابتلاع البصاق وما یخرج من الصدر</w:t>
            </w:r>
            <w:r>
              <w:rPr>
                <w:rStyle w:val="IndexLink"/>
                <w:rtl w:val="true"/>
              </w:rPr>
              <w:tab/>
            </w:r>
            <w:r>
              <w:rPr>
                <w:rStyle w:val="IndexLink"/>
              </w:rPr>
              <w:t>71</w:t>
            </w:r>
          </w:hyperlink>
        </w:p>
        <w:p>
          <w:pPr>
            <w:pStyle w:val="Contents3"/>
            <w:tabs>
              <w:tab w:val="clear" w:pos="8459"/>
              <w:tab w:val="right" w:pos="9026" w:leader="dot"/>
            </w:tabs>
            <w:rPr/>
          </w:pPr>
          <w:hyperlink w:anchor="__RefHeading___Toc1954884_2322387425">
            <w:r>
              <w:rPr>
                <w:webHidden/>
                <w:rStyle w:val="IndexLink"/>
                <w:rtl w:val="true"/>
              </w:rPr>
              <w:t>المدار صدق الأکل والشرب بأیّ نحوٍ کان</w:t>
            </w:r>
            <w:r>
              <w:rPr>
                <w:rStyle w:val="IndexLink"/>
                <w:rtl w:val="true"/>
              </w:rPr>
              <w:tab/>
            </w:r>
            <w:r>
              <w:rPr>
                <w:rStyle w:val="IndexLink"/>
              </w:rPr>
              <w:t>73</w:t>
            </w:r>
          </w:hyperlink>
        </w:p>
        <w:p>
          <w:pPr>
            <w:pStyle w:val="Contents3"/>
            <w:tabs>
              <w:tab w:val="clear" w:pos="8459"/>
              <w:tab w:val="right" w:pos="9026" w:leader="dot"/>
            </w:tabs>
            <w:rPr/>
          </w:pPr>
          <w:hyperlink w:anchor="__RefHeading___Toc1954886_2322387425">
            <w:r>
              <w:rPr>
                <w:webHidden/>
                <w:rStyle w:val="IndexLink"/>
                <w:rtl w:val="true"/>
              </w:rPr>
              <w:t>صوم من أنفذ إلی جوفه رمحاً أو نحوه</w:t>
            </w:r>
            <w:r>
              <w:rPr>
                <w:rStyle w:val="IndexLink"/>
                <w:rtl w:val="true"/>
              </w:rPr>
              <w:tab/>
            </w:r>
            <w:r>
              <w:rPr>
                <w:rStyle w:val="IndexLink"/>
              </w:rPr>
              <w:t>75</w:t>
            </w:r>
          </w:hyperlink>
        </w:p>
        <w:p>
          <w:pPr>
            <w:pStyle w:val="Contents3"/>
            <w:tabs>
              <w:tab w:val="clear" w:pos="8459"/>
              <w:tab w:val="right" w:pos="9026" w:leader="dot"/>
            </w:tabs>
            <w:rPr/>
          </w:pPr>
          <w:hyperlink w:anchor="__RefHeading___Toc1954888_2322387425">
            <w:r>
              <w:rPr>
                <w:webHidden/>
                <w:rStyle w:val="IndexLink"/>
                <w:rtl w:val="true"/>
              </w:rPr>
              <w:t xml:space="preserve">الثالث </w:t>
            </w:r>
            <w:r>
              <w:rPr>
                <w:rStyle w:val="IndexLink"/>
                <w:rtl w:val="true"/>
              </w:rPr>
              <w:t xml:space="preserve">: </w:t>
            </w:r>
            <w:r>
              <w:rPr>
                <w:rStyle w:val="IndexLink"/>
                <w:rtl w:val="true"/>
              </w:rPr>
              <w:t>الجماع وإن لم ینزل</w:t>
            </w:r>
            <w:r>
              <w:rPr>
                <w:rStyle w:val="IndexLink"/>
                <w:rtl w:val="true"/>
              </w:rPr>
              <w:tab/>
            </w:r>
            <w:r>
              <w:rPr>
                <w:rStyle w:val="IndexLink"/>
              </w:rPr>
              <w:t>75</w:t>
            </w:r>
          </w:hyperlink>
        </w:p>
        <w:p>
          <w:pPr>
            <w:pStyle w:val="Contents3"/>
            <w:tabs>
              <w:tab w:val="clear" w:pos="8459"/>
              <w:tab w:val="right" w:pos="9026" w:leader="dot"/>
            </w:tabs>
            <w:rPr/>
          </w:pPr>
          <w:hyperlink w:anchor="__RefHeading___Toc1954890_2322387425">
            <w:r>
              <w:rPr>
                <w:webHidden/>
                <w:rStyle w:val="IndexLink"/>
                <w:rtl w:val="true"/>
              </w:rPr>
              <w:t>بعض فروع الإنزال وصوره</w:t>
            </w:r>
            <w:r>
              <w:rPr>
                <w:rStyle w:val="IndexLink"/>
                <w:rtl w:val="true"/>
              </w:rPr>
              <w:tab/>
            </w:r>
            <w:r>
              <w:rPr>
                <w:rStyle w:val="IndexLink"/>
              </w:rPr>
              <w:t>77</w:t>
            </w:r>
          </w:hyperlink>
        </w:p>
        <w:p>
          <w:pPr>
            <w:pStyle w:val="Contents3"/>
            <w:tabs>
              <w:tab w:val="clear" w:pos="8459"/>
              <w:tab w:val="right" w:pos="9026" w:leader="dot"/>
            </w:tabs>
            <w:rPr/>
          </w:pPr>
          <w:hyperlink w:anchor="__RefHeading___Toc1954892_2322387425">
            <w:r>
              <w:rPr>
                <w:webHidden/>
                <w:rStyle w:val="IndexLink"/>
                <w:rtl w:val="true"/>
              </w:rPr>
              <w:t>حکم الجماع قهراً أو سهواً من غیر اختیار</w:t>
            </w:r>
            <w:r>
              <w:rPr>
                <w:rStyle w:val="IndexLink"/>
                <w:rtl w:val="true"/>
              </w:rPr>
              <w:tab/>
            </w:r>
            <w:r>
              <w:rPr>
                <w:rStyle w:val="IndexLink"/>
              </w:rPr>
              <w:t>79</w:t>
            </w:r>
          </w:hyperlink>
        </w:p>
        <w:p>
          <w:pPr>
            <w:pStyle w:val="Contents3"/>
            <w:tabs>
              <w:tab w:val="clear" w:pos="8459"/>
              <w:tab w:val="right" w:pos="9026" w:leader="dot"/>
            </w:tabs>
            <w:rPr/>
          </w:pPr>
          <w:hyperlink w:anchor="__RefHeading___Toc1954894_2322387425">
            <w:r>
              <w:rPr>
                <w:webHidden/>
                <w:rStyle w:val="IndexLink"/>
                <w:rtl w:val="true"/>
              </w:rPr>
              <w:t>حکم ارتکاب المفطر خطأً أو قاصداً مع الخلاف</w:t>
            </w:r>
            <w:r>
              <w:rPr>
                <w:rStyle w:val="IndexLink"/>
                <w:rtl w:val="true"/>
              </w:rPr>
              <w:tab/>
            </w:r>
            <w:r>
              <w:rPr>
                <w:rStyle w:val="IndexLink"/>
              </w:rPr>
              <w:t>80</w:t>
            </w:r>
          </w:hyperlink>
        </w:p>
        <w:p>
          <w:pPr>
            <w:pStyle w:val="Contents3"/>
            <w:tabs>
              <w:tab w:val="clear" w:pos="8459"/>
              <w:tab w:val="right" w:pos="9026" w:leader="dot"/>
            </w:tabs>
            <w:rPr/>
          </w:pPr>
          <w:hyperlink w:anchor="__RefHeading___Toc1954896_2322387425">
            <w:r>
              <w:rPr>
                <w:webHidden/>
                <w:rStyle w:val="IndexLink"/>
                <w:rtl w:val="true"/>
              </w:rPr>
              <w:t>حکم مجامعة الخنثی</w:t>
            </w:r>
            <w:r>
              <w:rPr>
                <w:rStyle w:val="IndexLink"/>
                <w:rtl w:val="true"/>
              </w:rPr>
              <w:tab/>
            </w:r>
            <w:r>
              <w:rPr>
                <w:rStyle w:val="IndexLink"/>
              </w:rPr>
              <w:t>81</w:t>
            </w:r>
          </w:hyperlink>
        </w:p>
        <w:p>
          <w:pPr>
            <w:pStyle w:val="Contents3"/>
            <w:tabs>
              <w:tab w:val="clear" w:pos="8459"/>
              <w:tab w:val="right" w:pos="9026" w:leader="dot"/>
            </w:tabs>
            <w:rPr/>
          </w:pPr>
          <w:hyperlink w:anchor="__RefHeading___Toc1954898_2322387425">
            <w:r>
              <w:rPr>
                <w:webHidden/>
                <w:rStyle w:val="IndexLink"/>
                <w:rtl w:val="true"/>
              </w:rPr>
              <w:t>الرابع</w:t>
            </w:r>
            <w:r>
              <w:rPr>
                <w:rStyle w:val="IndexLink"/>
                <w:rtl w:val="true"/>
              </w:rPr>
              <w:t xml:space="preserve">: </w:t>
            </w:r>
            <w:r>
              <w:rPr>
                <w:rStyle w:val="IndexLink"/>
                <w:rtl w:val="true"/>
              </w:rPr>
              <w:t>الاستمناء</w:t>
            </w:r>
            <w:r>
              <w:rPr>
                <w:rStyle w:val="IndexLink"/>
                <w:rtl w:val="true"/>
              </w:rPr>
              <w:tab/>
            </w:r>
            <w:r>
              <w:rPr>
                <w:rStyle w:val="IndexLink"/>
              </w:rPr>
              <w:t>84</w:t>
            </w:r>
          </w:hyperlink>
        </w:p>
        <w:p>
          <w:pPr>
            <w:pStyle w:val="Contents3"/>
            <w:tabs>
              <w:tab w:val="clear" w:pos="8459"/>
              <w:tab w:val="right" w:pos="9026" w:leader="dot"/>
            </w:tabs>
            <w:rPr/>
          </w:pPr>
          <w:hyperlink w:anchor="__RefHeading___Toc1954900_2322387425">
            <w:r>
              <w:rPr>
                <w:webHidden/>
                <w:rStyle w:val="IndexLink"/>
                <w:rtl w:val="true"/>
              </w:rPr>
              <w:t>بعض صور مفطریة الاستمناء</w:t>
            </w:r>
            <w:r>
              <w:rPr>
                <w:rStyle w:val="IndexLink"/>
                <w:rtl w:val="true"/>
              </w:rPr>
              <w:tab/>
            </w:r>
            <w:r>
              <w:rPr>
                <w:rStyle w:val="IndexLink"/>
              </w:rPr>
              <w:t>84</w:t>
            </w:r>
          </w:hyperlink>
        </w:p>
        <w:p>
          <w:pPr>
            <w:pStyle w:val="Contents3"/>
            <w:tabs>
              <w:tab w:val="clear" w:pos="8459"/>
              <w:tab w:val="right" w:pos="9026" w:leader="dot"/>
            </w:tabs>
            <w:rPr/>
          </w:pPr>
          <w:hyperlink w:anchor="__RefHeading___Toc1954902_2322387425">
            <w:r>
              <w:rPr>
                <w:webHidden/>
                <w:rStyle w:val="IndexLink"/>
                <w:rtl w:val="true"/>
              </w:rPr>
              <w:t xml:space="preserve">الخامس </w:t>
            </w:r>
            <w:r>
              <w:rPr>
                <w:rStyle w:val="IndexLink"/>
                <w:rtl w:val="true"/>
              </w:rPr>
              <w:t xml:space="preserve">: </w:t>
            </w:r>
            <w:r>
              <w:rPr>
                <w:rStyle w:val="IndexLink"/>
                <w:rtl w:val="true"/>
              </w:rPr>
              <w:t xml:space="preserve">تعمّد الکذب علی الله تعالی أو رسوله أو الأئمة </w:t>
            </w:r>
            <w:r>
              <w:rPr>
                <w:rStyle w:val="IndexLink"/>
                <w:rtl w:val="true"/>
              </w:rPr>
              <w:t>(</w:t>
            </w:r>
            <w:r>
              <w:rPr>
                <w:rStyle w:val="IndexLink"/>
                <w:rtl w:val="true"/>
              </w:rPr>
              <w:t>صلوات الله علیهم</w:t>
            </w:r>
            <w:r>
              <w:rPr>
                <w:rStyle w:val="IndexLink"/>
                <w:rtl w:val="true"/>
              </w:rPr>
              <w:t>)</w:t>
              <w:tab/>
            </w:r>
            <w:r>
              <w:rPr>
                <w:rStyle w:val="IndexLink"/>
              </w:rPr>
              <w:t>89</w:t>
            </w:r>
          </w:hyperlink>
        </w:p>
        <w:p>
          <w:pPr>
            <w:pStyle w:val="Contents3"/>
            <w:tabs>
              <w:tab w:val="clear" w:pos="8459"/>
              <w:tab w:val="right" w:pos="9026" w:leader="dot"/>
            </w:tabs>
            <w:rPr/>
          </w:pPr>
          <w:hyperlink w:anchor="__RefHeading___Toc1954904_2322387425">
            <w:r>
              <w:rPr>
                <w:webHidden/>
                <w:rStyle w:val="IndexLink"/>
                <w:rtl w:val="true"/>
              </w:rPr>
              <w:t xml:space="preserve">إلحاق سائر الانبیاء والأوصیاء بنبیّنا </w:t>
            </w:r>
            <w:r>
              <w:rPr>
                <w:rStyle w:val="IndexLink"/>
                <w:rtl w:val="true"/>
              </w:rPr>
              <w:t>(</w:t>
            </w:r>
            <w:r>
              <w:rPr>
                <w:rStyle w:val="IndexLink"/>
                <w:rtl w:val="true"/>
              </w:rPr>
              <w:t>صلی الله علیه وآله</w:t>
            </w:r>
            <w:r>
              <w:rPr>
                <w:rStyle w:val="IndexLink"/>
                <w:rtl w:val="true"/>
              </w:rPr>
              <w:t>) </w:t>
              <w:tab/>
            </w:r>
            <w:r>
              <w:rPr>
                <w:rStyle w:val="IndexLink"/>
              </w:rPr>
              <w:t>91</w:t>
            </w:r>
          </w:hyperlink>
        </w:p>
        <w:p>
          <w:pPr>
            <w:pStyle w:val="Contents3"/>
            <w:tabs>
              <w:tab w:val="clear" w:pos="8459"/>
              <w:tab w:val="right" w:pos="9026" w:leader="dot"/>
            </w:tabs>
            <w:rPr/>
          </w:pPr>
          <w:hyperlink w:anchor="__RefHeading___Toc1954906_2322387425">
            <w:r>
              <w:rPr>
                <w:webHidden/>
                <w:rStyle w:val="IndexLink"/>
                <w:rtl w:val="true"/>
              </w:rPr>
              <w:t>فروع فی ما یندرج فی الکذب من العناوین</w:t>
            </w:r>
            <w:r>
              <w:rPr>
                <w:rStyle w:val="IndexLink"/>
                <w:rtl w:val="true"/>
              </w:rPr>
              <w:tab/>
            </w:r>
            <w:r>
              <w:rPr>
                <w:rStyle w:val="IndexLink"/>
              </w:rPr>
              <w:t>93</w:t>
            </w:r>
          </w:hyperlink>
        </w:p>
        <w:p>
          <w:pPr>
            <w:pStyle w:val="Contents3"/>
            <w:tabs>
              <w:tab w:val="clear" w:pos="8459"/>
              <w:tab w:val="right" w:pos="9026" w:leader="dot"/>
            </w:tabs>
            <w:rPr/>
          </w:pPr>
          <w:hyperlink w:anchor="__RefHeading___Toc1954908_2322387425">
            <w:r>
              <w:rPr>
                <w:webHidden/>
                <w:rStyle w:val="IndexLink"/>
                <w:rtl w:val="true"/>
              </w:rPr>
              <w:t>حکم الکذب علی الفقهاء والمجتهدین والرواة </w:t>
            </w:r>
            <w:r>
              <w:rPr>
                <w:rStyle w:val="IndexLink"/>
                <w:rtl w:val="true"/>
              </w:rPr>
              <w:tab/>
            </w:r>
            <w:r>
              <w:rPr>
                <w:rStyle w:val="IndexLink"/>
              </w:rPr>
              <w:t>97</w:t>
            </w:r>
          </w:hyperlink>
        </w:p>
        <w:p>
          <w:pPr>
            <w:pStyle w:val="Contents3"/>
            <w:tabs>
              <w:tab w:val="clear" w:pos="8459"/>
              <w:tab w:val="right" w:pos="9026" w:leader="dot"/>
            </w:tabs>
            <w:rPr/>
          </w:pPr>
          <w:hyperlink w:anchor="__RefHeading___Toc1954910_2322387425">
            <w:r>
              <w:rPr>
                <w:webHidden/>
                <w:rStyle w:val="IndexLink"/>
                <w:rtl w:val="true"/>
              </w:rPr>
              <w:t>حکم ارتکاب الکذب لأجل الاضطرار والتقیة</w:t>
            </w:r>
            <w:r>
              <w:rPr>
                <w:rStyle w:val="IndexLink"/>
                <w:rtl w:val="true"/>
              </w:rPr>
              <w:tab/>
            </w:r>
            <w:r>
              <w:rPr>
                <w:rStyle w:val="IndexLink"/>
              </w:rPr>
              <w:t>97</w:t>
            </w:r>
          </w:hyperlink>
        </w:p>
        <w:p>
          <w:pPr>
            <w:pStyle w:val="Contents2"/>
            <w:tabs>
              <w:tab w:val="clear" w:pos="8743"/>
              <w:tab w:val="right" w:pos="9026" w:leader="dot"/>
            </w:tabs>
            <w:rPr/>
          </w:pPr>
          <w:hyperlink w:anchor="__RefHeading___Toc1954912_2322387425">
            <w:r>
              <w:rPr>
                <w:webHidden/>
                <w:rStyle w:val="IndexLink"/>
                <w:rtl w:val="true"/>
              </w:rPr>
              <w:t>إذا قصد الکذب فتبیّن الصدق وبالعکس</w:t>
            </w:r>
            <w:r>
              <w:rPr>
                <w:rStyle w:val="IndexLink"/>
                <w:rtl w:val="true"/>
              </w:rPr>
              <w:tab/>
            </w:r>
            <w:r>
              <w:rPr>
                <w:rStyle w:val="IndexLink"/>
              </w:rPr>
              <w:t>99</w:t>
            </w:r>
          </w:hyperlink>
        </w:p>
        <w:p>
          <w:pPr>
            <w:pStyle w:val="Contents3"/>
            <w:tabs>
              <w:tab w:val="clear" w:pos="8459"/>
              <w:tab w:val="right" w:pos="9026" w:leader="dot"/>
            </w:tabs>
            <w:rPr/>
          </w:pPr>
          <w:hyperlink w:anchor="__RefHeading___Toc1954914_2322387425">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954916_2322387425">
            <w:r>
              <w:rPr>
                <w:webHidden/>
                <w:rStyle w:val="IndexLink"/>
                <w:rtl w:val="true"/>
              </w:rPr>
              <w:t>حکم الکذب هزلاً أو مع عدم القصد</w:t>
            </w:r>
            <w:r>
              <w:rPr>
                <w:rStyle w:val="IndexLink"/>
                <w:rtl w:val="true"/>
              </w:rPr>
              <w:tab/>
            </w:r>
            <w:r>
              <w:rPr>
                <w:rStyle w:val="IndexLink"/>
              </w:rPr>
              <w:t>100</w:t>
            </w:r>
          </w:hyperlink>
        </w:p>
        <w:p>
          <w:pPr>
            <w:pStyle w:val="Contents3"/>
            <w:tabs>
              <w:tab w:val="clear" w:pos="8459"/>
              <w:tab w:val="right" w:pos="9026" w:leader="dot"/>
            </w:tabs>
            <w:rPr/>
          </w:pPr>
          <w:hyperlink w:anchor="__RefHeading___Toc1954918_2322387425">
            <w:r>
              <w:rPr>
                <w:webHidden/>
                <w:rStyle w:val="IndexLink"/>
                <w:rtl w:val="true"/>
              </w:rPr>
              <w:t xml:space="preserve">السادس </w:t>
            </w:r>
            <w:r>
              <w:rPr>
                <w:rStyle w:val="IndexLink"/>
                <w:rtl w:val="true"/>
              </w:rPr>
              <w:t xml:space="preserve">: </w:t>
            </w:r>
            <w:r>
              <w:rPr>
                <w:rStyle w:val="IndexLink"/>
                <w:rtl w:val="true"/>
              </w:rPr>
              <w:t>إیصال الغبار الغلیظ إلی الحلق</w:t>
            </w:r>
            <w:r>
              <w:rPr>
                <w:rStyle w:val="IndexLink"/>
                <w:rtl w:val="true"/>
              </w:rPr>
              <w:tab/>
            </w:r>
            <w:r>
              <w:rPr>
                <w:rStyle w:val="IndexLink"/>
              </w:rPr>
              <w:t>100</w:t>
            </w:r>
          </w:hyperlink>
        </w:p>
        <w:p>
          <w:pPr>
            <w:pStyle w:val="Contents3"/>
            <w:tabs>
              <w:tab w:val="clear" w:pos="8459"/>
              <w:tab w:val="right" w:pos="9026" w:leader="dot"/>
            </w:tabs>
            <w:rPr/>
          </w:pPr>
          <w:hyperlink w:anchor="__RefHeading___Toc1954920_2322387425">
            <w:r>
              <w:rPr>
                <w:webHidden/>
                <w:rStyle w:val="IndexLink"/>
                <w:rtl w:val="true"/>
              </w:rPr>
              <w:t>حکم البخار ودخان التتن</w:t>
            </w:r>
            <w:r>
              <w:rPr>
                <w:rStyle w:val="IndexLink"/>
                <w:rtl w:val="true"/>
              </w:rPr>
              <w:tab/>
            </w:r>
            <w:r>
              <w:rPr>
                <w:rStyle w:val="IndexLink"/>
              </w:rPr>
              <w:t>102</w:t>
            </w:r>
          </w:hyperlink>
        </w:p>
        <w:p>
          <w:pPr>
            <w:pStyle w:val="Contents3"/>
            <w:tabs>
              <w:tab w:val="clear" w:pos="8459"/>
              <w:tab w:val="right" w:pos="9026" w:leader="dot"/>
            </w:tabs>
            <w:rPr/>
          </w:pPr>
          <w:hyperlink w:anchor="__RefHeading___Toc1954922_2322387425">
            <w:r>
              <w:rPr>
                <w:webHidden/>
                <w:rStyle w:val="IndexLink"/>
                <w:rtl w:val="true"/>
              </w:rPr>
              <w:t xml:space="preserve">السابع </w:t>
            </w:r>
            <w:r>
              <w:rPr>
                <w:rStyle w:val="IndexLink"/>
                <w:rtl w:val="true"/>
              </w:rPr>
              <w:t xml:space="preserve">: </w:t>
            </w:r>
            <w:r>
              <w:rPr>
                <w:rStyle w:val="IndexLink"/>
                <w:rtl w:val="true"/>
              </w:rPr>
              <w:t>الارتماس فی الماء</w:t>
            </w:r>
            <w:r>
              <w:rPr>
                <w:rStyle w:val="IndexLink"/>
                <w:rtl w:val="true"/>
              </w:rPr>
              <w:tab/>
            </w:r>
            <w:r>
              <w:rPr>
                <w:rStyle w:val="IndexLink"/>
              </w:rPr>
              <w:t>103</w:t>
            </w:r>
          </w:hyperlink>
        </w:p>
        <w:p>
          <w:pPr>
            <w:pStyle w:val="Contents3"/>
            <w:tabs>
              <w:tab w:val="clear" w:pos="8459"/>
              <w:tab w:val="right" w:pos="9026" w:leader="dot"/>
            </w:tabs>
            <w:rPr/>
          </w:pPr>
          <w:hyperlink w:anchor="__RefHeading___Toc1954924_2322387425">
            <w:r>
              <w:rPr>
                <w:webHidden/>
                <w:rStyle w:val="IndexLink"/>
                <w:rtl w:val="true"/>
              </w:rPr>
              <w:t>مبطلیة رمس الرأس فی الماء</w:t>
            </w:r>
            <w:r>
              <w:rPr>
                <w:rStyle w:val="IndexLink"/>
                <w:rtl w:val="true"/>
              </w:rPr>
              <w:tab/>
            </w:r>
            <w:r>
              <w:rPr>
                <w:rStyle w:val="IndexLink"/>
              </w:rPr>
              <w:t>104</w:t>
            </w:r>
          </w:hyperlink>
        </w:p>
        <w:p>
          <w:pPr>
            <w:pStyle w:val="Contents3"/>
            <w:tabs>
              <w:tab w:val="clear" w:pos="8459"/>
              <w:tab w:val="right" w:pos="9026" w:leader="dot"/>
            </w:tabs>
            <w:rPr/>
          </w:pPr>
          <w:hyperlink w:anchor="__RefHeading___Toc1954926_2322387425">
            <w:r>
              <w:rPr>
                <w:webHidden/>
                <w:rStyle w:val="IndexLink"/>
                <w:rtl w:val="true"/>
              </w:rPr>
              <w:t>رمس الرأس فی المضاف وغیره من المائعات</w:t>
            </w:r>
            <w:r>
              <w:rPr>
                <w:rStyle w:val="IndexLink"/>
                <w:rtl w:val="true"/>
              </w:rPr>
              <w:tab/>
            </w:r>
            <w:r>
              <w:rPr>
                <w:rStyle w:val="IndexLink"/>
              </w:rPr>
              <w:t>105</w:t>
            </w:r>
          </w:hyperlink>
        </w:p>
        <w:p>
          <w:pPr>
            <w:pStyle w:val="Contents3"/>
            <w:tabs>
              <w:tab w:val="clear" w:pos="8459"/>
              <w:tab w:val="right" w:pos="9026" w:leader="dot"/>
            </w:tabs>
            <w:rPr/>
          </w:pPr>
          <w:hyperlink w:anchor="__RefHeading___Toc1954928_2322387425">
            <w:r>
              <w:rPr>
                <w:webHidden/>
                <w:rStyle w:val="IndexLink"/>
                <w:rtl w:val="true"/>
              </w:rPr>
              <w:t>الکلام فی صدق الارتماس فی بعض الفروض</w:t>
            </w:r>
            <w:r>
              <w:rPr>
                <w:rStyle w:val="IndexLink"/>
                <w:rtl w:val="true"/>
              </w:rPr>
              <w:tab/>
            </w:r>
            <w:r>
              <w:rPr>
                <w:rStyle w:val="IndexLink"/>
              </w:rPr>
              <w:t>106</w:t>
            </w:r>
          </w:hyperlink>
        </w:p>
        <w:p>
          <w:pPr>
            <w:pStyle w:val="Contents3"/>
            <w:tabs>
              <w:tab w:val="clear" w:pos="8459"/>
              <w:tab w:val="right" w:pos="9026" w:leader="dot"/>
            </w:tabs>
            <w:rPr/>
          </w:pPr>
          <w:hyperlink w:anchor="__RefHeading___Toc1954930_2322387425">
            <w:r>
              <w:rPr>
                <w:webHidden/>
                <w:rStyle w:val="IndexLink"/>
                <w:rtl w:val="true"/>
              </w:rPr>
              <w:t>حکم ذی الرأسین</w:t>
            </w:r>
            <w:r>
              <w:rPr>
                <w:rStyle w:val="IndexLink"/>
                <w:rtl w:val="true"/>
              </w:rPr>
              <w:tab/>
            </w:r>
            <w:r>
              <w:rPr>
                <w:rStyle w:val="IndexLink"/>
              </w:rPr>
              <w:t>107</w:t>
            </w:r>
          </w:hyperlink>
        </w:p>
        <w:p>
          <w:pPr>
            <w:pStyle w:val="Contents3"/>
            <w:tabs>
              <w:tab w:val="clear" w:pos="8459"/>
              <w:tab w:val="right" w:pos="9026" w:leader="dot"/>
            </w:tabs>
            <w:rPr/>
          </w:pPr>
          <w:hyperlink w:anchor="__RefHeading___Toc1954932_2322387425">
            <w:r>
              <w:rPr>
                <w:webHidden/>
                <w:rStyle w:val="IndexLink"/>
                <w:rtl w:val="true"/>
              </w:rPr>
              <w:t>فروع فی مفطریّة الارتماس</w:t>
            </w:r>
            <w:r>
              <w:rPr>
                <w:rStyle w:val="IndexLink"/>
                <w:rtl w:val="true"/>
              </w:rPr>
              <w:tab/>
            </w:r>
            <w:r>
              <w:rPr>
                <w:rStyle w:val="IndexLink"/>
              </w:rPr>
              <w:t>110</w:t>
            </w:r>
          </w:hyperlink>
        </w:p>
        <w:p>
          <w:pPr>
            <w:pStyle w:val="Contents3"/>
            <w:tabs>
              <w:tab w:val="clear" w:pos="8459"/>
              <w:tab w:val="right" w:pos="9026" w:leader="dot"/>
            </w:tabs>
            <w:rPr/>
          </w:pPr>
          <w:hyperlink w:anchor="__RefHeading___Toc1954934_2322387425">
            <w:r>
              <w:rPr>
                <w:webHidden/>
                <w:rStyle w:val="IndexLink"/>
                <w:rtl w:val="true"/>
              </w:rPr>
              <w:t>حکم الصوم إذا انحصر الغسل بالارتماس</w:t>
            </w:r>
            <w:r>
              <w:rPr>
                <w:rStyle w:val="IndexLink"/>
                <w:rtl w:val="true"/>
              </w:rPr>
              <w:tab/>
            </w:r>
            <w:r>
              <w:rPr>
                <w:rStyle w:val="IndexLink"/>
              </w:rPr>
              <w:t>113</w:t>
            </w:r>
          </w:hyperlink>
        </w:p>
        <w:p>
          <w:pPr>
            <w:pStyle w:val="Contents3"/>
            <w:tabs>
              <w:tab w:val="clear" w:pos="8459"/>
              <w:tab w:val="right" w:pos="9026" w:leader="dot"/>
            </w:tabs>
            <w:rPr/>
          </w:pPr>
          <w:hyperlink w:anchor="__RefHeading___Toc1954936_2322387425">
            <w:r>
              <w:rPr>
                <w:webHidden/>
                <w:rStyle w:val="IndexLink"/>
                <w:rtl w:val="true"/>
              </w:rPr>
              <w:t>قصد الارتماس بالغسل فی غیر شهر رمضان</w:t>
            </w:r>
            <w:r>
              <w:rPr>
                <w:rStyle w:val="IndexLink"/>
                <w:rtl w:val="true"/>
              </w:rPr>
              <w:tab/>
            </w:r>
            <w:r>
              <w:rPr>
                <w:rStyle w:val="IndexLink"/>
              </w:rPr>
              <w:t>114</w:t>
            </w:r>
          </w:hyperlink>
        </w:p>
        <w:p>
          <w:pPr>
            <w:pStyle w:val="Contents3"/>
            <w:tabs>
              <w:tab w:val="clear" w:pos="8459"/>
              <w:tab w:val="right" w:pos="9026" w:leader="dot"/>
            </w:tabs>
            <w:rPr/>
          </w:pPr>
          <w:hyperlink w:anchor="__RefHeading___Toc1954938_2322387425">
            <w:r>
              <w:rPr>
                <w:webHidden/>
                <w:rStyle w:val="IndexLink"/>
                <w:rtl w:val="true"/>
              </w:rPr>
              <w:t>الارتماس فی الماء المغصوب</w:t>
            </w:r>
            <w:r>
              <w:rPr>
                <w:rStyle w:val="IndexLink"/>
                <w:rtl w:val="true"/>
              </w:rPr>
              <w:tab/>
            </w:r>
            <w:r>
              <w:rPr>
                <w:rStyle w:val="IndexLink"/>
              </w:rPr>
              <w:t>119</w:t>
            </w:r>
          </w:hyperlink>
        </w:p>
        <w:p>
          <w:pPr>
            <w:pStyle w:val="Contents3"/>
            <w:tabs>
              <w:tab w:val="clear" w:pos="8459"/>
              <w:tab w:val="right" w:pos="9026" w:leader="dot"/>
            </w:tabs>
            <w:rPr/>
          </w:pPr>
          <w:hyperlink w:anchor="__RefHeading___Toc1954940_2322387425">
            <w:r>
              <w:rPr>
                <w:webHidden/>
                <w:rStyle w:val="IndexLink"/>
                <w:rtl w:val="true"/>
              </w:rPr>
              <w:t>عدم الفرق بین العالم بحکم الارتماس والجاهل به</w:t>
            </w:r>
            <w:r>
              <w:rPr>
                <w:rStyle w:val="IndexLink"/>
                <w:rtl w:val="true"/>
              </w:rPr>
              <w:tab/>
            </w:r>
            <w:r>
              <w:rPr>
                <w:rStyle w:val="IndexLink"/>
              </w:rPr>
              <w:t>120</w:t>
            </w:r>
          </w:hyperlink>
        </w:p>
        <w:p>
          <w:pPr>
            <w:pStyle w:val="Contents3"/>
            <w:tabs>
              <w:tab w:val="clear" w:pos="8459"/>
              <w:tab w:val="right" w:pos="9026" w:leader="dot"/>
            </w:tabs>
            <w:rPr/>
          </w:pPr>
          <w:hyperlink w:anchor="__RefHeading___Toc1954942_2322387425">
            <w:r>
              <w:rPr>
                <w:webHidden/>
                <w:rStyle w:val="IndexLink"/>
                <w:rtl w:val="true"/>
              </w:rPr>
              <w:t>حکم الارتماس فی الوحل والثلج</w:t>
            </w:r>
            <w:r>
              <w:rPr>
                <w:rStyle w:val="IndexLink"/>
                <w:rtl w:val="true"/>
              </w:rPr>
              <w:tab/>
            </w:r>
            <w:r>
              <w:rPr>
                <w:rStyle w:val="IndexLink"/>
              </w:rPr>
              <w:t>120</w:t>
            </w:r>
          </w:hyperlink>
        </w:p>
        <w:p>
          <w:pPr>
            <w:pStyle w:val="Contents3"/>
            <w:tabs>
              <w:tab w:val="clear" w:pos="8459"/>
              <w:tab w:val="right" w:pos="9026" w:leader="dot"/>
            </w:tabs>
            <w:rPr/>
          </w:pPr>
          <w:hyperlink w:anchor="__RefHeading___Toc1954944_2322387425">
            <w:r>
              <w:rPr>
                <w:webHidden/>
                <w:rStyle w:val="IndexLink"/>
                <w:rtl w:val="true"/>
              </w:rPr>
              <w:t>حکم الشک فی الارتماس</w:t>
            </w:r>
            <w:r>
              <w:rPr>
                <w:rStyle w:val="IndexLink"/>
                <w:rtl w:val="true"/>
              </w:rPr>
              <w:tab/>
            </w:r>
            <w:r>
              <w:rPr>
                <w:rStyle w:val="IndexLink"/>
              </w:rPr>
              <w:t>121</w:t>
            </w:r>
          </w:hyperlink>
        </w:p>
        <w:p>
          <w:pPr>
            <w:pStyle w:val="Contents3"/>
            <w:tabs>
              <w:tab w:val="clear" w:pos="8459"/>
              <w:tab w:val="right" w:pos="9026" w:leader="dot"/>
            </w:tabs>
            <w:rPr/>
          </w:pPr>
          <w:hyperlink w:anchor="__RefHeading___Toc1954946_2322387425">
            <w:r>
              <w:rPr>
                <w:webHidden/>
                <w:rStyle w:val="IndexLink"/>
                <w:rtl w:val="true"/>
              </w:rPr>
              <w:t xml:space="preserve">الثامن </w:t>
            </w:r>
            <w:r>
              <w:rPr>
                <w:rStyle w:val="IndexLink"/>
                <w:rtl w:val="true"/>
              </w:rPr>
              <w:t xml:space="preserve">: </w:t>
            </w:r>
            <w:r>
              <w:rPr>
                <w:rStyle w:val="IndexLink"/>
                <w:rtl w:val="true"/>
              </w:rPr>
              <w:t>البقاء علی الجنابة عمداً فی شهر رمضان وقضائه</w:t>
            </w:r>
            <w:r>
              <w:rPr>
                <w:rStyle w:val="IndexLink"/>
                <w:rtl w:val="true"/>
              </w:rPr>
              <w:tab/>
            </w:r>
            <w:r>
              <w:rPr>
                <w:rStyle w:val="IndexLink"/>
              </w:rPr>
              <w:t>121</w:t>
            </w:r>
          </w:hyperlink>
        </w:p>
        <w:p>
          <w:pPr>
            <w:pStyle w:val="Contents3"/>
            <w:tabs>
              <w:tab w:val="clear" w:pos="8459"/>
              <w:tab w:val="right" w:pos="9026" w:leader="dot"/>
            </w:tabs>
            <w:rPr/>
          </w:pPr>
          <w:hyperlink w:anchor="__RefHeading___Toc1954948_2322387425">
            <w:r>
              <w:rPr>
                <w:webHidden/>
                <w:rStyle w:val="IndexLink"/>
                <w:rtl w:val="true"/>
              </w:rPr>
              <w:t>أحکام الجنابة فی صوم غیر شهر رمضان وقضائه</w:t>
            </w:r>
            <w:r>
              <w:rPr>
                <w:rStyle w:val="IndexLink"/>
                <w:rtl w:val="true"/>
              </w:rPr>
              <w:tab/>
            </w:r>
            <w:r>
              <w:rPr>
                <w:rStyle w:val="IndexLink"/>
              </w:rPr>
              <w:t>121</w:t>
            </w:r>
          </w:hyperlink>
        </w:p>
        <w:p>
          <w:pPr>
            <w:pStyle w:val="Contents3"/>
            <w:tabs>
              <w:tab w:val="clear" w:pos="8459"/>
              <w:tab w:val="right" w:pos="9026" w:leader="dot"/>
            </w:tabs>
            <w:rPr/>
          </w:pPr>
          <w:hyperlink w:anchor="__RefHeading___Toc1954950_2322387425">
            <w:r>
              <w:rPr>
                <w:webHidden/>
                <w:rStyle w:val="IndexLink"/>
                <w:rtl w:val="true"/>
              </w:rPr>
              <w:t>الإصباح جنباً من غیر عمد</w:t>
            </w:r>
            <w:r>
              <w:rPr>
                <w:rStyle w:val="IndexLink"/>
                <w:rtl w:val="true"/>
              </w:rPr>
              <w:tab/>
            </w:r>
            <w:r>
              <w:rPr>
                <w:rStyle w:val="IndexLink"/>
              </w:rPr>
              <w:t>122</w:t>
            </w:r>
          </w:hyperlink>
        </w:p>
        <w:p>
          <w:pPr>
            <w:pStyle w:val="Contents3"/>
            <w:tabs>
              <w:tab w:val="clear" w:pos="8459"/>
              <w:tab w:val="right" w:pos="9026" w:leader="dot"/>
            </w:tabs>
            <w:rPr/>
          </w:pPr>
          <w:hyperlink w:anchor="__RefHeading___Toc1954952_2322387425">
            <w:r>
              <w:rPr>
                <w:webHidden/>
                <w:rStyle w:val="IndexLink"/>
                <w:rtl w:val="true"/>
              </w:rPr>
              <w:t>الاحتلام فی النهار</w:t>
            </w:r>
            <w:r>
              <w:rPr>
                <w:rStyle w:val="IndexLink"/>
                <w:rtl w:val="true"/>
              </w:rPr>
              <w:tab/>
            </w:r>
            <w:r>
              <w:rPr>
                <w:rStyle w:val="IndexLink"/>
              </w:rPr>
              <w:t>123</w:t>
            </w:r>
          </w:hyperlink>
        </w:p>
        <w:p>
          <w:pPr>
            <w:pStyle w:val="Contents3"/>
            <w:tabs>
              <w:tab w:val="clear" w:pos="8459"/>
              <w:tab w:val="right" w:pos="9026" w:leader="dot"/>
            </w:tabs>
            <w:rPr/>
          </w:pPr>
          <w:hyperlink w:anchor="__RefHeading___Toc1954954_2322387425">
            <w:r>
              <w:rPr>
                <w:webHidden/>
                <w:rStyle w:val="IndexLink"/>
                <w:rtl w:val="true"/>
              </w:rPr>
              <w:t>النوم علی الجنابة بعد العلم بها</w:t>
            </w:r>
            <w:r>
              <w:rPr>
                <w:rStyle w:val="IndexLink"/>
                <w:rtl w:val="true"/>
              </w:rPr>
              <w:tab/>
            </w:r>
            <w:r>
              <w:rPr>
                <w:rStyle w:val="IndexLink"/>
              </w:rPr>
              <w:t>123</w:t>
            </w:r>
          </w:hyperlink>
        </w:p>
        <w:p>
          <w:pPr>
            <w:pStyle w:val="Contents3"/>
            <w:tabs>
              <w:tab w:val="clear" w:pos="8459"/>
              <w:tab w:val="right" w:pos="9026" w:leader="dot"/>
            </w:tabs>
            <w:rPr/>
          </w:pPr>
          <w:hyperlink w:anchor="__RefHeading___Toc1954956_2322387425">
            <w:r>
              <w:rPr>
                <w:webHidden/>
                <w:rStyle w:val="IndexLink"/>
                <w:rtl w:val="true"/>
              </w:rPr>
              <w:t>التعجیز الاختیاری کما لو أجنب قبل الفجر متعمداً</w:t>
            </w:r>
            <w:r>
              <w:rPr>
                <w:rStyle w:val="IndexLink"/>
                <w:rtl w:val="true"/>
              </w:rPr>
              <w:tab/>
            </w:r>
            <w:r>
              <w:rPr>
                <w:rStyle w:val="IndexLink"/>
              </w:rPr>
              <w:t>124</w:t>
            </w:r>
          </w:hyperlink>
        </w:p>
        <w:p>
          <w:pPr>
            <w:pStyle w:val="Contents3"/>
            <w:tabs>
              <w:tab w:val="clear" w:pos="8459"/>
              <w:tab w:val="right" w:pos="9026" w:leader="dot"/>
            </w:tabs>
            <w:rPr/>
          </w:pPr>
          <w:hyperlink w:anchor="__RefHeading___Toc1954958_2322387425">
            <w:r>
              <w:rPr>
                <w:webHidden/>
                <w:rStyle w:val="IndexLink"/>
                <w:rtl w:val="true"/>
              </w:rPr>
              <w:t>البقاء علی حدث الحیض والنفاس</w:t>
            </w:r>
            <w:r>
              <w:rPr>
                <w:rStyle w:val="IndexLink"/>
                <w:rtl w:val="true"/>
              </w:rPr>
              <w:tab/>
            </w:r>
            <w:r>
              <w:rPr>
                <w:rStyle w:val="IndexLink"/>
              </w:rPr>
              <w:t>125</w:t>
            </w:r>
          </w:hyperlink>
        </w:p>
        <w:p>
          <w:pPr>
            <w:pStyle w:val="Contents3"/>
            <w:tabs>
              <w:tab w:val="clear" w:pos="8459"/>
              <w:tab w:val="right" w:pos="9026" w:leader="dot"/>
            </w:tabs>
            <w:rPr/>
          </w:pPr>
          <w:hyperlink w:anchor="__RefHeading___Toc1954960_2322387425">
            <w:r>
              <w:rPr>
                <w:webHidden/>
                <w:rStyle w:val="IndexLink"/>
                <w:rtl w:val="true"/>
              </w:rPr>
              <w:t>مَن طهرت من حیضها ولم یسع الوقت للغسل ولا للتیمم</w:t>
            </w:r>
            <w:r>
              <w:rPr>
                <w:rStyle w:val="IndexLink"/>
                <w:rtl w:val="true"/>
              </w:rPr>
              <w:tab/>
            </w:r>
            <w:r>
              <w:rPr>
                <w:rStyle w:val="IndexLink"/>
              </w:rPr>
              <w:t>126</w:t>
            </w:r>
          </w:hyperlink>
        </w:p>
        <w:p>
          <w:pPr>
            <w:pStyle w:val="Contents3"/>
            <w:tabs>
              <w:tab w:val="clear" w:pos="8459"/>
              <w:tab w:val="right" w:pos="9026" w:leader="dot"/>
            </w:tabs>
            <w:rPr/>
          </w:pPr>
          <w:hyperlink w:anchor="__RefHeading___Toc1954962_2322387425">
            <w:r>
              <w:rPr>
                <w:webHidden/>
                <w:rStyle w:val="IndexLink"/>
                <w:rtl w:val="true"/>
              </w:rPr>
              <w:t>حکم صوم المستحاضة</w:t>
            </w:r>
            <w:r>
              <w:rPr>
                <w:rStyle w:val="IndexLink"/>
                <w:rtl w:val="true"/>
              </w:rPr>
              <w:tab/>
            </w:r>
            <w:r>
              <w:rPr>
                <w:rStyle w:val="IndexLink"/>
              </w:rPr>
              <w:t>127</w:t>
            </w:r>
          </w:hyperlink>
        </w:p>
        <w:p>
          <w:pPr>
            <w:pStyle w:val="Contents3"/>
            <w:tabs>
              <w:tab w:val="clear" w:pos="8459"/>
              <w:tab w:val="right" w:pos="9026" w:leader="dot"/>
            </w:tabs>
            <w:rPr/>
          </w:pPr>
          <w:hyperlink w:anchor="__RefHeading___Toc1954964_2322387425">
            <w:r>
              <w:rPr>
                <w:webHidden/>
                <w:rStyle w:val="IndexLink"/>
                <w:rtl w:val="true"/>
              </w:rPr>
              <w:t>من نسی غسل الجنابة فی شهر رمضان وغیره</w:t>
            </w:r>
            <w:r>
              <w:rPr>
                <w:rStyle w:val="IndexLink"/>
                <w:rtl w:val="true"/>
              </w:rPr>
              <w:tab/>
            </w:r>
            <w:r>
              <w:rPr>
                <w:rStyle w:val="IndexLink"/>
              </w:rPr>
              <w:t>132</w:t>
            </w:r>
          </w:hyperlink>
        </w:p>
        <w:p>
          <w:pPr>
            <w:pStyle w:val="Contents3"/>
            <w:tabs>
              <w:tab w:val="clear" w:pos="8459"/>
              <w:tab w:val="right" w:pos="9026" w:leader="dot"/>
            </w:tabs>
            <w:rPr/>
          </w:pPr>
          <w:hyperlink w:anchor="__RefHeading___Toc1954966_2322387425">
            <w:r>
              <w:rPr>
                <w:webHidden/>
                <w:rStyle w:val="IndexLink"/>
                <w:rtl w:val="true"/>
              </w:rPr>
              <w:t>من تعذّر علیه الغسل وجب علیه التیمّم قبل الفجر</w:t>
            </w:r>
            <w:r>
              <w:rPr>
                <w:rStyle w:val="IndexLink"/>
                <w:rtl w:val="true"/>
              </w:rPr>
              <w:tab/>
            </w:r>
            <w:r>
              <w:rPr>
                <w:rStyle w:val="IndexLink"/>
              </w:rPr>
              <w:t>133</w:t>
            </w:r>
          </w:hyperlink>
        </w:p>
        <w:p>
          <w:pPr>
            <w:pStyle w:val="Contents3"/>
            <w:tabs>
              <w:tab w:val="clear" w:pos="8459"/>
              <w:tab w:val="right" w:pos="9026" w:leader="dot"/>
            </w:tabs>
            <w:rPr/>
          </w:pPr>
          <w:hyperlink w:anchor="__RefHeading___Toc1954968_2322387425">
            <w:r>
              <w:rPr>
                <w:webHidden/>
                <w:rStyle w:val="IndexLink"/>
                <w:rtl w:val="true"/>
              </w:rPr>
              <w:t>هل یبطل التیمم بدل الغسل بالحدث الأصغر أو لا؟</w:t>
            </w:r>
            <w:r>
              <w:rPr>
                <w:rStyle w:val="IndexLink"/>
                <w:rtl w:val="true"/>
              </w:rPr>
              <w:tab/>
            </w:r>
            <w:r>
              <w:rPr>
                <w:rStyle w:val="IndexLink"/>
              </w:rPr>
              <w:t>134</w:t>
            </w:r>
          </w:hyperlink>
        </w:p>
        <w:p>
          <w:pPr>
            <w:pStyle w:val="Contents3"/>
            <w:tabs>
              <w:tab w:val="clear" w:pos="8459"/>
              <w:tab w:val="right" w:pos="9026" w:leader="dot"/>
            </w:tabs>
            <w:rPr/>
          </w:pPr>
          <w:hyperlink w:anchor="__RefHeading___Toc1954970_2322387425">
            <w:r>
              <w:rPr>
                <w:webHidden/>
                <w:rStyle w:val="IndexLink"/>
                <w:rtl w:val="true"/>
              </w:rPr>
              <w:t>جواز التأخیر فی غسل من احتلم نهار شهر رمضان</w:t>
            </w:r>
            <w:r>
              <w:rPr>
                <w:rStyle w:val="IndexLink"/>
                <w:rtl w:val="true"/>
              </w:rPr>
              <w:tab/>
            </w:r>
            <w:r>
              <w:rPr>
                <w:rStyle w:val="IndexLink"/>
              </w:rPr>
              <w:t>135</w:t>
            </w:r>
          </w:hyperlink>
        </w:p>
        <w:p>
          <w:pPr>
            <w:pStyle w:val="Contents3"/>
            <w:tabs>
              <w:tab w:val="clear" w:pos="8459"/>
              <w:tab w:val="right" w:pos="9026" w:leader="dot"/>
            </w:tabs>
            <w:rPr/>
          </w:pPr>
          <w:hyperlink w:anchor="__RefHeading___Toc1954972_2322387425">
            <w:r>
              <w:rPr>
                <w:webHidden/>
                <w:rStyle w:val="IndexLink"/>
                <w:rtl w:val="true"/>
              </w:rPr>
              <w:t>حکم الصوم إذا علم سبق الاحتلام علی الفجر أو شک</w:t>
            </w:r>
            <w:r>
              <w:rPr>
                <w:rStyle w:val="IndexLink"/>
                <w:rtl w:val="true"/>
              </w:rPr>
              <w:tab/>
            </w:r>
            <w:r>
              <w:rPr>
                <w:rStyle w:val="IndexLink"/>
              </w:rPr>
              <w:t>135</w:t>
            </w:r>
          </w:hyperlink>
        </w:p>
        <w:p>
          <w:pPr>
            <w:pStyle w:val="Contents3"/>
            <w:tabs>
              <w:tab w:val="clear" w:pos="8459"/>
              <w:tab w:val="right" w:pos="9026" w:leader="dot"/>
            </w:tabs>
            <w:rPr/>
          </w:pPr>
          <w:hyperlink w:anchor="__RefHeading___Toc1954974_2322387425">
            <w:r>
              <w:rPr>
                <w:webHidden/>
                <w:rStyle w:val="IndexLink"/>
                <w:rtl w:val="true"/>
              </w:rPr>
              <w:t>حکم نوم الجنب قبل الفجر وأقسامه</w:t>
            </w:r>
            <w:r>
              <w:rPr>
                <w:rStyle w:val="IndexLink"/>
                <w:rtl w:val="true"/>
              </w:rPr>
              <w:tab/>
            </w:r>
            <w:r>
              <w:rPr>
                <w:rStyle w:val="IndexLink"/>
              </w:rPr>
              <w:t>136</w:t>
            </w:r>
          </w:hyperlink>
        </w:p>
        <w:p>
          <w:pPr>
            <w:pStyle w:val="Contents3"/>
            <w:tabs>
              <w:tab w:val="clear" w:pos="8459"/>
              <w:tab w:val="right" w:pos="9026" w:leader="dot"/>
            </w:tabs>
            <w:rPr/>
          </w:pPr>
          <w:hyperlink w:anchor="__RefHeading___Toc1954976_2322387425">
            <w:r>
              <w:rPr>
                <w:webHidden/>
                <w:rStyle w:val="IndexLink"/>
                <w:rtl w:val="true"/>
              </w:rPr>
              <w:t>حکم نوم الجنب فی صوم غیر شهر رمضان</w:t>
            </w:r>
            <w:r>
              <w:rPr>
                <w:rStyle w:val="IndexLink"/>
                <w:rtl w:val="true"/>
              </w:rPr>
              <w:tab/>
            </w:r>
            <w:r>
              <w:rPr>
                <w:rStyle w:val="IndexLink"/>
              </w:rPr>
              <w:t>143</w:t>
            </w:r>
          </w:hyperlink>
        </w:p>
        <w:p>
          <w:pPr>
            <w:pStyle w:val="Contents3"/>
            <w:tabs>
              <w:tab w:val="clear" w:pos="8459"/>
              <w:tab w:val="right" w:pos="9026" w:leader="dot"/>
            </w:tabs>
            <w:rPr/>
          </w:pPr>
          <w:hyperlink w:anchor="__RefHeading___Toc1954978_2322387425">
            <w:r>
              <w:rPr>
                <w:webHidden/>
                <w:rStyle w:val="IndexLink"/>
                <w:rtl w:val="true"/>
              </w:rPr>
              <w:t>فروع فی النوم بعد الجنابة</w:t>
            </w:r>
            <w:r>
              <w:rPr>
                <w:rStyle w:val="IndexLink"/>
                <w:rtl w:val="true"/>
              </w:rPr>
              <w:tab/>
            </w:r>
            <w:r>
              <w:rPr>
                <w:rStyle w:val="IndexLink"/>
              </w:rPr>
              <w:t>144</w:t>
            </w:r>
          </w:hyperlink>
        </w:p>
        <w:p>
          <w:pPr>
            <w:pStyle w:val="Contents3"/>
            <w:tabs>
              <w:tab w:val="clear" w:pos="8459"/>
              <w:tab w:val="right" w:pos="9026" w:leader="dot"/>
            </w:tabs>
            <w:rPr/>
          </w:pPr>
          <w:hyperlink w:anchor="__RefHeading___Toc1954980_2322387425">
            <w:r>
              <w:rPr>
                <w:webHidden/>
                <w:rStyle w:val="IndexLink"/>
                <w:rtl w:val="true"/>
              </w:rPr>
              <w:t>حکم النوم مع حدث الحیض والنفاس لیل شهر رمضان</w:t>
            </w:r>
            <w:r>
              <w:rPr>
                <w:rStyle w:val="IndexLink"/>
                <w:rtl w:val="true"/>
              </w:rPr>
              <w:tab/>
            </w:r>
            <w:r>
              <w:rPr>
                <w:rStyle w:val="IndexLink"/>
              </w:rPr>
              <w:t>144</w:t>
            </w:r>
          </w:hyperlink>
        </w:p>
        <w:p>
          <w:pPr>
            <w:pStyle w:val="Contents3"/>
            <w:tabs>
              <w:tab w:val="clear" w:pos="8459"/>
              <w:tab w:val="right" w:pos="9026" w:leader="dot"/>
            </w:tabs>
            <w:rPr/>
          </w:pPr>
          <w:hyperlink w:anchor="__RefHeading___Toc1954982_2322387425">
            <w:r>
              <w:rPr>
                <w:webHidden/>
                <w:rStyle w:val="IndexLink"/>
                <w:rtl w:val="true"/>
              </w:rPr>
              <w:t>الشک فی عدد النومات</w:t>
            </w:r>
            <w:r>
              <w:rPr>
                <w:rStyle w:val="IndexLink"/>
                <w:rtl w:val="true"/>
              </w:rPr>
              <w:tab/>
            </w:r>
            <w:r>
              <w:rPr>
                <w:rStyle w:val="IndexLink"/>
              </w:rPr>
              <w:t>144</w:t>
            </w:r>
          </w:hyperlink>
        </w:p>
        <w:p>
          <w:pPr>
            <w:pStyle w:val="Contents3"/>
            <w:tabs>
              <w:tab w:val="clear" w:pos="8459"/>
              <w:tab w:val="right" w:pos="9026" w:leader="dot"/>
            </w:tabs>
            <w:rPr/>
          </w:pPr>
          <w:hyperlink w:anchor="__RefHeading___Toc1954984_2322387425">
            <w:r>
              <w:rPr>
                <w:webHidden/>
                <w:rStyle w:val="IndexLink"/>
                <w:rtl w:val="true"/>
              </w:rPr>
              <w:t>من نسی الجنابة أیّاماً من شهر رمضان وشک فی عددها</w:t>
            </w:r>
            <w:r>
              <w:rPr>
                <w:rStyle w:val="IndexLink"/>
                <w:rtl w:val="true"/>
              </w:rPr>
              <w:tab/>
            </w:r>
            <w:r>
              <w:rPr>
                <w:rStyle w:val="IndexLink"/>
              </w:rPr>
              <w:t>144</w:t>
            </w:r>
          </w:hyperlink>
        </w:p>
        <w:p>
          <w:pPr>
            <w:pStyle w:val="Contents3"/>
            <w:tabs>
              <w:tab w:val="clear" w:pos="8459"/>
              <w:tab w:val="right" w:pos="9026" w:leader="dot"/>
            </w:tabs>
            <w:rPr/>
          </w:pPr>
          <w:hyperlink w:anchor="__RefHeading___Toc1954986_2322387425">
            <w:r>
              <w:rPr>
                <w:webHidden/>
                <w:rStyle w:val="IndexLink"/>
                <w:rtl w:val="true"/>
              </w:rPr>
              <w:t>قصد الوجوب فی غسل الجنابة قبل الفجر</w:t>
            </w:r>
            <w:r>
              <w:rPr>
                <w:rStyle w:val="IndexLink"/>
                <w:rtl w:val="true"/>
              </w:rPr>
              <w:tab/>
            </w:r>
            <w:r>
              <w:rPr>
                <w:rStyle w:val="IndexLink"/>
              </w:rPr>
              <w:t>145</w:t>
            </w:r>
          </w:hyperlink>
        </w:p>
        <w:p>
          <w:pPr>
            <w:pStyle w:val="Contents3"/>
            <w:tabs>
              <w:tab w:val="clear" w:pos="8459"/>
              <w:tab w:val="right" w:pos="9026" w:leader="dot"/>
            </w:tabs>
            <w:rPr/>
          </w:pPr>
          <w:hyperlink w:anchor="__RefHeading___Toc1954988_2322387425">
            <w:r>
              <w:rPr>
                <w:webHidden/>
                <w:rStyle w:val="IndexLink"/>
                <w:rtl w:val="true"/>
              </w:rPr>
              <w:t>إجزاء الصوم من فاقد الطهورین مع الحدث</w:t>
            </w:r>
            <w:r>
              <w:rPr>
                <w:rStyle w:val="IndexLink"/>
                <w:rtl w:val="true"/>
              </w:rPr>
              <w:tab/>
            </w:r>
            <w:r>
              <w:rPr>
                <w:rStyle w:val="IndexLink"/>
              </w:rPr>
              <w:t>146</w:t>
            </w:r>
          </w:hyperlink>
        </w:p>
        <w:p>
          <w:pPr>
            <w:pStyle w:val="Contents3"/>
            <w:tabs>
              <w:tab w:val="clear" w:pos="8459"/>
              <w:tab w:val="right" w:pos="9026" w:leader="dot"/>
            </w:tabs>
            <w:rPr/>
          </w:pPr>
          <w:hyperlink w:anchor="__RefHeading___Toc1954990_2322387425">
            <w:r>
              <w:rPr>
                <w:webHidden/>
                <w:rStyle w:val="IndexLink"/>
                <w:rtl w:val="true"/>
              </w:rPr>
              <w:t>عدم مانعیّة حدث مسّ المیّت من الصوم حدوثاً وبقاء</w:t>
            </w:r>
            <w:r>
              <w:rPr>
                <w:rStyle w:val="IndexLink"/>
                <w:rtl w:val="true"/>
              </w:rPr>
              <w:tab/>
            </w:r>
            <w:r>
              <w:rPr>
                <w:rStyle w:val="IndexLink"/>
              </w:rPr>
              <w:t>147</w:t>
            </w:r>
          </w:hyperlink>
        </w:p>
        <w:p>
          <w:pPr>
            <w:pStyle w:val="Contents3"/>
            <w:tabs>
              <w:tab w:val="clear" w:pos="8459"/>
              <w:tab w:val="right" w:pos="9026" w:leader="dot"/>
            </w:tabs>
            <w:rPr/>
          </w:pPr>
          <w:hyperlink w:anchor="__RefHeading___Toc1954992_2322387425">
            <w:r>
              <w:rPr>
                <w:webHidden/>
                <w:rStyle w:val="IndexLink"/>
                <w:rtl w:val="true"/>
              </w:rPr>
              <w:t>إجناب الصائم نفسه مع ضیق الوقت وظنّ السعة</w:t>
            </w:r>
            <w:r>
              <w:rPr>
                <w:rStyle w:val="IndexLink"/>
                <w:rtl w:val="true"/>
              </w:rPr>
              <w:tab/>
            </w:r>
            <w:r>
              <w:rPr>
                <w:rStyle w:val="IndexLink"/>
              </w:rPr>
              <w:t>148</w:t>
            </w:r>
          </w:hyperlink>
        </w:p>
        <w:p>
          <w:pPr>
            <w:pStyle w:val="Contents3"/>
            <w:tabs>
              <w:tab w:val="clear" w:pos="8459"/>
              <w:tab w:val="right" w:pos="9026" w:leader="dot"/>
            </w:tabs>
            <w:rPr/>
          </w:pPr>
          <w:hyperlink w:anchor="__RefHeading___Toc1954994_2322387425">
            <w:r>
              <w:rPr>
                <w:webHidden/>
                <w:rStyle w:val="IndexLink"/>
                <w:rtl w:val="true"/>
              </w:rPr>
              <w:t xml:space="preserve">التاسع </w:t>
            </w:r>
            <w:r>
              <w:rPr>
                <w:rStyle w:val="IndexLink"/>
                <w:rtl w:val="true"/>
              </w:rPr>
              <w:t xml:space="preserve">: </w:t>
            </w:r>
            <w:r>
              <w:rPr>
                <w:rStyle w:val="IndexLink"/>
                <w:rtl w:val="true"/>
              </w:rPr>
              <w:t>من المفطرات الاحتقان بالمایع ولو مع الاضطرار</w:t>
            </w:r>
            <w:r>
              <w:rPr>
                <w:rStyle w:val="IndexLink"/>
                <w:rtl w:val="true"/>
              </w:rPr>
              <w:tab/>
            </w:r>
            <w:r>
              <w:rPr>
                <w:rStyle w:val="IndexLink"/>
              </w:rPr>
              <w:t>150</w:t>
            </w:r>
          </w:hyperlink>
        </w:p>
        <w:p>
          <w:pPr>
            <w:pStyle w:val="Contents3"/>
            <w:tabs>
              <w:tab w:val="clear" w:pos="8459"/>
              <w:tab w:val="right" w:pos="9026" w:leader="dot"/>
            </w:tabs>
            <w:rPr/>
          </w:pPr>
          <w:hyperlink w:anchor="__RefHeading___Toc1954996_2322387425">
            <w:r>
              <w:rPr>
                <w:webHidden/>
                <w:rStyle w:val="IndexLink"/>
                <w:rtl w:val="true"/>
              </w:rPr>
              <w:t>الحقنة بالجامد والمائع غیر البالغ للجوف وما یشک فی کونه منها</w:t>
            </w:r>
            <w:r>
              <w:rPr>
                <w:rStyle w:val="IndexLink"/>
                <w:rtl w:val="true"/>
              </w:rPr>
              <w:tab/>
            </w:r>
            <w:r>
              <w:rPr>
                <w:rStyle w:val="IndexLink"/>
              </w:rPr>
              <w:t>150</w:t>
            </w:r>
          </w:hyperlink>
        </w:p>
        <w:p>
          <w:pPr>
            <w:pStyle w:val="Contents3"/>
            <w:tabs>
              <w:tab w:val="clear" w:pos="8459"/>
              <w:tab w:val="right" w:pos="9026" w:leader="dot"/>
            </w:tabs>
            <w:rPr/>
          </w:pPr>
          <w:hyperlink w:anchor="__RefHeading___Toc1954998_2322387425">
            <w:r>
              <w:rPr>
                <w:webHidden/>
                <w:rStyle w:val="IndexLink"/>
                <w:rtl w:val="true"/>
              </w:rPr>
              <w:t xml:space="preserve">العاشر </w:t>
            </w:r>
            <w:r>
              <w:rPr>
                <w:rStyle w:val="IndexLink"/>
                <w:rtl w:val="true"/>
              </w:rPr>
              <w:t xml:space="preserve">: </w:t>
            </w:r>
            <w:r>
              <w:rPr>
                <w:rStyle w:val="IndexLink"/>
                <w:rtl w:val="true"/>
              </w:rPr>
              <w:t>تعمّد القیء</w:t>
            </w:r>
            <w:r>
              <w:rPr>
                <w:rStyle w:val="IndexLink"/>
                <w:rtl w:val="true"/>
              </w:rPr>
              <w:tab/>
            </w:r>
            <w:r>
              <w:rPr>
                <w:rStyle w:val="IndexLink"/>
              </w:rPr>
              <w:t>151</w:t>
            </w:r>
          </w:hyperlink>
        </w:p>
        <w:p>
          <w:pPr>
            <w:pStyle w:val="Contents3"/>
            <w:tabs>
              <w:tab w:val="clear" w:pos="8459"/>
              <w:tab w:val="right" w:pos="9026" w:leader="dot"/>
            </w:tabs>
            <w:rPr/>
          </w:pPr>
          <w:hyperlink w:anchor="__RefHeading___Toc1955000_2322387425">
            <w:r>
              <w:rPr>
                <w:webHidden/>
                <w:rStyle w:val="IndexLink"/>
                <w:rtl w:val="true"/>
              </w:rPr>
              <w:t>ابتلاع ما یخرج بالتجشّؤ</w:t>
            </w:r>
            <w:r>
              <w:rPr>
                <w:rStyle w:val="IndexLink"/>
                <w:rtl w:val="true"/>
              </w:rPr>
              <w:tab/>
            </w:r>
            <w:r>
              <w:rPr>
                <w:rStyle w:val="IndexLink"/>
              </w:rPr>
              <w:t>151</w:t>
            </w:r>
          </w:hyperlink>
        </w:p>
        <w:p>
          <w:pPr>
            <w:pStyle w:val="Contents3"/>
            <w:tabs>
              <w:tab w:val="clear" w:pos="8459"/>
              <w:tab w:val="right" w:pos="9026" w:leader="dot"/>
            </w:tabs>
            <w:rPr/>
          </w:pPr>
          <w:hyperlink w:anchor="__RefHeading___Toc1955002_2322387425">
            <w:r>
              <w:rPr>
                <w:webHidden/>
                <w:rStyle w:val="IndexLink"/>
                <w:rtl w:val="true"/>
              </w:rPr>
              <w:t>مفطریة القیء وما یطّرد فیه من الفروع</w:t>
            </w:r>
            <w:r>
              <w:rPr>
                <w:rStyle w:val="IndexLink"/>
                <w:rtl w:val="true"/>
              </w:rPr>
              <w:tab/>
            </w:r>
            <w:r>
              <w:rPr>
                <w:rStyle w:val="IndexLink"/>
              </w:rPr>
              <w:t>152</w:t>
            </w:r>
          </w:hyperlink>
        </w:p>
        <w:p>
          <w:pPr>
            <w:pStyle w:val="Contents2"/>
            <w:tabs>
              <w:tab w:val="clear" w:pos="8743"/>
              <w:tab w:val="right" w:pos="9026" w:leader="dot"/>
            </w:tabs>
            <w:rPr/>
          </w:pPr>
          <w:hyperlink w:anchor="__RefHeading___Toc1955004_2322387425">
            <w:r>
              <w:rPr>
                <w:webHidden/>
                <w:rStyle w:val="IndexLink"/>
                <w:rtl w:val="true"/>
              </w:rPr>
              <w:t>فصل</w:t>
            </w:r>
            <w:r>
              <w:rPr>
                <w:rStyle w:val="IndexLink"/>
                <w:rtl w:val="true"/>
              </w:rPr>
              <w:t xml:space="preserve">: </w:t>
            </w:r>
            <w:r>
              <w:rPr>
                <w:rStyle w:val="IndexLink"/>
                <w:rtl w:val="true"/>
              </w:rPr>
              <w:t>فی اعتبار العمد والاختیار فی الإفطار</w:t>
            </w:r>
            <w:r>
              <w:rPr>
                <w:rStyle w:val="IndexLink"/>
                <w:rtl w:val="true"/>
              </w:rPr>
              <w:tab/>
            </w:r>
            <w:r>
              <w:rPr>
                <w:rStyle w:val="IndexLink"/>
              </w:rPr>
              <w:t>168</w:t>
            </w:r>
          </w:hyperlink>
        </w:p>
        <w:p>
          <w:pPr>
            <w:pStyle w:val="Contents3"/>
            <w:tabs>
              <w:tab w:val="clear" w:pos="8459"/>
              <w:tab w:val="right" w:pos="9026" w:leader="dot"/>
            </w:tabs>
            <w:rPr/>
          </w:pPr>
          <w:hyperlink w:anchor="__RefHeading___Toc1955006_2322387425">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955008_2322387425">
            <w:r>
              <w:rPr>
                <w:webHidden/>
                <w:rStyle w:val="IndexLink"/>
                <w:rtl w:val="true"/>
              </w:rPr>
              <w:t>فروع اعتبار العمد والاختیار فی فعل المفطر</w:t>
            </w:r>
            <w:r>
              <w:rPr>
                <w:rStyle w:val="IndexLink"/>
                <w:rtl w:val="true"/>
              </w:rPr>
              <w:tab/>
            </w:r>
            <w:r>
              <w:rPr>
                <w:rStyle w:val="IndexLink"/>
              </w:rPr>
              <w:t>168</w:t>
            </w:r>
          </w:hyperlink>
        </w:p>
        <w:p>
          <w:pPr>
            <w:pStyle w:val="Contents3"/>
            <w:tabs>
              <w:tab w:val="clear" w:pos="8459"/>
              <w:tab w:val="right" w:pos="9026" w:leader="dot"/>
            </w:tabs>
            <w:rPr/>
          </w:pPr>
          <w:hyperlink w:anchor="__RefHeading___Toc1955010_2322387425">
            <w:r>
              <w:rPr>
                <w:webHidden/>
                <w:rStyle w:val="IndexLink"/>
                <w:rtl w:val="true"/>
              </w:rPr>
              <w:t>الإفطار عمداً فی صورة الظنّ بفساد الصوم</w:t>
            </w:r>
            <w:r>
              <w:rPr>
                <w:rStyle w:val="IndexLink"/>
                <w:rtl w:val="true"/>
              </w:rPr>
              <w:tab/>
            </w:r>
            <w:r>
              <w:rPr>
                <w:rStyle w:val="IndexLink"/>
              </w:rPr>
              <w:t>169</w:t>
            </w:r>
          </w:hyperlink>
        </w:p>
        <w:p>
          <w:pPr>
            <w:pStyle w:val="Contents3"/>
            <w:tabs>
              <w:tab w:val="clear" w:pos="8459"/>
              <w:tab w:val="right" w:pos="9026" w:leader="dot"/>
            </w:tabs>
            <w:rPr/>
          </w:pPr>
          <w:hyperlink w:anchor="__RefHeading___Toc1955012_2322387425">
            <w:r>
              <w:rPr>
                <w:webHidden/>
                <w:rStyle w:val="IndexLink"/>
                <w:rtl w:val="true"/>
              </w:rPr>
              <w:t>الإفطار للتقیّة من الظالم</w:t>
            </w:r>
            <w:r>
              <w:rPr>
                <w:rStyle w:val="IndexLink"/>
                <w:rtl w:val="true"/>
              </w:rPr>
              <w:tab/>
            </w:r>
            <w:r>
              <w:rPr>
                <w:rStyle w:val="IndexLink"/>
              </w:rPr>
              <w:t>170</w:t>
            </w:r>
          </w:hyperlink>
        </w:p>
        <w:p>
          <w:pPr>
            <w:pStyle w:val="Contents3"/>
            <w:tabs>
              <w:tab w:val="clear" w:pos="8459"/>
              <w:tab w:val="right" w:pos="9026" w:leader="dot"/>
            </w:tabs>
            <w:rPr/>
          </w:pPr>
          <w:hyperlink w:anchor="__RefHeading___Toc1955014_2322387425">
            <w:r>
              <w:rPr>
                <w:webHidden/>
                <w:rStyle w:val="IndexLink"/>
                <w:rtl w:val="true"/>
              </w:rPr>
              <w:t>حکم ابتلاع اللّقمة وما یدخل فی الحلق من غیر اختیار</w:t>
            </w:r>
            <w:r>
              <w:rPr>
                <w:rStyle w:val="IndexLink"/>
                <w:rtl w:val="true"/>
              </w:rPr>
              <w:tab/>
            </w:r>
            <w:r>
              <w:rPr>
                <w:rStyle w:val="IndexLink"/>
              </w:rPr>
              <w:t>173</w:t>
            </w:r>
          </w:hyperlink>
        </w:p>
        <w:p>
          <w:pPr>
            <w:pStyle w:val="Contents3"/>
            <w:tabs>
              <w:tab w:val="clear" w:pos="8459"/>
              <w:tab w:val="right" w:pos="9026" w:leader="dot"/>
            </w:tabs>
            <w:rPr/>
          </w:pPr>
          <w:hyperlink w:anchor="__RefHeading___Toc1955016_2322387425">
            <w:r>
              <w:rPr>
                <w:webHidden/>
                <w:rStyle w:val="IndexLink"/>
                <w:rtl w:val="true"/>
              </w:rPr>
              <w:t>وظیفة من خاف علی نفسه الهلاک من غلبة العطش</w:t>
            </w:r>
            <w:r>
              <w:rPr>
                <w:rStyle w:val="IndexLink"/>
                <w:rtl w:val="true"/>
              </w:rPr>
              <w:tab/>
            </w:r>
            <w:r>
              <w:rPr>
                <w:rStyle w:val="IndexLink"/>
              </w:rPr>
              <w:t>174</w:t>
            </w:r>
          </w:hyperlink>
        </w:p>
        <w:p>
          <w:pPr>
            <w:pStyle w:val="Contents3"/>
            <w:tabs>
              <w:tab w:val="clear" w:pos="8459"/>
              <w:tab w:val="right" w:pos="9026" w:leader="dot"/>
            </w:tabs>
            <w:rPr/>
          </w:pPr>
          <w:hyperlink w:anchor="__RefHeading___Toc1955018_2322387425">
            <w:r>
              <w:rPr>
                <w:webHidden/>
                <w:rStyle w:val="IndexLink"/>
                <w:rtl w:val="true"/>
              </w:rPr>
              <w:t>مبطلیة الذهاب إلی مکان یضطرّ فیه إلی الإفطار</w:t>
            </w:r>
            <w:r>
              <w:rPr>
                <w:rStyle w:val="IndexLink"/>
                <w:rtl w:val="true"/>
              </w:rPr>
              <w:tab/>
            </w:r>
            <w:r>
              <w:rPr>
                <w:rStyle w:val="IndexLink"/>
              </w:rPr>
              <w:t>174</w:t>
            </w:r>
          </w:hyperlink>
        </w:p>
        <w:p>
          <w:pPr>
            <w:pStyle w:val="Contents3"/>
            <w:tabs>
              <w:tab w:val="clear" w:pos="8459"/>
              <w:tab w:val="right" w:pos="9026" w:leader="dot"/>
            </w:tabs>
            <w:rPr/>
          </w:pPr>
          <w:hyperlink w:anchor="__RefHeading___Toc1955020_2322387425">
            <w:r>
              <w:rPr>
                <w:webHidden/>
                <w:rStyle w:val="IndexLink"/>
                <w:rtl w:val="true"/>
              </w:rPr>
              <w:t>مبطلیة الجماع إذا تذکّر بعد النسیان ولم یترک</w:t>
            </w:r>
            <w:r>
              <w:rPr>
                <w:rStyle w:val="IndexLink"/>
                <w:rtl w:val="true"/>
              </w:rPr>
              <w:tab/>
            </w:r>
            <w:r>
              <w:rPr>
                <w:rStyle w:val="IndexLink"/>
              </w:rPr>
              <w:t>176</w:t>
            </w:r>
          </w:hyperlink>
        </w:p>
        <w:p>
          <w:pPr>
            <w:pStyle w:val="Contents2"/>
            <w:tabs>
              <w:tab w:val="clear" w:pos="8743"/>
              <w:tab w:val="right" w:pos="9026" w:leader="dot"/>
            </w:tabs>
            <w:rPr/>
          </w:pPr>
          <w:hyperlink w:anchor="__RefHeading___Toc1955022_2322387425">
            <w:r>
              <w:rPr>
                <w:webHidden/>
                <w:rStyle w:val="IndexLink"/>
                <w:rtl w:val="true"/>
              </w:rPr>
              <w:t>فصل</w:t>
            </w:r>
            <w:r>
              <w:rPr>
                <w:rStyle w:val="IndexLink"/>
                <w:rtl w:val="true"/>
              </w:rPr>
              <w:t xml:space="preserve">: </w:t>
            </w:r>
            <w:r>
              <w:rPr>
                <w:rStyle w:val="IndexLink"/>
                <w:rtl w:val="true"/>
              </w:rPr>
              <w:t>فی اُمورٍ لا بأس بها للصائم</w:t>
            </w:r>
            <w:r>
              <w:rPr>
                <w:rStyle w:val="IndexLink"/>
                <w:rtl w:val="true"/>
              </w:rPr>
              <w:tab/>
            </w:r>
            <w:r>
              <w:rPr>
                <w:rStyle w:val="IndexLink"/>
              </w:rPr>
              <w:t>177</w:t>
            </w:r>
          </w:hyperlink>
        </w:p>
        <w:p>
          <w:pPr>
            <w:pStyle w:val="Contents3"/>
            <w:tabs>
              <w:tab w:val="clear" w:pos="8459"/>
              <w:tab w:val="right" w:pos="9026" w:leader="dot"/>
            </w:tabs>
            <w:rPr/>
          </w:pPr>
          <w:hyperlink w:anchor="__RefHeading___Toc1955024_2322387425">
            <w:r>
              <w:rPr>
                <w:webHidden/>
                <w:rStyle w:val="IndexLink"/>
                <w:rtl w:val="true"/>
              </w:rPr>
              <w:t>المیزان فی ما یجوز للصائم ارتکابه من اُمور</w:t>
            </w:r>
            <w:r>
              <w:rPr>
                <w:rStyle w:val="IndexLink"/>
                <w:rtl w:val="true"/>
              </w:rPr>
              <w:tab/>
            </w:r>
            <w:r>
              <w:rPr>
                <w:rStyle w:val="IndexLink"/>
              </w:rPr>
              <w:t>177</w:t>
            </w:r>
          </w:hyperlink>
        </w:p>
        <w:p>
          <w:pPr>
            <w:pStyle w:val="Contents3"/>
            <w:tabs>
              <w:tab w:val="clear" w:pos="8459"/>
              <w:tab w:val="right" w:pos="9026" w:leader="dot"/>
            </w:tabs>
            <w:rPr/>
          </w:pPr>
          <w:hyperlink w:anchor="__RefHeading___Toc1955026_2322387425">
            <w:r>
              <w:rPr>
                <w:webHidden/>
                <w:rStyle w:val="IndexLink"/>
                <w:rtl w:val="true"/>
              </w:rPr>
              <w:t>الحکم فی ابتلاع الریق الممتزج بالدم ونحوه من المحرّمات</w:t>
            </w:r>
            <w:r>
              <w:rPr>
                <w:rStyle w:val="IndexLink"/>
                <w:rtl w:val="true"/>
              </w:rPr>
              <w:tab/>
            </w:r>
            <w:r>
              <w:rPr>
                <w:rStyle w:val="IndexLink"/>
              </w:rPr>
              <w:t>179</w:t>
            </w:r>
          </w:hyperlink>
        </w:p>
        <w:p>
          <w:pPr>
            <w:pStyle w:val="Contents2"/>
            <w:tabs>
              <w:tab w:val="clear" w:pos="8743"/>
              <w:tab w:val="right" w:pos="9026" w:leader="dot"/>
            </w:tabs>
            <w:rPr/>
          </w:pPr>
          <w:hyperlink w:anchor="__RefHeading___Toc1955028_2322387425">
            <w:r>
              <w:rPr>
                <w:webHidden/>
                <w:rStyle w:val="IndexLink"/>
                <w:rtl w:val="true"/>
              </w:rPr>
              <w:t>فصل</w:t>
            </w:r>
            <w:r>
              <w:rPr>
                <w:rStyle w:val="IndexLink"/>
                <w:rtl w:val="true"/>
              </w:rPr>
              <w:t xml:space="preserve">: </w:t>
            </w:r>
            <w:r>
              <w:rPr>
                <w:rStyle w:val="IndexLink"/>
                <w:rtl w:val="true"/>
              </w:rPr>
              <w:t>فی ما یکره للصائم</w:t>
            </w:r>
            <w:r>
              <w:rPr>
                <w:rStyle w:val="IndexLink"/>
                <w:rtl w:val="true"/>
              </w:rPr>
              <w:tab/>
            </w:r>
            <w:r>
              <w:rPr>
                <w:rStyle w:val="IndexLink"/>
              </w:rPr>
              <w:t>181</w:t>
            </w:r>
          </w:hyperlink>
        </w:p>
        <w:p>
          <w:pPr>
            <w:pStyle w:val="Contents3"/>
            <w:tabs>
              <w:tab w:val="clear" w:pos="8459"/>
              <w:tab w:val="right" w:pos="9026" w:leader="dot"/>
            </w:tabs>
            <w:rPr/>
          </w:pPr>
          <w:hyperlink w:anchor="__RefHeading___Toc1955030_2322387425">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955032_2322387425">
            <w:r>
              <w:rPr>
                <w:webHidden/>
                <w:rStyle w:val="IndexLink"/>
                <w:rtl w:val="true"/>
              </w:rPr>
              <w:t xml:space="preserve">الأول </w:t>
            </w:r>
            <w:r>
              <w:rPr>
                <w:rStyle w:val="IndexLink"/>
                <w:rtl w:val="true"/>
              </w:rPr>
              <w:t xml:space="preserve">: </w:t>
            </w:r>
            <w:r>
              <w:rPr>
                <w:rStyle w:val="IndexLink"/>
                <w:rtl w:val="true"/>
              </w:rPr>
              <w:t>مباشرة النساء بما لا یستوجب الجنابة </w:t>
            </w:r>
            <w:r>
              <w:rPr>
                <w:rStyle w:val="IndexLink"/>
                <w:rtl w:val="true"/>
              </w:rPr>
              <w:tab/>
            </w:r>
            <w:r>
              <w:rPr>
                <w:rStyle w:val="IndexLink"/>
              </w:rPr>
              <w:t>181</w:t>
            </w:r>
          </w:hyperlink>
        </w:p>
        <w:p>
          <w:pPr>
            <w:pStyle w:val="Contents3"/>
            <w:tabs>
              <w:tab w:val="clear" w:pos="8459"/>
              <w:tab w:val="right" w:pos="9026" w:leader="dot"/>
            </w:tabs>
            <w:rPr/>
          </w:pPr>
          <w:hyperlink w:anchor="__RefHeading___Toc1955034_2322387425">
            <w:r>
              <w:rPr>
                <w:webHidden/>
                <w:rStyle w:val="IndexLink"/>
                <w:rtl w:val="true"/>
              </w:rPr>
              <w:t xml:space="preserve">الثانی </w:t>
            </w:r>
            <w:r>
              <w:rPr>
                <w:rStyle w:val="IndexLink"/>
                <w:rtl w:val="true"/>
              </w:rPr>
              <w:t xml:space="preserve">: </w:t>
            </w:r>
            <w:r>
              <w:rPr>
                <w:rStyle w:val="IndexLink"/>
                <w:rtl w:val="true"/>
              </w:rPr>
              <w:t>الاکتحال بما یصل طعمه أو رائحته إلی الحلق</w:t>
            </w:r>
            <w:r>
              <w:rPr>
                <w:rStyle w:val="IndexLink"/>
                <w:rtl w:val="true"/>
              </w:rPr>
              <w:tab/>
            </w:r>
            <w:r>
              <w:rPr>
                <w:rStyle w:val="IndexLink"/>
              </w:rPr>
              <w:t>182</w:t>
            </w:r>
          </w:hyperlink>
        </w:p>
        <w:p>
          <w:pPr>
            <w:pStyle w:val="Contents3"/>
            <w:tabs>
              <w:tab w:val="clear" w:pos="8459"/>
              <w:tab w:val="right" w:pos="9026" w:leader="dot"/>
            </w:tabs>
            <w:rPr/>
          </w:pPr>
          <w:hyperlink w:anchor="__RefHeading___Toc1955036_2322387425">
            <w:r>
              <w:rPr>
                <w:webHidden/>
                <w:rStyle w:val="IndexLink"/>
                <w:rtl w:val="true"/>
              </w:rPr>
              <w:t xml:space="preserve">الثالث </w:t>
            </w:r>
            <w:r>
              <w:rPr>
                <w:rStyle w:val="IndexLink"/>
                <w:rtl w:val="true"/>
              </w:rPr>
              <w:t xml:space="preserve">: </w:t>
            </w:r>
            <w:r>
              <w:rPr>
                <w:rStyle w:val="IndexLink"/>
                <w:rtl w:val="true"/>
              </w:rPr>
              <w:t>دخول الحمّام لمن یخشی الضعف</w:t>
            </w:r>
            <w:r>
              <w:rPr>
                <w:rStyle w:val="IndexLink"/>
                <w:rtl w:val="true"/>
              </w:rPr>
              <w:tab/>
            </w:r>
            <w:r>
              <w:rPr>
                <w:rStyle w:val="IndexLink"/>
              </w:rPr>
              <w:t>182</w:t>
            </w:r>
          </w:hyperlink>
        </w:p>
        <w:p>
          <w:pPr>
            <w:pStyle w:val="Contents3"/>
            <w:tabs>
              <w:tab w:val="clear" w:pos="8459"/>
              <w:tab w:val="right" w:pos="9026" w:leader="dot"/>
            </w:tabs>
            <w:rPr/>
          </w:pPr>
          <w:hyperlink w:anchor="__RefHeading___Toc1955038_2322387425">
            <w:r>
              <w:rPr>
                <w:webHidden/>
                <w:rStyle w:val="IndexLink"/>
                <w:rtl w:val="true"/>
              </w:rPr>
              <w:t xml:space="preserve">الرابع </w:t>
            </w:r>
            <w:r>
              <w:rPr>
                <w:rStyle w:val="IndexLink"/>
                <w:rtl w:val="true"/>
              </w:rPr>
              <w:t xml:space="preserve">: </w:t>
            </w:r>
            <w:r>
              <w:rPr>
                <w:rStyle w:val="IndexLink"/>
                <w:rtl w:val="true"/>
              </w:rPr>
              <w:t>إخراج الدم المضعف بل کل فعل یورث الضعف</w:t>
            </w:r>
            <w:r>
              <w:rPr>
                <w:rStyle w:val="IndexLink"/>
                <w:rtl w:val="true"/>
              </w:rPr>
              <w:tab/>
            </w:r>
            <w:r>
              <w:rPr>
                <w:rStyle w:val="IndexLink"/>
              </w:rPr>
              <w:t>182</w:t>
            </w:r>
          </w:hyperlink>
        </w:p>
        <w:p>
          <w:pPr>
            <w:pStyle w:val="Contents3"/>
            <w:tabs>
              <w:tab w:val="clear" w:pos="8459"/>
              <w:tab w:val="right" w:pos="9026" w:leader="dot"/>
            </w:tabs>
            <w:rPr/>
          </w:pPr>
          <w:hyperlink w:anchor="__RefHeading___Toc1955040_2322387425">
            <w:r>
              <w:rPr>
                <w:webHidden/>
                <w:rStyle w:val="IndexLink"/>
                <w:rtl w:val="true"/>
              </w:rPr>
              <w:t xml:space="preserve">الخامس </w:t>
            </w:r>
            <w:r>
              <w:rPr>
                <w:rStyle w:val="IndexLink"/>
                <w:rtl w:val="true"/>
              </w:rPr>
              <w:t xml:space="preserve">: </w:t>
            </w:r>
            <w:r>
              <w:rPr>
                <w:rStyle w:val="IndexLink"/>
                <w:rtl w:val="true"/>
              </w:rPr>
              <w:t>السعوط مع عدم العلم بوصوله إلی الحلق</w:t>
            </w:r>
            <w:r>
              <w:rPr>
                <w:rStyle w:val="IndexLink"/>
                <w:rtl w:val="true"/>
              </w:rPr>
              <w:tab/>
            </w:r>
            <w:r>
              <w:rPr>
                <w:rStyle w:val="IndexLink"/>
              </w:rPr>
              <w:t>182</w:t>
            </w:r>
          </w:hyperlink>
        </w:p>
        <w:p>
          <w:pPr>
            <w:pStyle w:val="Contents3"/>
            <w:tabs>
              <w:tab w:val="clear" w:pos="8459"/>
              <w:tab w:val="right" w:pos="9026" w:leader="dot"/>
            </w:tabs>
            <w:rPr/>
          </w:pPr>
          <w:hyperlink w:anchor="__RefHeading___Toc1955042_2322387425">
            <w:r>
              <w:rPr>
                <w:webHidden/>
                <w:rStyle w:val="IndexLink"/>
                <w:rtl w:val="true"/>
              </w:rPr>
              <w:t xml:space="preserve">السادس </w:t>
            </w:r>
            <w:r>
              <w:rPr>
                <w:rStyle w:val="IndexLink"/>
                <w:rtl w:val="true"/>
              </w:rPr>
              <w:t xml:space="preserve">: </w:t>
            </w:r>
            <w:r>
              <w:rPr>
                <w:rStyle w:val="IndexLink"/>
                <w:rtl w:val="true"/>
              </w:rPr>
              <w:t>شمّ الریاحین</w:t>
            </w:r>
            <w:r>
              <w:rPr>
                <w:rStyle w:val="IndexLink"/>
                <w:rtl w:val="true"/>
              </w:rPr>
              <w:tab/>
            </w:r>
            <w:r>
              <w:rPr>
                <w:rStyle w:val="IndexLink"/>
              </w:rPr>
              <w:t>183</w:t>
            </w:r>
          </w:hyperlink>
        </w:p>
        <w:p>
          <w:pPr>
            <w:pStyle w:val="Contents3"/>
            <w:tabs>
              <w:tab w:val="clear" w:pos="8459"/>
              <w:tab w:val="right" w:pos="9026" w:leader="dot"/>
            </w:tabs>
            <w:rPr/>
          </w:pPr>
          <w:hyperlink w:anchor="__RefHeading___Toc1955044_2322387425">
            <w:r>
              <w:rPr>
                <w:webHidden/>
                <w:rStyle w:val="IndexLink"/>
                <w:rtl w:val="true"/>
              </w:rPr>
              <w:t xml:space="preserve">السابع </w:t>
            </w:r>
            <w:r>
              <w:rPr>
                <w:rStyle w:val="IndexLink"/>
                <w:rtl w:val="true"/>
              </w:rPr>
              <w:t xml:space="preserve">: </w:t>
            </w:r>
            <w:r>
              <w:rPr>
                <w:rStyle w:val="IndexLink"/>
                <w:rtl w:val="true"/>
              </w:rPr>
              <w:t>بلّ الثوب علی الجسد</w:t>
            </w:r>
            <w:r>
              <w:rPr>
                <w:rStyle w:val="IndexLink"/>
                <w:rtl w:val="true"/>
              </w:rPr>
              <w:tab/>
            </w:r>
            <w:r>
              <w:rPr>
                <w:rStyle w:val="IndexLink"/>
              </w:rPr>
              <w:t>183</w:t>
            </w:r>
          </w:hyperlink>
        </w:p>
        <w:p>
          <w:pPr>
            <w:pStyle w:val="Contents3"/>
            <w:tabs>
              <w:tab w:val="clear" w:pos="8459"/>
              <w:tab w:val="right" w:pos="9026" w:leader="dot"/>
            </w:tabs>
            <w:rPr/>
          </w:pPr>
          <w:hyperlink w:anchor="__RefHeading___Toc1955046_2322387425">
            <w:r>
              <w:rPr>
                <w:webHidden/>
                <w:rStyle w:val="IndexLink"/>
                <w:rtl w:val="true"/>
              </w:rPr>
              <w:t xml:space="preserve">الثامن </w:t>
            </w:r>
            <w:r>
              <w:rPr>
                <w:rStyle w:val="IndexLink"/>
                <w:rtl w:val="true"/>
              </w:rPr>
              <w:t xml:space="preserve">: </w:t>
            </w:r>
            <w:r>
              <w:rPr>
                <w:rStyle w:val="IndexLink"/>
                <w:rtl w:val="true"/>
              </w:rPr>
              <w:t>جلوس المرأة فی الماء</w:t>
            </w:r>
            <w:r>
              <w:rPr>
                <w:rStyle w:val="IndexLink"/>
                <w:rtl w:val="true"/>
              </w:rPr>
              <w:tab/>
            </w:r>
            <w:r>
              <w:rPr>
                <w:rStyle w:val="IndexLink"/>
              </w:rPr>
              <w:t>183</w:t>
            </w:r>
          </w:hyperlink>
        </w:p>
        <w:p>
          <w:pPr>
            <w:pStyle w:val="Contents3"/>
            <w:tabs>
              <w:tab w:val="clear" w:pos="8459"/>
              <w:tab w:val="right" w:pos="9026" w:leader="dot"/>
            </w:tabs>
            <w:rPr/>
          </w:pPr>
          <w:hyperlink w:anchor="__RefHeading___Toc1955048_2322387425">
            <w:r>
              <w:rPr>
                <w:webHidden/>
                <w:rStyle w:val="IndexLink"/>
                <w:rtl w:val="true"/>
              </w:rPr>
              <w:t xml:space="preserve">التاسع </w:t>
            </w:r>
            <w:r>
              <w:rPr>
                <w:rStyle w:val="IndexLink"/>
                <w:rtl w:val="true"/>
              </w:rPr>
              <w:t xml:space="preserve">: </w:t>
            </w:r>
            <w:r>
              <w:rPr>
                <w:rStyle w:val="IndexLink"/>
                <w:rtl w:val="true"/>
              </w:rPr>
              <w:t>الحقنة بالجامد</w:t>
            </w:r>
            <w:r>
              <w:rPr>
                <w:rStyle w:val="IndexLink"/>
                <w:rtl w:val="true"/>
              </w:rPr>
              <w:tab/>
            </w:r>
            <w:r>
              <w:rPr>
                <w:rStyle w:val="IndexLink"/>
              </w:rPr>
              <w:t>183</w:t>
            </w:r>
          </w:hyperlink>
        </w:p>
        <w:p>
          <w:pPr>
            <w:pStyle w:val="Contents3"/>
            <w:tabs>
              <w:tab w:val="clear" w:pos="8459"/>
              <w:tab w:val="right" w:pos="9026" w:leader="dot"/>
            </w:tabs>
            <w:rPr/>
          </w:pPr>
          <w:hyperlink w:anchor="__RefHeading___Toc1955050_2322387425">
            <w:r>
              <w:rPr>
                <w:webHidden/>
                <w:rStyle w:val="IndexLink"/>
                <w:rtl w:val="true"/>
              </w:rPr>
              <w:t xml:space="preserve">العاشر </w:t>
            </w:r>
            <w:r>
              <w:rPr>
                <w:rStyle w:val="IndexLink"/>
                <w:rtl w:val="true"/>
              </w:rPr>
              <w:t xml:space="preserve">: </w:t>
            </w:r>
            <w:r>
              <w:rPr>
                <w:rStyle w:val="IndexLink"/>
                <w:rtl w:val="true"/>
              </w:rPr>
              <w:t>قلع الضرس بل مطلق إدماء الفم</w:t>
            </w:r>
            <w:r>
              <w:rPr>
                <w:rStyle w:val="IndexLink"/>
                <w:rtl w:val="true"/>
              </w:rPr>
              <w:tab/>
            </w:r>
            <w:r>
              <w:rPr>
                <w:rStyle w:val="IndexLink"/>
              </w:rPr>
              <w:t>183</w:t>
            </w:r>
          </w:hyperlink>
        </w:p>
        <w:p>
          <w:pPr>
            <w:pStyle w:val="Contents3"/>
            <w:tabs>
              <w:tab w:val="clear" w:pos="8459"/>
              <w:tab w:val="right" w:pos="9026" w:leader="dot"/>
            </w:tabs>
            <w:rPr/>
          </w:pPr>
          <w:hyperlink w:anchor="__RefHeading___Toc1955052_2322387425">
            <w:r>
              <w:rPr>
                <w:webHidden/>
                <w:rStyle w:val="IndexLink"/>
                <w:rtl w:val="true"/>
              </w:rPr>
              <w:t xml:space="preserve">الحادی عشر </w:t>
            </w:r>
            <w:r>
              <w:rPr>
                <w:rStyle w:val="IndexLink"/>
                <w:rtl w:val="true"/>
              </w:rPr>
              <w:t xml:space="preserve">: </w:t>
            </w:r>
            <w:r>
              <w:rPr>
                <w:rStyle w:val="IndexLink"/>
                <w:rtl w:val="true"/>
              </w:rPr>
              <w:t>السواک بالعود الرطب</w:t>
            </w:r>
            <w:r>
              <w:rPr>
                <w:rStyle w:val="IndexLink"/>
                <w:rtl w:val="true"/>
              </w:rPr>
              <w:tab/>
            </w:r>
            <w:r>
              <w:rPr>
                <w:rStyle w:val="IndexLink"/>
              </w:rPr>
              <w:t>183</w:t>
            </w:r>
          </w:hyperlink>
        </w:p>
        <w:p>
          <w:pPr>
            <w:pStyle w:val="Contents3"/>
            <w:tabs>
              <w:tab w:val="clear" w:pos="8459"/>
              <w:tab w:val="right" w:pos="9026" w:leader="dot"/>
            </w:tabs>
            <w:rPr/>
          </w:pPr>
          <w:hyperlink w:anchor="__RefHeading___Toc1955054_2322387425">
            <w:r>
              <w:rPr>
                <w:webHidden/>
                <w:rStyle w:val="IndexLink"/>
                <w:rtl w:val="true"/>
              </w:rPr>
              <w:t xml:space="preserve">الثانی عشر </w:t>
            </w:r>
            <w:r>
              <w:rPr>
                <w:rStyle w:val="IndexLink"/>
                <w:rtl w:val="true"/>
              </w:rPr>
              <w:t xml:space="preserve">: </w:t>
            </w:r>
            <w:r>
              <w:rPr>
                <w:rStyle w:val="IndexLink"/>
                <w:rtl w:val="true"/>
              </w:rPr>
              <w:t>المضمضة عبثاً</w:t>
            </w:r>
            <w:r>
              <w:rPr>
                <w:rStyle w:val="IndexLink"/>
                <w:rtl w:val="true"/>
              </w:rPr>
              <w:tab/>
            </w:r>
            <w:r>
              <w:rPr>
                <w:rStyle w:val="IndexLink"/>
              </w:rPr>
              <w:t>184</w:t>
            </w:r>
          </w:hyperlink>
        </w:p>
        <w:p>
          <w:pPr>
            <w:pStyle w:val="Contents3"/>
            <w:tabs>
              <w:tab w:val="clear" w:pos="8459"/>
              <w:tab w:val="right" w:pos="9026" w:leader="dot"/>
            </w:tabs>
            <w:rPr/>
          </w:pPr>
          <w:hyperlink w:anchor="__RefHeading___Toc1955056_2322387425">
            <w:r>
              <w:rPr>
                <w:webHidden/>
                <w:rStyle w:val="IndexLink"/>
                <w:rtl w:val="true"/>
              </w:rPr>
              <w:t xml:space="preserve">الثالث عشر </w:t>
            </w:r>
            <w:r>
              <w:rPr>
                <w:rStyle w:val="IndexLink"/>
                <w:rtl w:val="true"/>
              </w:rPr>
              <w:t xml:space="preserve">: </w:t>
            </w:r>
            <w:r>
              <w:rPr>
                <w:rStyle w:val="IndexLink"/>
                <w:rtl w:val="true"/>
              </w:rPr>
              <w:t>إنشاد الشعر</w:t>
            </w:r>
            <w:r>
              <w:rPr>
                <w:rStyle w:val="IndexLink"/>
                <w:rtl w:val="true"/>
              </w:rPr>
              <w:tab/>
            </w:r>
            <w:r>
              <w:rPr>
                <w:rStyle w:val="IndexLink"/>
              </w:rPr>
              <w:t>184</w:t>
            </w:r>
          </w:hyperlink>
        </w:p>
        <w:p>
          <w:pPr>
            <w:pStyle w:val="Contents3"/>
            <w:tabs>
              <w:tab w:val="clear" w:pos="8459"/>
              <w:tab w:val="right" w:pos="9026" w:leader="dot"/>
            </w:tabs>
            <w:rPr/>
          </w:pPr>
          <w:hyperlink w:anchor="__RefHeading___Toc1955058_2322387425">
            <w:r>
              <w:rPr>
                <w:webHidden/>
                <w:rStyle w:val="IndexLink"/>
                <w:rtl w:val="true"/>
              </w:rPr>
              <w:t xml:space="preserve">الرابع عشر </w:t>
            </w:r>
            <w:r>
              <w:rPr>
                <w:rStyle w:val="IndexLink"/>
                <w:rtl w:val="true"/>
              </w:rPr>
              <w:t xml:space="preserve">: </w:t>
            </w:r>
            <w:r>
              <w:rPr>
                <w:rStyle w:val="IndexLink"/>
                <w:rtl w:val="true"/>
              </w:rPr>
              <w:t>الجدال والمراء وأذی الخادم والمسارعة إلی الحلف</w:t>
            </w:r>
            <w:r>
              <w:rPr>
                <w:rStyle w:val="IndexLink"/>
                <w:rtl w:val="true"/>
              </w:rPr>
              <w:tab/>
            </w:r>
            <w:r>
              <w:rPr>
                <w:rStyle w:val="IndexLink"/>
              </w:rPr>
              <w:t>184</w:t>
            </w:r>
          </w:hyperlink>
        </w:p>
        <w:p>
          <w:pPr>
            <w:pStyle w:val="Contents2"/>
            <w:tabs>
              <w:tab w:val="clear" w:pos="8743"/>
              <w:tab w:val="right" w:pos="9026" w:leader="dot"/>
            </w:tabs>
            <w:rPr/>
          </w:pPr>
          <w:hyperlink w:anchor="__RefHeading___Toc1955060_2322387425">
            <w:r>
              <w:rPr>
                <w:webHidden/>
                <w:rStyle w:val="IndexLink"/>
                <w:rtl w:val="true"/>
              </w:rPr>
              <w:t>فصل</w:t>
            </w:r>
            <w:r>
              <w:rPr>
                <w:rStyle w:val="IndexLink"/>
                <w:rtl w:val="true"/>
              </w:rPr>
              <w:t xml:space="preserve">: </w:t>
            </w:r>
            <w:r>
              <w:rPr>
                <w:rStyle w:val="IndexLink"/>
                <w:rtl w:val="true"/>
              </w:rPr>
              <w:t>فی ما یوجب القضاء والکفّارة</w:t>
            </w:r>
            <w:r>
              <w:rPr>
                <w:rStyle w:val="IndexLink"/>
                <w:rtl w:val="true"/>
              </w:rPr>
              <w:tab/>
            </w:r>
            <w:r>
              <w:rPr>
                <w:rStyle w:val="IndexLink"/>
              </w:rPr>
              <w:t>185</w:t>
            </w:r>
          </w:hyperlink>
        </w:p>
        <w:p>
          <w:pPr>
            <w:pStyle w:val="Contents3"/>
            <w:tabs>
              <w:tab w:val="clear" w:pos="8459"/>
              <w:tab w:val="right" w:pos="9026" w:leader="dot"/>
            </w:tabs>
            <w:rPr/>
          </w:pPr>
          <w:hyperlink w:anchor="__RefHeading___Toc1955062_2322387425">
            <w:r>
              <w:rPr>
                <w:webHidden/>
                <w:rStyle w:val="IndexLink"/>
                <w:rtl w:val="true"/>
              </w:rPr>
              <w:t>لزوم الکفّارة بفعل المفطرات عمداً واختیاراً علی تفصیل</w:t>
            </w:r>
            <w:r>
              <w:rPr>
                <w:rStyle w:val="IndexLink"/>
                <w:rtl w:val="true"/>
              </w:rPr>
              <w:tab/>
            </w:r>
            <w:r>
              <w:rPr>
                <w:rStyle w:val="IndexLink"/>
              </w:rPr>
              <w:t>185</w:t>
            </w:r>
          </w:hyperlink>
        </w:p>
        <w:p>
          <w:pPr>
            <w:pStyle w:val="Contents3"/>
            <w:tabs>
              <w:tab w:val="clear" w:pos="8459"/>
              <w:tab w:val="right" w:pos="9026" w:leader="dot"/>
            </w:tabs>
            <w:rPr/>
          </w:pPr>
          <w:hyperlink w:anchor="__RefHeading___Toc1955064_2322387425">
            <w:r>
              <w:rPr>
                <w:webHidden/>
                <w:rStyle w:val="IndexLink"/>
                <w:rtl w:val="true"/>
              </w:rPr>
              <w:t>لزوم الکفّارة علی الجاهل علی تفصیل</w:t>
            </w:r>
            <w:r>
              <w:rPr>
                <w:rStyle w:val="IndexLink"/>
                <w:rtl w:val="true"/>
              </w:rPr>
              <w:tab/>
            </w:r>
            <w:r>
              <w:rPr>
                <w:rStyle w:val="IndexLink"/>
              </w:rPr>
              <w:t>188</w:t>
            </w:r>
          </w:hyperlink>
        </w:p>
        <w:p>
          <w:pPr>
            <w:pStyle w:val="Contents3"/>
            <w:tabs>
              <w:tab w:val="clear" w:pos="8459"/>
              <w:tab w:val="right" w:pos="9026" w:leader="dot"/>
            </w:tabs>
            <w:rPr/>
          </w:pPr>
          <w:hyperlink w:anchor="__RefHeading___Toc1955066_2322387425">
            <w:r>
              <w:rPr>
                <w:webHidden/>
                <w:rStyle w:val="IndexLink"/>
                <w:rtl w:val="true"/>
              </w:rPr>
              <w:t>أقسام وجوب الکفّارة </w:t>
            </w:r>
            <w:r>
              <w:rPr>
                <w:rStyle w:val="IndexLink"/>
                <w:rtl w:val="true"/>
              </w:rPr>
              <w:tab/>
            </w:r>
            <w:r>
              <w:rPr>
                <w:rStyle w:val="IndexLink"/>
              </w:rPr>
              <w:t>191</w:t>
            </w:r>
          </w:hyperlink>
        </w:p>
        <w:p>
          <w:pPr>
            <w:pStyle w:val="Contents3"/>
            <w:tabs>
              <w:tab w:val="clear" w:pos="8459"/>
              <w:tab w:val="right" w:pos="9026" w:leader="dot"/>
            </w:tabs>
            <w:rPr/>
          </w:pPr>
          <w:hyperlink w:anchor="__RefHeading___Toc1955068_2322387425">
            <w:r>
              <w:rPr>
                <w:webHidden/>
                <w:rStyle w:val="IndexLink"/>
                <w:rtl w:val="true"/>
              </w:rPr>
              <w:t xml:space="preserve">الأول </w:t>
            </w:r>
            <w:r>
              <w:rPr>
                <w:rStyle w:val="IndexLink"/>
                <w:rtl w:val="true"/>
              </w:rPr>
              <w:t xml:space="preserve">: </w:t>
            </w:r>
            <w:r>
              <w:rPr>
                <w:rStyle w:val="IndexLink"/>
                <w:rtl w:val="true"/>
              </w:rPr>
              <w:t>کفّارة صوم شهر رمضان</w:t>
            </w:r>
            <w:r>
              <w:rPr>
                <w:rStyle w:val="IndexLink"/>
                <w:rtl w:val="true"/>
              </w:rPr>
              <w:tab/>
            </w:r>
            <w:r>
              <w:rPr>
                <w:rStyle w:val="IndexLink"/>
              </w:rPr>
              <w:t>191</w:t>
            </w:r>
          </w:hyperlink>
        </w:p>
        <w:p>
          <w:pPr>
            <w:pStyle w:val="Contents3"/>
            <w:tabs>
              <w:tab w:val="clear" w:pos="8459"/>
              <w:tab w:val="right" w:pos="9026" w:leader="dot"/>
            </w:tabs>
            <w:rPr/>
          </w:pPr>
          <w:hyperlink w:anchor="__RefHeading___Toc1955070_2322387425">
            <w:r>
              <w:rPr>
                <w:webHidden/>
                <w:rStyle w:val="IndexLink"/>
                <w:rtl w:val="true"/>
              </w:rPr>
              <w:t>کفّارة الإفطار علی محرّم</w:t>
            </w:r>
            <w:r>
              <w:rPr>
                <w:rStyle w:val="IndexLink"/>
                <w:rtl w:val="true"/>
              </w:rPr>
              <w:tab/>
            </w:r>
            <w:r>
              <w:rPr>
                <w:rStyle w:val="IndexLink"/>
              </w:rPr>
              <w:t>192</w:t>
            </w:r>
          </w:hyperlink>
        </w:p>
        <w:p>
          <w:pPr>
            <w:pStyle w:val="Contents3"/>
            <w:tabs>
              <w:tab w:val="clear" w:pos="8459"/>
              <w:tab w:val="right" w:pos="9026" w:leader="dot"/>
            </w:tabs>
            <w:rPr/>
          </w:pPr>
          <w:hyperlink w:anchor="__RefHeading___Toc1955072_2322387425">
            <w:r>
              <w:rPr>
                <w:webHidden/>
                <w:rStyle w:val="IndexLink"/>
                <w:rtl w:val="true"/>
              </w:rPr>
              <w:t xml:space="preserve">الثانی </w:t>
            </w:r>
            <w:r>
              <w:rPr>
                <w:rStyle w:val="IndexLink"/>
                <w:rtl w:val="true"/>
              </w:rPr>
              <w:t xml:space="preserve">: </w:t>
            </w:r>
            <w:r>
              <w:rPr>
                <w:rStyle w:val="IndexLink"/>
                <w:rtl w:val="true"/>
              </w:rPr>
              <w:t>کفّارة قضاء شهر رمضان</w:t>
            </w:r>
            <w:r>
              <w:rPr>
                <w:rStyle w:val="IndexLink"/>
                <w:rtl w:val="true"/>
              </w:rPr>
              <w:tab/>
            </w:r>
            <w:r>
              <w:rPr>
                <w:rStyle w:val="IndexLink"/>
              </w:rPr>
              <w:t>192</w:t>
            </w:r>
          </w:hyperlink>
        </w:p>
        <w:p>
          <w:pPr>
            <w:pStyle w:val="Contents3"/>
            <w:tabs>
              <w:tab w:val="clear" w:pos="8459"/>
              <w:tab w:val="right" w:pos="9026" w:leader="dot"/>
            </w:tabs>
            <w:rPr/>
          </w:pPr>
          <w:hyperlink w:anchor="__RefHeading___Toc1955074_2322387425">
            <w:r>
              <w:rPr>
                <w:webHidden/>
                <w:rStyle w:val="IndexLink"/>
                <w:rtl w:val="true"/>
              </w:rPr>
              <w:t xml:space="preserve">الثالث </w:t>
            </w:r>
            <w:r>
              <w:rPr>
                <w:rStyle w:val="IndexLink"/>
                <w:rtl w:val="true"/>
              </w:rPr>
              <w:t xml:space="preserve">: </w:t>
            </w:r>
            <w:r>
              <w:rPr>
                <w:rStyle w:val="IndexLink"/>
                <w:rtl w:val="true"/>
              </w:rPr>
              <w:t>کفارة صوم النذر المعیّن</w:t>
            </w:r>
            <w:r>
              <w:rPr>
                <w:rStyle w:val="IndexLink"/>
                <w:rtl w:val="true"/>
              </w:rPr>
              <w:tab/>
            </w:r>
            <w:r>
              <w:rPr>
                <w:rStyle w:val="IndexLink"/>
              </w:rPr>
              <w:t>193</w:t>
            </w:r>
          </w:hyperlink>
        </w:p>
        <w:p>
          <w:pPr>
            <w:pStyle w:val="Contents3"/>
            <w:tabs>
              <w:tab w:val="clear" w:pos="8459"/>
              <w:tab w:val="right" w:pos="9026" w:leader="dot"/>
            </w:tabs>
            <w:rPr/>
          </w:pPr>
          <w:hyperlink w:anchor="__RefHeading___Toc1955076_2322387425">
            <w:r>
              <w:rPr>
                <w:webHidden/>
                <w:rStyle w:val="IndexLink"/>
                <w:rtl w:val="true"/>
              </w:rPr>
              <w:t xml:space="preserve">الرابع </w:t>
            </w:r>
            <w:r>
              <w:rPr>
                <w:rStyle w:val="IndexLink"/>
                <w:rtl w:val="true"/>
              </w:rPr>
              <w:t xml:space="preserve">: </w:t>
            </w:r>
            <w:r>
              <w:rPr>
                <w:rStyle w:val="IndexLink"/>
                <w:rtl w:val="true"/>
              </w:rPr>
              <w:t>کفّارة صوم الاعتکاف</w:t>
            </w:r>
            <w:r>
              <w:rPr>
                <w:rStyle w:val="IndexLink"/>
                <w:rtl w:val="true"/>
              </w:rPr>
              <w:tab/>
            </w:r>
            <w:r>
              <w:rPr>
                <w:rStyle w:val="IndexLink"/>
              </w:rPr>
              <w:t>193</w:t>
            </w:r>
          </w:hyperlink>
        </w:p>
        <w:p>
          <w:pPr>
            <w:pStyle w:val="Contents3"/>
            <w:tabs>
              <w:tab w:val="clear" w:pos="8459"/>
              <w:tab w:val="right" w:pos="9026" w:leader="dot"/>
            </w:tabs>
            <w:rPr/>
          </w:pPr>
          <w:hyperlink w:anchor="__RefHeading___Toc1955078_2322387425">
            <w:r>
              <w:rPr>
                <w:webHidden/>
                <w:rStyle w:val="IndexLink"/>
                <w:rtl w:val="true"/>
              </w:rPr>
              <w:t>تکرّر الکفّارة بتکرّر موجبها</w:t>
            </w:r>
            <w:r>
              <w:rPr>
                <w:rStyle w:val="IndexLink"/>
                <w:rtl w:val="true"/>
              </w:rPr>
              <w:tab/>
            </w:r>
            <w:r>
              <w:rPr>
                <w:rStyle w:val="IndexLink"/>
              </w:rPr>
              <w:t>194</w:t>
            </w:r>
          </w:hyperlink>
        </w:p>
        <w:p>
          <w:pPr>
            <w:pStyle w:val="Contents3"/>
            <w:tabs>
              <w:tab w:val="clear" w:pos="8459"/>
              <w:tab w:val="right" w:pos="9026" w:leader="dot"/>
            </w:tabs>
            <w:rPr/>
          </w:pPr>
          <w:hyperlink w:anchor="__RefHeading___Toc1955080_2322387425">
            <w:r>
              <w:rPr>
                <w:webHidden/>
                <w:rStyle w:val="IndexLink"/>
                <w:rtl w:val="true"/>
              </w:rPr>
              <w:t>لزوم کفارة الجمع بلا فرق بین الإفطار بالمحرم ذاتاً وبالعارض</w:t>
            </w:r>
            <w:r>
              <w:rPr>
                <w:rStyle w:val="IndexLink"/>
                <w:rtl w:val="true"/>
              </w:rPr>
              <w:tab/>
            </w:r>
            <w:r>
              <w:rPr>
                <w:rStyle w:val="IndexLink"/>
              </w:rPr>
              <w:t>196</w:t>
            </w:r>
          </w:hyperlink>
        </w:p>
        <w:p>
          <w:pPr>
            <w:pStyle w:val="Contents3"/>
            <w:tabs>
              <w:tab w:val="clear" w:pos="8459"/>
              <w:tab w:val="right" w:pos="9026" w:leader="dot"/>
            </w:tabs>
            <w:rPr/>
          </w:pPr>
          <w:hyperlink w:anchor="__RefHeading___Toc1955082_2322387425">
            <w:r>
              <w:rPr>
                <w:webHidden/>
                <w:rStyle w:val="IndexLink"/>
                <w:rtl w:val="true"/>
              </w:rPr>
              <w:t>من الإفطار بالمحرّم الکذب علی الله ورسوله صلی الله علیه و آله و سلم</w:t>
            </w:r>
            <w:r>
              <w:rPr>
                <w:rStyle w:val="IndexLink"/>
                <w:rtl w:val="true"/>
              </w:rPr>
              <w:tab/>
            </w:r>
            <w:r>
              <w:rPr>
                <w:rStyle w:val="IndexLink"/>
              </w:rPr>
              <w:t>197</w:t>
            </w:r>
          </w:hyperlink>
        </w:p>
        <w:p>
          <w:pPr>
            <w:pStyle w:val="Contents3"/>
            <w:tabs>
              <w:tab w:val="clear" w:pos="8459"/>
              <w:tab w:val="right" w:pos="9026" w:leader="dot"/>
            </w:tabs>
            <w:rPr/>
          </w:pPr>
          <w:hyperlink w:anchor="__RefHeading___Toc1955084_2322387425">
            <w:r>
              <w:rPr>
                <w:webHidden/>
                <w:rStyle w:val="IndexLink"/>
                <w:rtl w:val="true"/>
              </w:rPr>
              <w:t>حکم ابتلاع النخامة</w:t>
            </w:r>
            <w:r>
              <w:rPr>
                <w:rStyle w:val="IndexLink"/>
                <w:rtl w:val="true"/>
              </w:rPr>
              <w:tab/>
            </w:r>
            <w:r>
              <w:rPr>
                <w:rStyle w:val="IndexLink"/>
              </w:rPr>
              <w:t>197</w:t>
            </w:r>
          </w:hyperlink>
        </w:p>
        <w:p>
          <w:pPr>
            <w:pStyle w:val="Contents3"/>
            <w:tabs>
              <w:tab w:val="clear" w:pos="8459"/>
              <w:tab w:val="right" w:pos="9026" w:leader="dot"/>
            </w:tabs>
            <w:rPr/>
          </w:pPr>
          <w:hyperlink w:anchor="__RefHeading___Toc1955086_2322387425">
            <w:r>
              <w:rPr>
                <w:webHidden/>
                <w:rStyle w:val="IndexLink"/>
                <w:rtl w:val="true"/>
              </w:rPr>
              <w:t>تعذّر بعض الخصال فی کفّارة الجمع</w:t>
            </w:r>
            <w:r>
              <w:rPr>
                <w:rStyle w:val="IndexLink"/>
                <w:rtl w:val="true"/>
              </w:rPr>
              <w:tab/>
            </w:r>
            <w:r>
              <w:rPr>
                <w:rStyle w:val="IndexLink"/>
              </w:rPr>
              <w:t>198</w:t>
            </w:r>
          </w:hyperlink>
        </w:p>
        <w:p>
          <w:pPr>
            <w:pStyle w:val="Contents3"/>
            <w:tabs>
              <w:tab w:val="clear" w:pos="8459"/>
              <w:tab w:val="right" w:pos="9026" w:leader="dot"/>
            </w:tabs>
            <w:rPr/>
          </w:pPr>
          <w:hyperlink w:anchor="__RefHeading___Toc1955088_2322387425">
            <w:r>
              <w:rPr>
                <w:webHidden/>
                <w:rStyle w:val="IndexLink"/>
                <w:rtl w:val="true"/>
              </w:rPr>
              <w:t>حکم تکرّر الکفّارة بالجماع مراراً وکونه علی الوجه المحرّم</w:t>
            </w:r>
            <w:r>
              <w:rPr>
                <w:rStyle w:val="IndexLink"/>
                <w:rtl w:val="true"/>
              </w:rPr>
              <w:tab/>
            </w:r>
            <w:r>
              <w:rPr>
                <w:rStyle w:val="IndexLink"/>
              </w:rPr>
              <w:t>199</w:t>
            </w:r>
          </w:hyperlink>
        </w:p>
        <w:p>
          <w:pPr>
            <w:pStyle w:val="Contents3"/>
            <w:tabs>
              <w:tab w:val="clear" w:pos="8459"/>
              <w:tab w:val="right" w:pos="9026" w:leader="dot"/>
            </w:tabs>
            <w:rPr/>
          </w:pPr>
          <w:hyperlink w:anchor="__RefHeading___Toc1955090_2322387425">
            <w:r>
              <w:rPr>
                <w:webHidden/>
                <w:rStyle w:val="IndexLink"/>
                <w:rtl w:val="true"/>
              </w:rPr>
              <w:t>المدار فی تکرّر الکفّارة فی بعض الموارد</w:t>
            </w:r>
            <w:r>
              <w:rPr>
                <w:rStyle w:val="IndexLink"/>
                <w:rtl w:val="true"/>
              </w:rPr>
              <w:tab/>
            </w:r>
            <w:r>
              <w:rPr>
                <w:rStyle w:val="IndexLink"/>
              </w:rPr>
              <w:t>199</w:t>
            </w:r>
          </w:hyperlink>
        </w:p>
        <w:p>
          <w:pPr>
            <w:pStyle w:val="Contents3"/>
            <w:tabs>
              <w:tab w:val="clear" w:pos="8459"/>
              <w:tab w:val="right" w:pos="9026" w:leader="dot"/>
            </w:tabs>
            <w:rPr/>
          </w:pPr>
          <w:hyperlink w:anchor="__RefHeading___Toc1955092_2322387425">
            <w:r>
              <w:rPr>
                <w:webHidden/>
                <w:rStyle w:val="IndexLink"/>
                <w:rtl w:val="true"/>
              </w:rPr>
              <w:t>من أفطر بغیر الجماع إذا جامع بعد ذلک</w:t>
            </w:r>
            <w:r>
              <w:rPr>
                <w:rStyle w:val="IndexLink"/>
                <w:rtl w:val="true"/>
              </w:rPr>
              <w:tab/>
            </w:r>
            <w:r>
              <w:rPr>
                <w:rStyle w:val="IndexLink"/>
              </w:rPr>
              <w:t>200</w:t>
            </w:r>
          </w:hyperlink>
        </w:p>
        <w:p>
          <w:pPr>
            <w:pStyle w:val="Contents3"/>
            <w:tabs>
              <w:tab w:val="clear" w:pos="8459"/>
              <w:tab w:val="right" w:pos="9026" w:leader="dot"/>
            </w:tabs>
            <w:rPr/>
          </w:pPr>
          <w:hyperlink w:anchor="__RefHeading___Toc1955094_2322387425">
            <w:r>
              <w:rPr>
                <w:webHidden/>
                <w:rStyle w:val="IndexLink"/>
                <w:rtl w:val="true"/>
              </w:rPr>
              <w:t>الإفطار بالحلال ثمّ تناول الحرام</w:t>
            </w:r>
            <w:r>
              <w:rPr>
                <w:rStyle w:val="IndexLink"/>
                <w:rtl w:val="true"/>
              </w:rPr>
              <w:tab/>
            </w:r>
            <w:r>
              <w:rPr>
                <w:rStyle w:val="IndexLink"/>
              </w:rPr>
              <w:t>200</w:t>
            </w:r>
          </w:hyperlink>
        </w:p>
        <w:p>
          <w:pPr>
            <w:pStyle w:val="Contents3"/>
            <w:tabs>
              <w:tab w:val="clear" w:pos="8459"/>
              <w:tab w:val="right" w:pos="9026" w:leader="dot"/>
            </w:tabs>
            <w:rPr/>
          </w:pPr>
          <w:hyperlink w:anchor="__RefHeading___Toc1955096_2322387425">
            <w:r>
              <w:rPr>
                <w:webHidden/>
                <w:rStyle w:val="IndexLink"/>
                <w:rtl w:val="true"/>
              </w:rPr>
              <w:t>العلم بفساد الصوم والشک فی وجوه</w:t>
            </w:r>
            <w:r>
              <w:rPr>
                <w:rStyle w:val="IndexLink"/>
                <w:rtl w:val="true"/>
              </w:rPr>
              <w:tab/>
            </w:r>
            <w:r>
              <w:rPr>
                <w:rStyle w:val="IndexLink"/>
              </w:rPr>
              <w:t>203</w:t>
            </w:r>
          </w:hyperlink>
        </w:p>
        <w:p>
          <w:pPr>
            <w:pStyle w:val="Contents3"/>
            <w:tabs>
              <w:tab w:val="clear" w:pos="8459"/>
              <w:tab w:val="right" w:pos="9026" w:leader="dot"/>
            </w:tabs>
            <w:rPr/>
          </w:pPr>
          <w:hyperlink w:anchor="__RefHeading___Toc1955098_2322387425">
            <w:r>
              <w:rPr>
                <w:webHidden/>
                <w:rStyle w:val="IndexLink"/>
                <w:rtl w:val="true"/>
              </w:rPr>
              <w:t>من أفطر ثمّ سافر بعد الزوال أو قبله</w:t>
            </w:r>
            <w:r>
              <w:rPr>
                <w:rStyle w:val="IndexLink"/>
                <w:rtl w:val="true"/>
              </w:rPr>
              <w:tab/>
            </w:r>
            <w:r>
              <w:rPr>
                <w:rStyle w:val="IndexLink"/>
              </w:rPr>
              <w:t>205</w:t>
            </w:r>
          </w:hyperlink>
        </w:p>
        <w:p>
          <w:pPr>
            <w:pStyle w:val="Contents3"/>
            <w:tabs>
              <w:tab w:val="clear" w:pos="8459"/>
              <w:tab w:val="right" w:pos="9026" w:leader="dot"/>
            </w:tabs>
            <w:rPr/>
          </w:pPr>
          <w:hyperlink w:anchor="__RefHeading___Toc1955100_2322387425">
            <w:r>
              <w:rPr>
                <w:webHidden/>
                <w:rStyle w:val="IndexLink"/>
                <w:rtl w:val="true"/>
              </w:rPr>
              <w:t>إفطار یوم الشک مع تحقق المخالفة</w:t>
            </w:r>
            <w:r>
              <w:rPr>
                <w:rStyle w:val="IndexLink"/>
                <w:rtl w:val="true"/>
              </w:rPr>
              <w:tab/>
            </w:r>
            <w:r>
              <w:rPr>
                <w:rStyle w:val="IndexLink"/>
              </w:rPr>
              <w:t>206</w:t>
            </w:r>
          </w:hyperlink>
        </w:p>
        <w:p>
          <w:pPr>
            <w:pStyle w:val="Contents3"/>
            <w:tabs>
              <w:tab w:val="clear" w:pos="8459"/>
              <w:tab w:val="right" w:pos="9026" w:leader="dot"/>
            </w:tabs>
            <w:rPr/>
          </w:pPr>
          <w:hyperlink w:anchor="__RefHeading___Toc1955102_2322387425">
            <w:r>
              <w:rPr>
                <w:webHidden/>
                <w:rStyle w:val="IndexLink"/>
                <w:rtl w:val="true"/>
              </w:rPr>
              <w:t>من استحلّ الإفطار فی شهر رمضان</w:t>
            </w:r>
            <w:r>
              <w:rPr>
                <w:rStyle w:val="IndexLink"/>
                <w:rtl w:val="true"/>
              </w:rPr>
              <w:tab/>
            </w:r>
            <w:r>
              <w:rPr>
                <w:rStyle w:val="IndexLink"/>
              </w:rPr>
              <w:t>207</w:t>
            </w:r>
          </w:hyperlink>
        </w:p>
        <w:p>
          <w:pPr>
            <w:pStyle w:val="Contents3"/>
            <w:tabs>
              <w:tab w:val="clear" w:pos="8459"/>
              <w:tab w:val="right" w:pos="9026" w:leader="dot"/>
            </w:tabs>
            <w:rPr/>
          </w:pPr>
          <w:hyperlink w:anchor="__RefHeading___Toc1955104_2322387425">
            <w:r>
              <w:rPr>
                <w:webHidden/>
                <w:rStyle w:val="IndexLink"/>
                <w:rtl w:val="true"/>
              </w:rPr>
              <w:t>من جامع زوجته الصائمة مکرهاً لها أو مطاوعةً له</w:t>
            </w:r>
            <w:r>
              <w:rPr>
                <w:rStyle w:val="IndexLink"/>
                <w:rtl w:val="true"/>
              </w:rPr>
              <w:tab/>
            </w:r>
            <w:r>
              <w:rPr>
                <w:rStyle w:val="IndexLink"/>
              </w:rPr>
              <w:t>208</w:t>
            </w:r>
          </w:hyperlink>
        </w:p>
        <w:p>
          <w:pPr>
            <w:pStyle w:val="Contents3"/>
            <w:tabs>
              <w:tab w:val="clear" w:pos="8459"/>
              <w:tab w:val="right" w:pos="9026" w:leader="dot"/>
            </w:tabs>
            <w:rPr/>
          </w:pPr>
          <w:hyperlink w:anchor="__RefHeading___Toc1955106_2322387425">
            <w:r>
              <w:rPr>
                <w:webHidden/>
                <w:rStyle w:val="IndexLink"/>
                <w:rtl w:val="true"/>
              </w:rPr>
              <w:t>من جامع زوجته الصائمة وهی نائمة ومن أکرهها علی غیر الجماع</w:t>
            </w:r>
            <w:r>
              <w:rPr>
                <w:rStyle w:val="IndexLink"/>
                <w:rtl w:val="true"/>
              </w:rPr>
              <w:tab/>
            </w:r>
            <w:r>
              <w:rPr>
                <w:rStyle w:val="IndexLink"/>
              </w:rPr>
              <w:t>211</w:t>
            </w:r>
          </w:hyperlink>
        </w:p>
        <w:p>
          <w:pPr>
            <w:pStyle w:val="Contents3"/>
            <w:tabs>
              <w:tab w:val="clear" w:pos="8459"/>
              <w:tab w:val="right" w:pos="9026" w:leader="dot"/>
            </w:tabs>
            <w:rPr/>
          </w:pPr>
          <w:hyperlink w:anchor="__RefHeading___Toc1955108_2322387425">
            <w:r>
              <w:rPr>
                <w:webHidden/>
                <w:rStyle w:val="IndexLink"/>
                <w:rtl w:val="true"/>
              </w:rPr>
              <w:t>حکم الإکراه من الزوجة لزوجها</w:t>
            </w:r>
            <w:r>
              <w:rPr>
                <w:rStyle w:val="IndexLink"/>
                <w:rtl w:val="true"/>
              </w:rPr>
              <w:tab/>
            </w:r>
            <w:r>
              <w:rPr>
                <w:rStyle w:val="IndexLink"/>
              </w:rPr>
              <w:t>211</w:t>
            </w:r>
          </w:hyperlink>
        </w:p>
        <w:p>
          <w:pPr>
            <w:pStyle w:val="Contents3"/>
            <w:tabs>
              <w:tab w:val="clear" w:pos="8459"/>
              <w:tab w:val="right" w:pos="9026" w:leader="dot"/>
            </w:tabs>
            <w:rPr/>
          </w:pPr>
          <w:hyperlink w:anchor="__RefHeading___Toc1955110_2322387425">
            <w:r>
              <w:rPr>
                <w:webHidden/>
                <w:rStyle w:val="IndexLink"/>
                <w:rtl w:val="true"/>
              </w:rPr>
              <w:t>الإکراه فی غیر الزوجة کالأمة والأجنبیّة</w:t>
            </w:r>
            <w:r>
              <w:rPr>
                <w:rStyle w:val="IndexLink"/>
                <w:rtl w:val="true"/>
              </w:rPr>
              <w:tab/>
            </w:r>
            <w:r>
              <w:rPr>
                <w:rStyle w:val="IndexLink"/>
              </w:rPr>
              <w:t>211</w:t>
            </w:r>
          </w:hyperlink>
        </w:p>
        <w:p>
          <w:pPr>
            <w:pStyle w:val="Contents3"/>
            <w:tabs>
              <w:tab w:val="clear" w:pos="8459"/>
              <w:tab w:val="right" w:pos="9026" w:leader="dot"/>
            </w:tabs>
            <w:rPr/>
          </w:pPr>
          <w:hyperlink w:anchor="__RefHeading___Toc1955112_2322387425">
            <w:r>
              <w:rPr>
                <w:webHidden/>
                <w:rStyle w:val="IndexLink"/>
                <w:rtl w:val="true"/>
              </w:rPr>
              <w:t>إکراه الزوج المفطر لعذرٍ زوجته الصائمة علی الجماع</w:t>
            </w:r>
            <w:r>
              <w:rPr>
                <w:rStyle w:val="IndexLink"/>
                <w:rtl w:val="true"/>
              </w:rPr>
              <w:tab/>
            </w:r>
            <w:r>
              <w:rPr>
                <w:rStyle w:val="IndexLink"/>
              </w:rPr>
              <w:t>212</w:t>
            </w:r>
          </w:hyperlink>
        </w:p>
        <w:p>
          <w:pPr>
            <w:pStyle w:val="Contents3"/>
            <w:tabs>
              <w:tab w:val="clear" w:pos="8459"/>
              <w:tab w:val="right" w:pos="9026" w:leader="dot"/>
            </w:tabs>
            <w:rPr/>
          </w:pPr>
          <w:hyperlink w:anchor="__RefHeading___Toc1955114_2322387425">
            <w:r>
              <w:rPr>
                <w:webHidden/>
                <w:rStyle w:val="IndexLink"/>
                <w:rtl w:val="true"/>
              </w:rPr>
              <w:t>من عجز عن الخصال الثلاث فی کفارة شهر رمضان</w:t>
            </w:r>
            <w:r>
              <w:rPr>
                <w:rStyle w:val="IndexLink"/>
                <w:rtl w:val="true"/>
              </w:rPr>
              <w:tab/>
            </w:r>
            <w:r>
              <w:rPr>
                <w:rStyle w:val="IndexLink"/>
              </w:rPr>
              <w:t>212</w:t>
            </w:r>
          </w:hyperlink>
        </w:p>
        <w:p>
          <w:pPr>
            <w:pStyle w:val="Contents3"/>
            <w:tabs>
              <w:tab w:val="clear" w:pos="8459"/>
              <w:tab w:val="right" w:pos="9026" w:leader="dot"/>
            </w:tabs>
            <w:rPr/>
          </w:pPr>
          <w:hyperlink w:anchor="__RefHeading___Toc1955116_2322387425">
            <w:r>
              <w:rPr>
                <w:webHidden/>
                <w:rStyle w:val="IndexLink"/>
                <w:rtl w:val="true"/>
              </w:rPr>
              <w:t>من تمکن من الکفّارة بعد العجز عنها</w:t>
            </w:r>
            <w:r>
              <w:rPr>
                <w:rStyle w:val="IndexLink"/>
                <w:rtl w:val="true"/>
              </w:rPr>
              <w:tab/>
            </w:r>
            <w:r>
              <w:rPr>
                <w:rStyle w:val="IndexLink"/>
              </w:rPr>
              <w:t>214</w:t>
            </w:r>
          </w:hyperlink>
        </w:p>
        <w:p>
          <w:pPr>
            <w:pStyle w:val="Contents3"/>
            <w:tabs>
              <w:tab w:val="clear" w:pos="8459"/>
              <w:tab w:val="right" w:pos="9026" w:leader="dot"/>
            </w:tabs>
            <w:rPr/>
          </w:pPr>
          <w:hyperlink w:anchor="__RefHeading___Toc1955118_2322387425">
            <w:r>
              <w:rPr>
                <w:webHidden/>
                <w:rStyle w:val="IndexLink"/>
                <w:rtl w:val="true"/>
              </w:rPr>
              <w:t>التبرع بالکفّارة عن الغیر</w:t>
            </w:r>
            <w:r>
              <w:rPr>
                <w:rStyle w:val="IndexLink"/>
                <w:rtl w:val="true"/>
              </w:rPr>
              <w:tab/>
            </w:r>
            <w:r>
              <w:rPr>
                <w:rStyle w:val="IndexLink"/>
              </w:rPr>
              <w:t>215</w:t>
            </w:r>
          </w:hyperlink>
        </w:p>
        <w:p>
          <w:pPr>
            <w:pStyle w:val="Contents3"/>
            <w:tabs>
              <w:tab w:val="clear" w:pos="8459"/>
              <w:tab w:val="right" w:pos="9026" w:leader="dot"/>
            </w:tabs>
            <w:rPr/>
          </w:pPr>
          <w:hyperlink w:anchor="__RefHeading___Toc1955120_2322387425">
            <w:r>
              <w:rPr>
                <w:webHidden/>
                <w:rStyle w:val="IndexLink"/>
                <w:rtl w:val="true"/>
              </w:rPr>
              <w:t>التأخیر فی أداء الکفّارة وکونها غیر فوریّة</w:t>
            </w:r>
            <w:r>
              <w:rPr>
                <w:rStyle w:val="IndexLink"/>
                <w:rtl w:val="true"/>
              </w:rPr>
              <w:tab/>
            </w:r>
            <w:r>
              <w:rPr>
                <w:rStyle w:val="IndexLink"/>
              </w:rPr>
              <w:t>215</w:t>
            </w:r>
          </w:hyperlink>
        </w:p>
        <w:p>
          <w:pPr>
            <w:pStyle w:val="Contents3"/>
            <w:tabs>
              <w:tab w:val="clear" w:pos="8459"/>
              <w:tab w:val="right" w:pos="9026" w:leader="dot"/>
            </w:tabs>
            <w:rPr/>
          </w:pPr>
          <w:hyperlink w:anchor="__RefHeading___Toc1955122_2322387425">
            <w:r>
              <w:rPr>
                <w:webHidden/>
                <w:rStyle w:val="IndexLink"/>
                <w:rtl w:val="true"/>
              </w:rPr>
              <w:t>الإفطار علی الحرام بعد المغرب</w:t>
            </w:r>
            <w:r>
              <w:rPr>
                <w:rStyle w:val="IndexLink"/>
                <w:rtl w:val="true"/>
              </w:rPr>
              <w:tab/>
            </w:r>
            <w:r>
              <w:rPr>
                <w:rStyle w:val="IndexLink"/>
              </w:rPr>
              <w:t>215</w:t>
            </w:r>
          </w:hyperlink>
        </w:p>
        <w:p>
          <w:pPr>
            <w:pStyle w:val="Contents3"/>
            <w:tabs>
              <w:tab w:val="clear" w:pos="8459"/>
              <w:tab w:val="right" w:pos="9026" w:leader="dot"/>
            </w:tabs>
            <w:rPr/>
          </w:pPr>
          <w:hyperlink w:anchor="__RefHeading___Toc1955124_2322387425">
            <w:r>
              <w:rPr>
                <w:webHidden/>
                <w:rStyle w:val="IndexLink"/>
                <w:rtl w:val="true"/>
              </w:rPr>
              <w:t>مصرف کفّارة الإطعام</w:t>
            </w:r>
            <w:r>
              <w:rPr>
                <w:rStyle w:val="IndexLink"/>
                <w:rtl w:val="true"/>
              </w:rPr>
              <w:tab/>
            </w:r>
            <w:r>
              <w:rPr>
                <w:rStyle w:val="IndexLink"/>
              </w:rPr>
              <w:t>215</w:t>
            </w:r>
          </w:hyperlink>
        </w:p>
        <w:p>
          <w:pPr>
            <w:pStyle w:val="Contents3"/>
            <w:tabs>
              <w:tab w:val="clear" w:pos="8459"/>
              <w:tab w:val="right" w:pos="9026" w:leader="dot"/>
            </w:tabs>
            <w:rPr/>
          </w:pPr>
          <w:hyperlink w:anchor="__RefHeading___Toc1955126_2322387425">
            <w:r>
              <w:rPr>
                <w:webHidden/>
                <w:rStyle w:val="IndexLink"/>
                <w:rtl w:val="true"/>
              </w:rPr>
              <w:t>مقدار الطعام ونوعه فیالکفّارة</w:t>
            </w:r>
            <w:r>
              <w:rPr>
                <w:rStyle w:val="IndexLink"/>
                <w:rtl w:val="true"/>
              </w:rPr>
              <w:tab/>
            </w:r>
            <w:r>
              <w:rPr>
                <w:rStyle w:val="IndexLink"/>
              </w:rPr>
              <w:t>215</w:t>
            </w:r>
          </w:hyperlink>
        </w:p>
        <w:p>
          <w:pPr>
            <w:pStyle w:val="Contents3"/>
            <w:tabs>
              <w:tab w:val="clear" w:pos="8459"/>
              <w:tab w:val="right" w:pos="9026" w:leader="dot"/>
            </w:tabs>
            <w:rPr/>
          </w:pPr>
          <w:hyperlink w:anchor="__RefHeading___Toc1955128_2322387425">
            <w:r>
              <w:rPr>
                <w:webHidden/>
                <w:rStyle w:val="IndexLink"/>
                <w:rtl w:val="true"/>
              </w:rPr>
              <w:t>لزوم مراعاة العدد وإطعام ستین نفساً ولو من الصغار والنساء</w:t>
            </w:r>
            <w:r>
              <w:rPr>
                <w:rStyle w:val="IndexLink"/>
                <w:rtl w:val="true"/>
              </w:rPr>
              <w:tab/>
            </w:r>
            <w:r>
              <w:rPr>
                <w:rStyle w:val="IndexLink"/>
              </w:rPr>
              <w:t>217</w:t>
            </w:r>
          </w:hyperlink>
        </w:p>
        <w:p>
          <w:pPr>
            <w:pStyle w:val="Contents3"/>
            <w:tabs>
              <w:tab w:val="clear" w:pos="8459"/>
              <w:tab w:val="right" w:pos="9026" w:leader="dot"/>
            </w:tabs>
            <w:rPr/>
          </w:pPr>
          <w:hyperlink w:anchor="__RefHeading___Toc1955130_2322387425">
            <w:r>
              <w:rPr>
                <w:webHidden/>
                <w:rStyle w:val="IndexLink"/>
                <w:rtl w:val="true"/>
              </w:rPr>
              <w:t>جواز السفر فی شهر رمضان من غیر حاجة</w:t>
            </w:r>
            <w:r>
              <w:rPr>
                <w:rStyle w:val="IndexLink"/>
                <w:rtl w:val="true"/>
              </w:rPr>
              <w:tab/>
            </w:r>
            <w:r>
              <w:rPr>
                <w:rStyle w:val="IndexLink"/>
              </w:rPr>
              <w:t>218</w:t>
            </w:r>
          </w:hyperlink>
        </w:p>
        <w:p>
          <w:pPr>
            <w:pStyle w:val="Contents3"/>
            <w:tabs>
              <w:tab w:val="clear" w:pos="8459"/>
              <w:tab w:val="right" w:pos="9026" w:leader="dot"/>
            </w:tabs>
            <w:rPr/>
          </w:pPr>
          <w:hyperlink w:anchor="__RefHeading___Toc1955132_2322387425">
            <w:r>
              <w:rPr>
                <w:webHidden/>
                <w:rStyle w:val="IndexLink"/>
                <w:rtl w:val="true"/>
              </w:rPr>
              <w:t>مقدار المدّ</w:t>
            </w:r>
            <w:r>
              <w:rPr>
                <w:rStyle w:val="IndexLink"/>
                <w:rtl w:val="true"/>
              </w:rPr>
              <w:tab/>
            </w:r>
            <w:r>
              <w:rPr>
                <w:rStyle w:val="IndexLink"/>
              </w:rPr>
              <w:t>219</w:t>
            </w:r>
          </w:hyperlink>
        </w:p>
        <w:p>
          <w:pPr>
            <w:pStyle w:val="Contents2"/>
            <w:tabs>
              <w:tab w:val="clear" w:pos="8743"/>
              <w:tab w:val="right" w:pos="9026" w:leader="dot"/>
            </w:tabs>
            <w:rPr/>
          </w:pPr>
          <w:hyperlink w:anchor="__RefHeading___Toc1955134_2322387425">
            <w:r>
              <w:rPr>
                <w:webHidden/>
                <w:rStyle w:val="IndexLink"/>
                <w:rtl w:val="true"/>
              </w:rPr>
              <w:t>فصل</w:t>
            </w:r>
            <w:r>
              <w:rPr>
                <w:rStyle w:val="IndexLink"/>
                <w:rtl w:val="true"/>
              </w:rPr>
              <w:t xml:space="preserve">: </w:t>
            </w:r>
            <w:r>
              <w:rPr>
                <w:rStyle w:val="IndexLink"/>
                <w:rtl w:val="true"/>
              </w:rPr>
              <w:t>فی ما یوجب القضاء دون الکفّارة</w:t>
            </w:r>
            <w:r>
              <w:rPr>
                <w:rStyle w:val="IndexLink"/>
                <w:rtl w:val="true"/>
              </w:rPr>
              <w:tab/>
            </w:r>
            <w:r>
              <w:rPr>
                <w:rStyle w:val="IndexLink"/>
              </w:rPr>
              <w:t>220</w:t>
            </w:r>
          </w:hyperlink>
        </w:p>
        <w:p>
          <w:pPr>
            <w:pStyle w:val="Contents3"/>
            <w:tabs>
              <w:tab w:val="clear" w:pos="8459"/>
              <w:tab w:val="right" w:pos="9026" w:leader="dot"/>
            </w:tabs>
            <w:rPr/>
          </w:pPr>
          <w:hyperlink w:anchor="__RefHeading___Toc1955136_2322387425">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955138_2322387425">
            <w:r>
              <w:rPr>
                <w:webHidden/>
                <w:rStyle w:val="IndexLink"/>
                <w:rtl w:val="true"/>
              </w:rPr>
              <w:t>الأول</w:t>
            </w:r>
            <w:r>
              <w:rPr>
                <w:rStyle w:val="IndexLink"/>
                <w:rtl w:val="true"/>
              </w:rPr>
              <w:t xml:space="preserve">: </w:t>
            </w:r>
            <w:r>
              <w:rPr>
                <w:rStyle w:val="IndexLink"/>
                <w:rtl w:val="true"/>
              </w:rPr>
              <w:t>النوم الثانی بل الثالث علی الجنابة</w:t>
            </w:r>
            <w:r>
              <w:rPr>
                <w:rStyle w:val="IndexLink"/>
                <w:rtl w:val="true"/>
              </w:rPr>
              <w:tab/>
            </w:r>
            <w:r>
              <w:rPr>
                <w:rStyle w:val="IndexLink"/>
              </w:rPr>
              <w:t>220</w:t>
            </w:r>
          </w:hyperlink>
        </w:p>
        <w:p>
          <w:pPr>
            <w:pStyle w:val="Contents3"/>
            <w:tabs>
              <w:tab w:val="clear" w:pos="8459"/>
              <w:tab w:val="right" w:pos="9026" w:leader="dot"/>
            </w:tabs>
            <w:rPr/>
          </w:pPr>
          <w:hyperlink w:anchor="__RefHeading___Toc1955140_2322387425">
            <w:r>
              <w:rPr>
                <w:webHidden/>
                <w:rStyle w:val="IndexLink"/>
                <w:rtl w:val="true"/>
              </w:rPr>
              <w:t xml:space="preserve">الثانی </w:t>
            </w:r>
            <w:r>
              <w:rPr>
                <w:rStyle w:val="IndexLink"/>
                <w:rtl w:val="true"/>
              </w:rPr>
              <w:t xml:space="preserve">: </w:t>
            </w:r>
            <w:r>
              <w:rPr>
                <w:rStyle w:val="IndexLink"/>
                <w:rtl w:val="true"/>
              </w:rPr>
              <w:t>إبطال الصوم بالإخلال بالنیّة</w:t>
            </w:r>
            <w:r>
              <w:rPr>
                <w:rStyle w:val="IndexLink"/>
                <w:rtl w:val="true"/>
              </w:rPr>
              <w:tab/>
            </w:r>
            <w:r>
              <w:rPr>
                <w:rStyle w:val="IndexLink"/>
              </w:rPr>
              <w:t>221</w:t>
            </w:r>
          </w:hyperlink>
        </w:p>
        <w:p>
          <w:pPr>
            <w:pStyle w:val="Contents3"/>
            <w:tabs>
              <w:tab w:val="clear" w:pos="8459"/>
              <w:tab w:val="right" w:pos="9026" w:leader="dot"/>
            </w:tabs>
            <w:rPr/>
          </w:pPr>
          <w:hyperlink w:anchor="__RefHeading___Toc1955142_2322387425">
            <w:r>
              <w:rPr>
                <w:webHidden/>
                <w:rStyle w:val="IndexLink"/>
                <w:rtl w:val="true"/>
              </w:rPr>
              <w:t xml:space="preserve">الثالث </w:t>
            </w:r>
            <w:r>
              <w:rPr>
                <w:rStyle w:val="IndexLink"/>
                <w:rtl w:val="true"/>
              </w:rPr>
              <w:t xml:space="preserve">: </w:t>
            </w:r>
            <w:r>
              <w:rPr>
                <w:rStyle w:val="IndexLink"/>
                <w:rtl w:val="true"/>
              </w:rPr>
              <w:t>نسیان غسل الجنابة یوماً أو أیّاماً</w:t>
            </w:r>
            <w:r>
              <w:rPr>
                <w:rStyle w:val="IndexLink"/>
                <w:rtl w:val="true"/>
              </w:rPr>
              <w:tab/>
            </w:r>
            <w:r>
              <w:rPr>
                <w:rStyle w:val="IndexLink"/>
              </w:rPr>
              <w:t>222</w:t>
            </w:r>
          </w:hyperlink>
        </w:p>
        <w:p>
          <w:pPr>
            <w:pStyle w:val="Contents3"/>
            <w:tabs>
              <w:tab w:val="clear" w:pos="8459"/>
              <w:tab w:val="right" w:pos="9026" w:leader="dot"/>
            </w:tabs>
            <w:rPr/>
          </w:pPr>
          <w:hyperlink w:anchor="__RefHeading___Toc1955144_2322387425">
            <w:r>
              <w:rPr>
                <w:webHidden/>
                <w:rStyle w:val="IndexLink"/>
                <w:rtl w:val="true"/>
              </w:rPr>
              <w:t xml:space="preserve">الرابع </w:t>
            </w:r>
            <w:r>
              <w:rPr>
                <w:rStyle w:val="IndexLink"/>
                <w:rtl w:val="true"/>
              </w:rPr>
              <w:t xml:space="preserve">: </w:t>
            </w:r>
            <w:r>
              <w:rPr>
                <w:rStyle w:val="IndexLink"/>
                <w:rtl w:val="true"/>
              </w:rPr>
              <w:t>فعل المفطر بعد الفجر قبل المراعاة</w:t>
            </w:r>
            <w:r>
              <w:rPr>
                <w:rStyle w:val="IndexLink"/>
                <w:rtl w:val="true"/>
              </w:rPr>
              <w:tab/>
            </w:r>
            <w:r>
              <w:rPr>
                <w:rStyle w:val="IndexLink"/>
              </w:rPr>
              <w:t>222</w:t>
            </w:r>
          </w:hyperlink>
        </w:p>
        <w:p>
          <w:pPr>
            <w:pStyle w:val="Contents3"/>
            <w:tabs>
              <w:tab w:val="clear" w:pos="8459"/>
              <w:tab w:val="right" w:pos="9026" w:leader="dot"/>
            </w:tabs>
            <w:rPr/>
          </w:pPr>
          <w:hyperlink w:anchor="__RefHeading___Toc1955146_2322387425">
            <w:r>
              <w:rPr>
                <w:webHidden/>
                <w:rStyle w:val="IndexLink"/>
                <w:rtl w:val="true"/>
              </w:rPr>
              <w:t xml:space="preserve">الخامس </w:t>
            </w:r>
            <w:r>
              <w:rPr>
                <w:rStyle w:val="IndexLink"/>
                <w:rtl w:val="true"/>
              </w:rPr>
              <w:t xml:space="preserve">: </w:t>
            </w:r>
            <w:r>
              <w:rPr>
                <w:rStyle w:val="IndexLink"/>
                <w:rtl w:val="true"/>
              </w:rPr>
              <w:t>الأکل تعویلاً علی من أخبر ببقاء اللیل</w:t>
            </w:r>
            <w:r>
              <w:rPr>
                <w:rStyle w:val="IndexLink"/>
                <w:rtl w:val="true"/>
              </w:rPr>
              <w:tab/>
            </w:r>
            <w:r>
              <w:rPr>
                <w:rStyle w:val="IndexLink"/>
              </w:rPr>
              <w:t>225</w:t>
            </w:r>
          </w:hyperlink>
        </w:p>
        <w:p>
          <w:pPr>
            <w:pStyle w:val="Contents3"/>
            <w:tabs>
              <w:tab w:val="clear" w:pos="8459"/>
              <w:tab w:val="right" w:pos="9026" w:leader="dot"/>
            </w:tabs>
            <w:rPr/>
          </w:pPr>
          <w:hyperlink w:anchor="__RefHeading___Toc1955148_2322387425">
            <w:r>
              <w:rPr>
                <w:webHidden/>
                <w:rStyle w:val="IndexLink"/>
                <w:rtl w:val="true"/>
              </w:rPr>
              <w:t xml:space="preserve">السادس </w:t>
            </w:r>
            <w:r>
              <w:rPr>
                <w:rStyle w:val="IndexLink"/>
                <w:rtl w:val="true"/>
              </w:rPr>
              <w:t xml:space="preserve">: </w:t>
            </w:r>
            <w:r>
              <w:rPr>
                <w:rStyle w:val="IndexLink"/>
                <w:rtl w:val="true"/>
              </w:rPr>
              <w:t>الأکل لزعمه سخریّة المخبر بطلوع الفجر</w:t>
            </w:r>
            <w:r>
              <w:rPr>
                <w:rStyle w:val="IndexLink"/>
                <w:rtl w:val="true"/>
              </w:rPr>
              <w:tab/>
            </w:r>
            <w:r>
              <w:rPr>
                <w:rStyle w:val="IndexLink"/>
              </w:rPr>
              <w:t>226</w:t>
            </w:r>
          </w:hyperlink>
        </w:p>
        <w:p>
          <w:pPr>
            <w:pStyle w:val="Contents3"/>
            <w:tabs>
              <w:tab w:val="clear" w:pos="8459"/>
              <w:tab w:val="right" w:pos="9026" w:leader="dot"/>
            </w:tabs>
            <w:rPr/>
          </w:pPr>
          <w:hyperlink w:anchor="__RefHeading___Toc1955150_2322387425">
            <w:r>
              <w:rPr>
                <w:webHidden/>
                <w:rStyle w:val="IndexLink"/>
                <w:rtl w:val="true"/>
              </w:rPr>
              <w:t xml:space="preserve">السابع </w:t>
            </w:r>
            <w:r>
              <w:rPr>
                <w:rStyle w:val="IndexLink"/>
                <w:rtl w:val="true"/>
              </w:rPr>
              <w:t xml:space="preserve">: </w:t>
            </w:r>
            <w:r>
              <w:rPr>
                <w:rStyle w:val="IndexLink"/>
                <w:rtl w:val="true"/>
              </w:rPr>
              <w:t>الإفطار تقلیداً لمن أخبر بدخول اللیل</w:t>
            </w:r>
            <w:r>
              <w:rPr>
                <w:rStyle w:val="IndexLink"/>
                <w:rtl w:val="true"/>
              </w:rPr>
              <w:tab/>
            </w:r>
            <w:r>
              <w:rPr>
                <w:rStyle w:val="IndexLink"/>
              </w:rPr>
              <w:t>226</w:t>
            </w:r>
          </w:hyperlink>
        </w:p>
        <w:p>
          <w:pPr>
            <w:pStyle w:val="Contents3"/>
            <w:tabs>
              <w:tab w:val="clear" w:pos="8459"/>
              <w:tab w:val="right" w:pos="9026" w:leader="dot"/>
            </w:tabs>
            <w:rPr/>
          </w:pPr>
          <w:hyperlink w:anchor="__RefHeading___Toc1955152_2322387425">
            <w:r>
              <w:rPr>
                <w:webHidden/>
                <w:rStyle w:val="IndexLink"/>
                <w:rtl w:val="true"/>
              </w:rPr>
              <w:t xml:space="preserve">الثامن </w:t>
            </w:r>
            <w:r>
              <w:rPr>
                <w:rStyle w:val="IndexLink"/>
                <w:rtl w:val="true"/>
              </w:rPr>
              <w:t xml:space="preserve">: </w:t>
            </w:r>
            <w:r>
              <w:rPr>
                <w:rStyle w:val="IndexLink"/>
                <w:rtl w:val="true"/>
              </w:rPr>
              <w:t>الإفطار لظلمةً أوجبت القطع فبان خطؤه</w:t>
            </w:r>
            <w:r>
              <w:rPr>
                <w:rStyle w:val="IndexLink"/>
                <w:rtl w:val="true"/>
              </w:rPr>
              <w:tab/>
            </w:r>
            <w:r>
              <w:rPr>
                <w:rStyle w:val="IndexLink"/>
              </w:rPr>
              <w:t>227</w:t>
            </w:r>
          </w:hyperlink>
        </w:p>
        <w:p>
          <w:pPr>
            <w:pStyle w:val="Contents3"/>
            <w:tabs>
              <w:tab w:val="clear" w:pos="8459"/>
              <w:tab w:val="right" w:pos="9026" w:leader="dot"/>
            </w:tabs>
            <w:rPr/>
          </w:pPr>
          <w:hyperlink w:anchor="__RefHeading___Toc1955154_2322387425">
            <w:r>
              <w:rPr>
                <w:webHidden/>
                <w:rStyle w:val="IndexLink"/>
                <w:rtl w:val="true"/>
              </w:rPr>
              <w:t>حکم تناول المفطر مع الشکّ فی طلوع الفجر</w:t>
            </w:r>
            <w:r>
              <w:rPr>
                <w:rStyle w:val="IndexLink"/>
                <w:rtl w:val="true"/>
              </w:rPr>
              <w:tab/>
            </w:r>
            <w:r>
              <w:rPr>
                <w:rStyle w:val="IndexLink"/>
              </w:rPr>
              <w:t>231</w:t>
            </w:r>
          </w:hyperlink>
        </w:p>
        <w:p>
          <w:pPr>
            <w:pStyle w:val="Contents3"/>
            <w:tabs>
              <w:tab w:val="clear" w:pos="8459"/>
              <w:tab w:val="right" w:pos="9026" w:leader="dot"/>
            </w:tabs>
            <w:rPr/>
          </w:pPr>
          <w:hyperlink w:anchor="__RefHeading___Toc1955156_2322387425">
            <w:r>
              <w:rPr>
                <w:webHidden/>
                <w:rStyle w:val="IndexLink"/>
                <w:rtl w:val="true"/>
              </w:rPr>
              <w:t>فعل المفطر قبل الفحص</w:t>
            </w:r>
            <w:r>
              <w:rPr>
                <w:rStyle w:val="IndexLink"/>
                <w:rtl w:val="true"/>
              </w:rPr>
              <w:tab/>
            </w:r>
            <w:r>
              <w:rPr>
                <w:rStyle w:val="IndexLink"/>
              </w:rPr>
              <w:t>232</w:t>
            </w:r>
          </w:hyperlink>
        </w:p>
        <w:p>
          <w:pPr>
            <w:pStyle w:val="Contents3"/>
            <w:tabs>
              <w:tab w:val="clear" w:pos="8459"/>
              <w:tab w:val="right" w:pos="9026" w:leader="dot"/>
            </w:tabs>
            <w:rPr/>
          </w:pPr>
          <w:hyperlink w:anchor="__RefHeading___Toc1955158_2322387425">
            <w:r>
              <w:rPr>
                <w:webHidden/>
                <w:rStyle w:val="IndexLink"/>
                <w:rtl w:val="true"/>
              </w:rPr>
              <w:t xml:space="preserve">التاسع </w:t>
            </w:r>
            <w:r>
              <w:rPr>
                <w:rStyle w:val="IndexLink"/>
                <w:rtl w:val="true"/>
              </w:rPr>
              <w:t xml:space="preserve">: </w:t>
            </w:r>
            <w:r>
              <w:rPr>
                <w:rStyle w:val="IndexLink"/>
                <w:rtl w:val="true"/>
              </w:rPr>
              <w:t>إدخال الماء فی الفم للتبرّد فسبقه ودخل الجوف</w:t>
            </w:r>
            <w:r>
              <w:rPr>
                <w:rStyle w:val="IndexLink"/>
                <w:rtl w:val="true"/>
              </w:rPr>
              <w:tab/>
            </w:r>
            <w:r>
              <w:rPr>
                <w:rStyle w:val="IndexLink"/>
              </w:rPr>
              <w:t>233</w:t>
            </w:r>
          </w:hyperlink>
        </w:p>
        <w:p>
          <w:pPr>
            <w:pStyle w:val="Contents3"/>
            <w:tabs>
              <w:tab w:val="clear" w:pos="8459"/>
              <w:tab w:val="right" w:pos="9026" w:leader="dot"/>
            </w:tabs>
            <w:rPr/>
          </w:pPr>
          <w:hyperlink w:anchor="__RefHeading___Toc1955160_2322387425">
            <w:r>
              <w:rPr>
                <w:webHidden/>
                <w:rStyle w:val="IndexLink"/>
                <w:rtl w:val="true"/>
              </w:rPr>
              <w:t>سبق الماء بالمضمضة لوضوء الصلاة </w:t>
            </w:r>
            <w:r>
              <w:rPr>
                <w:rStyle w:val="IndexLink"/>
                <w:rtl w:val="true"/>
              </w:rPr>
              <w:tab/>
            </w:r>
            <w:r>
              <w:rPr>
                <w:rStyle w:val="IndexLink"/>
              </w:rPr>
              <w:t>234</w:t>
            </w:r>
          </w:hyperlink>
        </w:p>
        <w:p>
          <w:pPr>
            <w:pStyle w:val="Contents3"/>
            <w:tabs>
              <w:tab w:val="clear" w:pos="8459"/>
              <w:tab w:val="right" w:pos="9026" w:leader="dot"/>
            </w:tabs>
            <w:rPr/>
          </w:pPr>
          <w:hyperlink w:anchor="__RefHeading___Toc1955162_2322387425">
            <w:r>
              <w:rPr>
                <w:webHidden/>
                <w:rStyle w:val="IndexLink"/>
                <w:rtl w:val="true"/>
              </w:rPr>
              <w:t>کراهة المبالغة فی المضمضة</w:t>
            </w:r>
            <w:r>
              <w:rPr>
                <w:rStyle w:val="IndexLink"/>
                <w:rtl w:val="true"/>
              </w:rPr>
              <w:tab/>
            </w:r>
            <w:r>
              <w:rPr>
                <w:rStyle w:val="IndexLink"/>
              </w:rPr>
              <w:t>235</w:t>
            </w:r>
          </w:hyperlink>
        </w:p>
        <w:p>
          <w:pPr>
            <w:pStyle w:val="Contents3"/>
            <w:tabs>
              <w:tab w:val="clear" w:pos="8459"/>
              <w:tab w:val="right" w:pos="9026" w:leader="dot"/>
            </w:tabs>
            <w:rPr/>
          </w:pPr>
          <w:hyperlink w:anchor="__RefHeading___Toc1955164_2322387425">
            <w:r>
              <w:rPr>
                <w:webHidden/>
                <w:rStyle w:val="IndexLink"/>
                <w:rtl w:val="true"/>
              </w:rPr>
              <w:t>عدم جواز التمضمض مطلقاً مع العلم بسبق الماء</w:t>
            </w:r>
            <w:r>
              <w:rPr>
                <w:rStyle w:val="IndexLink"/>
                <w:rtl w:val="true"/>
              </w:rPr>
              <w:tab/>
            </w:r>
            <w:r>
              <w:rPr>
                <w:rStyle w:val="IndexLink"/>
              </w:rPr>
              <w:t>235</w:t>
            </w:r>
          </w:hyperlink>
        </w:p>
        <w:p>
          <w:pPr>
            <w:pStyle w:val="Contents3"/>
            <w:tabs>
              <w:tab w:val="clear" w:pos="8459"/>
              <w:tab w:val="right" w:pos="9026" w:leader="dot"/>
            </w:tabs>
            <w:rPr/>
          </w:pPr>
          <w:hyperlink w:anchor="__RefHeading___Toc1955166_2322387425">
            <w:r>
              <w:rPr>
                <w:webHidden/>
                <w:rStyle w:val="IndexLink"/>
                <w:rtl w:val="true"/>
              </w:rPr>
              <w:t xml:space="preserve">العاشر </w:t>
            </w:r>
            <w:r>
              <w:rPr>
                <w:rStyle w:val="IndexLink"/>
                <w:rtl w:val="true"/>
              </w:rPr>
              <w:t xml:space="preserve">: </w:t>
            </w:r>
            <w:r>
              <w:rPr>
                <w:rStyle w:val="IndexLink"/>
                <w:rtl w:val="true"/>
              </w:rPr>
              <w:t>سبق المنی بالملاعبة أو الملامسة</w:t>
            </w:r>
            <w:r>
              <w:rPr>
                <w:rStyle w:val="IndexLink"/>
                <w:rtl w:val="true"/>
              </w:rPr>
              <w:tab/>
            </w:r>
            <w:r>
              <w:rPr>
                <w:rStyle w:val="IndexLink"/>
              </w:rPr>
              <w:t>236</w:t>
            </w:r>
          </w:hyperlink>
        </w:p>
        <w:p>
          <w:pPr>
            <w:pStyle w:val="Contents2"/>
            <w:tabs>
              <w:tab w:val="clear" w:pos="8743"/>
              <w:tab w:val="right" w:pos="9026" w:leader="dot"/>
            </w:tabs>
            <w:rPr/>
          </w:pPr>
          <w:hyperlink w:anchor="__RefHeading___Toc1955168_2322387425">
            <w:r>
              <w:rPr>
                <w:webHidden/>
                <w:rStyle w:val="IndexLink"/>
                <w:rtl w:val="true"/>
              </w:rPr>
              <w:t>فصل</w:t>
            </w:r>
            <w:r>
              <w:rPr>
                <w:rStyle w:val="IndexLink"/>
                <w:rtl w:val="true"/>
              </w:rPr>
              <w:t xml:space="preserve">: </w:t>
            </w:r>
            <w:r>
              <w:rPr>
                <w:rStyle w:val="IndexLink"/>
                <w:rtl w:val="true"/>
              </w:rPr>
              <w:t>فی الزمان الّذی یصحّ فیه الصوم</w:t>
            </w:r>
            <w:r>
              <w:rPr>
                <w:rStyle w:val="IndexLink"/>
                <w:rtl w:val="true"/>
              </w:rPr>
              <w:tab/>
            </w:r>
            <w:r>
              <w:rPr>
                <w:rStyle w:val="IndexLink"/>
              </w:rPr>
              <w:t>238</w:t>
            </w:r>
          </w:hyperlink>
        </w:p>
        <w:p>
          <w:pPr>
            <w:pStyle w:val="Contents3"/>
            <w:tabs>
              <w:tab w:val="clear" w:pos="8459"/>
              <w:tab w:val="right" w:pos="9026" w:leader="dot"/>
            </w:tabs>
            <w:rPr/>
          </w:pPr>
          <w:hyperlink w:anchor="__RefHeading___Toc1955170_2322387425">
            <w:r>
              <w:rPr>
                <w:webHidden/>
                <w:rStyle w:val="IndexLink"/>
                <w:rtl w:val="true"/>
              </w:rPr>
              <w:t>مبدأ  نهار الصوم ومنتهاه</w:t>
            </w:r>
            <w:r>
              <w:rPr>
                <w:rStyle w:val="IndexLink"/>
                <w:rtl w:val="true"/>
              </w:rPr>
              <w:tab/>
            </w:r>
            <w:r>
              <w:rPr>
                <w:rStyle w:val="IndexLink"/>
              </w:rPr>
              <w:t>238</w:t>
            </w:r>
          </w:hyperlink>
        </w:p>
        <w:p>
          <w:pPr>
            <w:pStyle w:val="Contents3"/>
            <w:tabs>
              <w:tab w:val="clear" w:pos="8459"/>
              <w:tab w:val="right" w:pos="9026" w:leader="dot"/>
            </w:tabs>
            <w:rPr/>
          </w:pPr>
          <w:hyperlink w:anchor="__RefHeading___Toc1955172_2322387425">
            <w:r>
              <w:rPr>
                <w:webHidden/>
                <w:rStyle w:val="IndexLink"/>
                <w:rtl w:val="true"/>
              </w:rPr>
              <w:t>استصحاب الصلاة قبل الإفطار</w:t>
            </w:r>
            <w:r>
              <w:rPr>
                <w:rStyle w:val="IndexLink"/>
                <w:rtl w:val="true"/>
              </w:rPr>
              <w:tab/>
            </w:r>
            <w:r>
              <w:rPr>
                <w:rStyle w:val="IndexLink"/>
              </w:rPr>
              <w:t>239</w:t>
            </w:r>
          </w:hyperlink>
        </w:p>
        <w:p>
          <w:pPr>
            <w:pStyle w:val="Contents3"/>
            <w:tabs>
              <w:tab w:val="clear" w:pos="8459"/>
              <w:tab w:val="right" w:pos="9026" w:leader="dot"/>
            </w:tabs>
            <w:rPr/>
          </w:pPr>
          <w:hyperlink w:anchor="__RefHeading___Toc1955174_2322387425">
            <w:r>
              <w:rPr>
                <w:webHidden/>
                <w:rStyle w:val="IndexLink"/>
                <w:rtl w:val="true"/>
              </w:rPr>
              <w:t>عدم مشروعیة الصوم فی اللیل</w:t>
            </w:r>
            <w:r>
              <w:rPr>
                <w:rStyle w:val="IndexLink"/>
                <w:rtl w:val="true"/>
              </w:rPr>
              <w:tab/>
            </w:r>
            <w:r>
              <w:rPr>
                <w:rStyle w:val="IndexLink"/>
              </w:rPr>
              <w:t>239</w:t>
            </w:r>
          </w:hyperlink>
        </w:p>
        <w:p>
          <w:pPr>
            <w:pStyle w:val="Contents2"/>
            <w:tabs>
              <w:tab w:val="clear" w:pos="8743"/>
              <w:tab w:val="right" w:pos="9026" w:leader="dot"/>
            </w:tabs>
            <w:rPr/>
          </w:pPr>
          <w:hyperlink w:anchor="__RefHeading___Toc1955176_2322387425">
            <w:r>
              <w:rPr>
                <w:webHidden/>
                <w:rStyle w:val="IndexLink"/>
                <w:rtl w:val="true"/>
              </w:rPr>
              <w:t>فصل</w:t>
            </w:r>
            <w:r>
              <w:rPr>
                <w:rStyle w:val="IndexLink"/>
                <w:rtl w:val="true"/>
              </w:rPr>
              <w:t xml:space="preserve">: </w:t>
            </w:r>
            <w:r>
              <w:rPr>
                <w:rStyle w:val="IndexLink"/>
                <w:rtl w:val="true"/>
              </w:rPr>
              <w:t>فی شرائط صحّة الصوم</w:t>
            </w:r>
            <w:r>
              <w:rPr>
                <w:rStyle w:val="IndexLink"/>
                <w:rtl w:val="true"/>
              </w:rPr>
              <w:tab/>
            </w:r>
            <w:r>
              <w:rPr>
                <w:rStyle w:val="IndexLink"/>
              </w:rPr>
              <w:t>240</w:t>
            </w:r>
          </w:hyperlink>
        </w:p>
        <w:p>
          <w:pPr>
            <w:pStyle w:val="Contents3"/>
            <w:tabs>
              <w:tab w:val="clear" w:pos="8459"/>
              <w:tab w:val="right" w:pos="9026" w:leader="dot"/>
            </w:tabs>
            <w:rPr/>
          </w:pPr>
          <w:hyperlink w:anchor="__RefHeading___Toc1955178_2322387425">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955180_2322387425">
            <w:r>
              <w:rPr>
                <w:webHidden/>
                <w:rStyle w:val="IndexLink"/>
                <w:rtl w:val="true"/>
              </w:rPr>
              <w:t xml:space="preserve">الأول </w:t>
            </w:r>
            <w:r>
              <w:rPr>
                <w:rStyle w:val="IndexLink"/>
                <w:rtl w:val="true"/>
              </w:rPr>
              <w:t xml:space="preserve">: </w:t>
            </w:r>
            <w:r>
              <w:rPr>
                <w:rStyle w:val="IndexLink"/>
                <w:rtl w:val="true"/>
              </w:rPr>
              <w:t>الإسلام والإیمان</w:t>
            </w:r>
            <w:r>
              <w:rPr>
                <w:rStyle w:val="IndexLink"/>
                <w:rtl w:val="true"/>
              </w:rPr>
              <w:tab/>
            </w:r>
            <w:r>
              <w:rPr>
                <w:rStyle w:val="IndexLink"/>
              </w:rPr>
              <w:t>240</w:t>
            </w:r>
          </w:hyperlink>
        </w:p>
        <w:p>
          <w:pPr>
            <w:pStyle w:val="Contents3"/>
            <w:tabs>
              <w:tab w:val="clear" w:pos="8459"/>
              <w:tab w:val="right" w:pos="9026" w:leader="dot"/>
            </w:tabs>
            <w:rPr/>
          </w:pPr>
          <w:hyperlink w:anchor="__RefHeading___Toc1955182_2322387425">
            <w:r>
              <w:rPr>
                <w:webHidden/>
                <w:rStyle w:val="IndexLink"/>
                <w:rtl w:val="true"/>
              </w:rPr>
              <w:t xml:space="preserve">الثانی </w:t>
            </w:r>
            <w:r>
              <w:rPr>
                <w:rStyle w:val="IndexLink"/>
                <w:rtl w:val="true"/>
              </w:rPr>
              <w:t xml:space="preserve">: </w:t>
            </w:r>
            <w:r>
              <w:rPr>
                <w:rStyle w:val="IndexLink"/>
                <w:rtl w:val="true"/>
              </w:rPr>
              <w:t>العقل</w:t>
            </w:r>
            <w:r>
              <w:rPr>
                <w:rStyle w:val="IndexLink"/>
                <w:rtl w:val="true"/>
              </w:rPr>
              <w:tab/>
            </w:r>
            <w:r>
              <w:rPr>
                <w:rStyle w:val="IndexLink"/>
              </w:rPr>
              <w:t>242</w:t>
            </w:r>
          </w:hyperlink>
        </w:p>
        <w:p>
          <w:pPr>
            <w:pStyle w:val="Contents3"/>
            <w:tabs>
              <w:tab w:val="clear" w:pos="8459"/>
              <w:tab w:val="right" w:pos="9026" w:leader="dot"/>
            </w:tabs>
            <w:rPr/>
          </w:pPr>
          <w:hyperlink w:anchor="__RefHeading___Toc1955184_2322387425">
            <w:r>
              <w:rPr>
                <w:webHidden/>
                <w:rStyle w:val="IndexLink"/>
                <w:rtl w:val="true"/>
              </w:rPr>
              <w:t xml:space="preserve">الثالث </w:t>
            </w:r>
            <w:r>
              <w:rPr>
                <w:rStyle w:val="IndexLink"/>
                <w:rtl w:val="true"/>
              </w:rPr>
              <w:t xml:space="preserve">: </w:t>
            </w:r>
            <w:r>
              <w:rPr>
                <w:rStyle w:val="IndexLink"/>
                <w:rtl w:val="true"/>
              </w:rPr>
              <w:t>عدم الإصباح جنباً أو علی حدث الحیض والنفاس</w:t>
            </w:r>
            <w:r>
              <w:rPr>
                <w:rStyle w:val="IndexLink"/>
                <w:rtl w:val="true"/>
              </w:rPr>
              <w:tab/>
            </w:r>
            <w:r>
              <w:rPr>
                <w:rStyle w:val="IndexLink"/>
              </w:rPr>
              <w:t>245</w:t>
            </w:r>
          </w:hyperlink>
        </w:p>
        <w:p>
          <w:pPr>
            <w:pStyle w:val="Contents3"/>
            <w:tabs>
              <w:tab w:val="clear" w:pos="8459"/>
              <w:tab w:val="right" w:pos="9026" w:leader="dot"/>
            </w:tabs>
            <w:rPr/>
          </w:pPr>
          <w:hyperlink w:anchor="__RefHeading___Toc1955186_2322387425">
            <w:r>
              <w:rPr>
                <w:webHidden/>
                <w:rStyle w:val="IndexLink"/>
                <w:rtl w:val="true"/>
              </w:rPr>
              <w:t xml:space="preserve">الرابع </w:t>
            </w:r>
            <w:r>
              <w:rPr>
                <w:rStyle w:val="IndexLink"/>
                <w:rtl w:val="true"/>
              </w:rPr>
              <w:t xml:space="preserve">: </w:t>
            </w:r>
            <w:r>
              <w:rPr>
                <w:rStyle w:val="IndexLink"/>
                <w:rtl w:val="true"/>
              </w:rPr>
              <w:t>الخلوّ من الحیض والنفاس فی مجموع النهار</w:t>
            </w:r>
            <w:r>
              <w:rPr>
                <w:rStyle w:val="IndexLink"/>
                <w:rtl w:val="true"/>
              </w:rPr>
              <w:tab/>
            </w:r>
            <w:r>
              <w:rPr>
                <w:rStyle w:val="IndexLink"/>
              </w:rPr>
              <w:t>245</w:t>
            </w:r>
          </w:hyperlink>
        </w:p>
        <w:p>
          <w:pPr>
            <w:pStyle w:val="Contents3"/>
            <w:tabs>
              <w:tab w:val="clear" w:pos="8459"/>
              <w:tab w:val="right" w:pos="9026" w:leader="dot"/>
            </w:tabs>
            <w:rPr/>
          </w:pPr>
          <w:hyperlink w:anchor="__RefHeading___Toc1955188_2322387425">
            <w:r>
              <w:rPr>
                <w:webHidden/>
                <w:rStyle w:val="IndexLink"/>
                <w:rtl w:val="true"/>
              </w:rPr>
              <w:t xml:space="preserve">الخامس </w:t>
            </w:r>
            <w:r>
              <w:rPr>
                <w:rStyle w:val="IndexLink"/>
                <w:rtl w:val="true"/>
              </w:rPr>
              <w:t xml:space="preserve">: </w:t>
            </w:r>
            <w:r>
              <w:rPr>
                <w:rStyle w:val="IndexLink"/>
                <w:rtl w:val="true"/>
              </w:rPr>
              <w:t>أن لا یکون مسافراً </w:t>
            </w:r>
            <w:r>
              <w:rPr>
                <w:rStyle w:val="IndexLink"/>
                <w:rtl w:val="true"/>
              </w:rPr>
              <w:tab/>
            </w:r>
            <w:r>
              <w:rPr>
                <w:rStyle w:val="IndexLink"/>
              </w:rPr>
              <w:t>246</w:t>
            </w:r>
          </w:hyperlink>
        </w:p>
        <w:p>
          <w:pPr>
            <w:pStyle w:val="Contents3"/>
            <w:tabs>
              <w:tab w:val="clear" w:pos="8459"/>
              <w:tab w:val="right" w:pos="9026" w:leader="dot"/>
            </w:tabs>
            <w:rPr/>
          </w:pPr>
          <w:hyperlink w:anchor="__RefHeading___Toc1955190_2322387425">
            <w:r>
              <w:rPr>
                <w:webHidden/>
                <w:rStyle w:val="IndexLink"/>
                <w:rtl w:val="true"/>
              </w:rPr>
              <w:t>مواضع استثنیت من الصوم فی السفر</w:t>
            </w:r>
            <w:r>
              <w:rPr>
                <w:rStyle w:val="IndexLink"/>
                <w:rtl w:val="true"/>
              </w:rPr>
              <w:tab/>
            </w:r>
            <w:r>
              <w:rPr>
                <w:rStyle w:val="IndexLink"/>
              </w:rPr>
              <w:t>246</w:t>
            </w:r>
          </w:hyperlink>
        </w:p>
        <w:p>
          <w:pPr>
            <w:pStyle w:val="Contents3"/>
            <w:tabs>
              <w:tab w:val="clear" w:pos="8459"/>
              <w:tab w:val="right" w:pos="9026" w:leader="dot"/>
            </w:tabs>
            <w:rPr/>
          </w:pPr>
          <w:hyperlink w:anchor="__RefHeading___Toc1955192_2322387425">
            <w:r>
              <w:rPr>
                <w:webHidden/>
                <w:rStyle w:val="IndexLink"/>
                <w:rtl w:val="true"/>
              </w:rPr>
              <w:t>الصوم المندوب فی السفر</w:t>
            </w:r>
            <w:r>
              <w:rPr>
                <w:rStyle w:val="IndexLink"/>
                <w:rtl w:val="true"/>
              </w:rPr>
              <w:tab/>
            </w:r>
            <w:r>
              <w:rPr>
                <w:rStyle w:val="IndexLink"/>
              </w:rPr>
              <w:t>247</w:t>
            </w:r>
          </w:hyperlink>
        </w:p>
        <w:p>
          <w:pPr>
            <w:pStyle w:val="Contents3"/>
            <w:tabs>
              <w:tab w:val="clear" w:pos="8459"/>
              <w:tab w:val="right" w:pos="9026" w:leader="dot"/>
            </w:tabs>
            <w:rPr/>
          </w:pPr>
          <w:hyperlink w:anchor="__RefHeading___Toc1955194_2322387425">
            <w:r>
              <w:rPr>
                <w:webHidden/>
                <w:rStyle w:val="IndexLink"/>
                <w:rtl w:val="true"/>
              </w:rPr>
              <w:t>صحة صوم المسافر الجاهل بالحکم دون الناسی</w:t>
            </w:r>
            <w:r>
              <w:rPr>
                <w:rStyle w:val="IndexLink"/>
                <w:rtl w:val="true"/>
              </w:rPr>
              <w:tab/>
            </w:r>
            <w:r>
              <w:rPr>
                <w:rStyle w:val="IndexLink"/>
              </w:rPr>
              <w:t>248</w:t>
            </w:r>
          </w:hyperlink>
        </w:p>
        <w:p>
          <w:pPr>
            <w:pStyle w:val="Contents3"/>
            <w:tabs>
              <w:tab w:val="clear" w:pos="8459"/>
              <w:tab w:val="right" w:pos="9026" w:leader="dot"/>
            </w:tabs>
            <w:rPr/>
          </w:pPr>
          <w:hyperlink w:anchor="__RefHeading___Toc1955196_2322387425">
            <w:r>
              <w:rPr>
                <w:webHidden/>
                <w:rStyle w:val="IndexLink"/>
                <w:rtl w:val="true"/>
              </w:rPr>
              <w:t>صحة الصوم من المسافر بعد الزوال وکذا من لم یقصّر فی صلاته</w:t>
            </w:r>
            <w:r>
              <w:rPr>
                <w:rStyle w:val="IndexLink"/>
                <w:rtl w:val="true"/>
              </w:rPr>
              <w:tab/>
            </w:r>
            <w:r>
              <w:rPr>
                <w:rStyle w:val="IndexLink"/>
              </w:rPr>
              <w:t>248</w:t>
            </w:r>
          </w:hyperlink>
        </w:p>
        <w:p>
          <w:pPr>
            <w:pStyle w:val="Contents3"/>
            <w:tabs>
              <w:tab w:val="clear" w:pos="8459"/>
              <w:tab w:val="right" w:pos="9026" w:leader="dot"/>
            </w:tabs>
            <w:rPr/>
          </w:pPr>
          <w:hyperlink w:anchor="__RefHeading___Toc1955198_2322387425">
            <w:r>
              <w:rPr>
                <w:webHidden/>
                <w:rStyle w:val="IndexLink"/>
                <w:rtl w:val="true"/>
              </w:rPr>
              <w:t xml:space="preserve">السادس </w:t>
            </w:r>
            <w:r>
              <w:rPr>
                <w:rStyle w:val="IndexLink"/>
                <w:rtl w:val="true"/>
              </w:rPr>
              <w:t xml:space="preserve">: </w:t>
            </w:r>
            <w:r>
              <w:rPr>
                <w:rStyle w:val="IndexLink"/>
                <w:rtl w:val="true"/>
              </w:rPr>
              <w:t>عدم المرض أو الرمد الذی یضرّه الصوم</w:t>
            </w:r>
            <w:r>
              <w:rPr>
                <w:rStyle w:val="IndexLink"/>
                <w:rtl w:val="true"/>
              </w:rPr>
              <w:tab/>
            </w:r>
            <w:r>
              <w:rPr>
                <w:rStyle w:val="IndexLink"/>
              </w:rPr>
              <w:t>248</w:t>
            </w:r>
          </w:hyperlink>
        </w:p>
        <w:p>
          <w:pPr>
            <w:pStyle w:val="Contents3"/>
            <w:tabs>
              <w:tab w:val="clear" w:pos="8459"/>
              <w:tab w:val="right" w:pos="9026" w:leader="dot"/>
            </w:tabs>
            <w:rPr/>
          </w:pPr>
          <w:hyperlink w:anchor="__RefHeading___Toc1955200_2322387425">
            <w:r>
              <w:rPr>
                <w:webHidden/>
                <w:rStyle w:val="IndexLink"/>
                <w:rtl w:val="true"/>
              </w:rPr>
              <w:t>عدم الابتلاء بالمزاحم الأهمّ</w:t>
            </w:r>
            <w:r>
              <w:rPr>
                <w:rStyle w:val="IndexLink"/>
                <w:rtl w:val="true"/>
              </w:rPr>
              <w:tab/>
            </w:r>
            <w:r>
              <w:rPr>
                <w:rStyle w:val="IndexLink"/>
              </w:rPr>
              <w:t>250</w:t>
            </w:r>
          </w:hyperlink>
        </w:p>
        <w:p>
          <w:pPr>
            <w:pStyle w:val="Contents3"/>
            <w:tabs>
              <w:tab w:val="clear" w:pos="8459"/>
              <w:tab w:val="right" w:pos="9026" w:leader="dot"/>
            </w:tabs>
            <w:rPr/>
          </w:pPr>
          <w:hyperlink w:anchor="__RefHeading___Toc1955202_2322387425">
            <w:r>
              <w:rPr>
                <w:webHidden/>
                <w:rStyle w:val="IndexLink"/>
                <w:rtl w:val="true"/>
              </w:rPr>
              <w:t>عدم کفایة الضعف فی سقوط الصوم </w:t>
            </w:r>
            <w:r>
              <w:rPr>
                <w:rStyle w:val="IndexLink"/>
                <w:rtl w:val="true"/>
              </w:rPr>
              <w:tab/>
            </w:r>
            <w:r>
              <w:rPr>
                <w:rStyle w:val="IndexLink"/>
              </w:rPr>
              <w:t>250</w:t>
            </w:r>
          </w:hyperlink>
        </w:p>
        <w:p>
          <w:pPr>
            <w:pStyle w:val="Contents3"/>
            <w:tabs>
              <w:tab w:val="clear" w:pos="8459"/>
              <w:tab w:val="right" w:pos="9026" w:leader="dot"/>
            </w:tabs>
            <w:rPr/>
          </w:pPr>
          <w:hyperlink w:anchor="__RefHeading___Toc1955204_2322387425">
            <w:r>
              <w:rPr>
                <w:webHidden/>
                <w:rStyle w:val="IndexLink"/>
                <w:rtl w:val="true"/>
              </w:rPr>
              <w:t>الصوم بزعم عدم الضرر مع انکشاف الخلاف</w:t>
            </w:r>
            <w:r>
              <w:rPr>
                <w:rStyle w:val="IndexLink"/>
                <w:rtl w:val="true"/>
              </w:rPr>
              <w:tab/>
            </w:r>
            <w:r>
              <w:rPr>
                <w:rStyle w:val="IndexLink"/>
              </w:rPr>
              <w:t>251</w:t>
            </w:r>
          </w:hyperlink>
        </w:p>
        <w:p>
          <w:pPr>
            <w:pStyle w:val="Contents3"/>
            <w:tabs>
              <w:tab w:val="clear" w:pos="8459"/>
              <w:tab w:val="right" w:pos="9026" w:leader="dot"/>
            </w:tabs>
            <w:rPr/>
          </w:pPr>
          <w:hyperlink w:anchor="__RefHeading___Toc1955206_2322387425">
            <w:r>
              <w:rPr>
                <w:webHidden/>
                <w:rStyle w:val="IndexLink"/>
                <w:rtl w:val="true"/>
              </w:rPr>
              <w:t>علم المکلف من نفسه خلاف حکم الطبیب</w:t>
            </w:r>
            <w:r>
              <w:rPr>
                <w:rStyle w:val="IndexLink"/>
                <w:rtl w:val="true"/>
              </w:rPr>
              <w:tab/>
            </w:r>
            <w:r>
              <w:rPr>
                <w:rStyle w:val="IndexLink"/>
              </w:rPr>
              <w:t>252</w:t>
            </w:r>
          </w:hyperlink>
        </w:p>
        <w:p>
          <w:pPr>
            <w:pStyle w:val="Contents3"/>
            <w:tabs>
              <w:tab w:val="clear" w:pos="8459"/>
              <w:tab w:val="right" w:pos="9026" w:leader="dot"/>
            </w:tabs>
            <w:rPr/>
          </w:pPr>
          <w:hyperlink w:anchor="__RefHeading___Toc1955208_2322387425">
            <w:r>
              <w:rPr>
                <w:webHidden/>
                <w:rStyle w:val="IndexLink"/>
                <w:rtl w:val="true"/>
              </w:rPr>
              <w:t>صحة الصوم من النائم تمام النهار مع سبق النیة</w:t>
            </w:r>
            <w:r>
              <w:rPr>
                <w:rStyle w:val="IndexLink"/>
                <w:rtl w:val="true"/>
              </w:rPr>
              <w:tab/>
            </w:r>
            <w:r>
              <w:rPr>
                <w:rStyle w:val="IndexLink"/>
              </w:rPr>
              <w:t>252</w:t>
            </w:r>
          </w:hyperlink>
        </w:p>
        <w:p>
          <w:pPr>
            <w:pStyle w:val="Contents3"/>
            <w:tabs>
              <w:tab w:val="clear" w:pos="8459"/>
              <w:tab w:val="right" w:pos="9026" w:leader="dot"/>
            </w:tabs>
            <w:rPr/>
          </w:pPr>
          <w:hyperlink w:anchor="__RefHeading___Toc1955210_2322387425">
            <w:r>
              <w:rPr>
                <w:webHidden/>
                <w:rStyle w:val="IndexLink"/>
                <w:rtl w:val="true"/>
              </w:rPr>
              <w:t>صحة صوم الصبی الممیز</w:t>
            </w:r>
            <w:r>
              <w:rPr>
                <w:rStyle w:val="IndexLink"/>
                <w:rtl w:val="true"/>
              </w:rPr>
              <w:tab/>
            </w:r>
            <w:r>
              <w:rPr>
                <w:rStyle w:val="IndexLink"/>
              </w:rPr>
              <w:t>253</w:t>
            </w:r>
          </w:hyperlink>
        </w:p>
        <w:p>
          <w:pPr>
            <w:pStyle w:val="Contents3"/>
            <w:tabs>
              <w:tab w:val="clear" w:pos="8459"/>
              <w:tab w:val="right" w:pos="9026" w:leader="dot"/>
            </w:tabs>
            <w:rPr/>
          </w:pPr>
          <w:hyperlink w:anchor="__RefHeading___Toc1955212_2322387425">
            <w:r>
              <w:rPr>
                <w:webHidden/>
                <w:rStyle w:val="IndexLink"/>
                <w:rtl w:val="true"/>
              </w:rPr>
              <w:t>عدم جواز الصوم المندوب وعلیه صوم واجب</w:t>
            </w:r>
            <w:r>
              <w:rPr>
                <w:rStyle w:val="IndexLink"/>
                <w:rtl w:val="true"/>
              </w:rPr>
              <w:tab/>
            </w:r>
            <w:r>
              <w:rPr>
                <w:rStyle w:val="IndexLink"/>
              </w:rPr>
              <w:t>254</w:t>
            </w:r>
          </w:hyperlink>
        </w:p>
        <w:p>
          <w:pPr>
            <w:pStyle w:val="Contents3"/>
            <w:tabs>
              <w:tab w:val="clear" w:pos="8459"/>
              <w:tab w:val="right" w:pos="9026" w:leader="dot"/>
            </w:tabs>
            <w:rPr/>
          </w:pPr>
          <w:hyperlink w:anchor="__RefHeading___Toc1955214_2322387425">
            <w:r>
              <w:rPr>
                <w:webHidden/>
                <w:rStyle w:val="IndexLink"/>
                <w:rtl w:val="true"/>
              </w:rPr>
              <w:t>استثناء العجز والنسیان من عدم الجواز</w:t>
            </w:r>
            <w:r>
              <w:rPr>
                <w:rStyle w:val="IndexLink"/>
                <w:rtl w:val="true"/>
              </w:rPr>
              <w:tab/>
            </w:r>
            <w:r>
              <w:rPr>
                <w:rStyle w:val="IndexLink"/>
              </w:rPr>
              <w:t>255</w:t>
            </w:r>
          </w:hyperlink>
        </w:p>
        <w:p>
          <w:pPr>
            <w:pStyle w:val="Contents3"/>
            <w:tabs>
              <w:tab w:val="clear" w:pos="8459"/>
              <w:tab w:val="right" w:pos="9026" w:leader="dot"/>
            </w:tabs>
            <w:rPr/>
          </w:pPr>
          <w:hyperlink w:anchor="__RefHeading___Toc1955216_2322387425">
            <w:r>
              <w:rPr>
                <w:webHidden/>
                <w:rStyle w:val="IndexLink"/>
                <w:rtl w:val="true"/>
              </w:rPr>
              <w:t>حکم نذر صوم التطوّع ممّن علیه الفرض</w:t>
            </w:r>
            <w:r>
              <w:rPr>
                <w:rStyle w:val="IndexLink"/>
                <w:rtl w:val="true"/>
              </w:rPr>
              <w:tab/>
            </w:r>
            <w:r>
              <w:rPr>
                <w:rStyle w:val="IndexLink"/>
              </w:rPr>
              <w:t>256</w:t>
            </w:r>
          </w:hyperlink>
        </w:p>
        <w:p>
          <w:pPr>
            <w:pStyle w:val="Contents3"/>
            <w:tabs>
              <w:tab w:val="clear" w:pos="8459"/>
              <w:tab w:val="right" w:pos="9026" w:leader="dot"/>
            </w:tabs>
            <w:rPr/>
          </w:pPr>
          <w:hyperlink w:anchor="__RefHeading___Toc1955218_2322387425">
            <w:r>
              <w:rPr>
                <w:webHidden/>
                <w:rStyle w:val="IndexLink"/>
                <w:rtl w:val="true"/>
              </w:rPr>
              <w:t>حکم التطوّع بالصوم ممّن علیه صوم واجب بالاستئجار</w:t>
            </w:r>
            <w:r>
              <w:rPr>
                <w:rStyle w:val="IndexLink"/>
                <w:rtl w:val="true"/>
              </w:rPr>
              <w:tab/>
            </w:r>
            <w:r>
              <w:rPr>
                <w:rStyle w:val="IndexLink"/>
              </w:rPr>
              <w:t>259</w:t>
            </w:r>
          </w:hyperlink>
        </w:p>
        <w:p>
          <w:pPr>
            <w:pStyle w:val="Contents2"/>
            <w:tabs>
              <w:tab w:val="clear" w:pos="8743"/>
              <w:tab w:val="right" w:pos="9026" w:leader="dot"/>
            </w:tabs>
            <w:rPr/>
          </w:pPr>
          <w:hyperlink w:anchor="__RefHeading___Toc1955220_2322387425">
            <w:r>
              <w:rPr>
                <w:webHidden/>
                <w:rStyle w:val="IndexLink"/>
                <w:rtl w:val="true"/>
              </w:rPr>
              <w:t>فصل</w:t>
            </w:r>
            <w:r>
              <w:rPr>
                <w:rStyle w:val="IndexLink"/>
                <w:rtl w:val="true"/>
              </w:rPr>
              <w:t xml:space="preserve">: </w:t>
            </w:r>
            <w:r>
              <w:rPr>
                <w:rStyle w:val="IndexLink"/>
                <w:rtl w:val="true"/>
              </w:rPr>
              <w:t>فی شرائط وجوب الصوم</w:t>
            </w:r>
            <w:r>
              <w:rPr>
                <w:rStyle w:val="IndexLink"/>
                <w:rtl w:val="true"/>
              </w:rPr>
              <w:tab/>
            </w:r>
            <w:r>
              <w:rPr>
                <w:rStyle w:val="IndexLink"/>
              </w:rPr>
              <w:t>260</w:t>
            </w:r>
          </w:hyperlink>
        </w:p>
        <w:p>
          <w:pPr>
            <w:pStyle w:val="Contents3"/>
            <w:tabs>
              <w:tab w:val="clear" w:pos="8459"/>
              <w:tab w:val="right" w:pos="9026" w:leader="dot"/>
            </w:tabs>
            <w:rPr/>
          </w:pPr>
          <w:hyperlink w:anchor="__RefHeading___Toc1955222_2322387425">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955224_2322387425">
            <w:r>
              <w:rPr>
                <w:webHidden/>
                <w:rStyle w:val="IndexLink"/>
                <w:rtl w:val="true"/>
              </w:rPr>
              <w:t xml:space="preserve">الأول والثانی </w:t>
            </w:r>
            <w:r>
              <w:rPr>
                <w:rStyle w:val="IndexLink"/>
                <w:rtl w:val="true"/>
              </w:rPr>
              <w:t xml:space="preserve">: </w:t>
            </w:r>
            <w:r>
              <w:rPr>
                <w:rStyle w:val="IndexLink"/>
                <w:rtl w:val="true"/>
              </w:rPr>
              <w:t>البلوغ والعقل</w:t>
            </w:r>
            <w:r>
              <w:rPr>
                <w:rStyle w:val="IndexLink"/>
                <w:rtl w:val="true"/>
              </w:rPr>
              <w:tab/>
            </w:r>
            <w:r>
              <w:rPr>
                <w:rStyle w:val="IndexLink"/>
              </w:rPr>
              <w:t>260</w:t>
            </w:r>
          </w:hyperlink>
        </w:p>
        <w:p>
          <w:pPr>
            <w:pStyle w:val="Contents3"/>
            <w:tabs>
              <w:tab w:val="clear" w:pos="8459"/>
              <w:tab w:val="right" w:pos="9026" w:leader="dot"/>
            </w:tabs>
            <w:rPr/>
          </w:pPr>
          <w:hyperlink w:anchor="__RefHeading___Toc1955226_2322387425">
            <w:r>
              <w:rPr>
                <w:webHidden/>
                <w:rStyle w:val="IndexLink"/>
                <w:rtl w:val="true"/>
              </w:rPr>
              <w:t>الصبی والمجنون إذا کملا بعد طلوع الفجر ولم یأتیا بالمفطر</w:t>
            </w:r>
            <w:r>
              <w:rPr>
                <w:rStyle w:val="IndexLink"/>
                <w:rtl w:val="true"/>
              </w:rPr>
              <w:tab/>
            </w:r>
            <w:r>
              <w:rPr>
                <w:rStyle w:val="IndexLink"/>
              </w:rPr>
              <w:t>260</w:t>
            </w:r>
          </w:hyperlink>
        </w:p>
        <w:p>
          <w:pPr>
            <w:pStyle w:val="Contents3"/>
            <w:tabs>
              <w:tab w:val="clear" w:pos="8459"/>
              <w:tab w:val="right" w:pos="9026" w:leader="dot"/>
            </w:tabs>
            <w:rPr/>
          </w:pPr>
          <w:hyperlink w:anchor="__RefHeading___Toc1955228_2322387425">
            <w:r>
              <w:rPr>
                <w:webHidden/>
                <w:rStyle w:val="IndexLink"/>
                <w:rtl w:val="true"/>
              </w:rPr>
              <w:t xml:space="preserve">الثالث </w:t>
            </w:r>
            <w:r>
              <w:rPr>
                <w:rStyle w:val="IndexLink"/>
                <w:rtl w:val="true"/>
              </w:rPr>
              <w:t xml:space="preserve">: </w:t>
            </w:r>
            <w:r>
              <w:rPr>
                <w:rStyle w:val="IndexLink"/>
                <w:rtl w:val="true"/>
              </w:rPr>
              <w:t>عدم الإغماء</w:t>
            </w:r>
            <w:r>
              <w:rPr>
                <w:rStyle w:val="IndexLink"/>
                <w:rtl w:val="true"/>
              </w:rPr>
              <w:tab/>
            </w:r>
            <w:r>
              <w:rPr>
                <w:rStyle w:val="IndexLink"/>
              </w:rPr>
              <w:t>262</w:t>
            </w:r>
          </w:hyperlink>
        </w:p>
        <w:p>
          <w:pPr>
            <w:pStyle w:val="Contents3"/>
            <w:tabs>
              <w:tab w:val="clear" w:pos="8459"/>
              <w:tab w:val="right" w:pos="9026" w:leader="dot"/>
            </w:tabs>
            <w:rPr/>
          </w:pPr>
          <w:hyperlink w:anchor="__RefHeading___Toc1955230_2322387425">
            <w:r>
              <w:rPr>
                <w:webHidden/>
                <w:rStyle w:val="IndexLink"/>
                <w:rtl w:val="true"/>
              </w:rPr>
              <w:t xml:space="preserve">الرابع </w:t>
            </w:r>
            <w:r>
              <w:rPr>
                <w:rStyle w:val="IndexLink"/>
                <w:rtl w:val="true"/>
              </w:rPr>
              <w:t xml:space="preserve">: </w:t>
            </w:r>
            <w:r>
              <w:rPr>
                <w:rStyle w:val="IndexLink"/>
                <w:rtl w:val="true"/>
              </w:rPr>
              <w:t>عدم المرض</w:t>
            </w:r>
            <w:r>
              <w:rPr>
                <w:rStyle w:val="IndexLink"/>
                <w:rtl w:val="true"/>
              </w:rPr>
              <w:tab/>
            </w:r>
            <w:r>
              <w:rPr>
                <w:rStyle w:val="IndexLink"/>
              </w:rPr>
              <w:t>263</w:t>
            </w:r>
          </w:hyperlink>
        </w:p>
        <w:p>
          <w:pPr>
            <w:pStyle w:val="Contents3"/>
            <w:tabs>
              <w:tab w:val="clear" w:pos="8459"/>
              <w:tab w:val="right" w:pos="9026" w:leader="dot"/>
            </w:tabs>
            <w:rPr/>
          </w:pPr>
          <w:hyperlink w:anchor="__RefHeading___Toc1955232_2322387425">
            <w:r>
              <w:rPr>
                <w:webHidden/>
                <w:rStyle w:val="IndexLink"/>
                <w:rtl w:val="true"/>
              </w:rPr>
              <w:t>حکم مَن برئ بعد الزوال ولم یتناول شیئاً أو برئ قبله</w:t>
            </w:r>
            <w:r>
              <w:rPr>
                <w:rStyle w:val="IndexLink"/>
                <w:rtl w:val="true"/>
              </w:rPr>
              <w:tab/>
            </w:r>
            <w:r>
              <w:rPr>
                <w:rStyle w:val="IndexLink"/>
              </w:rPr>
              <w:t>263</w:t>
            </w:r>
          </w:hyperlink>
        </w:p>
        <w:p>
          <w:pPr>
            <w:pStyle w:val="Contents3"/>
            <w:tabs>
              <w:tab w:val="clear" w:pos="8459"/>
              <w:tab w:val="right" w:pos="9026" w:leader="dot"/>
            </w:tabs>
            <w:rPr/>
          </w:pPr>
          <w:hyperlink w:anchor="__RefHeading___Toc1955234_2322387425">
            <w:r>
              <w:rPr>
                <w:webHidden/>
                <w:rStyle w:val="IndexLink"/>
                <w:rtl w:val="true"/>
              </w:rPr>
              <w:t xml:space="preserve">الخامس </w:t>
            </w:r>
            <w:r>
              <w:rPr>
                <w:rStyle w:val="IndexLink"/>
                <w:rtl w:val="true"/>
              </w:rPr>
              <w:t xml:space="preserve">: </w:t>
            </w:r>
            <w:r>
              <w:rPr>
                <w:rStyle w:val="IndexLink"/>
                <w:rtl w:val="true"/>
              </w:rPr>
              <w:t>الخلوّ من الحیض والنفاس</w:t>
            </w:r>
            <w:r>
              <w:rPr>
                <w:rStyle w:val="IndexLink"/>
                <w:rtl w:val="true"/>
              </w:rPr>
              <w:tab/>
            </w:r>
            <w:r>
              <w:rPr>
                <w:rStyle w:val="IndexLink"/>
              </w:rPr>
              <w:t>265</w:t>
            </w:r>
          </w:hyperlink>
        </w:p>
        <w:p>
          <w:pPr>
            <w:pStyle w:val="Contents3"/>
            <w:tabs>
              <w:tab w:val="clear" w:pos="8459"/>
              <w:tab w:val="right" w:pos="9026" w:leader="dot"/>
            </w:tabs>
            <w:rPr/>
          </w:pPr>
          <w:hyperlink w:anchor="__RefHeading___Toc1955236_2322387425">
            <w:r>
              <w:rPr>
                <w:webHidden/>
                <w:rStyle w:val="IndexLink"/>
                <w:rtl w:val="true"/>
              </w:rPr>
              <w:t xml:space="preserve">السادس </w:t>
            </w:r>
            <w:r>
              <w:rPr>
                <w:rStyle w:val="IndexLink"/>
                <w:rtl w:val="true"/>
              </w:rPr>
              <w:t xml:space="preserve">: </w:t>
            </w:r>
            <w:r>
              <w:rPr>
                <w:rStyle w:val="IndexLink"/>
                <w:rtl w:val="true"/>
              </w:rPr>
              <w:t>الحَضَر</w:t>
            </w:r>
            <w:r>
              <w:rPr>
                <w:rStyle w:val="IndexLink"/>
                <w:rtl w:val="true"/>
              </w:rPr>
              <w:tab/>
            </w:r>
            <w:r>
              <w:rPr>
                <w:rStyle w:val="IndexLink"/>
              </w:rPr>
              <w:t>265</w:t>
            </w:r>
          </w:hyperlink>
        </w:p>
        <w:p>
          <w:pPr>
            <w:pStyle w:val="Contents3"/>
            <w:tabs>
              <w:tab w:val="clear" w:pos="8459"/>
              <w:tab w:val="right" w:pos="9026" w:leader="dot"/>
            </w:tabs>
            <w:rPr/>
          </w:pPr>
          <w:hyperlink w:anchor="__RefHeading___Toc1955238_2322387425">
            <w:r>
              <w:rPr>
                <w:webHidden/>
                <w:rStyle w:val="IndexLink"/>
                <w:rtl w:val="true"/>
              </w:rPr>
              <w:t>حکم المسافر قبل وبعد الزوال</w:t>
            </w:r>
            <w:r>
              <w:rPr>
                <w:rStyle w:val="IndexLink"/>
                <w:rtl w:val="true"/>
              </w:rPr>
              <w:tab/>
            </w:r>
            <w:r>
              <w:rPr>
                <w:rStyle w:val="IndexLink"/>
              </w:rPr>
              <w:t>265</w:t>
            </w:r>
          </w:hyperlink>
        </w:p>
        <w:p>
          <w:pPr>
            <w:pStyle w:val="Contents3"/>
            <w:tabs>
              <w:tab w:val="clear" w:pos="8459"/>
              <w:tab w:val="right" w:pos="9026" w:leader="dot"/>
            </w:tabs>
            <w:rPr/>
          </w:pPr>
          <w:hyperlink w:anchor="__RefHeading___Toc1955240_2322387425">
            <w:r>
              <w:rPr>
                <w:webHidden/>
                <w:rStyle w:val="IndexLink"/>
                <w:rtl w:val="true"/>
              </w:rPr>
              <w:t>حکم القادم قبل وبعد الزوال</w:t>
            </w:r>
            <w:r>
              <w:rPr>
                <w:rStyle w:val="IndexLink"/>
                <w:rtl w:val="true"/>
              </w:rPr>
              <w:tab/>
            </w:r>
            <w:r>
              <w:rPr>
                <w:rStyle w:val="IndexLink"/>
              </w:rPr>
              <w:t>265</w:t>
            </w:r>
          </w:hyperlink>
        </w:p>
        <w:p>
          <w:pPr>
            <w:pStyle w:val="Contents3"/>
            <w:tabs>
              <w:tab w:val="clear" w:pos="8459"/>
              <w:tab w:val="right" w:pos="9026" w:leader="dot"/>
            </w:tabs>
            <w:rPr/>
          </w:pPr>
          <w:hyperlink w:anchor="__RefHeading___Toc1955242_2322387425">
            <w:r>
              <w:rPr>
                <w:webHidden/>
                <w:rStyle w:val="IndexLink"/>
                <w:rtl w:val="true"/>
              </w:rPr>
              <w:t>استحباب الإمساک بقیة النهار للقادم من السفر مفطراً </w:t>
            </w:r>
            <w:r>
              <w:rPr>
                <w:rStyle w:val="IndexLink"/>
                <w:rtl w:val="true"/>
              </w:rPr>
              <w:tab/>
            </w:r>
            <w:r>
              <w:rPr>
                <w:rStyle w:val="IndexLink"/>
              </w:rPr>
              <w:t>266</w:t>
            </w:r>
          </w:hyperlink>
        </w:p>
        <w:p>
          <w:pPr>
            <w:pStyle w:val="Contents3"/>
            <w:tabs>
              <w:tab w:val="clear" w:pos="8459"/>
              <w:tab w:val="right" w:pos="9026" w:leader="dot"/>
            </w:tabs>
            <w:rPr/>
          </w:pPr>
          <w:hyperlink w:anchor="__RefHeading___Toc1955244_2322387425">
            <w:r>
              <w:rPr>
                <w:webHidden/>
                <w:rStyle w:val="IndexLink"/>
                <w:rtl w:val="true"/>
              </w:rPr>
              <w:t>المستثنیات من قاعدة التلازم بین إتمام الصلاة والصوم وقصرها والإفطار</w:t>
            </w:r>
            <w:r>
              <w:rPr>
                <w:rStyle w:val="IndexLink"/>
                <w:rtl w:val="true"/>
              </w:rPr>
              <w:tab/>
            </w:r>
            <w:r>
              <w:rPr>
                <w:rStyle w:val="IndexLink"/>
              </w:rPr>
              <w:t>266</w:t>
            </w:r>
          </w:hyperlink>
        </w:p>
        <w:p>
          <w:pPr>
            <w:pStyle w:val="Contents3"/>
            <w:tabs>
              <w:tab w:val="clear" w:pos="8459"/>
              <w:tab w:val="right" w:pos="9026" w:leader="dot"/>
            </w:tabs>
            <w:rPr/>
          </w:pPr>
          <w:hyperlink w:anchor="__RefHeading___Toc1955246_2322387425">
            <w:r>
              <w:rPr>
                <w:webHidden/>
                <w:rStyle w:val="IndexLink"/>
                <w:rtl w:val="true"/>
              </w:rPr>
              <w:t>عدم جواز الإفطار للمسافر قبل حدّ الترخّص</w:t>
            </w:r>
            <w:r>
              <w:rPr>
                <w:rStyle w:val="IndexLink"/>
                <w:rtl w:val="true"/>
              </w:rPr>
              <w:tab/>
            </w:r>
            <w:r>
              <w:rPr>
                <w:rStyle w:val="IndexLink"/>
              </w:rPr>
              <w:t>267</w:t>
            </w:r>
          </w:hyperlink>
        </w:p>
        <w:p>
          <w:pPr>
            <w:pStyle w:val="Contents3"/>
            <w:tabs>
              <w:tab w:val="clear" w:pos="8459"/>
              <w:tab w:val="right" w:pos="9026" w:leader="dot"/>
            </w:tabs>
            <w:rPr/>
          </w:pPr>
          <w:hyperlink w:anchor="__RefHeading___Toc1955248_2322387425">
            <w:r>
              <w:rPr>
                <w:webHidden/>
                <w:rStyle w:val="IndexLink"/>
                <w:rtl w:val="true"/>
              </w:rPr>
              <w:t>حکم السفر اختیاراً فی شهر رمضان وغیره من الواجب المعیّن</w:t>
            </w:r>
            <w:r>
              <w:rPr>
                <w:rStyle w:val="IndexLink"/>
                <w:rtl w:val="true"/>
              </w:rPr>
              <w:tab/>
            </w:r>
            <w:r>
              <w:rPr>
                <w:rStyle w:val="IndexLink"/>
              </w:rPr>
              <w:t>267</w:t>
            </w:r>
          </w:hyperlink>
        </w:p>
        <w:p>
          <w:pPr>
            <w:pStyle w:val="Contents3"/>
            <w:tabs>
              <w:tab w:val="clear" w:pos="8459"/>
              <w:tab w:val="right" w:pos="9026" w:leader="dot"/>
            </w:tabs>
            <w:rPr/>
          </w:pPr>
          <w:hyperlink w:anchor="__RefHeading___Toc1955250_2322387425">
            <w:r>
              <w:rPr>
                <w:webHidden/>
                <w:rStyle w:val="IndexLink"/>
                <w:rtl w:val="true"/>
              </w:rPr>
              <w:t>کراهة السفر فی شهر رمضان</w:t>
            </w:r>
            <w:r>
              <w:rPr>
                <w:rStyle w:val="IndexLink"/>
                <w:rtl w:val="true"/>
              </w:rPr>
              <w:tab/>
            </w:r>
            <w:r>
              <w:rPr>
                <w:rStyle w:val="IndexLink"/>
              </w:rPr>
              <w:t>269</w:t>
            </w:r>
          </w:hyperlink>
        </w:p>
        <w:p>
          <w:pPr>
            <w:pStyle w:val="Contents3"/>
            <w:tabs>
              <w:tab w:val="clear" w:pos="8459"/>
              <w:tab w:val="right" w:pos="9026" w:leader="dot"/>
            </w:tabs>
            <w:rPr/>
          </w:pPr>
          <w:hyperlink w:anchor="__RefHeading___Toc1955252_2322387425">
            <w:r>
              <w:rPr>
                <w:webHidden/>
                <w:rStyle w:val="IndexLink"/>
                <w:rtl w:val="true"/>
              </w:rPr>
              <w:t>کراهة الجماع والتملّی من الطعام والشراب من غیر الصائم</w:t>
            </w:r>
            <w:r>
              <w:rPr>
                <w:rStyle w:val="IndexLink"/>
                <w:rtl w:val="true"/>
              </w:rPr>
              <w:tab/>
            </w:r>
            <w:r>
              <w:rPr>
                <w:rStyle w:val="IndexLink"/>
              </w:rPr>
              <w:t>269</w:t>
            </w:r>
          </w:hyperlink>
        </w:p>
        <w:p>
          <w:pPr>
            <w:pStyle w:val="Contents2"/>
            <w:tabs>
              <w:tab w:val="clear" w:pos="8743"/>
              <w:tab w:val="right" w:pos="9026" w:leader="dot"/>
            </w:tabs>
            <w:rPr/>
          </w:pPr>
          <w:hyperlink w:anchor="__RefHeading___Toc1955254_2322387425">
            <w:r>
              <w:rPr>
                <w:webHidden/>
                <w:rStyle w:val="IndexLink"/>
                <w:rtl w:val="true"/>
              </w:rPr>
              <w:t>فصل</w:t>
            </w:r>
            <w:r>
              <w:rPr>
                <w:rStyle w:val="IndexLink"/>
                <w:rtl w:val="true"/>
              </w:rPr>
              <w:t xml:space="preserve">: </w:t>
            </w:r>
            <w:r>
              <w:rPr>
                <w:rStyle w:val="IndexLink"/>
                <w:rtl w:val="true"/>
              </w:rPr>
              <w:t>فی موارد جواز أو وجوب الإفطار</w:t>
            </w:r>
            <w:r>
              <w:rPr>
                <w:rStyle w:val="IndexLink"/>
                <w:rtl w:val="true"/>
              </w:rPr>
              <w:tab/>
            </w:r>
            <w:r>
              <w:rPr>
                <w:rStyle w:val="IndexLink"/>
              </w:rPr>
              <w:t>270</w:t>
            </w:r>
          </w:hyperlink>
        </w:p>
        <w:p>
          <w:pPr>
            <w:pStyle w:val="Contents3"/>
            <w:tabs>
              <w:tab w:val="clear" w:pos="8459"/>
              <w:tab w:val="right" w:pos="9026" w:leader="dot"/>
            </w:tabs>
            <w:rPr/>
          </w:pPr>
          <w:hyperlink w:anchor="__RefHeading___Toc1955256_2322387425">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955258_2322387425">
            <w:r>
              <w:rPr>
                <w:webHidden/>
                <w:rStyle w:val="IndexLink"/>
                <w:rtl w:val="true"/>
              </w:rPr>
              <w:t xml:space="preserve">الأول والثانی </w:t>
            </w:r>
            <w:r>
              <w:rPr>
                <w:rStyle w:val="IndexLink"/>
                <w:rtl w:val="true"/>
              </w:rPr>
              <w:t xml:space="preserve">: </w:t>
            </w:r>
            <w:r>
              <w:rPr>
                <w:rStyle w:val="IndexLink"/>
                <w:rtl w:val="true"/>
              </w:rPr>
              <w:t>الشیخ والشیخة فی صورة التعذّر والمشقّة</w:t>
            </w:r>
            <w:r>
              <w:rPr>
                <w:rStyle w:val="IndexLink"/>
                <w:rtl w:val="true"/>
              </w:rPr>
              <w:tab/>
            </w:r>
            <w:r>
              <w:rPr>
                <w:rStyle w:val="IndexLink"/>
              </w:rPr>
              <w:t>270</w:t>
            </w:r>
          </w:hyperlink>
        </w:p>
        <w:p>
          <w:pPr>
            <w:pStyle w:val="Contents3"/>
            <w:tabs>
              <w:tab w:val="clear" w:pos="8459"/>
              <w:tab w:val="right" w:pos="9026" w:leader="dot"/>
            </w:tabs>
            <w:rPr/>
          </w:pPr>
          <w:hyperlink w:anchor="__RefHeading___Toc1955260_2322387425">
            <w:r>
              <w:rPr>
                <w:webHidden/>
                <w:rStyle w:val="IndexLink"/>
                <w:rtl w:val="true"/>
              </w:rPr>
              <w:t>اعتبار دفع الفدیة وبیان قدرها ونوعها</w:t>
            </w:r>
            <w:r>
              <w:rPr>
                <w:rStyle w:val="IndexLink"/>
                <w:rtl w:val="true"/>
              </w:rPr>
              <w:tab/>
            </w:r>
            <w:r>
              <w:rPr>
                <w:rStyle w:val="IndexLink"/>
              </w:rPr>
              <w:t>271</w:t>
            </w:r>
          </w:hyperlink>
        </w:p>
        <w:p>
          <w:pPr>
            <w:pStyle w:val="Contents3"/>
            <w:tabs>
              <w:tab w:val="clear" w:pos="8459"/>
              <w:tab w:val="right" w:pos="9026" w:leader="dot"/>
            </w:tabs>
            <w:rPr/>
          </w:pPr>
          <w:hyperlink w:anchor="__RefHeading___Toc1955262_2322387425">
            <w:r>
              <w:rPr>
                <w:webHidden/>
                <w:rStyle w:val="IndexLink"/>
                <w:rtl w:val="true"/>
              </w:rPr>
              <w:t>الحکم بالقضاء فی صورة تجدّد القدرة فی الشیخ والشیخة</w:t>
            </w:r>
            <w:r>
              <w:rPr>
                <w:rStyle w:val="IndexLink"/>
                <w:rtl w:val="true"/>
              </w:rPr>
              <w:tab/>
            </w:r>
            <w:r>
              <w:rPr>
                <w:rStyle w:val="IndexLink"/>
              </w:rPr>
              <w:t>271</w:t>
            </w:r>
          </w:hyperlink>
        </w:p>
        <w:p>
          <w:pPr>
            <w:pStyle w:val="Contents3"/>
            <w:tabs>
              <w:tab w:val="clear" w:pos="8459"/>
              <w:tab w:val="right" w:pos="9026" w:leader="dot"/>
            </w:tabs>
            <w:rPr/>
          </w:pPr>
          <w:hyperlink w:anchor="__RefHeading___Toc1955264_2322387425">
            <w:r>
              <w:rPr>
                <w:webHidden/>
                <w:rStyle w:val="IndexLink"/>
                <w:rtl w:val="true"/>
              </w:rPr>
              <w:t xml:space="preserve">الثالث </w:t>
            </w:r>
            <w:r>
              <w:rPr>
                <w:rStyle w:val="IndexLink"/>
                <w:rtl w:val="true"/>
              </w:rPr>
              <w:t xml:space="preserve">: </w:t>
            </w:r>
            <w:r>
              <w:rPr>
                <w:rStyle w:val="IndexLink"/>
                <w:rtl w:val="true"/>
              </w:rPr>
              <w:t>من به داء العطش</w:t>
            </w:r>
            <w:r>
              <w:rPr>
                <w:rStyle w:val="IndexLink"/>
                <w:rtl w:val="true"/>
              </w:rPr>
              <w:tab/>
            </w:r>
            <w:r>
              <w:rPr>
                <w:rStyle w:val="IndexLink"/>
              </w:rPr>
              <w:t>272</w:t>
            </w:r>
          </w:hyperlink>
        </w:p>
        <w:p>
          <w:pPr>
            <w:pStyle w:val="Contents3"/>
            <w:tabs>
              <w:tab w:val="clear" w:pos="8459"/>
              <w:tab w:val="right" w:pos="9026" w:leader="dot"/>
            </w:tabs>
            <w:rPr/>
          </w:pPr>
          <w:hyperlink w:anchor="__RefHeading___Toc1955266_2322387425">
            <w:r>
              <w:rPr>
                <w:webHidden/>
                <w:rStyle w:val="IndexLink"/>
                <w:rtl w:val="true"/>
              </w:rPr>
              <w:t xml:space="preserve">الرابع </w:t>
            </w:r>
            <w:r>
              <w:rPr>
                <w:rStyle w:val="IndexLink"/>
                <w:rtl w:val="true"/>
              </w:rPr>
              <w:t xml:space="preserve">: </w:t>
            </w:r>
            <w:r>
              <w:rPr>
                <w:rStyle w:val="IndexLink"/>
                <w:rtl w:val="true"/>
              </w:rPr>
              <w:t>الحامل المقرب</w:t>
            </w:r>
            <w:r>
              <w:rPr>
                <w:rStyle w:val="IndexLink"/>
                <w:rtl w:val="true"/>
              </w:rPr>
              <w:tab/>
            </w:r>
            <w:r>
              <w:rPr>
                <w:rStyle w:val="IndexLink"/>
              </w:rPr>
              <w:t>273</w:t>
            </w:r>
          </w:hyperlink>
        </w:p>
        <w:p>
          <w:pPr>
            <w:pStyle w:val="Contents4"/>
            <w:tabs>
              <w:tab w:val="clear" w:pos="8176"/>
              <w:tab w:val="right" w:pos="9026" w:leader="dot"/>
            </w:tabs>
            <w:rPr/>
          </w:pPr>
          <w:hyperlink w:anchor="__RefHeading___Toc1955268_2322387425">
            <w:r>
              <w:rPr>
                <w:webHidden/>
                <w:rStyle w:val="IndexLink"/>
                <w:rtl w:val="true"/>
              </w:rPr>
              <w:t>وجوب الصدقة والقضاء علیها</w:t>
            </w:r>
            <w:r>
              <w:rPr>
                <w:rStyle w:val="IndexLink"/>
                <w:rtl w:val="true"/>
              </w:rPr>
              <w:tab/>
            </w:r>
            <w:r>
              <w:rPr>
                <w:rStyle w:val="IndexLink"/>
              </w:rPr>
              <w:t>273</w:t>
            </w:r>
          </w:hyperlink>
        </w:p>
        <w:p>
          <w:pPr>
            <w:pStyle w:val="Contents3"/>
            <w:tabs>
              <w:tab w:val="clear" w:pos="8459"/>
              <w:tab w:val="right" w:pos="9026" w:leader="dot"/>
            </w:tabs>
            <w:rPr/>
          </w:pPr>
          <w:hyperlink w:anchor="__RefHeading___Toc1955270_2322387425">
            <w:r>
              <w:rPr>
                <w:webHidden/>
                <w:rStyle w:val="IndexLink"/>
                <w:rtl w:val="true"/>
              </w:rPr>
              <w:t xml:space="preserve">الخامس </w:t>
            </w:r>
            <w:r>
              <w:rPr>
                <w:rStyle w:val="IndexLink"/>
                <w:rtl w:val="true"/>
              </w:rPr>
              <w:t xml:space="preserve">: </w:t>
            </w:r>
            <w:r>
              <w:rPr>
                <w:rStyle w:val="IndexLink"/>
                <w:rtl w:val="true"/>
              </w:rPr>
              <w:t>المرضعة القلیلة اللبن</w:t>
            </w:r>
            <w:r>
              <w:rPr>
                <w:rStyle w:val="IndexLink"/>
                <w:rtl w:val="true"/>
              </w:rPr>
              <w:tab/>
            </w:r>
            <w:r>
              <w:rPr>
                <w:rStyle w:val="IndexLink"/>
              </w:rPr>
              <w:t>274</w:t>
            </w:r>
          </w:hyperlink>
        </w:p>
        <w:p>
          <w:pPr>
            <w:pStyle w:val="Contents2"/>
            <w:tabs>
              <w:tab w:val="clear" w:pos="8743"/>
              <w:tab w:val="right" w:pos="9026" w:leader="dot"/>
            </w:tabs>
            <w:rPr/>
          </w:pPr>
          <w:hyperlink w:anchor="__RefHeading___Toc1955272_2322387425">
            <w:r>
              <w:rPr>
                <w:webHidden/>
                <w:rStyle w:val="IndexLink"/>
                <w:rtl w:val="true"/>
              </w:rPr>
              <w:t>فصل</w:t>
            </w:r>
            <w:r>
              <w:rPr>
                <w:rStyle w:val="IndexLink"/>
                <w:rtl w:val="true"/>
              </w:rPr>
              <w:t xml:space="preserve">: </w:t>
            </w:r>
            <w:r>
              <w:rPr>
                <w:rStyle w:val="IndexLink"/>
                <w:rtl w:val="true"/>
              </w:rPr>
              <w:t>فی طرق ثبوت هلال رمضان وشوّال للصوم والإفطار</w:t>
            </w:r>
            <w:r>
              <w:rPr>
                <w:rStyle w:val="IndexLink"/>
                <w:rtl w:val="true"/>
              </w:rPr>
              <w:tab/>
            </w:r>
            <w:r>
              <w:rPr>
                <w:rStyle w:val="IndexLink"/>
              </w:rPr>
              <w:t>275</w:t>
            </w:r>
          </w:hyperlink>
        </w:p>
        <w:p>
          <w:pPr>
            <w:pStyle w:val="Contents3"/>
            <w:tabs>
              <w:tab w:val="clear" w:pos="8459"/>
              <w:tab w:val="right" w:pos="9026" w:leader="dot"/>
            </w:tabs>
            <w:rPr/>
          </w:pPr>
          <w:hyperlink w:anchor="__RefHeading___Toc1955274_2322387425">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955276_2322387425">
            <w:r>
              <w:rPr>
                <w:webHidden/>
                <w:rStyle w:val="IndexLink"/>
                <w:rtl w:val="true"/>
              </w:rPr>
              <w:t xml:space="preserve">الأول </w:t>
            </w:r>
            <w:r>
              <w:rPr>
                <w:rStyle w:val="IndexLink"/>
                <w:rtl w:val="true"/>
              </w:rPr>
              <w:t xml:space="preserve">: </w:t>
            </w:r>
            <w:r>
              <w:rPr>
                <w:rStyle w:val="IndexLink"/>
                <w:rtl w:val="true"/>
              </w:rPr>
              <w:t>رؤیة المکلّف بنفسه</w:t>
            </w:r>
            <w:r>
              <w:rPr>
                <w:rStyle w:val="IndexLink"/>
                <w:rtl w:val="true"/>
              </w:rPr>
              <w:tab/>
            </w:r>
            <w:r>
              <w:rPr>
                <w:rStyle w:val="IndexLink"/>
              </w:rPr>
              <w:t>275</w:t>
            </w:r>
          </w:hyperlink>
        </w:p>
        <w:p>
          <w:pPr>
            <w:pStyle w:val="Contents3"/>
            <w:tabs>
              <w:tab w:val="clear" w:pos="8459"/>
              <w:tab w:val="right" w:pos="9026" w:leader="dot"/>
            </w:tabs>
            <w:rPr/>
          </w:pPr>
          <w:hyperlink w:anchor="__RefHeading___Toc1955278_2322387425">
            <w:r>
              <w:rPr>
                <w:webHidden/>
                <w:rStyle w:val="IndexLink"/>
                <w:rtl w:val="true"/>
              </w:rPr>
              <w:t xml:space="preserve">الثانی </w:t>
            </w:r>
            <w:r>
              <w:rPr>
                <w:rStyle w:val="IndexLink"/>
                <w:rtl w:val="true"/>
              </w:rPr>
              <w:t xml:space="preserve">: </w:t>
            </w:r>
            <w:r>
              <w:rPr>
                <w:rStyle w:val="IndexLink"/>
                <w:rtl w:val="true"/>
              </w:rPr>
              <w:t>التواتر</w:t>
            </w:r>
            <w:r>
              <w:rPr>
                <w:rStyle w:val="IndexLink"/>
                <w:rtl w:val="true"/>
              </w:rPr>
              <w:tab/>
            </w:r>
            <w:r>
              <w:rPr>
                <w:rStyle w:val="IndexLink"/>
              </w:rPr>
              <w:t>275</w:t>
            </w:r>
          </w:hyperlink>
        </w:p>
        <w:p>
          <w:pPr>
            <w:pStyle w:val="Contents3"/>
            <w:tabs>
              <w:tab w:val="clear" w:pos="8459"/>
              <w:tab w:val="right" w:pos="9026" w:leader="dot"/>
            </w:tabs>
            <w:rPr/>
          </w:pPr>
          <w:hyperlink w:anchor="__RefHeading___Toc1955280_2322387425">
            <w:r>
              <w:rPr>
                <w:webHidden/>
                <w:rStyle w:val="IndexLink"/>
                <w:rtl w:val="true"/>
              </w:rPr>
              <w:t xml:space="preserve">الثالث </w:t>
            </w:r>
            <w:r>
              <w:rPr>
                <w:rStyle w:val="IndexLink"/>
                <w:rtl w:val="true"/>
              </w:rPr>
              <w:t xml:space="preserve">: </w:t>
            </w:r>
            <w:r>
              <w:rPr>
                <w:rStyle w:val="IndexLink"/>
                <w:rtl w:val="true"/>
              </w:rPr>
              <w:t>الشیاع المفید للعلم</w:t>
            </w:r>
            <w:r>
              <w:rPr>
                <w:rStyle w:val="IndexLink"/>
                <w:rtl w:val="true"/>
              </w:rPr>
              <w:tab/>
            </w:r>
            <w:r>
              <w:rPr>
                <w:rStyle w:val="IndexLink"/>
              </w:rPr>
              <w:t>275</w:t>
            </w:r>
          </w:hyperlink>
        </w:p>
        <w:p>
          <w:pPr>
            <w:pStyle w:val="Contents3"/>
            <w:tabs>
              <w:tab w:val="clear" w:pos="8459"/>
              <w:tab w:val="right" w:pos="9026" w:leader="dot"/>
            </w:tabs>
            <w:rPr/>
          </w:pPr>
          <w:hyperlink w:anchor="__RefHeading___Toc1955282_2322387425">
            <w:r>
              <w:rPr>
                <w:webHidden/>
                <w:rStyle w:val="IndexLink"/>
                <w:rtl w:val="true"/>
              </w:rPr>
              <w:t xml:space="preserve">الرابع </w:t>
            </w:r>
            <w:r>
              <w:rPr>
                <w:rStyle w:val="IndexLink"/>
                <w:rtl w:val="true"/>
              </w:rPr>
              <w:t xml:space="preserve">: </w:t>
            </w:r>
            <w:r>
              <w:rPr>
                <w:rStyle w:val="IndexLink"/>
                <w:rtl w:val="true"/>
              </w:rPr>
              <w:t>مضی ثلاثین یوماً من هلال شعبان أو رمضان</w:t>
            </w:r>
            <w:r>
              <w:rPr>
                <w:rStyle w:val="IndexLink"/>
                <w:rtl w:val="true"/>
              </w:rPr>
              <w:tab/>
            </w:r>
            <w:r>
              <w:rPr>
                <w:rStyle w:val="IndexLink"/>
              </w:rPr>
              <w:t>275</w:t>
            </w:r>
          </w:hyperlink>
        </w:p>
        <w:p>
          <w:pPr>
            <w:pStyle w:val="Contents3"/>
            <w:tabs>
              <w:tab w:val="clear" w:pos="8459"/>
              <w:tab w:val="right" w:pos="9026" w:leader="dot"/>
            </w:tabs>
            <w:rPr/>
          </w:pPr>
          <w:hyperlink w:anchor="__RefHeading___Toc1955284_2322387425">
            <w:r>
              <w:rPr>
                <w:webHidden/>
                <w:rStyle w:val="IndexLink"/>
                <w:rtl w:val="true"/>
              </w:rPr>
              <w:t xml:space="preserve">الخامس </w:t>
            </w:r>
            <w:r>
              <w:rPr>
                <w:rStyle w:val="IndexLink"/>
                <w:rtl w:val="true"/>
              </w:rPr>
              <w:t xml:space="preserve">: </w:t>
            </w:r>
            <w:r>
              <w:rPr>
                <w:rStyle w:val="IndexLink"/>
                <w:rtl w:val="true"/>
              </w:rPr>
              <w:t>البیّنة الشرعیة</w:t>
            </w:r>
            <w:r>
              <w:rPr>
                <w:rStyle w:val="IndexLink"/>
                <w:rtl w:val="true"/>
              </w:rPr>
              <w:tab/>
            </w:r>
            <w:r>
              <w:rPr>
                <w:rStyle w:val="IndexLink"/>
              </w:rPr>
              <w:t>275</w:t>
            </w:r>
          </w:hyperlink>
        </w:p>
        <w:p>
          <w:pPr>
            <w:pStyle w:val="Contents4"/>
            <w:tabs>
              <w:tab w:val="clear" w:pos="8176"/>
              <w:tab w:val="right" w:pos="9026" w:leader="dot"/>
            </w:tabs>
            <w:rPr/>
          </w:pPr>
          <w:hyperlink w:anchor="__RefHeading___Toc1955286_2322387425">
            <w:r>
              <w:rPr>
                <w:webHidden/>
                <w:rStyle w:val="IndexLink"/>
                <w:rtl w:val="true"/>
              </w:rPr>
              <w:t>الإشکال فی الأخذ بالبیّنة فی بعض الموارد </w:t>
            </w:r>
            <w:r>
              <w:rPr>
                <w:rStyle w:val="IndexLink"/>
                <w:rtl w:val="true"/>
              </w:rPr>
              <w:tab/>
            </w:r>
            <w:r>
              <w:rPr>
                <w:rStyle w:val="IndexLink"/>
              </w:rPr>
              <w:t>275</w:t>
            </w:r>
          </w:hyperlink>
        </w:p>
        <w:p>
          <w:pPr>
            <w:pStyle w:val="Contents3"/>
            <w:tabs>
              <w:tab w:val="clear" w:pos="8459"/>
              <w:tab w:val="right" w:pos="9026" w:leader="dot"/>
            </w:tabs>
            <w:rPr/>
          </w:pPr>
          <w:hyperlink w:anchor="__RefHeading___Toc1955288_2322387425">
            <w:r>
              <w:rPr>
                <w:webHidden/>
                <w:rStyle w:val="IndexLink"/>
                <w:rtl w:val="true"/>
              </w:rPr>
              <w:t xml:space="preserve">السادس </w:t>
            </w:r>
            <w:r>
              <w:rPr>
                <w:rStyle w:val="IndexLink"/>
                <w:rtl w:val="true"/>
              </w:rPr>
              <w:t xml:space="preserve">: </w:t>
            </w:r>
            <w:r>
              <w:rPr>
                <w:rStyle w:val="IndexLink"/>
                <w:rtl w:val="true"/>
              </w:rPr>
              <w:t>حکم الحاکم</w:t>
            </w:r>
            <w:r>
              <w:rPr>
                <w:rStyle w:val="IndexLink"/>
                <w:rtl w:val="true"/>
              </w:rPr>
              <w:tab/>
            </w:r>
            <w:r>
              <w:rPr>
                <w:rStyle w:val="IndexLink"/>
              </w:rPr>
              <w:t>278</w:t>
            </w:r>
          </w:hyperlink>
        </w:p>
        <w:p>
          <w:pPr>
            <w:pStyle w:val="Contents3"/>
            <w:tabs>
              <w:tab w:val="clear" w:pos="8459"/>
              <w:tab w:val="right" w:pos="9026" w:leader="dot"/>
            </w:tabs>
            <w:rPr/>
          </w:pPr>
          <w:hyperlink w:anchor="__RefHeading___Toc1955290_2322387425">
            <w:r>
              <w:rPr>
                <w:webHidden/>
                <w:rStyle w:val="IndexLink"/>
                <w:rtl w:val="true"/>
              </w:rPr>
              <w:t>حکم استناد الحاکم إلی الشیاع الظنّی</w:t>
            </w:r>
            <w:r>
              <w:rPr>
                <w:rStyle w:val="IndexLink"/>
                <w:rtl w:val="true"/>
              </w:rPr>
              <w:tab/>
            </w:r>
            <w:r>
              <w:rPr>
                <w:rStyle w:val="IndexLink"/>
              </w:rPr>
              <w:t>279</w:t>
            </w:r>
          </w:hyperlink>
        </w:p>
        <w:p>
          <w:pPr>
            <w:pStyle w:val="Contents3"/>
            <w:tabs>
              <w:tab w:val="clear" w:pos="8459"/>
              <w:tab w:val="right" w:pos="9026" w:leader="dot"/>
            </w:tabs>
            <w:rPr/>
          </w:pPr>
          <w:hyperlink w:anchor="__RefHeading___Toc1955292_2322387425">
            <w:r>
              <w:rPr>
                <w:webHidden/>
                <w:rStyle w:val="IndexLink"/>
                <w:rtl w:val="true"/>
              </w:rPr>
              <w:t>عدم ثبوت الهلال بقول المنجّمین ونحوه</w:t>
            </w:r>
            <w:r>
              <w:rPr>
                <w:rStyle w:val="IndexLink"/>
                <w:rtl w:val="true"/>
              </w:rPr>
              <w:tab/>
            </w:r>
            <w:r>
              <w:rPr>
                <w:rStyle w:val="IndexLink"/>
              </w:rPr>
              <w:t>279</w:t>
            </w:r>
          </w:hyperlink>
        </w:p>
        <w:p>
          <w:pPr>
            <w:pStyle w:val="Contents3"/>
            <w:tabs>
              <w:tab w:val="clear" w:pos="8459"/>
              <w:tab w:val="right" w:pos="9026" w:leader="dot"/>
            </w:tabs>
            <w:rPr/>
          </w:pPr>
          <w:hyperlink w:anchor="__RefHeading___Toc1955294_2322387425">
            <w:r>
              <w:rPr>
                <w:webHidden/>
                <w:rStyle w:val="IndexLink"/>
                <w:rtl w:val="true"/>
              </w:rPr>
              <w:t>اعتبار شهادة الشاهدین بالرؤیة حسّاً لا حدساً </w:t>
            </w:r>
            <w:r>
              <w:rPr>
                <w:rStyle w:val="IndexLink"/>
                <w:rtl w:val="true"/>
              </w:rPr>
              <w:tab/>
            </w:r>
            <w:r>
              <w:rPr>
                <w:rStyle w:val="IndexLink"/>
              </w:rPr>
              <w:t>281</w:t>
            </w:r>
          </w:hyperlink>
        </w:p>
        <w:p>
          <w:pPr>
            <w:pStyle w:val="Contents3"/>
            <w:tabs>
              <w:tab w:val="clear" w:pos="8459"/>
              <w:tab w:val="right" w:pos="9026" w:leader="dot"/>
            </w:tabs>
            <w:rPr/>
          </w:pPr>
          <w:hyperlink w:anchor="__RefHeading___Toc1955296_2322387425">
            <w:r>
              <w:rPr>
                <w:webHidden/>
                <w:rStyle w:val="IndexLink"/>
                <w:rtl w:val="true"/>
              </w:rPr>
              <w:t>لو ترک الصوم ثم انکشف بشهادة عدلین ثبوت الهلال</w:t>
            </w:r>
            <w:r>
              <w:rPr>
                <w:rStyle w:val="IndexLink"/>
                <w:rtl w:val="true"/>
              </w:rPr>
              <w:tab/>
            </w:r>
            <w:r>
              <w:rPr>
                <w:rStyle w:val="IndexLink"/>
              </w:rPr>
              <w:t>281</w:t>
            </w:r>
          </w:hyperlink>
        </w:p>
        <w:p>
          <w:pPr>
            <w:pStyle w:val="Contents3"/>
            <w:tabs>
              <w:tab w:val="clear" w:pos="8459"/>
              <w:tab w:val="right" w:pos="9026" w:leader="dot"/>
            </w:tabs>
            <w:rPr/>
          </w:pPr>
          <w:hyperlink w:anchor="__RefHeading___Toc1955298_2322387425">
            <w:r>
              <w:rPr>
                <w:webHidden/>
                <w:rStyle w:val="IndexLink"/>
                <w:rtl w:val="true"/>
              </w:rPr>
              <w:t>نفوذ حکم الحاکم بالهلال فی حق مقلّدیه وغیرهم</w:t>
            </w:r>
            <w:r>
              <w:rPr>
                <w:rStyle w:val="IndexLink"/>
                <w:rtl w:val="true"/>
              </w:rPr>
              <w:tab/>
            </w:r>
            <w:r>
              <w:rPr>
                <w:rStyle w:val="IndexLink"/>
              </w:rPr>
              <w:t>282</w:t>
            </w:r>
          </w:hyperlink>
        </w:p>
        <w:p>
          <w:pPr>
            <w:pStyle w:val="Contents3"/>
            <w:tabs>
              <w:tab w:val="clear" w:pos="8459"/>
              <w:tab w:val="right" w:pos="9026" w:leader="dot"/>
            </w:tabs>
            <w:rPr/>
          </w:pPr>
          <w:hyperlink w:anchor="__RefHeading___Toc1955300_2322387425">
            <w:r>
              <w:rPr>
                <w:webHidden/>
                <w:rStyle w:val="IndexLink"/>
                <w:rtl w:val="true"/>
              </w:rPr>
              <w:t>ثبوت الهلال فی بلد دون بلد اتّحد الاُفق أم لم یتّحد</w:t>
            </w:r>
            <w:r>
              <w:rPr>
                <w:rStyle w:val="IndexLink"/>
                <w:rtl w:val="true"/>
              </w:rPr>
              <w:tab/>
            </w:r>
            <w:r>
              <w:rPr>
                <w:rStyle w:val="IndexLink"/>
              </w:rPr>
              <w:t>282</w:t>
            </w:r>
          </w:hyperlink>
        </w:p>
        <w:p>
          <w:pPr>
            <w:pStyle w:val="Contents3"/>
            <w:tabs>
              <w:tab w:val="clear" w:pos="8459"/>
              <w:tab w:val="right" w:pos="9026" w:leader="dot"/>
            </w:tabs>
            <w:rPr/>
          </w:pPr>
          <w:hyperlink w:anchor="__RefHeading___Toc1955302_2322387425">
            <w:r>
              <w:rPr>
                <w:webHidden/>
                <w:rStyle w:val="IndexLink"/>
                <w:rtl w:val="true"/>
              </w:rPr>
              <w:t>الإخبار بثبوت الهلال بواسطة الآلات والمخترعات</w:t>
            </w:r>
            <w:r>
              <w:rPr>
                <w:rStyle w:val="IndexLink"/>
                <w:rtl w:val="true"/>
              </w:rPr>
              <w:tab/>
            </w:r>
            <w:r>
              <w:rPr>
                <w:rStyle w:val="IndexLink"/>
              </w:rPr>
              <w:t>284</w:t>
            </w:r>
          </w:hyperlink>
        </w:p>
        <w:p>
          <w:pPr>
            <w:pStyle w:val="Contents3"/>
            <w:tabs>
              <w:tab w:val="clear" w:pos="8459"/>
              <w:tab w:val="right" w:pos="9026" w:leader="dot"/>
            </w:tabs>
            <w:rPr/>
          </w:pPr>
          <w:hyperlink w:anchor="__RefHeading___Toc1955304_2322387425">
            <w:r>
              <w:rPr>
                <w:webHidden/>
                <w:rStyle w:val="IndexLink"/>
                <w:rtl w:val="true"/>
              </w:rPr>
              <w:t>حکم یوم الشک أنّه من رمضان أو شوّال</w:t>
            </w:r>
            <w:r>
              <w:rPr>
                <w:rStyle w:val="IndexLink"/>
                <w:rtl w:val="true"/>
              </w:rPr>
              <w:tab/>
            </w:r>
            <w:r>
              <w:rPr>
                <w:rStyle w:val="IndexLink"/>
              </w:rPr>
              <w:t>284</w:t>
            </w:r>
          </w:hyperlink>
        </w:p>
        <w:p>
          <w:pPr>
            <w:pStyle w:val="Contents3"/>
            <w:tabs>
              <w:tab w:val="clear" w:pos="8459"/>
              <w:tab w:val="right" w:pos="9026" w:leader="dot"/>
            </w:tabs>
            <w:rPr/>
          </w:pPr>
          <w:hyperlink w:anchor="__RefHeading___Toc1955306_2322387425">
            <w:r>
              <w:rPr>
                <w:webHidden/>
                <w:rStyle w:val="IndexLink"/>
                <w:rtl w:val="true"/>
              </w:rPr>
              <w:t>حکم ما لو غمّت الشهور</w:t>
            </w:r>
            <w:r>
              <w:rPr>
                <w:rStyle w:val="IndexLink"/>
                <w:rtl w:val="true"/>
              </w:rPr>
              <w:tab/>
            </w:r>
            <w:r>
              <w:rPr>
                <w:rStyle w:val="IndexLink"/>
              </w:rPr>
              <w:t>285</w:t>
            </w:r>
          </w:hyperlink>
        </w:p>
        <w:p>
          <w:pPr>
            <w:pStyle w:val="Contents3"/>
            <w:tabs>
              <w:tab w:val="clear" w:pos="8459"/>
              <w:tab w:val="right" w:pos="9026" w:leader="dot"/>
            </w:tabs>
            <w:rPr/>
          </w:pPr>
          <w:hyperlink w:anchor="__RefHeading___Toc1955308_2322387425">
            <w:r>
              <w:rPr>
                <w:webHidden/>
                <w:rStyle w:val="IndexLink"/>
                <w:rtl w:val="true"/>
              </w:rPr>
              <w:t>حکم الأسیر والمحبوس إذا لم یتمکّنا من تحصیل العلم بالشهر</w:t>
            </w:r>
            <w:r>
              <w:rPr>
                <w:rStyle w:val="IndexLink"/>
                <w:rtl w:val="true"/>
              </w:rPr>
              <w:tab/>
            </w:r>
            <w:r>
              <w:rPr>
                <w:rStyle w:val="IndexLink"/>
              </w:rPr>
              <w:t>286</w:t>
            </w:r>
          </w:hyperlink>
        </w:p>
        <w:p>
          <w:pPr>
            <w:pStyle w:val="Contents3"/>
            <w:tabs>
              <w:tab w:val="clear" w:pos="8459"/>
              <w:tab w:val="right" w:pos="9026" w:leader="dot"/>
            </w:tabs>
            <w:rPr/>
          </w:pPr>
          <w:hyperlink w:anchor="__RefHeading___Toc1955310_2322387425">
            <w:r>
              <w:rPr>
                <w:webHidden/>
                <w:rStyle w:val="IndexLink"/>
                <w:rtl w:val="true"/>
              </w:rPr>
              <w:t>إجراء أحکام شهر رمضان علی ما ظنّه رمضاناً </w:t>
            </w:r>
            <w:r>
              <w:rPr>
                <w:rStyle w:val="IndexLink"/>
                <w:rtl w:val="true"/>
              </w:rPr>
              <w:tab/>
            </w:r>
            <w:r>
              <w:rPr>
                <w:rStyle w:val="IndexLink"/>
              </w:rPr>
              <w:t>289</w:t>
            </w:r>
          </w:hyperlink>
        </w:p>
        <w:p>
          <w:pPr>
            <w:pStyle w:val="Contents3"/>
            <w:tabs>
              <w:tab w:val="clear" w:pos="8459"/>
              <w:tab w:val="right" w:pos="9026" w:leader="dot"/>
            </w:tabs>
            <w:rPr/>
          </w:pPr>
          <w:hyperlink w:anchor="__RefHeading___Toc1955312_2322387425">
            <w:r>
              <w:rPr>
                <w:webHidden/>
                <w:rStyle w:val="IndexLink"/>
                <w:rtl w:val="true"/>
              </w:rPr>
              <w:t>حکم اشتباه شهر رمضان بین شهرین أو أکثر</w:t>
            </w:r>
            <w:r>
              <w:rPr>
                <w:rStyle w:val="IndexLink"/>
                <w:rtl w:val="true"/>
              </w:rPr>
              <w:tab/>
            </w:r>
            <w:r>
              <w:rPr>
                <w:rStyle w:val="IndexLink"/>
              </w:rPr>
              <w:t>289</w:t>
            </w:r>
          </w:hyperlink>
        </w:p>
        <w:p>
          <w:pPr>
            <w:pStyle w:val="Contents3"/>
            <w:tabs>
              <w:tab w:val="clear" w:pos="8459"/>
              <w:tab w:val="right" w:pos="9026" w:leader="dot"/>
            </w:tabs>
            <w:rPr/>
          </w:pPr>
          <w:hyperlink w:anchor="__RefHeading___Toc1955314_2322387425">
            <w:r>
              <w:rPr>
                <w:webHidden/>
                <w:rStyle w:val="IndexLink"/>
                <w:rtl w:val="true"/>
              </w:rPr>
              <w:t>حکم المکان الذی یکون لیله ونهاره غیر متعارفین </w:t>
            </w:r>
            <w:r>
              <w:rPr>
                <w:rStyle w:val="IndexLink"/>
                <w:rtl w:val="true"/>
              </w:rPr>
              <w:tab/>
            </w:r>
            <w:r>
              <w:rPr>
                <w:rStyle w:val="IndexLink"/>
              </w:rPr>
              <w:t>292</w:t>
            </w:r>
          </w:hyperlink>
        </w:p>
        <w:p>
          <w:pPr>
            <w:pStyle w:val="Contents2"/>
            <w:tabs>
              <w:tab w:val="clear" w:pos="8743"/>
              <w:tab w:val="right" w:pos="9026" w:leader="dot"/>
            </w:tabs>
            <w:rPr/>
          </w:pPr>
          <w:hyperlink w:anchor="__RefHeading___Toc1955316_2322387425">
            <w:r>
              <w:rPr>
                <w:webHidden/>
                <w:rStyle w:val="IndexLink"/>
                <w:rtl w:val="true"/>
              </w:rPr>
              <w:t>فصل</w:t>
            </w:r>
            <w:r>
              <w:rPr>
                <w:rStyle w:val="IndexLink"/>
                <w:rtl w:val="true"/>
              </w:rPr>
              <w:t xml:space="preserve">: </w:t>
            </w:r>
            <w:r>
              <w:rPr>
                <w:rStyle w:val="IndexLink"/>
                <w:rtl w:val="true"/>
              </w:rPr>
              <w:t>فی أحکام القضاء</w:t>
            </w:r>
            <w:r>
              <w:rPr>
                <w:rStyle w:val="IndexLink"/>
                <w:rtl w:val="true"/>
              </w:rPr>
              <w:tab/>
            </w:r>
            <w:r>
              <w:rPr>
                <w:rStyle w:val="IndexLink"/>
              </w:rPr>
              <w:t>296</w:t>
            </w:r>
          </w:hyperlink>
        </w:p>
        <w:p>
          <w:pPr>
            <w:pStyle w:val="Contents3"/>
            <w:tabs>
              <w:tab w:val="clear" w:pos="8459"/>
              <w:tab w:val="right" w:pos="9026" w:leader="dot"/>
            </w:tabs>
            <w:rPr/>
          </w:pPr>
          <w:hyperlink w:anchor="__RefHeading___Toc1955318_2322387425">
            <w:r>
              <w:rPr>
                <w:webHidden/>
                <w:rStyle w:val="IndexLink"/>
                <w:rtl w:val="true"/>
              </w:rPr>
              <w:t>شرائط وجوب قضاء الصوم</w:t>
            </w:r>
            <w:r>
              <w:rPr>
                <w:rStyle w:val="IndexLink"/>
                <w:rtl w:val="true"/>
              </w:rPr>
              <w:tab/>
            </w:r>
            <w:r>
              <w:rPr>
                <w:rStyle w:val="IndexLink"/>
              </w:rPr>
              <w:t>296</w:t>
            </w:r>
          </w:hyperlink>
        </w:p>
        <w:p>
          <w:pPr>
            <w:pStyle w:val="Contents3"/>
            <w:tabs>
              <w:tab w:val="clear" w:pos="8459"/>
              <w:tab w:val="right" w:pos="9026" w:leader="dot"/>
            </w:tabs>
            <w:rPr/>
          </w:pPr>
          <w:hyperlink w:anchor="__RefHeading___Toc1955320_2322387425">
            <w:r>
              <w:rPr>
                <w:webHidden/>
                <w:rStyle w:val="IndexLink"/>
                <w:rtl w:val="true"/>
              </w:rPr>
              <w:t>بلوغ الصبی فی أثناء النهار أو الشک فی کونه قبل الفجر أو بعده</w:t>
            </w:r>
            <w:r>
              <w:rPr>
                <w:rStyle w:val="IndexLink"/>
                <w:rtl w:val="true"/>
              </w:rPr>
              <w:tab/>
            </w:r>
            <w:r>
              <w:rPr>
                <w:rStyle w:val="IndexLink"/>
              </w:rPr>
              <w:t>296</w:t>
            </w:r>
          </w:hyperlink>
        </w:p>
        <w:p>
          <w:pPr>
            <w:pStyle w:val="Contents3"/>
            <w:tabs>
              <w:tab w:val="clear" w:pos="8459"/>
              <w:tab w:val="right" w:pos="9026" w:leader="dot"/>
            </w:tabs>
            <w:rPr/>
          </w:pPr>
          <w:hyperlink w:anchor="__RefHeading___Toc1955322_2322387425">
            <w:r>
              <w:rPr>
                <w:webHidden/>
                <w:rStyle w:val="IndexLink"/>
                <w:rtl w:val="true"/>
              </w:rPr>
              <w:t>عدم قضاء صوم ما فات حال الجنون</w:t>
            </w:r>
            <w:r>
              <w:rPr>
                <w:rStyle w:val="IndexLink"/>
                <w:rtl w:val="true"/>
              </w:rPr>
              <w:tab/>
            </w:r>
            <w:r>
              <w:rPr>
                <w:rStyle w:val="IndexLink"/>
              </w:rPr>
              <w:t>298</w:t>
            </w:r>
          </w:hyperlink>
        </w:p>
        <w:p>
          <w:pPr>
            <w:pStyle w:val="Contents3"/>
            <w:tabs>
              <w:tab w:val="clear" w:pos="8459"/>
              <w:tab w:val="right" w:pos="9026" w:leader="dot"/>
            </w:tabs>
            <w:rPr/>
          </w:pPr>
          <w:hyperlink w:anchor="__RefHeading___Toc1955324_2322387425">
            <w:r>
              <w:rPr>
                <w:webHidden/>
                <w:rStyle w:val="IndexLink"/>
                <w:rtl w:val="true"/>
              </w:rPr>
              <w:t>حکم قضاء ما فات عن المغمی علیه</w:t>
            </w:r>
            <w:r>
              <w:rPr>
                <w:rStyle w:val="IndexLink"/>
                <w:rtl w:val="true"/>
              </w:rPr>
              <w:tab/>
            </w:r>
            <w:r>
              <w:rPr>
                <w:rStyle w:val="IndexLink"/>
              </w:rPr>
              <w:t>298</w:t>
            </w:r>
          </w:hyperlink>
        </w:p>
        <w:p>
          <w:pPr>
            <w:pStyle w:val="Contents3"/>
            <w:tabs>
              <w:tab w:val="clear" w:pos="8459"/>
              <w:tab w:val="right" w:pos="9026" w:leader="dot"/>
            </w:tabs>
            <w:rPr/>
          </w:pPr>
          <w:hyperlink w:anchor="__RefHeading___Toc1955326_2322387425">
            <w:r>
              <w:rPr>
                <w:webHidden/>
                <w:rStyle w:val="IndexLink"/>
                <w:rtl w:val="true"/>
              </w:rPr>
              <w:t>لا قضاء علی من أسلم عن کفر وکذا لو أسلم أثناء النهار</w:t>
            </w:r>
            <w:r>
              <w:rPr>
                <w:rStyle w:val="IndexLink"/>
                <w:rtl w:val="true"/>
              </w:rPr>
              <w:tab/>
            </w:r>
            <w:r>
              <w:rPr>
                <w:rStyle w:val="IndexLink"/>
              </w:rPr>
              <w:t>299</w:t>
            </w:r>
          </w:hyperlink>
        </w:p>
        <w:p>
          <w:pPr>
            <w:pStyle w:val="Contents3"/>
            <w:tabs>
              <w:tab w:val="clear" w:pos="8459"/>
              <w:tab w:val="right" w:pos="9026" w:leader="dot"/>
            </w:tabs>
            <w:rPr/>
          </w:pPr>
          <w:hyperlink w:anchor="__RefHeading___Toc1955328_2322387425">
            <w:r>
              <w:rPr>
                <w:webHidden/>
                <w:rStyle w:val="IndexLink"/>
                <w:rtl w:val="true"/>
              </w:rPr>
              <w:t>وجوب القضاء علی المرتدّ ما فاته أیّام ردّته</w:t>
            </w:r>
            <w:r>
              <w:rPr>
                <w:rStyle w:val="IndexLink"/>
                <w:rtl w:val="true"/>
              </w:rPr>
              <w:tab/>
            </w:r>
            <w:r>
              <w:rPr>
                <w:rStyle w:val="IndexLink"/>
              </w:rPr>
              <w:t>301</w:t>
            </w:r>
          </w:hyperlink>
        </w:p>
        <w:p>
          <w:pPr>
            <w:pStyle w:val="Contents3"/>
            <w:tabs>
              <w:tab w:val="clear" w:pos="8459"/>
              <w:tab w:val="right" w:pos="9026" w:leader="dot"/>
            </w:tabs>
            <w:rPr/>
          </w:pPr>
          <w:hyperlink w:anchor="__RefHeading___Toc1955330_2322387425">
            <w:r>
              <w:rPr>
                <w:webHidden/>
                <w:rStyle w:val="IndexLink"/>
                <w:rtl w:val="true"/>
              </w:rPr>
              <w:t>وجوب القضاء علی من فاته الصوم لسکر</w:t>
            </w:r>
            <w:r>
              <w:rPr>
                <w:rStyle w:val="IndexLink"/>
                <w:rtl w:val="true"/>
              </w:rPr>
              <w:tab/>
            </w:r>
            <w:r>
              <w:rPr>
                <w:rStyle w:val="IndexLink"/>
              </w:rPr>
              <w:t>301</w:t>
            </w:r>
          </w:hyperlink>
        </w:p>
        <w:p>
          <w:pPr>
            <w:pStyle w:val="Contents3"/>
            <w:tabs>
              <w:tab w:val="clear" w:pos="8459"/>
              <w:tab w:val="right" w:pos="9026" w:leader="dot"/>
            </w:tabs>
            <w:rPr/>
          </w:pPr>
          <w:hyperlink w:anchor="__RefHeading___Toc1955332_2322387425">
            <w:r>
              <w:rPr>
                <w:webHidden/>
                <w:rStyle w:val="IndexLink"/>
                <w:rtl w:val="true"/>
              </w:rPr>
              <w:t>وجوب القضاء علی الحائض والنفساء</w:t>
            </w:r>
            <w:r>
              <w:rPr>
                <w:rStyle w:val="IndexLink"/>
                <w:rtl w:val="true"/>
              </w:rPr>
              <w:tab/>
            </w:r>
            <w:r>
              <w:rPr>
                <w:rStyle w:val="IndexLink"/>
              </w:rPr>
              <w:t>301</w:t>
            </w:r>
          </w:hyperlink>
        </w:p>
        <w:p>
          <w:pPr>
            <w:pStyle w:val="Contents3"/>
            <w:tabs>
              <w:tab w:val="clear" w:pos="8459"/>
              <w:tab w:val="right" w:pos="9026" w:leader="dot"/>
            </w:tabs>
            <w:rPr/>
          </w:pPr>
          <w:hyperlink w:anchor="__RefHeading___Toc1955334_2322387425">
            <w:r>
              <w:rPr>
                <w:webHidden/>
                <w:rStyle w:val="IndexLink"/>
                <w:rtl w:val="true"/>
              </w:rPr>
              <w:t>حکم المخالف إذا استبصر</w:t>
            </w:r>
            <w:r>
              <w:rPr>
                <w:rStyle w:val="IndexLink"/>
                <w:rtl w:val="true"/>
              </w:rPr>
              <w:tab/>
            </w:r>
            <w:r>
              <w:rPr>
                <w:rStyle w:val="IndexLink"/>
              </w:rPr>
              <w:t>301</w:t>
            </w:r>
          </w:hyperlink>
        </w:p>
        <w:p>
          <w:pPr>
            <w:pStyle w:val="Contents3"/>
            <w:tabs>
              <w:tab w:val="clear" w:pos="8459"/>
              <w:tab w:val="right" w:pos="9026" w:leader="dot"/>
            </w:tabs>
            <w:rPr/>
          </w:pPr>
          <w:hyperlink w:anchor="__RefHeading___Toc1955336_2322387425">
            <w:r>
              <w:rPr>
                <w:webHidden/>
                <w:rStyle w:val="IndexLink"/>
                <w:rtl w:val="true"/>
              </w:rPr>
              <w:t>وجوب القضاء علی من فاته الصوم لنومٍ أو غفلة</w:t>
            </w:r>
            <w:r>
              <w:rPr>
                <w:rStyle w:val="IndexLink"/>
                <w:rtl w:val="true"/>
              </w:rPr>
              <w:tab/>
            </w:r>
            <w:r>
              <w:rPr>
                <w:rStyle w:val="IndexLink"/>
              </w:rPr>
              <w:t>302</w:t>
            </w:r>
          </w:hyperlink>
        </w:p>
        <w:p>
          <w:pPr>
            <w:pStyle w:val="Contents3"/>
            <w:tabs>
              <w:tab w:val="clear" w:pos="8459"/>
              <w:tab w:val="right" w:pos="9026" w:leader="dot"/>
            </w:tabs>
            <w:rPr/>
          </w:pPr>
          <w:hyperlink w:anchor="__RefHeading___Toc1955338_2322387425">
            <w:r>
              <w:rPr>
                <w:webHidden/>
                <w:rStyle w:val="IndexLink"/>
                <w:rtl w:val="true"/>
              </w:rPr>
              <w:t>دوران الفائت بین الأقل والأکثر</w:t>
            </w:r>
            <w:r>
              <w:rPr>
                <w:rStyle w:val="IndexLink"/>
                <w:rtl w:val="true"/>
              </w:rPr>
              <w:tab/>
            </w:r>
            <w:r>
              <w:rPr>
                <w:rStyle w:val="IndexLink"/>
              </w:rPr>
              <w:t>303</w:t>
            </w:r>
          </w:hyperlink>
        </w:p>
        <w:p>
          <w:pPr>
            <w:pStyle w:val="Contents3"/>
            <w:tabs>
              <w:tab w:val="clear" w:pos="8459"/>
              <w:tab w:val="right" w:pos="9026" w:leader="dot"/>
            </w:tabs>
            <w:rPr/>
          </w:pPr>
          <w:hyperlink w:anchor="__RefHeading___Toc1955340_2322387425">
            <w:r>
              <w:rPr>
                <w:webHidden/>
                <w:rStyle w:val="IndexLink"/>
                <w:rtl w:val="true"/>
              </w:rPr>
              <w:t>عدم وجوب الفور والتتابع فی القضاء</w:t>
            </w:r>
            <w:r>
              <w:rPr>
                <w:rStyle w:val="IndexLink"/>
                <w:rtl w:val="true"/>
              </w:rPr>
              <w:tab/>
            </w:r>
            <w:r>
              <w:rPr>
                <w:rStyle w:val="IndexLink"/>
              </w:rPr>
              <w:t>304</w:t>
            </w:r>
          </w:hyperlink>
        </w:p>
        <w:p>
          <w:pPr>
            <w:pStyle w:val="Contents3"/>
            <w:tabs>
              <w:tab w:val="clear" w:pos="8459"/>
              <w:tab w:val="right" w:pos="9026" w:leader="dot"/>
            </w:tabs>
            <w:rPr/>
          </w:pPr>
          <w:hyperlink w:anchor="__RefHeading___Toc1955342_2322387425">
            <w:r>
              <w:rPr>
                <w:webHidden/>
                <w:rStyle w:val="IndexLink"/>
                <w:rtl w:val="true"/>
              </w:rPr>
              <w:t>عدم وجوب تعیین الأیام فی صوم القضاء</w:t>
            </w:r>
            <w:r>
              <w:rPr>
                <w:rStyle w:val="IndexLink"/>
                <w:rtl w:val="true"/>
              </w:rPr>
              <w:tab/>
            </w:r>
            <w:r>
              <w:rPr>
                <w:rStyle w:val="IndexLink"/>
              </w:rPr>
              <w:t>304</w:t>
            </w:r>
          </w:hyperlink>
        </w:p>
        <w:p>
          <w:pPr>
            <w:pStyle w:val="Contents3"/>
            <w:tabs>
              <w:tab w:val="clear" w:pos="8459"/>
              <w:tab w:val="right" w:pos="9026" w:leader="dot"/>
            </w:tabs>
            <w:rPr/>
          </w:pPr>
          <w:hyperlink w:anchor="__RefHeading___Toc1955344_2322387425">
            <w:r>
              <w:rPr>
                <w:webHidden/>
                <w:rStyle w:val="IndexLink"/>
                <w:rtl w:val="true"/>
              </w:rPr>
              <w:t>حکم من کان علیه قضاء رمضانین فصاعداً</w:t>
            </w:r>
            <w:r>
              <w:rPr>
                <w:rStyle w:val="IndexLink"/>
                <w:rtl w:val="true"/>
              </w:rPr>
              <w:tab/>
            </w:r>
            <w:r>
              <w:rPr>
                <w:rStyle w:val="IndexLink"/>
              </w:rPr>
              <w:t>305</w:t>
            </w:r>
          </w:hyperlink>
        </w:p>
        <w:p>
          <w:pPr>
            <w:pStyle w:val="Contents3"/>
            <w:tabs>
              <w:tab w:val="clear" w:pos="8459"/>
              <w:tab w:val="right" w:pos="9026" w:leader="dot"/>
            </w:tabs>
            <w:rPr/>
          </w:pPr>
          <w:hyperlink w:anchor="__RefHeading___Toc1955346_2322387425">
            <w:r>
              <w:rPr>
                <w:webHidden/>
                <w:rStyle w:val="IndexLink"/>
                <w:rtl w:val="true"/>
              </w:rPr>
              <w:t>عدم الترتیب بین صوم القضاء وغیره من أقسام الواجب</w:t>
            </w:r>
            <w:r>
              <w:rPr>
                <w:rStyle w:val="IndexLink"/>
                <w:rtl w:val="true"/>
              </w:rPr>
              <w:tab/>
            </w:r>
            <w:r>
              <w:rPr>
                <w:rStyle w:val="IndexLink"/>
              </w:rPr>
              <w:t>306</w:t>
            </w:r>
          </w:hyperlink>
        </w:p>
        <w:p>
          <w:pPr>
            <w:pStyle w:val="Contents3"/>
            <w:tabs>
              <w:tab w:val="clear" w:pos="8459"/>
              <w:tab w:val="right" w:pos="9026" w:leader="dot"/>
            </w:tabs>
            <w:rPr/>
          </w:pPr>
          <w:hyperlink w:anchor="__RefHeading___Toc1955348_2322387425">
            <w:r>
              <w:rPr>
                <w:webHidden/>
                <w:rStyle w:val="IndexLink"/>
                <w:rtl w:val="true"/>
              </w:rPr>
              <w:t>إذا صام قضاءً ثم تبیّن فراغ ذمّته لم یقع عن غیره</w:t>
            </w:r>
            <w:r>
              <w:rPr>
                <w:rStyle w:val="IndexLink"/>
                <w:rtl w:val="true"/>
              </w:rPr>
              <w:tab/>
            </w:r>
            <w:r>
              <w:rPr>
                <w:rStyle w:val="IndexLink"/>
              </w:rPr>
              <w:t>306</w:t>
            </w:r>
          </w:hyperlink>
        </w:p>
        <w:p>
          <w:pPr>
            <w:pStyle w:val="Contents3"/>
            <w:tabs>
              <w:tab w:val="clear" w:pos="8459"/>
              <w:tab w:val="right" w:pos="9026" w:leader="dot"/>
            </w:tabs>
            <w:rPr/>
          </w:pPr>
          <w:hyperlink w:anchor="__RefHeading___Toc1955350_2322387425">
            <w:r>
              <w:rPr>
                <w:webHidden/>
                <w:rStyle w:val="IndexLink"/>
                <w:rtl w:val="true"/>
              </w:rPr>
              <w:t>حکم من فاته شهر رمضان أو بعضه لعذرٍ ومات فیه</w:t>
            </w:r>
            <w:r>
              <w:rPr>
                <w:rStyle w:val="IndexLink"/>
                <w:rtl w:val="true"/>
              </w:rPr>
              <w:tab/>
            </w:r>
            <w:r>
              <w:rPr>
                <w:rStyle w:val="IndexLink"/>
              </w:rPr>
              <w:t>307</w:t>
            </w:r>
          </w:hyperlink>
        </w:p>
        <w:p>
          <w:pPr>
            <w:pStyle w:val="Contents3"/>
            <w:tabs>
              <w:tab w:val="clear" w:pos="8459"/>
              <w:tab w:val="right" w:pos="9026" w:leader="dot"/>
            </w:tabs>
            <w:rPr/>
          </w:pPr>
          <w:hyperlink w:anchor="__RefHeading___Toc1955352_2322387425">
            <w:r>
              <w:rPr>
                <w:webHidden/>
                <w:rStyle w:val="IndexLink"/>
                <w:rtl w:val="true"/>
              </w:rPr>
              <w:t>لو استمرّ المرض إلی رمضان الآخر</w:t>
            </w:r>
            <w:r>
              <w:rPr>
                <w:rStyle w:val="IndexLink"/>
                <w:rtl w:val="true"/>
              </w:rPr>
              <w:tab/>
            </w:r>
            <w:r>
              <w:rPr>
                <w:rStyle w:val="IndexLink"/>
              </w:rPr>
              <w:t>308</w:t>
            </w:r>
          </w:hyperlink>
        </w:p>
        <w:p>
          <w:pPr>
            <w:pStyle w:val="Contents3"/>
            <w:tabs>
              <w:tab w:val="clear" w:pos="8459"/>
              <w:tab w:val="right" w:pos="9026" w:leader="dot"/>
            </w:tabs>
            <w:rPr/>
          </w:pPr>
          <w:hyperlink w:anchor="__RefHeading___Toc1955354_2322387425">
            <w:r>
              <w:rPr>
                <w:webHidden/>
                <w:rStyle w:val="IndexLink"/>
                <w:rtl w:val="true"/>
              </w:rPr>
              <w:t>لو استمرّ العذر غیر المرض إلی رمضان الآخر</w:t>
            </w:r>
            <w:r>
              <w:rPr>
                <w:rStyle w:val="IndexLink"/>
                <w:rtl w:val="true"/>
              </w:rPr>
              <w:tab/>
            </w:r>
            <w:r>
              <w:rPr>
                <w:rStyle w:val="IndexLink"/>
              </w:rPr>
              <w:t>308</w:t>
            </w:r>
          </w:hyperlink>
        </w:p>
        <w:p>
          <w:pPr>
            <w:pStyle w:val="Contents3"/>
            <w:tabs>
              <w:tab w:val="clear" w:pos="8459"/>
              <w:tab w:val="right" w:pos="9026" w:leader="dot"/>
            </w:tabs>
            <w:rPr/>
          </w:pPr>
          <w:hyperlink w:anchor="__RefHeading___Toc1955356_2322387425">
            <w:r>
              <w:rPr>
                <w:webHidden/>
                <w:rStyle w:val="IndexLink"/>
                <w:rtl w:val="true"/>
              </w:rPr>
              <w:t>فوات شهر رمضان لا لعذرٍ أو لعذرٍ لم یستمر</w:t>
            </w:r>
            <w:r>
              <w:rPr>
                <w:rStyle w:val="IndexLink"/>
                <w:rtl w:val="true"/>
              </w:rPr>
              <w:tab/>
            </w:r>
            <w:r>
              <w:rPr>
                <w:rStyle w:val="IndexLink"/>
              </w:rPr>
              <w:t>310</w:t>
            </w:r>
          </w:hyperlink>
        </w:p>
        <w:p>
          <w:pPr>
            <w:pStyle w:val="Contents4"/>
            <w:tabs>
              <w:tab w:val="clear" w:pos="8176"/>
              <w:tab w:val="right" w:pos="9026" w:leader="dot"/>
            </w:tabs>
            <w:rPr/>
          </w:pPr>
          <w:hyperlink w:anchor="__RefHeading___Toc1955358_2322387425">
            <w:r>
              <w:rPr>
                <w:webHidden/>
                <w:rStyle w:val="IndexLink"/>
                <w:rtl w:val="true"/>
              </w:rPr>
              <w:t>من فاته شهر رمضان لا لعذرٍ أو لعذر غیر مستمر إلی رمضان الآخ</w:t>
            </w:r>
            <w:r>
              <w:rPr>
                <w:rStyle w:val="IndexLink"/>
                <w:rtl w:val="true"/>
              </w:rPr>
              <w:tab/>
            </w:r>
            <w:r>
              <w:rPr>
                <w:rStyle w:val="IndexLink"/>
              </w:rPr>
              <w:t>310</w:t>
            </w:r>
          </w:hyperlink>
        </w:p>
        <w:p>
          <w:pPr>
            <w:pStyle w:val="Contents3"/>
            <w:tabs>
              <w:tab w:val="clear" w:pos="8459"/>
              <w:tab w:val="right" w:pos="9026" w:leader="dot"/>
            </w:tabs>
            <w:rPr/>
          </w:pPr>
          <w:hyperlink w:anchor="__RefHeading___Toc1955360_2322387425">
            <w:r>
              <w:rPr>
                <w:webHidden/>
                <w:rStyle w:val="IndexLink"/>
                <w:rtl w:val="true"/>
              </w:rPr>
              <w:t>تکرّر الکفّارة لو استمرّ المرض ثلاث أو أربع سنین</w:t>
            </w:r>
            <w:r>
              <w:rPr>
                <w:rStyle w:val="IndexLink"/>
                <w:rtl w:val="true"/>
              </w:rPr>
              <w:tab/>
            </w:r>
            <w:r>
              <w:rPr>
                <w:rStyle w:val="IndexLink"/>
              </w:rPr>
              <w:t>312</w:t>
            </w:r>
          </w:hyperlink>
        </w:p>
        <w:p>
          <w:pPr>
            <w:pStyle w:val="Contents3"/>
            <w:tabs>
              <w:tab w:val="clear" w:pos="8459"/>
              <w:tab w:val="right" w:pos="9026" w:leader="dot"/>
            </w:tabs>
            <w:rPr/>
          </w:pPr>
          <w:hyperlink w:anchor="__RefHeading___Toc1955362_2322387425">
            <w:r>
              <w:rPr>
                <w:webHidden/>
                <w:rStyle w:val="IndexLink"/>
                <w:rtl w:val="true"/>
              </w:rPr>
              <w:t>عدم تکرّر کفّارة السنة الواحدة لو أخّر القضاء سنین عدیدة</w:t>
            </w:r>
            <w:r>
              <w:rPr>
                <w:rStyle w:val="IndexLink"/>
                <w:rtl w:val="true"/>
              </w:rPr>
              <w:tab/>
            </w:r>
            <w:r>
              <w:rPr>
                <w:rStyle w:val="IndexLink"/>
              </w:rPr>
              <w:t>313</w:t>
            </w:r>
          </w:hyperlink>
        </w:p>
        <w:p>
          <w:pPr>
            <w:pStyle w:val="Contents3"/>
            <w:tabs>
              <w:tab w:val="clear" w:pos="8459"/>
              <w:tab w:val="right" w:pos="9026" w:leader="dot"/>
            </w:tabs>
            <w:rPr/>
          </w:pPr>
          <w:hyperlink w:anchor="__RefHeading___Toc1955364_2322387425">
            <w:r>
              <w:rPr>
                <w:webHidden/>
                <w:rStyle w:val="IndexLink"/>
                <w:rtl w:val="true"/>
              </w:rPr>
              <w:t>جواز إعطاء کفّارة أیّام عدیدة لفقیر واحد</w:t>
            </w:r>
            <w:r>
              <w:rPr>
                <w:rStyle w:val="IndexLink"/>
                <w:rtl w:val="true"/>
              </w:rPr>
              <w:tab/>
            </w:r>
            <w:r>
              <w:rPr>
                <w:rStyle w:val="IndexLink"/>
              </w:rPr>
              <w:t>313</w:t>
            </w:r>
          </w:hyperlink>
        </w:p>
        <w:p>
          <w:pPr>
            <w:pStyle w:val="Contents3"/>
            <w:tabs>
              <w:tab w:val="clear" w:pos="8459"/>
              <w:tab w:val="right" w:pos="9026" w:leader="dot"/>
            </w:tabs>
            <w:rPr/>
          </w:pPr>
          <w:hyperlink w:anchor="__RefHeading___Toc1955366_2322387425">
            <w:r>
              <w:rPr>
                <w:webHidden/>
                <w:rStyle w:val="IndexLink"/>
                <w:rtl w:val="true"/>
              </w:rPr>
              <w:t>عدم وجوب کفّارة العبد علی سیّده</w:t>
            </w:r>
            <w:r>
              <w:rPr>
                <w:rStyle w:val="IndexLink"/>
                <w:rtl w:val="true"/>
              </w:rPr>
              <w:tab/>
            </w:r>
            <w:r>
              <w:rPr>
                <w:rStyle w:val="IndexLink"/>
              </w:rPr>
              <w:t>313</w:t>
            </w:r>
          </w:hyperlink>
        </w:p>
        <w:p>
          <w:pPr>
            <w:pStyle w:val="Contents3"/>
            <w:tabs>
              <w:tab w:val="clear" w:pos="8459"/>
              <w:tab w:val="right" w:pos="9026" w:leader="dot"/>
            </w:tabs>
            <w:rPr/>
          </w:pPr>
          <w:hyperlink w:anchor="__RefHeading___Toc1955368_2322387425">
            <w:r>
              <w:rPr>
                <w:webHidden/>
                <w:rStyle w:val="IndexLink"/>
                <w:rtl w:val="true"/>
              </w:rPr>
              <w:t>اعتبار فوریّة القضاء قبل رمضان الآخر</w:t>
            </w:r>
            <w:r>
              <w:rPr>
                <w:rStyle w:val="IndexLink"/>
                <w:rtl w:val="true"/>
              </w:rPr>
              <w:tab/>
            </w:r>
            <w:r>
              <w:rPr>
                <w:rStyle w:val="IndexLink"/>
              </w:rPr>
              <w:t>314</w:t>
            </w:r>
          </w:hyperlink>
        </w:p>
        <w:p>
          <w:pPr>
            <w:pStyle w:val="Contents3"/>
            <w:tabs>
              <w:tab w:val="clear" w:pos="8459"/>
              <w:tab w:val="right" w:pos="9026" w:leader="dot"/>
            </w:tabs>
            <w:rPr/>
          </w:pPr>
          <w:hyperlink w:anchor="__RefHeading___Toc1955370_2322387425">
            <w:r>
              <w:rPr>
                <w:webHidden/>
                <w:rStyle w:val="IndexLink"/>
                <w:rtl w:val="true"/>
              </w:rPr>
              <w:t>قضاء ما فات المیّت لعذر</w:t>
            </w:r>
            <w:r>
              <w:rPr>
                <w:rStyle w:val="IndexLink"/>
                <w:rtl w:val="true"/>
              </w:rPr>
              <w:tab/>
            </w:r>
            <w:r>
              <w:rPr>
                <w:rStyle w:val="IndexLink"/>
              </w:rPr>
              <w:t>315</w:t>
            </w:r>
          </w:hyperlink>
        </w:p>
        <w:p>
          <w:pPr>
            <w:pStyle w:val="Contents3"/>
            <w:tabs>
              <w:tab w:val="clear" w:pos="8459"/>
              <w:tab w:val="right" w:pos="9026" w:leader="dot"/>
            </w:tabs>
            <w:rPr/>
          </w:pPr>
          <w:hyperlink w:anchor="__RefHeading___Toc1955372_2322387425">
            <w:r>
              <w:rPr>
                <w:webHidden/>
                <w:rStyle w:val="IndexLink"/>
                <w:rtl w:val="true"/>
              </w:rPr>
              <w:t>ما یشترط فی وجوب القضاء والمقضی عنه والولی</w:t>
            </w:r>
            <w:r>
              <w:rPr>
                <w:rStyle w:val="IndexLink"/>
                <w:rtl w:val="true"/>
              </w:rPr>
              <w:tab/>
            </w:r>
            <w:r>
              <w:rPr>
                <w:rStyle w:val="IndexLink"/>
              </w:rPr>
              <w:t>317</w:t>
            </w:r>
          </w:hyperlink>
        </w:p>
        <w:p>
          <w:pPr>
            <w:pStyle w:val="Contents3"/>
            <w:tabs>
              <w:tab w:val="clear" w:pos="8459"/>
              <w:tab w:val="right" w:pos="9026" w:leader="dot"/>
            </w:tabs>
            <w:rPr/>
          </w:pPr>
          <w:hyperlink w:anchor="__RefHeading___Toc1955374_2322387425">
            <w:r>
              <w:rPr>
                <w:webHidden/>
                <w:rStyle w:val="IndexLink"/>
                <w:rtl w:val="true"/>
              </w:rPr>
              <w:t>لو لم یکن للمیّت ولد</w:t>
            </w:r>
            <w:r>
              <w:rPr>
                <w:rStyle w:val="IndexLink"/>
                <w:rtl w:val="true"/>
              </w:rPr>
              <w:tab/>
            </w:r>
            <w:r>
              <w:rPr>
                <w:rStyle w:val="IndexLink"/>
              </w:rPr>
              <w:t>319</w:t>
            </w:r>
          </w:hyperlink>
        </w:p>
        <w:p>
          <w:pPr>
            <w:pStyle w:val="Contents3"/>
            <w:tabs>
              <w:tab w:val="clear" w:pos="8459"/>
              <w:tab w:val="right" w:pos="9026" w:leader="dot"/>
            </w:tabs>
            <w:rPr/>
          </w:pPr>
          <w:hyperlink w:anchor="__RefHeading___Toc1955376_2322387425">
            <w:r>
              <w:rPr>
                <w:webHidden/>
                <w:rStyle w:val="IndexLink"/>
                <w:rtl w:val="true"/>
              </w:rPr>
              <w:t>إذا تعدّد الولی أو تبرّع متبرّع عن المتوفّی</w:t>
            </w:r>
            <w:r>
              <w:rPr>
                <w:rStyle w:val="IndexLink"/>
                <w:rtl w:val="true"/>
              </w:rPr>
              <w:tab/>
            </w:r>
            <w:r>
              <w:rPr>
                <w:rStyle w:val="IndexLink"/>
              </w:rPr>
              <w:t>319</w:t>
            </w:r>
          </w:hyperlink>
        </w:p>
        <w:p>
          <w:pPr>
            <w:pStyle w:val="Contents3"/>
            <w:tabs>
              <w:tab w:val="clear" w:pos="8459"/>
              <w:tab w:val="right" w:pos="9026" w:leader="dot"/>
            </w:tabs>
            <w:rPr/>
          </w:pPr>
          <w:hyperlink w:anchor="__RefHeading___Toc1955378_2322387425">
            <w:r>
              <w:rPr>
                <w:webHidden/>
                <w:rStyle w:val="IndexLink"/>
                <w:rtl w:val="true"/>
              </w:rPr>
              <w:t>فروع فی ما یجب علی الولی من قضاء الصوم عن المیّت</w:t>
            </w:r>
            <w:r>
              <w:rPr>
                <w:rStyle w:val="IndexLink"/>
                <w:rtl w:val="true"/>
              </w:rPr>
              <w:tab/>
            </w:r>
            <w:r>
              <w:rPr>
                <w:rStyle w:val="IndexLink"/>
              </w:rPr>
              <w:t>320</w:t>
            </w:r>
          </w:hyperlink>
        </w:p>
        <w:p>
          <w:pPr>
            <w:pStyle w:val="Contents3"/>
            <w:tabs>
              <w:tab w:val="clear" w:pos="8459"/>
              <w:tab w:val="right" w:pos="9026" w:leader="dot"/>
            </w:tabs>
            <w:rPr/>
          </w:pPr>
          <w:hyperlink w:anchor="__RefHeading___Toc1955380_2322387425">
            <w:r>
              <w:rPr>
                <w:webHidden/>
                <w:rStyle w:val="IndexLink"/>
                <w:rtl w:val="true"/>
              </w:rPr>
              <w:t>قضاء غیر رمضان من الصوم الواجب علی المتوفّی</w:t>
            </w:r>
            <w:r>
              <w:rPr>
                <w:rStyle w:val="IndexLink"/>
                <w:rtl w:val="true"/>
              </w:rPr>
              <w:tab/>
            </w:r>
            <w:r>
              <w:rPr>
                <w:rStyle w:val="IndexLink"/>
              </w:rPr>
              <w:t>323</w:t>
            </w:r>
          </w:hyperlink>
        </w:p>
        <w:p>
          <w:pPr>
            <w:pStyle w:val="Contents3"/>
            <w:tabs>
              <w:tab w:val="clear" w:pos="8459"/>
              <w:tab w:val="right" w:pos="9026" w:leader="dot"/>
            </w:tabs>
            <w:rPr/>
          </w:pPr>
          <w:hyperlink w:anchor="__RefHeading___Toc1955382_2322387425">
            <w:r>
              <w:rPr>
                <w:webHidden/>
                <w:rStyle w:val="IndexLink"/>
                <w:rtl w:val="true"/>
              </w:rPr>
              <w:t>فروع فی قضاء شهر رمضان وغیره من الصوم الواجب عن نفسه وغیره</w:t>
            </w:r>
            <w:r>
              <w:rPr>
                <w:rStyle w:val="IndexLink"/>
                <w:rtl w:val="true"/>
              </w:rPr>
              <w:tab/>
            </w:r>
            <w:r>
              <w:rPr>
                <w:rStyle w:val="IndexLink"/>
              </w:rPr>
              <w:t>323</w:t>
            </w:r>
          </w:hyperlink>
        </w:p>
        <w:p>
          <w:pPr>
            <w:pStyle w:val="Contents2"/>
            <w:tabs>
              <w:tab w:val="clear" w:pos="8743"/>
              <w:tab w:val="right" w:pos="9026" w:leader="dot"/>
            </w:tabs>
            <w:rPr/>
          </w:pPr>
          <w:hyperlink w:anchor="__RefHeading___Toc1955384_2322387425">
            <w:r>
              <w:rPr>
                <w:webHidden/>
                <w:rStyle w:val="IndexLink"/>
                <w:rtl w:val="true"/>
              </w:rPr>
              <w:t>فصل</w:t>
            </w:r>
            <w:r>
              <w:rPr>
                <w:rStyle w:val="IndexLink"/>
                <w:rtl w:val="true"/>
              </w:rPr>
              <w:t xml:space="preserve">: </w:t>
            </w:r>
            <w:r>
              <w:rPr>
                <w:rStyle w:val="IndexLink"/>
                <w:rtl w:val="true"/>
              </w:rPr>
              <w:t>فی صوم الکفّارة</w:t>
            </w:r>
            <w:r>
              <w:rPr>
                <w:rStyle w:val="IndexLink"/>
                <w:rtl w:val="true"/>
              </w:rPr>
              <w:tab/>
            </w:r>
            <w:r>
              <w:rPr>
                <w:rStyle w:val="IndexLink"/>
              </w:rPr>
              <w:t>325</w:t>
            </w:r>
          </w:hyperlink>
        </w:p>
        <w:p>
          <w:pPr>
            <w:pStyle w:val="Contents3"/>
            <w:tabs>
              <w:tab w:val="clear" w:pos="8459"/>
              <w:tab w:val="right" w:pos="9026" w:leader="dot"/>
            </w:tabs>
            <w:rPr/>
          </w:pPr>
          <w:hyperlink w:anchor="__RefHeading___Toc1955386_2322387425">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955388_2322387425">
            <w:r>
              <w:rPr>
                <w:webHidden/>
                <w:rStyle w:val="IndexLink"/>
                <w:rtl w:val="true"/>
              </w:rPr>
              <w:t xml:space="preserve">منها </w:t>
            </w:r>
            <w:r>
              <w:rPr>
                <w:rStyle w:val="IndexLink"/>
                <w:rtl w:val="true"/>
              </w:rPr>
              <w:t xml:space="preserve">: </w:t>
            </w:r>
            <w:r>
              <w:rPr>
                <w:rStyle w:val="IndexLink"/>
                <w:rtl w:val="true"/>
              </w:rPr>
              <w:t>ما یجب الصوم مع غیره</w:t>
            </w:r>
            <w:r>
              <w:rPr>
                <w:rStyle w:val="IndexLink"/>
                <w:rtl w:val="true"/>
              </w:rPr>
              <w:tab/>
            </w:r>
            <w:r>
              <w:rPr>
                <w:rStyle w:val="IndexLink"/>
              </w:rPr>
              <w:t>325</w:t>
            </w:r>
          </w:hyperlink>
        </w:p>
        <w:p>
          <w:pPr>
            <w:pStyle w:val="Contents3"/>
            <w:tabs>
              <w:tab w:val="clear" w:pos="8459"/>
              <w:tab w:val="right" w:pos="9026" w:leader="dot"/>
            </w:tabs>
            <w:rPr/>
          </w:pPr>
          <w:hyperlink w:anchor="__RefHeading___Toc1955390_2322387425">
            <w:r>
              <w:rPr>
                <w:webHidden/>
                <w:rStyle w:val="IndexLink"/>
                <w:rtl w:val="true"/>
              </w:rPr>
              <w:t xml:space="preserve">ومنها </w:t>
            </w:r>
            <w:r>
              <w:rPr>
                <w:rStyle w:val="IndexLink"/>
                <w:rtl w:val="true"/>
              </w:rPr>
              <w:t xml:space="preserve">: </w:t>
            </w:r>
            <w:r>
              <w:rPr>
                <w:rStyle w:val="IndexLink"/>
                <w:rtl w:val="true"/>
              </w:rPr>
              <w:t>ما یجب فیه الصوم بعد الفجر عن غیره</w:t>
            </w:r>
            <w:r>
              <w:rPr>
                <w:rStyle w:val="IndexLink"/>
                <w:rtl w:val="true"/>
              </w:rPr>
              <w:tab/>
            </w:r>
            <w:r>
              <w:rPr>
                <w:rStyle w:val="IndexLink"/>
              </w:rPr>
              <w:t>325</w:t>
            </w:r>
          </w:hyperlink>
        </w:p>
        <w:p>
          <w:pPr>
            <w:pStyle w:val="Contents4"/>
            <w:tabs>
              <w:tab w:val="clear" w:pos="8176"/>
              <w:tab w:val="right" w:pos="9026" w:leader="dot"/>
            </w:tabs>
            <w:rPr/>
          </w:pPr>
          <w:hyperlink w:anchor="__RefHeading___Toc1955392_2322387425">
            <w:r>
              <w:rPr>
                <w:webHidden/>
                <w:rStyle w:val="IndexLink"/>
                <w:rtl w:val="true"/>
              </w:rPr>
              <w:t>کفّارة الظهار وقتل الخطأ والإفطار فی قضاء شهر رمضان والیمین</w:t>
            </w:r>
            <w:r>
              <w:rPr>
                <w:rStyle w:val="IndexLink"/>
                <w:rtl w:val="true"/>
              </w:rPr>
              <w:tab/>
            </w:r>
            <w:r>
              <w:rPr>
                <w:rStyle w:val="IndexLink"/>
              </w:rPr>
              <w:t>325</w:t>
            </w:r>
          </w:hyperlink>
        </w:p>
        <w:p>
          <w:pPr>
            <w:pStyle w:val="Contents3"/>
            <w:tabs>
              <w:tab w:val="clear" w:pos="8459"/>
              <w:tab w:val="right" w:pos="9026" w:leader="dot"/>
            </w:tabs>
            <w:rPr/>
          </w:pPr>
          <w:hyperlink w:anchor="__RefHeading___Toc1955394_2322387425">
            <w:r>
              <w:rPr>
                <w:webHidden/>
                <w:rStyle w:val="IndexLink"/>
                <w:rtl w:val="true"/>
              </w:rPr>
              <w:t>کفّارة صید النعامة والبقر الوحشی والغزال</w:t>
            </w:r>
            <w:r>
              <w:rPr>
                <w:rStyle w:val="IndexLink"/>
                <w:rtl w:val="true"/>
              </w:rPr>
              <w:tab/>
            </w:r>
            <w:r>
              <w:rPr>
                <w:rStyle w:val="IndexLink"/>
              </w:rPr>
              <w:t>326</w:t>
            </w:r>
          </w:hyperlink>
        </w:p>
        <w:p>
          <w:pPr>
            <w:pStyle w:val="Contents3"/>
            <w:tabs>
              <w:tab w:val="clear" w:pos="8459"/>
              <w:tab w:val="right" w:pos="9026" w:leader="dot"/>
            </w:tabs>
            <w:rPr/>
          </w:pPr>
          <w:hyperlink w:anchor="__RefHeading___Toc1955396_2322387425">
            <w:r>
              <w:rPr>
                <w:webHidden/>
                <w:rStyle w:val="IndexLink"/>
                <w:rtl w:val="true"/>
              </w:rPr>
              <w:t>کفّارة الإفاضة من عرفات قبل الغروب عامداً</w:t>
            </w:r>
            <w:r>
              <w:rPr>
                <w:rStyle w:val="IndexLink"/>
                <w:rtl w:val="true"/>
              </w:rPr>
              <w:tab/>
            </w:r>
            <w:r>
              <w:rPr>
                <w:rStyle w:val="IndexLink"/>
              </w:rPr>
              <w:t>331</w:t>
            </w:r>
          </w:hyperlink>
        </w:p>
        <w:p>
          <w:pPr>
            <w:pStyle w:val="Contents3"/>
            <w:tabs>
              <w:tab w:val="clear" w:pos="8459"/>
              <w:tab w:val="right" w:pos="9026" w:leader="dot"/>
            </w:tabs>
            <w:rPr/>
          </w:pPr>
          <w:hyperlink w:anchor="__RefHeading___Toc1955398_2322387425">
            <w:r>
              <w:rPr>
                <w:webHidden/>
                <w:rStyle w:val="IndexLink"/>
                <w:rtl w:val="true"/>
              </w:rPr>
              <w:t>کفّارة خدش المرأة وجهها فی المصاب وشق الرجل ثوبه علی زوجته أو ولده</w:t>
            </w:r>
            <w:r>
              <w:rPr>
                <w:rStyle w:val="IndexLink"/>
                <w:rtl w:val="true"/>
              </w:rPr>
              <w:tab/>
            </w:r>
            <w:r>
              <w:rPr>
                <w:rStyle w:val="IndexLink"/>
              </w:rPr>
              <w:t>331</w:t>
            </w:r>
          </w:hyperlink>
        </w:p>
        <w:p>
          <w:pPr>
            <w:pStyle w:val="Contents3"/>
            <w:tabs>
              <w:tab w:val="clear" w:pos="8459"/>
              <w:tab w:val="right" w:pos="9026" w:leader="dot"/>
            </w:tabs>
            <w:rPr/>
          </w:pPr>
          <w:hyperlink w:anchor="__RefHeading___Toc1955400_2322387425">
            <w:r>
              <w:rPr>
                <w:webHidden/>
                <w:rStyle w:val="IndexLink"/>
                <w:rtl w:val="true"/>
              </w:rPr>
              <w:t xml:space="preserve">ومنها </w:t>
            </w:r>
            <w:r>
              <w:rPr>
                <w:rStyle w:val="IndexLink"/>
                <w:rtl w:val="true"/>
              </w:rPr>
              <w:t xml:space="preserve">: </w:t>
            </w:r>
            <w:r>
              <w:rPr>
                <w:rStyle w:val="IndexLink"/>
                <w:rtl w:val="true"/>
              </w:rPr>
              <w:t>ما یجب فیه الصوم مخیّراً بینه وبین غیره</w:t>
            </w:r>
            <w:r>
              <w:rPr>
                <w:rStyle w:val="IndexLink"/>
                <w:rtl w:val="true"/>
              </w:rPr>
              <w:tab/>
            </w:r>
            <w:r>
              <w:rPr>
                <w:rStyle w:val="IndexLink"/>
              </w:rPr>
              <w:t>332</w:t>
            </w:r>
          </w:hyperlink>
        </w:p>
        <w:p>
          <w:pPr>
            <w:pStyle w:val="Contents3"/>
            <w:tabs>
              <w:tab w:val="clear" w:pos="8459"/>
              <w:tab w:val="right" w:pos="9026" w:leader="dot"/>
            </w:tabs>
            <w:rPr/>
          </w:pPr>
          <w:hyperlink w:anchor="__RefHeading___Toc1955402_2322387425">
            <w:r>
              <w:rPr>
                <w:webHidden/>
                <w:rStyle w:val="IndexLink"/>
                <w:rtl w:val="true"/>
              </w:rPr>
              <w:t>کفّارة الإفطار فی شهر رمضان وکفّارة الاعتکاف وکفّارة النذر</w:t>
            </w:r>
            <w:r>
              <w:rPr>
                <w:rStyle w:val="IndexLink"/>
                <w:rtl w:val="true"/>
              </w:rPr>
              <w:tab/>
            </w:r>
            <w:r>
              <w:rPr>
                <w:rStyle w:val="IndexLink"/>
              </w:rPr>
              <w:t>332</w:t>
            </w:r>
          </w:hyperlink>
        </w:p>
        <w:p>
          <w:pPr>
            <w:pStyle w:val="Contents3"/>
            <w:tabs>
              <w:tab w:val="clear" w:pos="8459"/>
              <w:tab w:val="right" w:pos="9026" w:leader="dot"/>
            </w:tabs>
            <w:rPr/>
          </w:pPr>
          <w:hyperlink w:anchor="__RefHeading___Toc1955404_2322387425">
            <w:r>
              <w:rPr>
                <w:webHidden/>
                <w:rStyle w:val="IndexLink"/>
                <w:rtl w:val="true"/>
              </w:rPr>
              <w:t>کفّارة العهد وجزّ المرأة شعرها فی المصاب وحلق الرأس فی الإحرام</w:t>
            </w:r>
            <w:r>
              <w:rPr>
                <w:rStyle w:val="IndexLink"/>
                <w:rtl w:val="true"/>
              </w:rPr>
              <w:tab/>
            </w:r>
            <w:r>
              <w:rPr>
                <w:rStyle w:val="IndexLink"/>
              </w:rPr>
              <w:t>333</w:t>
            </w:r>
          </w:hyperlink>
        </w:p>
        <w:p>
          <w:pPr>
            <w:pStyle w:val="Contents3"/>
            <w:tabs>
              <w:tab w:val="clear" w:pos="8459"/>
              <w:tab w:val="right" w:pos="9026" w:leader="dot"/>
            </w:tabs>
            <w:rPr/>
          </w:pPr>
          <w:hyperlink w:anchor="__RefHeading___Toc1955406_2322387425">
            <w:r>
              <w:rPr>
                <w:webHidden/>
                <w:rStyle w:val="IndexLink"/>
                <w:rtl w:val="true"/>
              </w:rPr>
              <w:t xml:space="preserve">ومنها </w:t>
            </w:r>
            <w:r>
              <w:rPr>
                <w:rStyle w:val="IndexLink"/>
                <w:rtl w:val="true"/>
              </w:rPr>
              <w:t xml:space="preserve">: </w:t>
            </w:r>
            <w:r>
              <w:rPr>
                <w:rStyle w:val="IndexLink"/>
                <w:rtl w:val="true"/>
              </w:rPr>
              <w:t>ما یجب فیه الصوم مرتّباً علی غیره مخیّراً بینه وبین غیره</w:t>
            </w:r>
            <w:r>
              <w:rPr>
                <w:rStyle w:val="IndexLink"/>
                <w:rtl w:val="true"/>
              </w:rPr>
              <w:tab/>
            </w:r>
            <w:r>
              <w:rPr>
                <w:rStyle w:val="IndexLink"/>
              </w:rPr>
              <w:t>333</w:t>
            </w:r>
          </w:hyperlink>
        </w:p>
        <w:p>
          <w:pPr>
            <w:pStyle w:val="Contents3"/>
            <w:tabs>
              <w:tab w:val="clear" w:pos="8459"/>
              <w:tab w:val="right" w:pos="9026" w:leader="dot"/>
            </w:tabs>
            <w:rPr/>
          </w:pPr>
          <w:hyperlink w:anchor="__RefHeading___Toc1955408_2322387425">
            <w:r>
              <w:rPr>
                <w:webHidden/>
                <w:rStyle w:val="IndexLink"/>
                <w:rtl w:val="true"/>
              </w:rPr>
              <w:t>وجوب التتابع فیما وجب فی کفّارته صوم شهرین</w:t>
            </w:r>
            <w:r>
              <w:rPr>
                <w:rStyle w:val="IndexLink"/>
                <w:rtl w:val="true"/>
              </w:rPr>
              <w:tab/>
            </w:r>
            <w:r>
              <w:rPr>
                <w:rStyle w:val="IndexLink"/>
              </w:rPr>
              <w:t>334</w:t>
            </w:r>
          </w:hyperlink>
        </w:p>
        <w:p>
          <w:pPr>
            <w:pStyle w:val="Contents3"/>
            <w:tabs>
              <w:tab w:val="clear" w:pos="8459"/>
              <w:tab w:val="right" w:pos="9026" w:leader="dot"/>
            </w:tabs>
            <w:rPr/>
          </w:pPr>
          <w:hyperlink w:anchor="__RefHeading___Toc1955410_2322387425">
            <w:r>
              <w:rPr>
                <w:webHidden/>
                <w:rStyle w:val="IndexLink"/>
                <w:rtl w:val="true"/>
              </w:rPr>
              <w:t>التتابع فی الثمانیة عشر بدل الشهرین بل فی جمیع صوم الکفّارة</w:t>
            </w:r>
            <w:r>
              <w:rPr>
                <w:rStyle w:val="IndexLink"/>
                <w:rtl w:val="true"/>
              </w:rPr>
              <w:tab/>
            </w:r>
            <w:r>
              <w:rPr>
                <w:rStyle w:val="IndexLink"/>
              </w:rPr>
              <w:t>334</w:t>
            </w:r>
          </w:hyperlink>
        </w:p>
        <w:p>
          <w:pPr>
            <w:pStyle w:val="Contents3"/>
            <w:tabs>
              <w:tab w:val="clear" w:pos="8459"/>
              <w:tab w:val="right" w:pos="9026" w:leader="dot"/>
            </w:tabs>
            <w:rPr/>
          </w:pPr>
          <w:hyperlink w:anchor="__RefHeading___Toc1955412_2322387425">
            <w:r>
              <w:rPr>
                <w:webHidden/>
                <w:rStyle w:val="IndexLink"/>
                <w:rtl w:val="true"/>
              </w:rPr>
              <w:t>التتابع فی صوم النذر مع الاشتراط</w:t>
            </w:r>
            <w:r>
              <w:rPr>
                <w:rStyle w:val="IndexLink"/>
                <w:rtl w:val="true"/>
              </w:rPr>
              <w:tab/>
            </w:r>
            <w:r>
              <w:rPr>
                <w:rStyle w:val="IndexLink"/>
              </w:rPr>
              <w:t>336</w:t>
            </w:r>
          </w:hyperlink>
        </w:p>
        <w:p>
          <w:pPr>
            <w:pStyle w:val="Contents3"/>
            <w:tabs>
              <w:tab w:val="clear" w:pos="8459"/>
              <w:tab w:val="right" w:pos="9026" w:leader="dot"/>
            </w:tabs>
            <w:rPr/>
          </w:pPr>
          <w:hyperlink w:anchor="__RefHeading___Toc1955414_2322387425">
            <w:r>
              <w:rPr>
                <w:webHidden/>
                <w:rStyle w:val="IndexLink"/>
                <w:rtl w:val="true"/>
              </w:rPr>
              <w:t>التتابع فی قضاء الصوم المنذور المشروط فیه التتابع</w:t>
            </w:r>
            <w:r>
              <w:rPr>
                <w:rStyle w:val="IndexLink"/>
                <w:rtl w:val="true"/>
              </w:rPr>
              <w:tab/>
            </w:r>
            <w:r>
              <w:rPr>
                <w:rStyle w:val="IndexLink"/>
              </w:rPr>
              <w:t>336</w:t>
            </w:r>
          </w:hyperlink>
        </w:p>
        <w:p>
          <w:pPr>
            <w:pStyle w:val="Contents3"/>
            <w:tabs>
              <w:tab w:val="clear" w:pos="8459"/>
              <w:tab w:val="right" w:pos="9026" w:leader="dot"/>
            </w:tabs>
            <w:rPr/>
          </w:pPr>
          <w:hyperlink w:anchor="__RefHeading___Toc1955416_2322387425">
            <w:r>
              <w:rPr>
                <w:webHidden/>
                <w:rStyle w:val="IndexLink"/>
                <w:rtl w:val="true"/>
              </w:rPr>
              <w:t>الشروع فی صوم التتابع فی وقت لا یسلم فیه</w:t>
            </w:r>
            <w:r>
              <w:rPr>
                <w:rStyle w:val="IndexLink"/>
                <w:rtl w:val="true"/>
              </w:rPr>
              <w:tab/>
            </w:r>
            <w:r>
              <w:rPr>
                <w:rStyle w:val="IndexLink"/>
              </w:rPr>
              <w:t>337</w:t>
            </w:r>
          </w:hyperlink>
        </w:p>
        <w:p>
          <w:pPr>
            <w:pStyle w:val="Contents3"/>
            <w:tabs>
              <w:tab w:val="clear" w:pos="8459"/>
              <w:tab w:val="right" w:pos="9026" w:leader="dot"/>
            </w:tabs>
            <w:rPr/>
          </w:pPr>
          <w:hyperlink w:anchor="__RefHeading___Toc1955418_2322387425">
            <w:r>
              <w:rPr>
                <w:webHidden/>
                <w:rStyle w:val="IndexLink"/>
                <w:rtl w:val="true"/>
              </w:rPr>
              <w:t>الإفطار فی أثناء الصوم الذی یشترط فیه التتابع لا لعذر</w:t>
            </w:r>
            <w:r>
              <w:rPr>
                <w:rStyle w:val="IndexLink"/>
                <w:rtl w:val="true"/>
              </w:rPr>
              <w:tab/>
            </w:r>
            <w:r>
              <w:rPr>
                <w:rStyle w:val="IndexLink"/>
              </w:rPr>
              <w:t>339</w:t>
            </w:r>
          </w:hyperlink>
        </w:p>
        <w:p>
          <w:pPr>
            <w:pStyle w:val="Contents3"/>
            <w:tabs>
              <w:tab w:val="clear" w:pos="8459"/>
              <w:tab w:val="right" w:pos="9026" w:leader="dot"/>
            </w:tabs>
            <w:rPr/>
          </w:pPr>
          <w:hyperlink w:anchor="__RefHeading___Toc1955420_2322387425">
            <w:r>
              <w:rPr>
                <w:webHidden/>
                <w:rStyle w:val="IndexLink"/>
                <w:rtl w:val="true"/>
              </w:rPr>
              <w:t>الإفطار فی أثناء الصوم الذی یشترط فیه التتابع لعذر</w:t>
            </w:r>
            <w:r>
              <w:rPr>
                <w:rStyle w:val="IndexLink"/>
                <w:rtl w:val="true"/>
              </w:rPr>
              <w:tab/>
            </w:r>
            <w:r>
              <w:rPr>
                <w:rStyle w:val="IndexLink"/>
              </w:rPr>
              <w:t>340</w:t>
            </w:r>
          </w:hyperlink>
        </w:p>
        <w:p>
          <w:pPr>
            <w:pStyle w:val="Contents3"/>
            <w:tabs>
              <w:tab w:val="clear" w:pos="8459"/>
              <w:tab w:val="right" w:pos="9026" w:leader="dot"/>
            </w:tabs>
            <w:rPr/>
          </w:pPr>
          <w:hyperlink w:anchor="__RefHeading___Toc1955422_2322387425">
            <w:r>
              <w:rPr>
                <w:webHidden/>
                <w:rStyle w:val="IndexLink"/>
                <w:rtl w:val="true"/>
              </w:rPr>
              <w:t>من أمثلة ما فیه العذر</w:t>
            </w:r>
            <w:r>
              <w:rPr>
                <w:rStyle w:val="IndexLink"/>
                <w:rtl w:val="true"/>
              </w:rPr>
              <w:tab/>
            </w:r>
            <w:r>
              <w:rPr>
                <w:rStyle w:val="IndexLink"/>
              </w:rPr>
              <w:t>341</w:t>
            </w:r>
          </w:hyperlink>
        </w:p>
        <w:p>
          <w:pPr>
            <w:pStyle w:val="Contents3"/>
            <w:tabs>
              <w:tab w:val="clear" w:pos="8459"/>
              <w:tab w:val="right" w:pos="9026" w:leader="dot"/>
            </w:tabs>
            <w:rPr/>
          </w:pPr>
          <w:hyperlink w:anchor="__RefHeading___Toc1955424_2322387425">
            <w:r>
              <w:rPr>
                <w:webHidden/>
                <w:rStyle w:val="IndexLink"/>
                <w:rtl w:val="true"/>
              </w:rPr>
              <w:t>المقدار اللازم من التتابع فی الصوم</w:t>
            </w:r>
            <w:r>
              <w:rPr>
                <w:rStyle w:val="IndexLink"/>
                <w:rtl w:val="true"/>
              </w:rPr>
              <w:tab/>
            </w:r>
            <w:r>
              <w:rPr>
                <w:rStyle w:val="IndexLink"/>
              </w:rPr>
              <w:t>342</w:t>
            </w:r>
          </w:hyperlink>
        </w:p>
        <w:p>
          <w:pPr>
            <w:pStyle w:val="Contents3"/>
            <w:tabs>
              <w:tab w:val="clear" w:pos="8459"/>
              <w:tab w:val="right" w:pos="9026" w:leader="dot"/>
            </w:tabs>
            <w:rPr/>
          </w:pPr>
          <w:hyperlink w:anchor="__RefHeading___Toc1955426_2322387425">
            <w:r>
              <w:rPr>
                <w:webHidden/>
                <w:rStyle w:val="IndexLink"/>
                <w:rtl w:val="true"/>
              </w:rPr>
              <w:t>بطلان التتابع فی الأثناء لا یکشف عن بطلان ما سبق من الأیام </w:t>
            </w:r>
            <w:r>
              <w:rPr>
                <w:rStyle w:val="IndexLink"/>
                <w:rtl w:val="true"/>
              </w:rPr>
              <w:tab/>
            </w:r>
            <w:r>
              <w:rPr>
                <w:rStyle w:val="IndexLink"/>
              </w:rPr>
              <w:t>343</w:t>
            </w:r>
          </w:hyperlink>
        </w:p>
        <w:p>
          <w:pPr>
            <w:pStyle w:val="Contents2"/>
            <w:tabs>
              <w:tab w:val="clear" w:pos="8743"/>
              <w:tab w:val="right" w:pos="9026" w:leader="dot"/>
            </w:tabs>
            <w:rPr/>
          </w:pPr>
          <w:hyperlink w:anchor="__RefHeading___Toc1955428_2322387425">
            <w:r>
              <w:rPr>
                <w:webHidden/>
                <w:rStyle w:val="IndexLink"/>
                <w:rtl w:val="true"/>
              </w:rPr>
              <w:t>فصل</w:t>
            </w:r>
            <w:r>
              <w:rPr>
                <w:rStyle w:val="IndexLink"/>
                <w:rtl w:val="true"/>
              </w:rPr>
              <w:t xml:space="preserve">: </w:t>
            </w:r>
            <w:r>
              <w:rPr>
                <w:rStyle w:val="IndexLink"/>
                <w:rtl w:val="true"/>
              </w:rPr>
              <w:t>فی أقسام الصوم</w:t>
            </w:r>
            <w:r>
              <w:rPr>
                <w:rStyle w:val="IndexLink"/>
                <w:rtl w:val="true"/>
              </w:rPr>
              <w:tab/>
            </w:r>
            <w:r>
              <w:rPr>
                <w:rStyle w:val="IndexLink"/>
              </w:rPr>
              <w:t>345</w:t>
            </w:r>
          </w:hyperlink>
        </w:p>
        <w:p>
          <w:pPr>
            <w:pStyle w:val="Contents3"/>
            <w:tabs>
              <w:tab w:val="clear" w:pos="8459"/>
              <w:tab w:val="right" w:pos="9026" w:leader="dot"/>
            </w:tabs>
            <w:rPr/>
          </w:pPr>
          <w:hyperlink w:anchor="__RefHeading___Toc1955430_2322387425">
            <w:r>
              <w:rPr>
                <w:webHidden/>
                <w:rStyle w:val="IndexLink"/>
                <w:rtl w:val="true"/>
              </w:rPr>
              <w:t>أقسام الصوم </w:t>
            </w:r>
            <w:r>
              <w:rPr>
                <w:rStyle w:val="IndexLink"/>
                <w:rtl w:val="true"/>
              </w:rPr>
              <w:tab/>
            </w:r>
            <w:r>
              <w:rPr>
                <w:rStyle w:val="IndexLink"/>
              </w:rPr>
              <w:t>345</w:t>
            </w:r>
          </w:hyperlink>
        </w:p>
        <w:p>
          <w:pPr>
            <w:pStyle w:val="Contents3"/>
            <w:tabs>
              <w:tab w:val="clear" w:pos="8459"/>
              <w:tab w:val="right" w:pos="9026" w:leader="dot"/>
            </w:tabs>
            <w:rPr/>
          </w:pPr>
          <w:hyperlink w:anchor="__RefHeading___Toc1955432_2322387425">
            <w:r>
              <w:rPr>
                <w:webHidden/>
                <w:rStyle w:val="IndexLink"/>
                <w:rtl w:val="true"/>
              </w:rPr>
              <w:t>أقسام الصوم الواجب</w:t>
            </w:r>
            <w:r>
              <w:rPr>
                <w:rStyle w:val="IndexLink"/>
                <w:rtl w:val="true"/>
              </w:rPr>
              <w:tab/>
            </w:r>
            <w:r>
              <w:rPr>
                <w:rStyle w:val="IndexLink"/>
              </w:rPr>
              <w:t>345</w:t>
            </w:r>
          </w:hyperlink>
        </w:p>
        <w:p>
          <w:pPr>
            <w:pStyle w:val="Contents3"/>
            <w:tabs>
              <w:tab w:val="clear" w:pos="8459"/>
              <w:tab w:val="right" w:pos="9026" w:leader="dot"/>
            </w:tabs>
            <w:rPr/>
          </w:pPr>
          <w:hyperlink w:anchor="__RefHeading___Toc1955434_2322387425">
            <w:r>
              <w:rPr>
                <w:webHidden/>
                <w:rStyle w:val="IndexLink"/>
                <w:rtl w:val="true"/>
              </w:rPr>
              <w:t>أقسام الصوم المندوب</w:t>
            </w:r>
            <w:r>
              <w:rPr>
                <w:rStyle w:val="IndexLink"/>
                <w:rtl w:val="true"/>
              </w:rPr>
              <w:tab/>
            </w:r>
            <w:r>
              <w:rPr>
                <w:rStyle w:val="IndexLink"/>
              </w:rPr>
              <w:t>346</w:t>
            </w:r>
          </w:hyperlink>
        </w:p>
        <w:p>
          <w:pPr>
            <w:pStyle w:val="Contents3"/>
            <w:tabs>
              <w:tab w:val="clear" w:pos="8459"/>
              <w:tab w:val="right" w:pos="9026" w:leader="dot"/>
            </w:tabs>
            <w:rPr/>
          </w:pPr>
          <w:hyperlink w:anchor="__RefHeading___Toc1955436_2322387425">
            <w:r>
              <w:rPr>
                <w:webHidden/>
                <w:rStyle w:val="IndexLink"/>
                <w:rtl w:val="true"/>
              </w:rPr>
              <w:t>المکروه من الصوم</w:t>
            </w:r>
            <w:r>
              <w:rPr>
                <w:rStyle w:val="IndexLink"/>
                <w:rtl w:val="true"/>
              </w:rPr>
              <w:tab/>
            </w:r>
            <w:r>
              <w:rPr>
                <w:rStyle w:val="IndexLink"/>
              </w:rPr>
              <w:t>351</w:t>
            </w:r>
          </w:hyperlink>
        </w:p>
        <w:p>
          <w:pPr>
            <w:pStyle w:val="Contents3"/>
            <w:tabs>
              <w:tab w:val="clear" w:pos="8459"/>
              <w:tab w:val="right" w:pos="9026" w:leader="dot"/>
            </w:tabs>
            <w:rPr/>
          </w:pPr>
          <w:hyperlink w:anchor="__RefHeading___Toc1955438_2322387425">
            <w:r>
              <w:rPr>
                <w:webHidden/>
                <w:rStyle w:val="IndexLink"/>
                <w:rtl w:val="true"/>
              </w:rPr>
              <w:t>أقسام الصوم المحظور</w:t>
            </w:r>
            <w:r>
              <w:rPr>
                <w:rStyle w:val="IndexLink"/>
                <w:rtl w:val="true"/>
              </w:rPr>
              <w:tab/>
            </w:r>
            <w:r>
              <w:rPr>
                <w:rStyle w:val="IndexLink"/>
              </w:rPr>
              <w:t>353</w:t>
            </w:r>
          </w:hyperlink>
        </w:p>
        <w:p>
          <w:pPr>
            <w:pStyle w:val="Contents3"/>
            <w:tabs>
              <w:tab w:val="clear" w:pos="8459"/>
              <w:tab w:val="right" w:pos="9026" w:leader="dot"/>
            </w:tabs>
            <w:rPr/>
          </w:pPr>
          <w:hyperlink w:anchor="__RefHeading___Toc1955440_2322387425">
            <w:r>
              <w:rPr>
                <w:webHidden/>
                <w:rStyle w:val="IndexLink"/>
                <w:rtl w:val="true"/>
              </w:rPr>
              <w:t>مواضع استحباب الإمساک تأدّباً</w:t>
            </w:r>
            <w:r>
              <w:rPr>
                <w:rStyle w:val="IndexLink"/>
                <w:rtl w:val="true"/>
              </w:rPr>
              <w:tab/>
            </w:r>
            <w:r>
              <w:rPr>
                <w:rStyle w:val="IndexLink"/>
              </w:rPr>
              <w:t>358</w:t>
            </w:r>
          </w:hyperlink>
        </w:p>
        <w:p>
          <w:pPr>
            <w:pStyle w:val="Contents2"/>
            <w:tabs>
              <w:tab w:val="clear" w:pos="8743"/>
              <w:tab w:val="right" w:pos="9026" w:leader="dot"/>
            </w:tabs>
            <w:rPr/>
          </w:pPr>
          <w:hyperlink w:anchor="__RefHeading___Toc1955442_2322387425">
            <w:r>
              <w:rPr>
                <w:webHidden/>
                <w:rStyle w:val="IndexLink"/>
                <w:rtl w:val="true"/>
              </w:rPr>
              <w:t>کتاب الاعتکاف</w:t>
            </w:r>
            <w:r>
              <w:rPr>
                <w:rStyle w:val="IndexLink"/>
                <w:rtl w:val="true"/>
              </w:rPr>
              <w:tab/>
            </w:r>
            <w:r>
              <w:rPr>
                <w:rStyle w:val="IndexLink"/>
              </w:rPr>
              <w:t>363</w:t>
            </w:r>
          </w:hyperlink>
        </w:p>
        <w:p>
          <w:pPr>
            <w:pStyle w:val="Contents3"/>
            <w:tabs>
              <w:tab w:val="clear" w:pos="8459"/>
              <w:tab w:val="right" w:pos="9026" w:leader="dot"/>
            </w:tabs>
            <w:rPr/>
          </w:pPr>
          <w:hyperlink w:anchor="__RefHeading___Toc1955444_2322387425">
            <w:r>
              <w:rPr>
                <w:webHidden/>
                <w:rStyle w:val="IndexLink"/>
                <w:rtl w:val="true"/>
              </w:rPr>
              <w:t>معناه وأفضل أوقاته وأقسامه</w:t>
            </w:r>
            <w:r>
              <w:rPr>
                <w:rStyle w:val="IndexLink"/>
                <w:rtl w:val="true"/>
              </w:rPr>
              <w:tab/>
            </w:r>
            <w:r>
              <w:rPr>
                <w:rStyle w:val="IndexLink"/>
              </w:rPr>
              <w:t>363</w:t>
            </w:r>
          </w:hyperlink>
        </w:p>
        <w:p>
          <w:pPr>
            <w:pStyle w:val="Contents3"/>
            <w:tabs>
              <w:tab w:val="clear" w:pos="8459"/>
              <w:tab w:val="right" w:pos="9026" w:leader="dot"/>
            </w:tabs>
            <w:rPr/>
          </w:pPr>
          <w:hyperlink w:anchor="__RefHeading___Toc1955446_2322387425">
            <w:r>
              <w:rPr>
                <w:webHidden/>
                <w:rStyle w:val="IndexLink"/>
                <w:rtl w:val="true"/>
              </w:rPr>
              <w:t>شرائط صحة الاعتکاف</w:t>
            </w:r>
            <w:r>
              <w:rPr>
                <w:rStyle w:val="IndexLink"/>
                <w:rtl w:val="true"/>
              </w:rPr>
              <w:tab/>
            </w:r>
            <w:r>
              <w:rPr>
                <w:rStyle w:val="IndexLink"/>
              </w:rPr>
              <w:t>365</w:t>
            </w:r>
          </w:hyperlink>
        </w:p>
        <w:p>
          <w:pPr>
            <w:pStyle w:val="Contents3"/>
            <w:tabs>
              <w:tab w:val="clear" w:pos="8459"/>
              <w:tab w:val="right" w:pos="9026" w:leader="dot"/>
            </w:tabs>
            <w:rPr/>
          </w:pPr>
          <w:hyperlink w:anchor="__RefHeading___Toc1955448_2322387425">
            <w:r>
              <w:rPr>
                <w:webHidden/>
                <w:rStyle w:val="IndexLink"/>
                <w:rtl w:val="true"/>
              </w:rPr>
              <w:t>الأول</w:t>
            </w:r>
            <w:r>
              <w:rPr>
                <w:rStyle w:val="IndexLink"/>
                <w:rtl w:val="true"/>
              </w:rPr>
              <w:t xml:space="preserve">: </w:t>
            </w:r>
            <w:r>
              <w:rPr>
                <w:rStyle w:val="IndexLink"/>
                <w:rtl w:val="true"/>
              </w:rPr>
              <w:t>الإیمان، فلا یصحّ من غیره</w:t>
            </w:r>
            <w:r>
              <w:rPr>
                <w:rStyle w:val="IndexLink"/>
                <w:rtl w:val="true"/>
              </w:rPr>
              <w:tab/>
            </w:r>
            <w:r>
              <w:rPr>
                <w:rStyle w:val="IndexLink"/>
              </w:rPr>
              <w:t>365</w:t>
            </w:r>
          </w:hyperlink>
        </w:p>
        <w:p>
          <w:pPr>
            <w:pStyle w:val="Contents3"/>
            <w:tabs>
              <w:tab w:val="clear" w:pos="8459"/>
              <w:tab w:val="right" w:pos="9026" w:leader="dot"/>
            </w:tabs>
            <w:rPr/>
          </w:pPr>
          <w:hyperlink w:anchor="__RefHeading___Toc1955450_2322387425">
            <w:r>
              <w:rPr>
                <w:webHidden/>
                <w:rStyle w:val="IndexLink"/>
                <w:rtl w:val="true"/>
              </w:rPr>
              <w:t xml:space="preserve">الثانی </w:t>
            </w:r>
            <w:r>
              <w:rPr>
                <w:rStyle w:val="IndexLink"/>
                <w:rtl w:val="true"/>
              </w:rPr>
              <w:t xml:space="preserve">: </w:t>
            </w:r>
            <w:r>
              <w:rPr>
                <w:rStyle w:val="IndexLink"/>
                <w:rtl w:val="true"/>
              </w:rPr>
              <w:t>العقل، فلا یصحّ من المجنون</w:t>
            </w:r>
            <w:r>
              <w:rPr>
                <w:rStyle w:val="IndexLink"/>
                <w:rtl w:val="true"/>
              </w:rPr>
              <w:tab/>
            </w:r>
            <w:r>
              <w:rPr>
                <w:rStyle w:val="IndexLink"/>
              </w:rPr>
              <w:t>365</w:t>
            </w:r>
          </w:hyperlink>
        </w:p>
        <w:p>
          <w:pPr>
            <w:pStyle w:val="Contents3"/>
            <w:tabs>
              <w:tab w:val="clear" w:pos="8459"/>
              <w:tab w:val="right" w:pos="9026" w:leader="dot"/>
            </w:tabs>
            <w:rPr/>
          </w:pPr>
          <w:hyperlink w:anchor="__RefHeading___Toc1955452_2322387425">
            <w:r>
              <w:rPr>
                <w:webHidden/>
                <w:rStyle w:val="IndexLink"/>
                <w:rtl w:val="true"/>
              </w:rPr>
              <w:t xml:space="preserve">الثالث </w:t>
            </w:r>
            <w:r>
              <w:rPr>
                <w:rStyle w:val="IndexLink"/>
                <w:rtl w:val="true"/>
              </w:rPr>
              <w:t xml:space="preserve">: </w:t>
            </w:r>
            <w:r>
              <w:rPr>
                <w:rStyle w:val="IndexLink"/>
                <w:rtl w:val="true"/>
              </w:rPr>
              <w:t>نیّة القربة العبادیة</w:t>
            </w:r>
            <w:r>
              <w:rPr>
                <w:rStyle w:val="IndexLink"/>
                <w:rtl w:val="true"/>
              </w:rPr>
              <w:tab/>
            </w:r>
            <w:r>
              <w:rPr>
                <w:rStyle w:val="IndexLink"/>
              </w:rPr>
              <w:t>366</w:t>
            </w:r>
          </w:hyperlink>
        </w:p>
        <w:p>
          <w:pPr>
            <w:pStyle w:val="Contents3"/>
            <w:tabs>
              <w:tab w:val="clear" w:pos="8459"/>
              <w:tab w:val="right" w:pos="9026" w:leader="dot"/>
            </w:tabs>
            <w:rPr/>
          </w:pPr>
          <w:hyperlink w:anchor="__RefHeading___Toc1955454_2322387425">
            <w:r>
              <w:rPr>
                <w:webHidden/>
                <w:rStyle w:val="IndexLink"/>
                <w:rtl w:val="true"/>
              </w:rPr>
              <w:t xml:space="preserve">الرابع </w:t>
            </w:r>
            <w:r>
              <w:rPr>
                <w:rStyle w:val="IndexLink"/>
                <w:rtl w:val="true"/>
              </w:rPr>
              <w:t xml:space="preserve">: </w:t>
            </w:r>
            <w:r>
              <w:rPr>
                <w:rStyle w:val="IndexLink"/>
                <w:rtl w:val="true"/>
              </w:rPr>
              <w:t>الصوم فلا یصحّ بدونه</w:t>
            </w:r>
            <w:r>
              <w:rPr>
                <w:rStyle w:val="IndexLink"/>
                <w:rtl w:val="true"/>
              </w:rPr>
              <w:tab/>
            </w:r>
            <w:r>
              <w:rPr>
                <w:rStyle w:val="IndexLink"/>
              </w:rPr>
              <w:t>368</w:t>
            </w:r>
          </w:hyperlink>
        </w:p>
        <w:p>
          <w:pPr>
            <w:pStyle w:val="Contents3"/>
            <w:tabs>
              <w:tab w:val="clear" w:pos="8459"/>
              <w:tab w:val="right" w:pos="9026" w:leader="dot"/>
            </w:tabs>
            <w:rPr/>
          </w:pPr>
          <w:hyperlink w:anchor="__RefHeading___Toc1955456_2322387425">
            <w:r>
              <w:rPr>
                <w:webHidden/>
                <w:rStyle w:val="IndexLink"/>
                <w:rtl w:val="true"/>
              </w:rPr>
              <w:t xml:space="preserve">الخامس </w:t>
            </w:r>
            <w:r>
              <w:rPr>
                <w:rStyle w:val="IndexLink"/>
                <w:rtl w:val="true"/>
              </w:rPr>
              <w:t xml:space="preserve">: </w:t>
            </w:r>
            <w:r>
              <w:rPr>
                <w:rStyle w:val="IndexLink"/>
                <w:rtl w:val="true"/>
              </w:rPr>
              <w:t>ألّا یقلّ الاعتکاف عن ثلاثة أیام</w:t>
            </w:r>
            <w:r>
              <w:rPr>
                <w:rStyle w:val="IndexLink"/>
                <w:rtl w:val="true"/>
              </w:rPr>
              <w:tab/>
            </w:r>
            <w:r>
              <w:rPr>
                <w:rStyle w:val="IndexLink"/>
              </w:rPr>
              <w:t>371</w:t>
            </w:r>
          </w:hyperlink>
        </w:p>
        <w:p>
          <w:pPr>
            <w:pStyle w:val="Contents3"/>
            <w:tabs>
              <w:tab w:val="clear" w:pos="8459"/>
              <w:tab w:val="right" w:pos="9026" w:leader="dot"/>
            </w:tabs>
            <w:rPr/>
          </w:pPr>
          <w:hyperlink w:anchor="__RefHeading___Toc1955458_2322387425">
            <w:r>
              <w:rPr>
                <w:webHidden/>
                <w:rStyle w:val="IndexLink"/>
                <w:rtl w:val="true"/>
              </w:rPr>
              <w:t xml:space="preserve">السادس </w:t>
            </w:r>
            <w:r>
              <w:rPr>
                <w:rStyle w:val="IndexLink"/>
                <w:rtl w:val="true"/>
              </w:rPr>
              <w:t xml:space="preserve">: </w:t>
            </w:r>
            <w:r>
              <w:rPr>
                <w:rStyle w:val="IndexLink"/>
                <w:rtl w:val="true"/>
              </w:rPr>
              <w:t>لزوم الکون فی المسجد وبیان المراد من المسجد</w:t>
            </w:r>
            <w:r>
              <w:rPr>
                <w:rStyle w:val="IndexLink"/>
                <w:rtl w:val="true"/>
              </w:rPr>
              <w:tab/>
            </w:r>
            <w:r>
              <w:rPr>
                <w:rStyle w:val="IndexLink"/>
              </w:rPr>
              <w:t>373</w:t>
            </w:r>
          </w:hyperlink>
        </w:p>
        <w:p>
          <w:pPr>
            <w:pStyle w:val="Contents3"/>
            <w:tabs>
              <w:tab w:val="clear" w:pos="8459"/>
              <w:tab w:val="right" w:pos="9026" w:leader="dot"/>
            </w:tabs>
            <w:rPr/>
          </w:pPr>
          <w:hyperlink w:anchor="__RefHeading___Toc1955460_2322387425">
            <w:r>
              <w:rPr>
                <w:webHidden/>
                <w:rStyle w:val="IndexLink"/>
                <w:rtl w:val="true"/>
              </w:rPr>
              <w:t xml:space="preserve">السابع </w:t>
            </w:r>
            <w:r>
              <w:rPr>
                <w:rStyle w:val="IndexLink"/>
                <w:rtl w:val="true"/>
              </w:rPr>
              <w:t xml:space="preserve">: </w:t>
            </w:r>
            <w:r>
              <w:rPr>
                <w:rStyle w:val="IndexLink"/>
                <w:rtl w:val="true"/>
              </w:rPr>
              <w:t>إذن السید لمملوکه والمستأجر لأجیره الخاص</w:t>
            </w:r>
            <w:r>
              <w:rPr>
                <w:rStyle w:val="IndexLink"/>
                <w:rtl w:val="true"/>
              </w:rPr>
              <w:tab/>
            </w:r>
            <w:r>
              <w:rPr>
                <w:rStyle w:val="IndexLink"/>
              </w:rPr>
              <w:t>374</w:t>
            </w:r>
          </w:hyperlink>
        </w:p>
        <w:p>
          <w:pPr>
            <w:pStyle w:val="Contents3"/>
            <w:tabs>
              <w:tab w:val="clear" w:pos="8459"/>
              <w:tab w:val="right" w:pos="9026" w:leader="dot"/>
            </w:tabs>
            <w:rPr/>
          </w:pPr>
          <w:hyperlink w:anchor="__RefHeading___Toc1955462_2322387425">
            <w:r>
              <w:rPr>
                <w:webHidden/>
                <w:rStyle w:val="IndexLink"/>
                <w:rtl w:val="true"/>
              </w:rPr>
              <w:t>إذن الزوج للزوجة</w:t>
            </w:r>
            <w:r>
              <w:rPr>
                <w:rStyle w:val="IndexLink"/>
                <w:rtl w:val="true"/>
              </w:rPr>
              <w:tab/>
            </w:r>
            <w:r>
              <w:rPr>
                <w:rStyle w:val="IndexLink"/>
              </w:rPr>
              <w:t>375</w:t>
            </w:r>
          </w:hyperlink>
        </w:p>
        <w:p>
          <w:pPr>
            <w:pStyle w:val="Contents3"/>
            <w:tabs>
              <w:tab w:val="clear" w:pos="8459"/>
              <w:tab w:val="right" w:pos="9026" w:leader="dot"/>
            </w:tabs>
            <w:rPr/>
          </w:pPr>
          <w:hyperlink w:anchor="__RefHeading___Toc1955464_2322387425">
            <w:r>
              <w:rPr>
                <w:webHidden/>
                <w:rStyle w:val="IndexLink"/>
                <w:rtl w:val="true"/>
              </w:rPr>
              <w:t>إذن الوالد لولده</w:t>
            </w:r>
            <w:r>
              <w:rPr>
                <w:rStyle w:val="IndexLink"/>
                <w:rtl w:val="true"/>
              </w:rPr>
              <w:tab/>
            </w:r>
            <w:r>
              <w:rPr>
                <w:rStyle w:val="IndexLink"/>
              </w:rPr>
              <w:t>375</w:t>
            </w:r>
          </w:hyperlink>
        </w:p>
        <w:p>
          <w:pPr>
            <w:pStyle w:val="Contents3"/>
            <w:tabs>
              <w:tab w:val="clear" w:pos="8459"/>
              <w:tab w:val="right" w:pos="9026" w:leader="dot"/>
            </w:tabs>
            <w:rPr/>
          </w:pPr>
          <w:hyperlink w:anchor="__RefHeading___Toc1955466_2322387425">
            <w:r>
              <w:rPr>
                <w:webHidden/>
                <w:rStyle w:val="IndexLink"/>
                <w:rtl w:val="true"/>
              </w:rPr>
              <w:t xml:space="preserve">الثامن </w:t>
            </w:r>
            <w:r>
              <w:rPr>
                <w:rStyle w:val="IndexLink"/>
                <w:rtl w:val="true"/>
              </w:rPr>
              <w:t xml:space="preserve">: </w:t>
            </w:r>
            <w:r>
              <w:rPr>
                <w:rStyle w:val="IndexLink"/>
                <w:rtl w:val="true"/>
              </w:rPr>
              <w:t>استدامة اللبث فی المسجد</w:t>
            </w:r>
            <w:r>
              <w:rPr>
                <w:rStyle w:val="IndexLink"/>
                <w:rtl w:val="true"/>
              </w:rPr>
              <w:tab/>
            </w:r>
            <w:r>
              <w:rPr>
                <w:rStyle w:val="IndexLink"/>
              </w:rPr>
              <w:t>377</w:t>
            </w:r>
          </w:hyperlink>
        </w:p>
        <w:p>
          <w:pPr>
            <w:pStyle w:val="Contents3"/>
            <w:tabs>
              <w:tab w:val="clear" w:pos="8459"/>
              <w:tab w:val="right" w:pos="9026" w:leader="dot"/>
            </w:tabs>
            <w:rPr/>
          </w:pPr>
          <w:hyperlink w:anchor="__RefHeading___Toc1955468_2322387425">
            <w:r>
              <w:rPr>
                <w:webHidden/>
                <w:rStyle w:val="IndexLink"/>
                <w:rtl w:val="true"/>
              </w:rPr>
              <w:t>بطلان الاعتکاف بالارتداد </w:t>
            </w:r>
            <w:r>
              <w:rPr>
                <w:rStyle w:val="IndexLink"/>
                <w:rtl w:val="true"/>
              </w:rPr>
              <w:tab/>
            </w:r>
            <w:r>
              <w:rPr>
                <w:rStyle w:val="IndexLink"/>
              </w:rPr>
              <w:t>381</w:t>
            </w:r>
          </w:hyperlink>
        </w:p>
        <w:p>
          <w:pPr>
            <w:pStyle w:val="Contents3"/>
            <w:tabs>
              <w:tab w:val="clear" w:pos="8459"/>
              <w:tab w:val="right" w:pos="9026" w:leader="dot"/>
            </w:tabs>
            <w:rPr/>
          </w:pPr>
          <w:hyperlink w:anchor="__RefHeading___Toc1955470_2322387425">
            <w:r>
              <w:rPr>
                <w:webHidden/>
                <w:rStyle w:val="IndexLink"/>
                <w:rtl w:val="true"/>
              </w:rPr>
              <w:t>عدم جواز العدول بالنیّة فی الاعتکاف</w:t>
            </w:r>
            <w:r>
              <w:rPr>
                <w:rStyle w:val="IndexLink"/>
                <w:rtl w:val="true"/>
              </w:rPr>
              <w:tab/>
            </w:r>
            <w:r>
              <w:rPr>
                <w:rStyle w:val="IndexLink"/>
              </w:rPr>
              <w:t>381</w:t>
            </w:r>
          </w:hyperlink>
        </w:p>
        <w:p>
          <w:pPr>
            <w:pStyle w:val="Contents3"/>
            <w:tabs>
              <w:tab w:val="clear" w:pos="8459"/>
              <w:tab w:val="right" w:pos="9026" w:leader="dot"/>
            </w:tabs>
            <w:rPr/>
          </w:pPr>
          <w:hyperlink w:anchor="__RefHeading___Toc1955472_2322387425">
            <w:r>
              <w:rPr>
                <w:webHidden/>
                <w:rStyle w:val="IndexLink"/>
                <w:rtl w:val="true"/>
              </w:rPr>
              <w:t>النیابة عن أکثر من واحد</w:t>
            </w:r>
            <w:r>
              <w:rPr>
                <w:rStyle w:val="IndexLink"/>
                <w:rtl w:val="true"/>
              </w:rPr>
              <w:tab/>
            </w:r>
            <w:r>
              <w:rPr>
                <w:rStyle w:val="IndexLink"/>
              </w:rPr>
              <w:t>381</w:t>
            </w:r>
          </w:hyperlink>
        </w:p>
        <w:p>
          <w:pPr>
            <w:pStyle w:val="Contents3"/>
            <w:tabs>
              <w:tab w:val="clear" w:pos="8459"/>
              <w:tab w:val="right" w:pos="9026" w:leader="dot"/>
            </w:tabs>
            <w:rPr/>
          </w:pPr>
          <w:hyperlink w:anchor="__RefHeading___Toc1955474_2322387425">
            <w:r>
              <w:rPr>
                <w:webHidden/>
                <w:rStyle w:val="IndexLink"/>
                <w:rtl w:val="true"/>
              </w:rPr>
              <w:t>کفایة مطلق الصوم فی الاعتکاف</w:t>
            </w:r>
            <w:r>
              <w:rPr>
                <w:rStyle w:val="IndexLink"/>
                <w:rtl w:val="true"/>
              </w:rPr>
              <w:tab/>
            </w:r>
            <w:r>
              <w:rPr>
                <w:rStyle w:val="IndexLink"/>
              </w:rPr>
              <w:t>382</w:t>
            </w:r>
          </w:hyperlink>
        </w:p>
        <w:p>
          <w:pPr>
            <w:pStyle w:val="Contents3"/>
            <w:tabs>
              <w:tab w:val="clear" w:pos="8459"/>
              <w:tab w:val="right" w:pos="9026" w:leader="dot"/>
            </w:tabs>
            <w:rPr/>
          </w:pPr>
          <w:hyperlink w:anchor="__RefHeading___Toc1955476_2322387425">
            <w:r>
              <w:rPr>
                <w:webHidden/>
                <w:rStyle w:val="IndexLink"/>
                <w:rtl w:val="true"/>
              </w:rPr>
              <w:t>جواز قطع الاعتکاف فی الیومین الأوّلین</w:t>
            </w:r>
            <w:r>
              <w:rPr>
                <w:rStyle w:val="IndexLink"/>
                <w:rtl w:val="true"/>
              </w:rPr>
              <w:tab/>
            </w:r>
            <w:r>
              <w:rPr>
                <w:rStyle w:val="IndexLink"/>
              </w:rPr>
              <w:t>384</w:t>
            </w:r>
          </w:hyperlink>
        </w:p>
        <w:p>
          <w:pPr>
            <w:pStyle w:val="Contents4"/>
            <w:tabs>
              <w:tab w:val="clear" w:pos="8176"/>
              <w:tab w:val="right" w:pos="9026" w:leader="dot"/>
            </w:tabs>
            <w:rPr/>
          </w:pPr>
          <w:hyperlink w:anchor="__RefHeading___Toc1955478_2322387425">
            <w:r>
              <w:rPr>
                <w:webHidden/>
                <w:rStyle w:val="IndexLink"/>
                <w:rtl w:val="true"/>
              </w:rPr>
              <w:t>حکم قطع الاعتکاف المنذور المعیّن</w:t>
            </w:r>
            <w:r>
              <w:rPr>
                <w:rStyle w:val="IndexLink"/>
                <w:rtl w:val="true"/>
              </w:rPr>
              <w:tab/>
            </w:r>
            <w:r>
              <w:rPr>
                <w:rStyle w:val="IndexLink"/>
              </w:rPr>
              <w:t>384</w:t>
            </w:r>
          </w:hyperlink>
        </w:p>
        <w:p>
          <w:pPr>
            <w:pStyle w:val="Contents3"/>
            <w:tabs>
              <w:tab w:val="clear" w:pos="8459"/>
              <w:tab w:val="right" w:pos="9026" w:leader="dot"/>
            </w:tabs>
            <w:rPr/>
          </w:pPr>
          <w:hyperlink w:anchor="__RefHeading___Toc1955480_2322387425">
            <w:r>
              <w:rPr>
                <w:webHidden/>
                <w:rStyle w:val="IndexLink"/>
                <w:rtl w:val="true"/>
              </w:rPr>
              <w:t>صوم نذر الاعتکاف فی یوم علیه فیه صوم واجب</w:t>
            </w:r>
            <w:r>
              <w:rPr>
                <w:rStyle w:val="IndexLink"/>
                <w:rtl w:val="true"/>
              </w:rPr>
              <w:tab/>
            </w:r>
            <w:r>
              <w:rPr>
                <w:rStyle w:val="IndexLink"/>
              </w:rPr>
              <w:t>384</w:t>
            </w:r>
          </w:hyperlink>
        </w:p>
        <w:p>
          <w:pPr>
            <w:pStyle w:val="Contents3"/>
            <w:tabs>
              <w:tab w:val="clear" w:pos="8459"/>
              <w:tab w:val="right" w:pos="9026" w:leader="dot"/>
            </w:tabs>
            <w:rPr/>
          </w:pPr>
          <w:hyperlink w:anchor="__RefHeading___Toc1955482_2322387425">
            <w:r>
              <w:rPr>
                <w:webHidden/>
                <w:rStyle w:val="IndexLink"/>
                <w:rtl w:val="true"/>
              </w:rPr>
              <w:t>نذر الاعتکاف لیوم أو یومین</w:t>
            </w:r>
            <w:r>
              <w:rPr>
                <w:rStyle w:val="IndexLink"/>
                <w:rtl w:val="true"/>
              </w:rPr>
              <w:tab/>
            </w:r>
            <w:r>
              <w:rPr>
                <w:rStyle w:val="IndexLink"/>
              </w:rPr>
              <w:t>385</w:t>
            </w:r>
          </w:hyperlink>
        </w:p>
        <w:p>
          <w:pPr>
            <w:pStyle w:val="Contents3"/>
            <w:tabs>
              <w:tab w:val="clear" w:pos="8459"/>
              <w:tab w:val="right" w:pos="9026" w:leader="dot"/>
            </w:tabs>
            <w:rPr/>
          </w:pPr>
          <w:hyperlink w:anchor="__RefHeading___Toc1955484_2322387425">
            <w:r>
              <w:rPr>
                <w:webHidden/>
                <w:rStyle w:val="IndexLink"/>
                <w:rtl w:val="true"/>
              </w:rPr>
              <w:t>لو صادف النذر مانع من الصوم کالعید</w:t>
            </w:r>
            <w:r>
              <w:rPr>
                <w:rStyle w:val="IndexLink"/>
                <w:rtl w:val="true"/>
              </w:rPr>
              <w:tab/>
            </w:r>
            <w:r>
              <w:rPr>
                <w:rStyle w:val="IndexLink"/>
              </w:rPr>
              <w:t>385</w:t>
            </w:r>
          </w:hyperlink>
        </w:p>
        <w:p>
          <w:pPr>
            <w:pStyle w:val="Contents3"/>
            <w:tabs>
              <w:tab w:val="clear" w:pos="8459"/>
              <w:tab w:val="right" w:pos="9026" w:leader="dot"/>
            </w:tabs>
            <w:rPr/>
          </w:pPr>
          <w:hyperlink w:anchor="__RefHeading___Toc1955486_2322387425">
            <w:r>
              <w:rPr>
                <w:webHidden/>
                <w:rStyle w:val="IndexLink"/>
                <w:rtl w:val="true"/>
              </w:rPr>
              <w:t>نذر الاعتکاف یوم قدوم شخصٍ معیّن</w:t>
            </w:r>
            <w:r>
              <w:rPr>
                <w:rStyle w:val="IndexLink"/>
                <w:rtl w:val="true"/>
              </w:rPr>
              <w:tab/>
            </w:r>
            <w:r>
              <w:rPr>
                <w:rStyle w:val="IndexLink"/>
              </w:rPr>
              <w:t>386</w:t>
            </w:r>
          </w:hyperlink>
        </w:p>
        <w:p>
          <w:pPr>
            <w:pStyle w:val="Contents3"/>
            <w:tabs>
              <w:tab w:val="clear" w:pos="8459"/>
              <w:tab w:val="right" w:pos="9026" w:leader="dot"/>
            </w:tabs>
            <w:rPr/>
          </w:pPr>
          <w:hyperlink w:anchor="__RefHeading___Toc1955488_2322387425">
            <w:r>
              <w:rPr>
                <w:webHidden/>
                <w:rStyle w:val="IndexLink"/>
                <w:rtl w:val="true"/>
              </w:rPr>
              <w:t>حکم اللیلتین المتوسّطتین واللیلة الاُولی فی الاعتکاف المنذور</w:t>
            </w:r>
            <w:r>
              <w:rPr>
                <w:rStyle w:val="IndexLink"/>
                <w:rtl w:val="true"/>
              </w:rPr>
              <w:tab/>
            </w:r>
            <w:r>
              <w:rPr>
                <w:rStyle w:val="IndexLink"/>
              </w:rPr>
              <w:t>388</w:t>
            </w:r>
          </w:hyperlink>
        </w:p>
        <w:p>
          <w:pPr>
            <w:pStyle w:val="Contents3"/>
            <w:tabs>
              <w:tab w:val="clear" w:pos="8459"/>
              <w:tab w:val="right" w:pos="9026" w:leader="dot"/>
            </w:tabs>
            <w:rPr/>
          </w:pPr>
          <w:hyperlink w:anchor="__RefHeading___Toc1955490_2322387425">
            <w:r>
              <w:rPr>
                <w:webHidden/>
                <w:rStyle w:val="IndexLink"/>
                <w:rtl w:val="true"/>
              </w:rPr>
              <w:t>المراد من الشهر فی المقام</w:t>
            </w:r>
            <w:r>
              <w:rPr>
                <w:rStyle w:val="IndexLink"/>
                <w:rtl w:val="true"/>
              </w:rPr>
              <w:tab/>
            </w:r>
            <w:r>
              <w:rPr>
                <w:rStyle w:val="IndexLink"/>
              </w:rPr>
              <w:t>388</w:t>
            </w:r>
          </w:hyperlink>
        </w:p>
        <w:p>
          <w:pPr>
            <w:pStyle w:val="Contents3"/>
            <w:tabs>
              <w:tab w:val="clear" w:pos="8459"/>
              <w:tab w:val="right" w:pos="9026" w:leader="dot"/>
            </w:tabs>
            <w:rPr/>
          </w:pPr>
          <w:hyperlink w:anchor="__RefHeading___Toc1955492_2322387425">
            <w:r>
              <w:rPr>
                <w:webHidden/>
                <w:rStyle w:val="IndexLink"/>
                <w:rtl w:val="true"/>
              </w:rPr>
              <w:t>لو نذر اعتکاف شهر أو مقدار شهر والفرق بینهما</w:t>
            </w:r>
            <w:r>
              <w:rPr>
                <w:rStyle w:val="IndexLink"/>
                <w:rtl w:val="true"/>
              </w:rPr>
              <w:tab/>
            </w:r>
            <w:r>
              <w:rPr>
                <w:rStyle w:val="IndexLink"/>
              </w:rPr>
              <w:t>390</w:t>
            </w:r>
          </w:hyperlink>
        </w:p>
        <w:p>
          <w:pPr>
            <w:pStyle w:val="Contents3"/>
            <w:tabs>
              <w:tab w:val="clear" w:pos="8459"/>
              <w:tab w:val="right" w:pos="9026" w:leader="dot"/>
            </w:tabs>
            <w:rPr/>
          </w:pPr>
          <w:hyperlink w:anchor="__RefHeading___Toc1955494_2322387425">
            <w:r>
              <w:rPr>
                <w:webHidden/>
                <w:rStyle w:val="IndexLink"/>
                <w:rtl w:val="true"/>
              </w:rPr>
              <w:t>فروع فیما یرتبط بالتتابع فی صوم الاعتکاف</w:t>
            </w:r>
            <w:r>
              <w:rPr>
                <w:rStyle w:val="IndexLink"/>
                <w:rtl w:val="true"/>
              </w:rPr>
              <w:tab/>
            </w:r>
            <w:r>
              <w:rPr>
                <w:rStyle w:val="IndexLink"/>
              </w:rPr>
              <w:t>391</w:t>
            </w:r>
          </w:hyperlink>
        </w:p>
        <w:p>
          <w:pPr>
            <w:pStyle w:val="Contents3"/>
            <w:tabs>
              <w:tab w:val="clear" w:pos="8459"/>
              <w:tab w:val="right" w:pos="9026" w:leader="dot"/>
            </w:tabs>
            <w:rPr/>
          </w:pPr>
          <w:hyperlink w:anchor="__RefHeading___Toc1955496_2322387425">
            <w:r>
              <w:rPr>
                <w:webHidden/>
                <w:rStyle w:val="IndexLink"/>
                <w:rtl w:val="true"/>
              </w:rPr>
              <w:t>قضاء ما ترک من الاعتکاف الواجب وحکم ما لو غمّت الشهور</w:t>
            </w:r>
            <w:r>
              <w:rPr>
                <w:rStyle w:val="IndexLink"/>
                <w:rtl w:val="true"/>
              </w:rPr>
              <w:tab/>
            </w:r>
            <w:r>
              <w:rPr>
                <w:rStyle w:val="IndexLink"/>
              </w:rPr>
              <w:t>393</w:t>
            </w:r>
          </w:hyperlink>
        </w:p>
        <w:p>
          <w:pPr>
            <w:pStyle w:val="Contents3"/>
            <w:tabs>
              <w:tab w:val="clear" w:pos="8459"/>
              <w:tab w:val="right" w:pos="9026" w:leader="dot"/>
            </w:tabs>
            <w:rPr/>
          </w:pPr>
          <w:hyperlink w:anchor="__RefHeading___Toc1955498_2322387425">
            <w:r>
              <w:rPr>
                <w:webHidden/>
                <w:rStyle w:val="IndexLink"/>
                <w:rtl w:val="true"/>
              </w:rPr>
              <w:t>اعتبار وحدة المسجد فی الاعتکاف الواحد </w:t>
            </w:r>
            <w:r>
              <w:rPr>
                <w:rStyle w:val="IndexLink"/>
                <w:rtl w:val="true"/>
              </w:rPr>
              <w:tab/>
            </w:r>
            <w:r>
              <w:rPr>
                <w:rStyle w:val="IndexLink"/>
              </w:rPr>
              <w:t>395</w:t>
            </w:r>
          </w:hyperlink>
        </w:p>
        <w:p>
          <w:pPr>
            <w:pStyle w:val="Contents3"/>
            <w:tabs>
              <w:tab w:val="clear" w:pos="8459"/>
              <w:tab w:val="right" w:pos="9026" w:leader="dot"/>
            </w:tabs>
            <w:rPr/>
          </w:pPr>
          <w:hyperlink w:anchor="__RefHeading___Toc1955500_2322387425">
            <w:r>
              <w:rPr>
                <w:webHidden/>
                <w:rStyle w:val="IndexLink"/>
                <w:rtl w:val="true"/>
              </w:rPr>
              <w:t>حکم ما لو اتفق مانع من إتمام الاعتکاف</w:t>
            </w:r>
            <w:r>
              <w:rPr>
                <w:rStyle w:val="IndexLink"/>
                <w:rtl w:val="true"/>
              </w:rPr>
              <w:tab/>
            </w:r>
            <w:r>
              <w:rPr>
                <w:rStyle w:val="IndexLink"/>
              </w:rPr>
              <w:t>395</w:t>
            </w:r>
          </w:hyperlink>
        </w:p>
        <w:p>
          <w:pPr>
            <w:pStyle w:val="Contents3"/>
            <w:tabs>
              <w:tab w:val="clear" w:pos="8459"/>
              <w:tab w:val="right" w:pos="9026" w:leader="dot"/>
            </w:tabs>
            <w:rPr/>
          </w:pPr>
          <w:hyperlink w:anchor="__RefHeading___Toc1955502_2322387425">
            <w:r>
              <w:rPr>
                <w:webHidden/>
                <w:rStyle w:val="IndexLink"/>
                <w:rtl w:val="true"/>
              </w:rPr>
              <w:t>أحکام فی توابع المسجد ومنه مسجد الکوفة المعظّم وفروع ذلک</w:t>
            </w:r>
            <w:r>
              <w:rPr>
                <w:rStyle w:val="IndexLink"/>
                <w:rtl w:val="true"/>
              </w:rPr>
              <w:tab/>
            </w:r>
            <w:r>
              <w:rPr>
                <w:rStyle w:val="IndexLink"/>
              </w:rPr>
              <w:t>396</w:t>
            </w:r>
          </w:hyperlink>
        </w:p>
        <w:p>
          <w:pPr>
            <w:pStyle w:val="Contents3"/>
            <w:tabs>
              <w:tab w:val="clear" w:pos="8459"/>
              <w:tab w:val="right" w:pos="9026" w:leader="dot"/>
            </w:tabs>
            <w:rPr/>
          </w:pPr>
          <w:hyperlink w:anchor="__RefHeading___Toc1955504_2322387425">
            <w:r>
              <w:rPr>
                <w:webHidden/>
                <w:rStyle w:val="IndexLink"/>
                <w:rtl w:val="true"/>
              </w:rPr>
              <w:t>صحة اعتکاف الصبی الممیز</w:t>
            </w:r>
            <w:r>
              <w:rPr>
                <w:rStyle w:val="IndexLink"/>
                <w:rtl w:val="true"/>
              </w:rPr>
              <w:tab/>
            </w:r>
            <w:r>
              <w:rPr>
                <w:rStyle w:val="IndexLink"/>
              </w:rPr>
              <w:t>400</w:t>
            </w:r>
          </w:hyperlink>
        </w:p>
        <w:p>
          <w:pPr>
            <w:pStyle w:val="Contents3"/>
            <w:tabs>
              <w:tab w:val="clear" w:pos="8459"/>
              <w:tab w:val="right" w:pos="9026" w:leader="dot"/>
            </w:tabs>
            <w:rPr/>
          </w:pPr>
          <w:hyperlink w:anchor="__RefHeading___Toc1955506_2322387425">
            <w:r>
              <w:rPr>
                <w:webHidden/>
                <w:rStyle w:val="IndexLink"/>
                <w:rtl w:val="true"/>
              </w:rPr>
              <w:t>اعتکاف العبد وشرطیة إذن المولی</w:t>
            </w:r>
            <w:r>
              <w:rPr>
                <w:rStyle w:val="IndexLink"/>
                <w:rtl w:val="true"/>
              </w:rPr>
              <w:tab/>
            </w:r>
            <w:r>
              <w:rPr>
                <w:rStyle w:val="IndexLink"/>
              </w:rPr>
              <w:t>400</w:t>
            </w:r>
          </w:hyperlink>
        </w:p>
        <w:p>
          <w:pPr>
            <w:pStyle w:val="Contents3"/>
            <w:tabs>
              <w:tab w:val="clear" w:pos="8459"/>
              <w:tab w:val="right" w:pos="9026" w:leader="dot"/>
            </w:tabs>
            <w:rPr/>
          </w:pPr>
          <w:hyperlink w:anchor="__RefHeading___Toc1955508_2322387425">
            <w:r>
              <w:rPr>
                <w:webHidden/>
                <w:rStyle w:val="IndexLink"/>
                <w:rtl w:val="true"/>
              </w:rPr>
              <w:t>حکم خروج المعتکف من المسجد</w:t>
            </w:r>
            <w:r>
              <w:rPr>
                <w:rStyle w:val="IndexLink"/>
                <w:rtl w:val="true"/>
              </w:rPr>
              <w:tab/>
            </w:r>
            <w:r>
              <w:rPr>
                <w:rStyle w:val="IndexLink"/>
              </w:rPr>
              <w:t>402</w:t>
            </w:r>
          </w:hyperlink>
        </w:p>
        <w:p>
          <w:pPr>
            <w:pStyle w:val="Contents3"/>
            <w:tabs>
              <w:tab w:val="clear" w:pos="8459"/>
              <w:tab w:val="right" w:pos="9026" w:leader="dot"/>
            </w:tabs>
            <w:rPr/>
          </w:pPr>
          <w:hyperlink w:anchor="__RefHeading___Toc1955510_2322387425">
            <w:r>
              <w:rPr>
                <w:webHidden/>
                <w:rStyle w:val="IndexLink"/>
                <w:rtl w:val="true"/>
              </w:rPr>
              <w:t>الخروج لأجل الاغتسال من الجنابة</w:t>
            </w:r>
            <w:r>
              <w:rPr>
                <w:rStyle w:val="IndexLink"/>
                <w:rtl w:val="true"/>
              </w:rPr>
              <w:tab/>
            </w:r>
            <w:r>
              <w:rPr>
                <w:rStyle w:val="IndexLink"/>
              </w:rPr>
              <w:t>404</w:t>
            </w:r>
          </w:hyperlink>
        </w:p>
        <w:p>
          <w:pPr>
            <w:pStyle w:val="Contents3"/>
            <w:tabs>
              <w:tab w:val="clear" w:pos="8459"/>
              <w:tab w:val="right" w:pos="9026" w:leader="dot"/>
            </w:tabs>
            <w:rPr/>
          </w:pPr>
          <w:hyperlink w:anchor="__RefHeading___Toc1955512_2322387425">
            <w:r>
              <w:rPr>
                <w:webHidden/>
                <w:rStyle w:val="IndexLink"/>
                <w:rtl w:val="true"/>
              </w:rPr>
              <w:t>اعتبار عدم الغصبیة للمکان من المسجد</w:t>
            </w:r>
            <w:r>
              <w:rPr>
                <w:rStyle w:val="IndexLink"/>
                <w:rtl w:val="true"/>
              </w:rPr>
              <w:tab/>
            </w:r>
            <w:r>
              <w:rPr>
                <w:rStyle w:val="IndexLink"/>
              </w:rPr>
              <w:t>406</w:t>
            </w:r>
          </w:hyperlink>
        </w:p>
        <w:p>
          <w:pPr>
            <w:pStyle w:val="Contents3"/>
            <w:tabs>
              <w:tab w:val="clear" w:pos="8459"/>
              <w:tab w:val="right" w:pos="9026" w:leader="dot"/>
            </w:tabs>
            <w:rPr/>
          </w:pPr>
          <w:hyperlink w:anchor="__RefHeading___Toc1955514_2322387425">
            <w:r>
              <w:rPr>
                <w:webHidden/>
                <w:rStyle w:val="IndexLink"/>
                <w:rtl w:val="true"/>
              </w:rPr>
              <w:t>فروع فی ما یرتبط بالخروج من المسجد</w:t>
            </w:r>
            <w:r>
              <w:rPr>
                <w:rStyle w:val="IndexLink"/>
                <w:rtl w:val="true"/>
              </w:rPr>
              <w:tab/>
            </w:r>
            <w:r>
              <w:rPr>
                <w:rStyle w:val="IndexLink"/>
              </w:rPr>
              <w:t>410</w:t>
            </w:r>
          </w:hyperlink>
        </w:p>
        <w:p>
          <w:pPr>
            <w:pStyle w:val="Contents3"/>
            <w:tabs>
              <w:tab w:val="clear" w:pos="8459"/>
              <w:tab w:val="right" w:pos="9026" w:leader="dot"/>
            </w:tabs>
            <w:rPr/>
          </w:pPr>
          <w:hyperlink w:anchor="__RefHeading___Toc1955516_2322387425">
            <w:r>
              <w:rPr>
                <w:webHidden/>
                <w:rStyle w:val="IndexLink"/>
                <w:rtl w:val="true"/>
              </w:rPr>
              <w:t>إجزاء اللبث فی المسجد بأیّ نحوٍ کان</w:t>
            </w:r>
            <w:r>
              <w:rPr>
                <w:rStyle w:val="IndexLink"/>
                <w:rtl w:val="true"/>
              </w:rPr>
              <w:tab/>
            </w:r>
            <w:r>
              <w:rPr>
                <w:rStyle w:val="IndexLink"/>
              </w:rPr>
              <w:t>411</w:t>
            </w:r>
          </w:hyperlink>
        </w:p>
        <w:p>
          <w:pPr>
            <w:pStyle w:val="Contents3"/>
            <w:tabs>
              <w:tab w:val="clear" w:pos="8459"/>
              <w:tab w:val="right" w:pos="9026" w:leader="dot"/>
            </w:tabs>
            <w:rPr/>
          </w:pPr>
          <w:hyperlink w:anchor="__RefHeading___Toc1955518_2322387425">
            <w:r>
              <w:rPr>
                <w:webHidden/>
                <w:rStyle w:val="IndexLink"/>
                <w:rtl w:val="true"/>
              </w:rPr>
              <w:t>وظیفة المرأة المعتکفة إذا طُلّقت طلاقاً رجعیاً</w:t>
            </w:r>
            <w:r>
              <w:rPr>
                <w:rStyle w:val="IndexLink"/>
                <w:rtl w:val="true"/>
              </w:rPr>
              <w:tab/>
            </w:r>
            <w:r>
              <w:rPr>
                <w:rStyle w:val="IndexLink"/>
              </w:rPr>
              <w:t>411</w:t>
            </w:r>
          </w:hyperlink>
        </w:p>
        <w:p>
          <w:pPr>
            <w:pStyle w:val="Contents3"/>
            <w:tabs>
              <w:tab w:val="clear" w:pos="8459"/>
              <w:tab w:val="right" w:pos="9026" w:leader="dot"/>
            </w:tabs>
            <w:rPr/>
          </w:pPr>
          <w:hyperlink w:anchor="__RefHeading___Toc1955520_2322387425">
            <w:r>
              <w:rPr>
                <w:webHidden/>
                <w:rStyle w:val="IndexLink"/>
                <w:rtl w:val="true"/>
              </w:rPr>
              <w:t>الرجوع عن الاعتکاف</w:t>
            </w:r>
            <w:r>
              <w:rPr>
                <w:rStyle w:val="IndexLink"/>
                <w:rtl w:val="true"/>
              </w:rPr>
              <w:tab/>
            </w:r>
            <w:r>
              <w:rPr>
                <w:rStyle w:val="IndexLink"/>
              </w:rPr>
              <w:t>413</w:t>
            </w:r>
          </w:hyperlink>
        </w:p>
        <w:p>
          <w:pPr>
            <w:pStyle w:val="Contents3"/>
            <w:tabs>
              <w:tab w:val="clear" w:pos="8459"/>
              <w:tab w:val="right" w:pos="9026" w:leader="dot"/>
            </w:tabs>
            <w:rPr/>
          </w:pPr>
          <w:hyperlink w:anchor="__RefHeading___Toc1955522_2322387425">
            <w:r>
              <w:rPr>
                <w:webHidden/>
                <w:rStyle w:val="IndexLink"/>
                <w:rtl w:val="true"/>
              </w:rPr>
              <w:t>فروع الرجوع عن الاعتکاف</w:t>
            </w:r>
            <w:r>
              <w:rPr>
                <w:rStyle w:val="IndexLink"/>
                <w:rtl w:val="true"/>
              </w:rPr>
              <w:tab/>
            </w:r>
            <w:r>
              <w:rPr>
                <w:rStyle w:val="IndexLink"/>
              </w:rPr>
              <w:t>414</w:t>
            </w:r>
          </w:hyperlink>
        </w:p>
        <w:p>
          <w:pPr>
            <w:pStyle w:val="Contents3"/>
            <w:tabs>
              <w:tab w:val="clear" w:pos="8459"/>
              <w:tab w:val="right" w:pos="9026" w:leader="dot"/>
            </w:tabs>
            <w:rPr/>
          </w:pPr>
          <w:hyperlink w:anchor="__RefHeading___Toc1955524_2322387425">
            <w:r>
              <w:rPr>
                <w:webHidden/>
                <w:rStyle w:val="IndexLink"/>
                <w:rtl w:val="true"/>
              </w:rPr>
              <w:t>التعلیق فی نیّة الاعتکاف</w:t>
            </w:r>
            <w:r>
              <w:rPr>
                <w:rStyle w:val="IndexLink"/>
                <w:rtl w:val="true"/>
              </w:rPr>
              <w:tab/>
            </w:r>
            <w:r>
              <w:rPr>
                <w:rStyle w:val="IndexLink"/>
              </w:rPr>
              <w:t>416</w:t>
            </w:r>
          </w:hyperlink>
        </w:p>
        <w:p>
          <w:pPr>
            <w:pStyle w:val="Contents2"/>
            <w:tabs>
              <w:tab w:val="clear" w:pos="8743"/>
              <w:tab w:val="right" w:pos="9026" w:leader="dot"/>
            </w:tabs>
            <w:rPr/>
          </w:pPr>
          <w:hyperlink w:anchor="__RefHeading___Toc1955526_2322387425">
            <w:r>
              <w:rPr>
                <w:webHidden/>
                <w:rStyle w:val="IndexLink"/>
                <w:rtl w:val="true"/>
              </w:rPr>
              <w:t>فصل</w:t>
            </w:r>
            <w:r>
              <w:rPr>
                <w:rStyle w:val="IndexLink"/>
                <w:rtl w:val="true"/>
              </w:rPr>
              <w:t xml:space="preserve">: </w:t>
            </w:r>
            <w:r>
              <w:rPr>
                <w:rStyle w:val="IndexLink"/>
                <w:rtl w:val="true"/>
              </w:rPr>
              <w:t>فی أحکام الاعتکاف</w:t>
            </w:r>
            <w:r>
              <w:rPr>
                <w:rStyle w:val="IndexLink"/>
                <w:rtl w:val="true"/>
              </w:rPr>
              <w:tab/>
            </w:r>
            <w:r>
              <w:rPr>
                <w:rStyle w:val="IndexLink"/>
              </w:rPr>
              <w:t>417</w:t>
            </w:r>
          </w:hyperlink>
        </w:p>
        <w:p>
          <w:pPr>
            <w:pStyle w:val="Contents3"/>
            <w:tabs>
              <w:tab w:val="clear" w:pos="8459"/>
              <w:tab w:val="right" w:pos="9026" w:leader="dot"/>
            </w:tabs>
            <w:rPr/>
          </w:pPr>
          <w:hyperlink w:anchor="__RefHeading___Toc1955528_2322387425">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1955530_2322387425">
            <w:r>
              <w:rPr>
                <w:webHidden/>
                <w:rStyle w:val="IndexLink"/>
                <w:rtl w:val="true"/>
              </w:rPr>
              <w:t>أحدها</w:t>
            </w:r>
            <w:r>
              <w:rPr>
                <w:rStyle w:val="IndexLink"/>
                <w:rtl w:val="true"/>
              </w:rPr>
              <w:t xml:space="preserve">: </w:t>
            </w:r>
            <w:r>
              <w:rPr>
                <w:rStyle w:val="IndexLink"/>
                <w:rtl w:val="true"/>
              </w:rPr>
              <w:t>المباشرة بالجماع من الرجل والمرأة </w:t>
            </w:r>
            <w:r>
              <w:rPr>
                <w:rStyle w:val="IndexLink"/>
                <w:rtl w:val="true"/>
              </w:rPr>
              <w:tab/>
            </w:r>
            <w:r>
              <w:rPr>
                <w:rStyle w:val="IndexLink"/>
              </w:rPr>
              <w:t>417</w:t>
            </w:r>
          </w:hyperlink>
        </w:p>
        <w:p>
          <w:pPr>
            <w:pStyle w:val="Contents3"/>
            <w:tabs>
              <w:tab w:val="clear" w:pos="8459"/>
              <w:tab w:val="right" w:pos="9026" w:leader="dot"/>
            </w:tabs>
            <w:rPr/>
          </w:pPr>
          <w:hyperlink w:anchor="__RefHeading___Toc1955532_2322387425">
            <w:r>
              <w:rPr>
                <w:webHidden/>
                <w:rStyle w:val="IndexLink"/>
                <w:rtl w:val="true"/>
              </w:rPr>
              <w:t xml:space="preserve">الثانی </w:t>
            </w:r>
            <w:r>
              <w:rPr>
                <w:rStyle w:val="IndexLink"/>
                <w:rtl w:val="true"/>
              </w:rPr>
              <w:t xml:space="preserve">: </w:t>
            </w:r>
            <w:r>
              <w:rPr>
                <w:rStyle w:val="IndexLink"/>
                <w:rtl w:val="true"/>
              </w:rPr>
              <w:t>الاستمناء</w:t>
            </w:r>
            <w:r>
              <w:rPr>
                <w:rStyle w:val="IndexLink"/>
                <w:rtl w:val="true"/>
              </w:rPr>
              <w:tab/>
            </w:r>
            <w:r>
              <w:rPr>
                <w:rStyle w:val="IndexLink"/>
              </w:rPr>
              <w:t>417</w:t>
            </w:r>
          </w:hyperlink>
        </w:p>
        <w:p>
          <w:pPr>
            <w:pStyle w:val="Contents3"/>
            <w:tabs>
              <w:tab w:val="clear" w:pos="8459"/>
              <w:tab w:val="right" w:pos="9026" w:leader="dot"/>
            </w:tabs>
            <w:rPr/>
          </w:pPr>
          <w:hyperlink w:anchor="__RefHeading___Toc1955534_2322387425">
            <w:r>
              <w:rPr>
                <w:webHidden/>
                <w:rStyle w:val="IndexLink"/>
                <w:rtl w:val="true"/>
              </w:rPr>
              <w:t>الثالث</w:t>
            </w:r>
            <w:r>
              <w:rPr>
                <w:rStyle w:val="IndexLink"/>
                <w:rtl w:val="true"/>
              </w:rPr>
              <w:t xml:space="preserve">: </w:t>
            </w:r>
            <w:r>
              <w:rPr>
                <w:rStyle w:val="IndexLink"/>
                <w:rtl w:val="true"/>
              </w:rPr>
              <w:t>شمّ الطیب مع التلذّذ </w:t>
            </w:r>
            <w:r>
              <w:rPr>
                <w:rStyle w:val="IndexLink"/>
                <w:rtl w:val="true"/>
              </w:rPr>
              <w:tab/>
            </w:r>
            <w:r>
              <w:rPr>
                <w:rStyle w:val="IndexLink"/>
              </w:rPr>
              <w:t>418</w:t>
            </w:r>
          </w:hyperlink>
        </w:p>
        <w:p>
          <w:pPr>
            <w:pStyle w:val="Contents3"/>
            <w:tabs>
              <w:tab w:val="clear" w:pos="8459"/>
              <w:tab w:val="right" w:pos="9026" w:leader="dot"/>
            </w:tabs>
            <w:rPr/>
          </w:pPr>
          <w:hyperlink w:anchor="__RefHeading___Toc1955536_2322387425">
            <w:r>
              <w:rPr>
                <w:webHidden/>
                <w:rStyle w:val="IndexLink"/>
                <w:rtl w:val="true"/>
              </w:rPr>
              <w:t>الرابع</w:t>
            </w:r>
            <w:r>
              <w:rPr>
                <w:rStyle w:val="IndexLink"/>
                <w:rtl w:val="true"/>
              </w:rPr>
              <w:t xml:space="preserve">: </w:t>
            </w:r>
            <w:r>
              <w:rPr>
                <w:rStyle w:val="IndexLink"/>
                <w:rtl w:val="true"/>
              </w:rPr>
              <w:t>البیع والشراء</w:t>
            </w:r>
            <w:r>
              <w:rPr>
                <w:rStyle w:val="IndexLink"/>
                <w:rtl w:val="true"/>
              </w:rPr>
              <w:tab/>
            </w:r>
            <w:r>
              <w:rPr>
                <w:rStyle w:val="IndexLink"/>
              </w:rPr>
              <w:t>419</w:t>
            </w:r>
          </w:hyperlink>
        </w:p>
        <w:p>
          <w:pPr>
            <w:pStyle w:val="Contents3"/>
            <w:tabs>
              <w:tab w:val="clear" w:pos="8459"/>
              <w:tab w:val="right" w:pos="9026" w:leader="dot"/>
            </w:tabs>
            <w:rPr/>
          </w:pPr>
          <w:hyperlink w:anchor="__RefHeading___Toc1955538_2322387425">
            <w:r>
              <w:rPr>
                <w:webHidden/>
                <w:rStyle w:val="IndexLink"/>
                <w:rtl w:val="true"/>
              </w:rPr>
              <w:t>الخامس</w:t>
            </w:r>
            <w:r>
              <w:rPr>
                <w:rStyle w:val="IndexLink"/>
                <w:rtl w:val="true"/>
              </w:rPr>
              <w:t xml:space="preserve">: </w:t>
            </w:r>
            <w:r>
              <w:rPr>
                <w:rStyle w:val="IndexLink"/>
                <w:rtl w:val="true"/>
              </w:rPr>
              <w:t>المماراة</w:t>
            </w:r>
            <w:r>
              <w:rPr>
                <w:rStyle w:val="IndexLink"/>
                <w:rtl w:val="true"/>
              </w:rPr>
              <w:tab/>
            </w:r>
            <w:r>
              <w:rPr>
                <w:rStyle w:val="IndexLink"/>
              </w:rPr>
              <w:t>420</w:t>
            </w:r>
          </w:hyperlink>
        </w:p>
        <w:p>
          <w:pPr>
            <w:pStyle w:val="Contents3"/>
            <w:tabs>
              <w:tab w:val="clear" w:pos="8459"/>
              <w:tab w:val="right" w:pos="9026" w:leader="dot"/>
            </w:tabs>
            <w:rPr/>
          </w:pPr>
          <w:hyperlink w:anchor="__RefHeading___Toc1955540_2322387425">
            <w:r>
              <w:rPr>
                <w:webHidden/>
                <w:rStyle w:val="IndexLink"/>
                <w:rtl w:val="true"/>
              </w:rPr>
              <w:t>استواء اللّیل والنهار فی التحریم</w:t>
            </w:r>
            <w:r>
              <w:rPr>
                <w:rStyle w:val="IndexLink"/>
                <w:rtl w:val="true"/>
              </w:rPr>
              <w:tab/>
            </w:r>
            <w:r>
              <w:rPr>
                <w:rStyle w:val="IndexLink"/>
              </w:rPr>
              <w:t>420</w:t>
            </w:r>
          </w:hyperlink>
        </w:p>
        <w:p>
          <w:pPr>
            <w:pStyle w:val="Contents3"/>
            <w:tabs>
              <w:tab w:val="clear" w:pos="8459"/>
              <w:tab w:val="right" w:pos="9026" w:leader="dot"/>
            </w:tabs>
            <w:rPr/>
          </w:pPr>
          <w:hyperlink w:anchor="__RefHeading___Toc1955542_2322387425">
            <w:r>
              <w:rPr>
                <w:webHidden/>
                <w:rStyle w:val="IndexLink"/>
                <w:rtl w:val="true"/>
              </w:rPr>
              <w:t>فعل المباح فی الاعتکاف</w:t>
            </w:r>
            <w:r>
              <w:rPr>
                <w:rStyle w:val="IndexLink"/>
                <w:rtl w:val="true"/>
              </w:rPr>
              <w:tab/>
            </w:r>
            <w:r>
              <w:rPr>
                <w:rStyle w:val="IndexLink"/>
              </w:rPr>
              <w:t>420</w:t>
            </w:r>
          </w:hyperlink>
        </w:p>
        <w:p>
          <w:pPr>
            <w:pStyle w:val="Contents3"/>
            <w:tabs>
              <w:tab w:val="clear" w:pos="8459"/>
              <w:tab w:val="right" w:pos="9026" w:leader="dot"/>
            </w:tabs>
            <w:rPr/>
          </w:pPr>
          <w:hyperlink w:anchor="__RefHeading___Toc1955544_2322387425">
            <w:r>
              <w:rPr>
                <w:webHidden/>
                <w:rStyle w:val="IndexLink"/>
                <w:rtl w:val="true"/>
              </w:rPr>
              <w:t>حکم ارتکاب أحد المحرّمات فی الاعتکاف</w:t>
            </w:r>
            <w:r>
              <w:rPr>
                <w:rStyle w:val="IndexLink"/>
                <w:rtl w:val="true"/>
              </w:rPr>
              <w:tab/>
            </w:r>
            <w:r>
              <w:rPr>
                <w:rStyle w:val="IndexLink"/>
              </w:rPr>
              <w:t>420</w:t>
            </w:r>
          </w:hyperlink>
        </w:p>
        <w:p>
          <w:pPr>
            <w:pStyle w:val="Contents3"/>
            <w:tabs>
              <w:tab w:val="clear" w:pos="8459"/>
              <w:tab w:val="right" w:pos="9026" w:leader="dot"/>
            </w:tabs>
            <w:rPr/>
          </w:pPr>
          <w:hyperlink w:anchor="__RefHeading___Toc1955546_2322387425">
            <w:r>
              <w:rPr>
                <w:webHidden/>
                <w:rStyle w:val="IndexLink"/>
                <w:rtl w:val="true"/>
              </w:rPr>
              <w:t>مرتکب أحد المحرّمات سهواً</w:t>
            </w:r>
            <w:r>
              <w:rPr>
                <w:rStyle w:val="IndexLink"/>
                <w:rtl w:val="true"/>
              </w:rPr>
              <w:tab/>
            </w:r>
            <w:r>
              <w:rPr>
                <w:rStyle w:val="IndexLink"/>
              </w:rPr>
              <w:t>422</w:t>
            </w:r>
          </w:hyperlink>
        </w:p>
        <w:p>
          <w:pPr>
            <w:pStyle w:val="Contents3"/>
            <w:tabs>
              <w:tab w:val="clear" w:pos="8459"/>
              <w:tab w:val="right" w:pos="9026" w:leader="dot"/>
            </w:tabs>
            <w:rPr/>
          </w:pPr>
          <w:hyperlink w:anchor="__RefHeading___Toc1955548_2322387425">
            <w:r>
              <w:rPr>
                <w:webHidden/>
                <w:rStyle w:val="IndexLink"/>
                <w:rtl w:val="true"/>
              </w:rPr>
              <w:t>قضاء ما فسد من الاعتکاف</w:t>
            </w:r>
            <w:r>
              <w:rPr>
                <w:rStyle w:val="IndexLink"/>
                <w:rtl w:val="true"/>
              </w:rPr>
              <w:tab/>
            </w:r>
            <w:r>
              <w:rPr>
                <w:rStyle w:val="IndexLink"/>
              </w:rPr>
              <w:t>423</w:t>
            </w:r>
          </w:hyperlink>
        </w:p>
        <w:p>
          <w:pPr>
            <w:pStyle w:val="Contents3"/>
            <w:tabs>
              <w:tab w:val="clear" w:pos="8459"/>
              <w:tab w:val="right" w:pos="9026" w:leader="dot"/>
            </w:tabs>
            <w:rPr/>
          </w:pPr>
          <w:hyperlink w:anchor="__RefHeading___Toc1955550_2322387425">
            <w:r>
              <w:rPr>
                <w:webHidden/>
                <w:rStyle w:val="IndexLink"/>
                <w:rtl w:val="true"/>
              </w:rPr>
              <w:t>قضاء ما فات بموت المعتکف</w:t>
            </w:r>
            <w:r>
              <w:rPr>
                <w:rStyle w:val="IndexLink"/>
                <w:rtl w:val="true"/>
              </w:rPr>
              <w:tab/>
            </w:r>
            <w:r>
              <w:rPr>
                <w:rStyle w:val="IndexLink"/>
              </w:rPr>
              <w:t>425</w:t>
            </w:r>
          </w:hyperlink>
        </w:p>
        <w:p>
          <w:pPr>
            <w:pStyle w:val="Contents3"/>
            <w:tabs>
              <w:tab w:val="clear" w:pos="8459"/>
              <w:tab w:val="right" w:pos="9026" w:leader="dot"/>
            </w:tabs>
            <w:rPr/>
          </w:pPr>
          <w:hyperlink w:anchor="__RefHeading___Toc1955552_2322387425">
            <w:r>
              <w:rPr>
                <w:webHidden/>
                <w:rStyle w:val="IndexLink"/>
                <w:rtl w:val="true"/>
              </w:rPr>
              <w:t>حکم البیع والشراء فی الاعتکاف</w:t>
            </w:r>
            <w:r>
              <w:rPr>
                <w:rStyle w:val="IndexLink"/>
                <w:rtl w:val="true"/>
              </w:rPr>
              <w:tab/>
            </w:r>
            <w:r>
              <w:rPr>
                <w:rStyle w:val="IndexLink"/>
              </w:rPr>
              <w:t>426</w:t>
            </w:r>
          </w:hyperlink>
        </w:p>
        <w:p>
          <w:pPr>
            <w:pStyle w:val="Contents3"/>
            <w:tabs>
              <w:tab w:val="clear" w:pos="8459"/>
              <w:tab w:val="right" w:pos="9026" w:leader="dot"/>
            </w:tabs>
            <w:rPr/>
          </w:pPr>
          <w:hyperlink w:anchor="__RefHeading___Toc1955554_2322387425">
            <w:r>
              <w:rPr>
                <w:webHidden/>
                <w:rStyle w:val="IndexLink"/>
                <w:rtl w:val="true"/>
              </w:rPr>
              <w:t>وجوب الکفارة وتفصیلاتها</w:t>
            </w:r>
            <w:r>
              <w:rPr>
                <w:rStyle w:val="IndexLink"/>
                <w:rtl w:val="true"/>
              </w:rPr>
              <w:tab/>
            </w:r>
            <w:r>
              <w:rPr>
                <w:rStyle w:val="IndexLink"/>
              </w:rPr>
              <w:t>426</w:t>
            </w:r>
          </w:hyperlink>
        </w:p>
        <w:p>
          <w:pPr>
            <w:pStyle w:val="Contents2"/>
            <w:tabs>
              <w:tab w:val="clear" w:pos="8743"/>
              <w:tab w:val="right" w:pos="9026" w:leader="dot"/>
            </w:tabs>
            <w:rPr/>
          </w:pPr>
          <w:hyperlink w:anchor="__RefHeading___Toc1955556_2322387425">
            <w:r>
              <w:rPr>
                <w:webHidden/>
                <w:rStyle w:val="IndexLink"/>
                <w:rtl w:val="true"/>
              </w:rPr>
              <w:t>فهرست محتویات الجزء العاشر من کتاب</w:t>
            </w:r>
            <w:r>
              <w:rPr>
                <w:rStyle w:val="IndexLink"/>
                <w:rtl w:val="true"/>
              </w:rPr>
              <w:tab/>
            </w:r>
            <w:r>
              <w:rPr>
                <w:rStyle w:val="IndexLink"/>
              </w:rPr>
              <w:t>428</w:t>
            </w:r>
          </w:hyperlink>
        </w:p>
        <w:p>
          <w:pPr>
            <w:pStyle w:val="Contents2"/>
            <w:tabs>
              <w:tab w:val="clear" w:pos="8743"/>
              <w:tab w:val="right" w:pos="9026" w:leader="dot"/>
            </w:tabs>
            <w:rPr/>
          </w:pPr>
          <w:hyperlink w:anchor="__RefHeading___Toc1955558_2322387425">
            <w:r>
              <w:rPr>
                <w:webHidden/>
                <w:rStyle w:val="IndexLink"/>
                <w:rtl w:val="true"/>
              </w:rPr>
              <w:t>الاصدارات العلمیّة لمؤسّسة السبطین علیهماالسلام العالمیّة</w:t>
            </w:r>
            <w:r>
              <w:rPr>
                <w:rStyle w:val="IndexLink"/>
                <w:rtl w:val="true"/>
              </w:rPr>
              <w:tab/>
            </w:r>
            <w:r>
              <w:rPr>
                <w:rStyle w:val="IndexLink"/>
              </w:rPr>
              <w:t>445</w:t>
            </w:r>
          </w:hyperlink>
        </w:p>
        <w:p>
          <w:pPr>
            <w:pStyle w:val="Contents3"/>
            <w:tabs>
              <w:tab w:val="clear" w:pos="8459"/>
              <w:tab w:val="right" w:pos="9026" w:leader="dot"/>
            </w:tabs>
            <w:rPr/>
          </w:pPr>
          <w:hyperlink w:anchor="__RefHeading___Toc1955560_2322387425">
            <w:r>
              <w:rPr>
                <w:webHidden/>
                <w:rStyle w:val="IndexLink"/>
                <w:rtl w:val="true"/>
              </w:rPr>
              <w:t>باللغة العربیة</w:t>
            </w:r>
            <w:r>
              <w:rPr>
                <w:rStyle w:val="IndexLink"/>
                <w:rtl w:val="true"/>
              </w:rPr>
              <w:tab/>
            </w:r>
            <w:r>
              <w:rPr>
                <w:rStyle w:val="IndexLink"/>
              </w:rPr>
              <w:t>445</w:t>
            </w:r>
          </w:hyperlink>
        </w:p>
        <w:p>
          <w:pPr>
            <w:pStyle w:val="Contents3"/>
            <w:tabs>
              <w:tab w:val="clear" w:pos="8459"/>
              <w:tab w:val="right" w:pos="9026" w:leader="dot"/>
            </w:tabs>
            <w:rPr/>
          </w:pPr>
          <w:hyperlink w:anchor="__RefHeading___Toc1955562_2322387425">
            <w:r>
              <w:rPr>
                <w:webHidden/>
                <w:rStyle w:val="IndexLink"/>
                <w:rtl w:val="true"/>
              </w:rPr>
              <w:t>باللغة الفارسیة</w:t>
            </w:r>
            <w:r>
              <w:rPr>
                <w:rStyle w:val="IndexLink"/>
                <w:rtl w:val="true"/>
              </w:rPr>
              <w:tab/>
            </w:r>
            <w:r>
              <w:rPr>
                <w:rStyle w:val="IndexLink"/>
              </w:rPr>
              <w:t>447</w:t>
            </w:r>
          </w:hyperlink>
        </w:p>
        <w:p>
          <w:pPr>
            <w:pStyle w:val="Contents3"/>
            <w:tabs>
              <w:tab w:val="clear" w:pos="8459"/>
              <w:tab w:val="right" w:pos="9026" w:leader="dot"/>
            </w:tabs>
            <w:rPr/>
          </w:pPr>
          <w:hyperlink w:anchor="__RefHeading___Toc1955564_2322387425">
            <w:r>
              <w:rPr>
                <w:webHidden/>
                <w:rStyle w:val="IndexLink"/>
                <w:rtl w:val="true"/>
              </w:rPr>
              <w:t>باللغة الانجلیزیة</w:t>
            </w:r>
            <w:r>
              <w:rPr>
                <w:rStyle w:val="IndexLink"/>
                <w:rtl w:val="true"/>
              </w:rPr>
              <w:tab/>
            </w:r>
            <w:r>
              <w:rPr>
                <w:rStyle w:val="IndexLink"/>
              </w:rPr>
              <w:t>448</w:t>
            </w:r>
          </w:hyperlink>
        </w:p>
        <w:p>
          <w:pPr>
            <w:pStyle w:val="Contents3"/>
            <w:tabs>
              <w:tab w:val="clear" w:pos="8459"/>
              <w:tab w:val="right" w:pos="9026" w:leader="dot"/>
            </w:tabs>
            <w:rPr/>
          </w:pPr>
          <w:hyperlink w:anchor="__RefHeading___Toc1955566_2322387425">
            <w:r>
              <w:rPr>
                <w:webHidden/>
                <w:rStyle w:val="IndexLink"/>
                <w:rtl w:val="true"/>
              </w:rPr>
              <w:t>باللغة الاُردویة</w:t>
            </w:r>
            <w:r>
              <w:rPr>
                <w:rStyle w:val="IndexLink"/>
                <w:rtl w:val="true"/>
              </w:rPr>
              <w:tab/>
            </w:r>
            <w:r>
              <w:rPr>
                <w:rStyle w:val="IndexLink"/>
              </w:rPr>
              <w:t>449</w:t>
            </w:r>
          </w:hyperlink>
        </w:p>
        <w:p>
          <w:pPr>
            <w:pStyle w:val="Contents3"/>
            <w:tabs>
              <w:tab w:val="clear" w:pos="8459"/>
              <w:tab w:val="right" w:pos="9026" w:leader="dot"/>
            </w:tabs>
            <w:rPr/>
          </w:pPr>
          <w:hyperlink w:anchor="__RefHeading___Toc1955568_2322387425">
            <w:r>
              <w:rPr>
                <w:webHidden/>
                <w:rStyle w:val="IndexLink"/>
                <w:rtl w:val="true"/>
              </w:rPr>
              <w:t>باللغة الفرنسیة</w:t>
            </w:r>
            <w:r>
              <w:rPr>
                <w:rStyle w:val="IndexLink"/>
                <w:rtl w:val="true"/>
              </w:rPr>
              <w:tab/>
            </w:r>
            <w:r>
              <w:rPr>
                <w:rStyle w:val="IndexLink"/>
              </w:rPr>
              <w:t>449</w:t>
            </w:r>
          </w:hyperlink>
        </w:p>
        <w:p>
          <w:pPr>
            <w:pStyle w:val="Contents3"/>
            <w:tabs>
              <w:tab w:val="clear" w:pos="8459"/>
              <w:tab w:val="right" w:pos="9026" w:leader="dot"/>
            </w:tabs>
            <w:rPr/>
          </w:pPr>
          <w:hyperlink w:anchor="__RefHeading___Toc1955570_2322387425">
            <w:r>
              <w:rPr>
                <w:webHidden/>
                <w:rStyle w:val="IndexLink"/>
                <w:rtl w:val="true"/>
              </w:rPr>
              <w:t>مرکز النشر و التوزیع لمؤسسة السبطین  علیهماالسلام العالمیة</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1_119666"/>
      <w:bookmarkStart w:id="1" w:name="pg13281_119666"/>
      <w:bookmarkEnd w:id="1"/>
    </w:p>
    <w:p>
      <w:pPr>
        <w:pStyle w:val="Heading2"/>
        <w:numPr>
          <w:ilvl w:val="1"/>
          <w:numId w:val="1"/>
        </w:numPr>
        <w:rPr/>
      </w:pPr>
      <w:bookmarkStart w:id="2" w:name="pg13281_119666"/>
      <w:bookmarkStart w:id="3" w:name="__RefHeading___Toc1954816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4818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محفوظة لمؤسسة السبطین علیهما السلام العالمیة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التعلیقات لهذا الکتاب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التعلیقة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التعلیقة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3281_119671"/>
    </w:p>
    <w:p>
      <w:pPr>
        <w:pStyle w:val="Heading2"/>
        <w:numPr>
          <w:ilvl w:val="1"/>
          <w:numId w:val="1"/>
        </w:numPr>
        <w:rPr/>
      </w:pPr>
      <w:bookmarkStart w:id="8" w:name="__RefHeading___Toc1954820_2322387425"/>
      <w:bookmarkStart w:id="9" w:name="_Toc3"/>
      <w:bookmarkEnd w:id="7"/>
      <w:bookmarkEnd w:id="8"/>
      <w:r>
        <w:rPr>
          <w:rtl w:val="true"/>
        </w:rPr>
        <w:t>شکر وتقدیر</w:t>
      </w:r>
      <w:bookmarkEnd w:id="9"/>
    </w:p>
    <w:p>
      <w:pPr>
        <w:pStyle w:val="BookText"/>
        <w:rPr/>
      </w:pPr>
      <w:r>
        <w:rPr>
          <w:rFonts w:ascii="IRNazanin" w:hAnsi="IRNazanin" w:eastAsia="IRNazanin"/>
          <w:color w:val="111111"/>
          <w:sz w:val="28"/>
          <w:sz w:val="28"/>
          <w:szCs w:val="28"/>
          <w:rtl w:val="true"/>
          <w:lang w:bidi="fa-IR"/>
        </w:rPr>
        <w:t xml:space="preserve">بعد أن انتهینا من الأجزاء السابقة والّتی تضمّنت کتاب الاجتهاد والتقلید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تقدّم المؤسّسة هذا الجزء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یجمع بین دفّتیه کتاب الصوم والاعتکاف ، وفی الوقت الّذی هی بإشراف وتوصیات ریادتها، سماحة آیة الله السیّد مرتضی الموسوی الإصفهانی ، معتکفة ودؤوبة کما هو دیدنها، فی إنجاز بقیّة الأجزاء من هذا السفر القیّم بأقصی دقّة وسرعة إن شاء الله تعالی ، ـوالّتی ستضمّ کتاب الزکاة والخمس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الإجارة إلی کتاب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فإنّها تدعو الباری تعالی الرعایة والعون فی توفیقها وتسدیدها وکادرها الّذی لم یدّخر جهداً فی خدمة تراث علوم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من کان سبّاقاً فی دخول محاور المشروع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الإسلام، السیّد محمد صالح الموسوی التنکابنی والشیخ محمد صالح دانشیار والشیخ حسن العیداوی والشیخ جعفر الطائی فی تهیئة وتنظیم وکتابة ومقابلة نصوص التعلیقات والشیخ کوثر علی النجفی والشیخ أحمد الغانمی والشیخ مرتضی یوسف، والشیخ عبدالعالی المنصوری، فی تدقیق وضبط متون التعلیقات وتنظیم الفهارس ومراجعة النصوص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ما زال یواصل السیر فی إیصال المشروع أهدافه المنشودة وهم، الأساتذة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أحمدی فی تقویم النصّ، وصلاح الندّاف الأسدی، وأمیر کاظم الکرعاوی فی التصحیح والإستخراج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لا یسعنا إلّا أن نقدّم فائق تقدیرنا وشکرنا لرئاسة المؤسّسة سماحة آیة الله السیّد الموسوی الإصفهانی ـدام ظلّه ـ الّذی ما برح فی دعمه وتشجیعه المبارَکَین مختلف نشاطات المؤسّسة ، وأیضاً الاُستاذ الفاضل علی الربیعی لإدارته التنفیذیّة وإشراف مراحل عمل هذا المشروع العلمی الکبیر، والله ولیّ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الصوم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281_119674"/>
      <w:bookmarkStart w:id="11" w:name="pg13281_119674"/>
      <w:bookmarkEnd w:id="11"/>
    </w:p>
    <w:p>
      <w:pPr>
        <w:pStyle w:val="BookText"/>
        <w:rPr/>
      </w:pPr>
      <w:bookmarkStart w:id="12" w:name="pg13281_119674"/>
      <w:bookmarkEnd w:id="12"/>
      <w:r>
        <w:rPr>
          <w:rFonts w:ascii="IRNazanin" w:hAnsi="IRNazanin" w:eastAsia="IRNazanin"/>
          <w:color w:val="111111"/>
          <w:sz w:val="28"/>
          <w:sz w:val="28"/>
          <w:szCs w:val="28"/>
          <w:rtl w:val="true"/>
          <w:lang w:bidi="fa-IR"/>
        </w:rPr>
        <w:t>کتاب الصوم</w:t>
      </w:r>
    </w:p>
    <w:p>
      <w:pPr>
        <w:pStyle w:val="Heading2"/>
        <w:numPr>
          <w:ilvl w:val="1"/>
          <w:numId w:val="1"/>
        </w:numPr>
        <w:rPr/>
      </w:pPr>
      <w:bookmarkStart w:id="13" w:name="__RefHeading___Toc1954822_2322387425"/>
      <w:bookmarkStart w:id="14" w:name="_Toc4"/>
      <w:bookmarkEnd w:id="13"/>
      <w:r>
        <w:rPr>
          <w:rtl w:val="true"/>
        </w:rPr>
        <w:t>وجوب الصوم وأقسامه وحکم منکره وتارکه</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الإمساک</w:t>
      </w:r>
      <w:r>
        <w:rPr>
          <w:rStyle w:val="FootnoteAnchor"/>
          <w:rtl w:val="true"/>
        </w:rPr>
        <w:footnoteReference w:id="2"/>
      </w:r>
      <w:r>
        <w:rPr>
          <w:rFonts w:ascii="IRNazanin" w:hAnsi="IRNazanin" w:eastAsia="IRNazanin"/>
          <w:color w:val="111111"/>
          <w:sz w:val="28"/>
          <w:sz w:val="28"/>
          <w:szCs w:val="28"/>
          <w:rtl w:val="true"/>
          <w:lang w:bidi="fa-IR"/>
        </w:rPr>
        <w:t> عمّا یأتی من المُفطِرات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والمندوب والحرام، والمکروه بمعنی قلّة الثواب</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w:t>
      </w:r>
      <w:r>
        <w:rPr>
          <w:rStyle w:val="FootnoteAnchor"/>
          <w:rtl w:val="true"/>
        </w:rPr>
        <w:footnoteReference w:id="4"/>
      </w:r>
      <w:r>
        <w:rPr>
          <w:rFonts w:ascii="IRNazanin" w:hAnsi="IRNazanin" w:eastAsia="IRNazanin"/>
          <w:color w:val="111111"/>
          <w:sz w:val="28"/>
          <w:sz w:val="28"/>
          <w:szCs w:val="28"/>
          <w:rtl w:val="true"/>
          <w:lang w:bidi="fa-IR"/>
        </w:rPr>
        <w:t>منه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وصوم القضاء، وصوم الکفّارة</w:t>
      </w:r>
      <w:r>
        <w:rPr>
          <w:rStyle w:val="FootnoteAnchor"/>
          <w:rtl w:val="true"/>
        </w:rPr>
        <w:footnoteReference w:id="5"/>
      </w:r>
      <w:r>
        <w:rPr>
          <w:rFonts w:ascii="IRNazanin" w:hAnsi="IRNazanin" w:eastAsia="IRNazanin"/>
          <w:color w:val="111111"/>
          <w:sz w:val="28"/>
          <w:sz w:val="28"/>
          <w:szCs w:val="28"/>
          <w:rtl w:val="true"/>
          <w:lang w:bidi="fa-IR"/>
        </w:rPr>
        <w:t> علی کثرتها، وصوم بدل الهدی فی الحجِّ، وصوم النذر</w:t>
      </w:r>
      <w:r>
        <w:rPr>
          <w:rStyle w:val="FootnoteAnchor"/>
          <w:rtl w:val="true"/>
        </w:rPr>
        <w:footnoteReference w:id="6"/>
      </w:r>
      <w:r>
        <w:rPr>
          <w:rFonts w:ascii="IRNazanin" w:hAnsi="IRNazanin" w:eastAsia="IRNazanin"/>
          <w:color w:val="111111"/>
          <w:sz w:val="28"/>
          <w:sz w:val="28"/>
          <w:szCs w:val="28"/>
          <w:rtl w:val="true"/>
          <w:lang w:bidi="fa-IR"/>
        </w:rPr>
        <w:t> والعهد والیمین، وصوم  الإجارة ونحوها کالمشروط فی ضمن العقد، وصوم الثالث من أیّام الاعتکاف، وصوم الولد الأکبر</w:t>
      </w:r>
      <w:r>
        <w:rPr>
          <w:rStyle w:val="FootnoteAnchor"/>
          <w:rtl w:val="true"/>
        </w:rPr>
        <w:footnoteReference w:id="7"/>
      </w:r>
      <w:r>
        <w:rPr>
          <w:rFonts w:ascii="IRNazanin" w:hAnsi="IRNazanin" w:eastAsia="IRNazanin"/>
          <w:color w:val="111111"/>
          <w:sz w:val="28"/>
          <w:sz w:val="28"/>
          <w:szCs w:val="28"/>
          <w:rtl w:val="true"/>
          <w:lang w:bidi="fa-IR"/>
        </w:rPr>
        <w:t> عن أحد أبویه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ووجوبه فی شهر رمضان من ضروریّات الدین</w:t>
      </w:r>
      <w:r>
        <w:rPr>
          <w:rStyle w:val="FootnoteAnchor"/>
          <w:rtl w:val="true"/>
        </w:rPr>
        <w:footnoteReference w:id="9"/>
      </w:r>
      <w:r>
        <w:rPr>
          <w:rFonts w:ascii="IRNazanin" w:hAnsi="IRNazanin" w:eastAsia="IRNazanin"/>
          <w:color w:val="111111"/>
          <w:sz w:val="28"/>
          <w:sz w:val="28"/>
          <w:szCs w:val="28"/>
          <w:rtl w:val="true"/>
          <w:lang w:bidi="fa-IR"/>
        </w:rPr>
        <w:t>، ومنکره</w:t>
      </w:r>
      <w:r>
        <w:rPr>
          <w:rStyle w:val="FootnoteAnchor"/>
          <w:rtl w:val="true"/>
        </w:rPr>
        <w:footnoteReference w:id="10"/>
      </w:r>
      <w:r>
        <w:rPr>
          <w:rFonts w:ascii="Amiri" w:hAnsi="Amiri" w:eastAsia="Amiri" w:cs="Amiri"/>
          <w:color w:val="111111"/>
          <w:sz w:val="28"/>
          <w:sz w:val="28"/>
          <w:szCs w:val="28"/>
          <w:rtl w:val="true"/>
          <w:lang w:bidi="ar-SA"/>
        </w:rPr>
        <w:t> مرتدّ</w:t>
      </w:r>
      <w:r>
        <w:rPr>
          <w:rStyle w:val="FootnoteAnchor"/>
          <w:rtl w:val="true"/>
        </w:rPr>
        <w:footnoteReference w:id="11"/>
      </w:r>
      <w:r>
        <w:rPr>
          <w:rFonts w:ascii="IRNazanin" w:hAnsi="IRNazanin" w:eastAsia="IRNazanin"/>
          <w:color w:val="111111"/>
          <w:sz w:val="28"/>
          <w:sz w:val="28"/>
          <w:szCs w:val="28"/>
          <w:rtl w:val="true"/>
          <w:lang w:bidi="fa-IR"/>
        </w:rPr>
        <w:t> یجب قتله</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أفطر فیه لا مستحلّاً عالماً عامداً یُعزَّر بخمسة</w:t>
      </w:r>
      <w:r>
        <w:rPr>
          <w:rStyle w:val="FootnoteAnchor"/>
          <w:rtl w:val="true"/>
        </w:rPr>
        <w:footnoteReference w:id="13"/>
      </w:r>
      <w:r>
        <w:rPr>
          <w:rFonts w:ascii="IRNazanin" w:hAnsi="IRNazanin" w:eastAsia="IRNazanin"/>
          <w:color w:val="111111"/>
          <w:sz w:val="28"/>
          <w:sz w:val="28"/>
          <w:szCs w:val="28"/>
          <w:rtl w:val="true"/>
          <w:lang w:bidi="fa-IR"/>
        </w:rPr>
        <w:t> وعشرین</w:t>
      </w:r>
      <w:r>
        <w:rPr>
          <w:rStyle w:val="FootnoteAnchor"/>
          <w:rtl w:val="true"/>
        </w:rPr>
        <w:footnoteReference w:id="14"/>
      </w:r>
      <w:r>
        <w:rPr>
          <w:rFonts w:ascii="Times New Roman" w:hAnsi="Times New Roman" w:eastAsia="Times New Roman" w:cs="Times New Roman"/>
          <w:color w:val="111111"/>
          <w:sz w:val="28"/>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سَوطاً،</w:t>
      </w:r>
      <w:r>
        <w:rPr>
          <w:rStyle w:val="FootnoteAnchor"/>
          <w:rtl w:val="true"/>
        </w:rPr>
        <w:footnoteReference w:id="15"/>
      </w:r>
      <w:r>
        <w:rPr>
          <w:rFonts w:ascii="Amiri" w:hAnsi="Amiri" w:eastAsia="Amiri" w:cs="Amiri"/>
          <w:color w:val="111111"/>
          <w:sz w:val="28"/>
          <w:sz w:val="28"/>
          <w:szCs w:val="28"/>
          <w:rtl w:val="true"/>
          <w:lang w:bidi="ar-SA"/>
        </w:rPr>
        <w:t> فإن عاد عُزِّر ثانیاً، فإن عاد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قُتِل</w:t>
      </w:r>
      <w:r>
        <w:rPr>
          <w:rStyle w:val="FootnoteAnchor"/>
          <w:rtl w:val="true"/>
        </w:rPr>
        <w:footnoteReference w:id="16"/>
      </w:r>
      <w:r>
        <w:rPr>
          <w:rFonts w:ascii="IRNazanin" w:hAnsi="IRNazanin" w:eastAsia="IRNazanin"/>
          <w:color w:val="111111"/>
          <w:sz w:val="28"/>
          <w:sz w:val="28"/>
          <w:szCs w:val="28"/>
          <w:rtl w:val="true"/>
          <w:lang w:bidi="fa-IR"/>
        </w:rPr>
        <w:t> علی الأقوی، وإن کان الأحوط</w:t>
      </w:r>
      <w:r>
        <w:rPr>
          <w:rStyle w:val="FootnoteAnchor"/>
          <w:rtl w:val="true"/>
        </w:rPr>
        <w:footnoteReference w:id="17"/>
      </w:r>
      <w:r>
        <w:rPr>
          <w:rFonts w:ascii="IRNazanin" w:hAnsi="IRNazanin" w:eastAsia="IRNazanin"/>
          <w:color w:val="111111"/>
          <w:sz w:val="28"/>
          <w:sz w:val="28"/>
          <w:szCs w:val="28"/>
          <w:rtl w:val="true"/>
          <w:lang w:bidi="fa-IR"/>
        </w:rPr>
        <w:t> قتله</w:t>
      </w:r>
      <w:r>
        <w:rPr>
          <w:rStyle w:val="FootnoteAnchor"/>
          <w:rtl w:val="true"/>
        </w:rPr>
        <w:footnoteReference w:id="18"/>
      </w:r>
      <w:r>
        <w:rPr>
          <w:rFonts w:ascii="IRNazanin" w:hAnsi="IRNazanin" w:eastAsia="IRNazanin"/>
          <w:color w:val="111111"/>
          <w:sz w:val="28"/>
          <w:sz w:val="28"/>
          <w:szCs w:val="28"/>
          <w:rtl w:val="true"/>
          <w:lang w:bidi="fa-IR"/>
        </w:rPr>
        <w:t> فی الرابعة</w:t>
      </w:r>
      <w:r>
        <w:rPr>
          <w:rStyle w:val="FootnoteAnchor"/>
          <w:rtl w:val="true"/>
        </w:rPr>
        <w:footnoteReference w:id="19"/>
      </w:r>
      <w:r>
        <w:rPr>
          <w:rFonts w:ascii="Amiri" w:hAnsi="Amiri" w:eastAsia="Amiri" w:cs="Amiri"/>
          <w:color w:val="111111"/>
          <w:sz w:val="28"/>
          <w:sz w:val="28"/>
          <w:szCs w:val="28"/>
          <w:rtl w:val="true"/>
          <w:lang w:bidi="ar-SA"/>
        </w:rPr>
        <w:t>، وإنّما یُقتَل</w:t>
      </w:r>
    </w:p>
    <w:p>
      <w:pPr>
        <w:pStyle w:val="BookText"/>
        <w:rPr/>
      </w:pPr>
      <w:r>
        <w:rPr>
          <w:rFonts w:ascii="Amiri" w:hAnsi="Amiri" w:eastAsia="Amiri" w:cs="Amiri"/>
          <w:color w:val="111111"/>
          <w:sz w:val="28"/>
          <w:sz w:val="28"/>
          <w:szCs w:val="28"/>
          <w:rtl w:val="true"/>
          <w:lang w:bidi="ar-SA"/>
        </w:rPr>
        <w:t>فی الثالثة أو الرابعة إذا عُزِّر فی کلٍّ من المرّتین أو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ادّعی شبهة محتملة فی حقّه دُرئ عنه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13281_119678"/>
    </w:p>
    <w:p>
      <w:pPr>
        <w:pStyle w:val="Heading2"/>
        <w:numPr>
          <w:ilvl w:val="1"/>
          <w:numId w:val="1"/>
        </w:numPr>
        <w:rPr/>
      </w:pPr>
      <w:bookmarkStart w:id="16" w:name="__RefHeading___Toc1954824_2322387425"/>
      <w:bookmarkStart w:id="17" w:name="_Toc5"/>
      <w:bookmarkEnd w:id="15"/>
      <w:bookmarkEnd w:id="16"/>
      <w:r>
        <w:rPr>
          <w:rtl w:val="true"/>
        </w:rPr>
        <w:t>فصل</w:t>
      </w:r>
      <w:r>
        <w:rPr>
          <w:rtl w:val="true"/>
        </w:rPr>
        <w:t xml:space="preserve">: </w:t>
      </w:r>
      <w:r>
        <w:rPr>
          <w:rtl w:val="true"/>
        </w:rPr>
        <w:t>فی النیّة</w:t>
      </w:r>
      <w:bookmarkEnd w:id="17"/>
    </w:p>
    <w:p>
      <w:pPr>
        <w:pStyle w:val="Heading3"/>
        <w:numPr>
          <w:ilvl w:val="2"/>
          <w:numId w:val="1"/>
        </w:numPr>
        <w:rPr/>
      </w:pPr>
      <w:bookmarkStart w:id="18" w:name="__RefHeading___Toc1954826_2322387425"/>
      <w:bookmarkStart w:id="19" w:name="_Toc6"/>
      <w:bookmarkEnd w:id="18"/>
      <w:r>
        <w:rPr>
          <w:rtl w:val="true"/>
        </w:rPr>
        <w:t>اعتبار القصد والقربة</w:t>
      </w:r>
      <w:bookmarkEnd w:id="19"/>
    </w:p>
    <w:p>
      <w:pPr>
        <w:pStyle w:val="BookText"/>
        <w:rPr/>
      </w:pPr>
      <w:r>
        <w:rPr>
          <w:rFonts w:ascii="IRNazanin" w:hAnsi="IRNazanin" w:eastAsia="IRNazanin"/>
          <w:color w:val="111111"/>
          <w:sz w:val="28"/>
          <w:sz w:val="28"/>
          <w:szCs w:val="28"/>
          <w:rtl w:val="true"/>
          <w:lang w:bidi="fa-IR"/>
        </w:rPr>
        <w:t>یجب فی الصوم القصد إلیه</w:t>
      </w:r>
      <w:r>
        <w:rPr>
          <w:rStyle w:val="FootnoteAnchor"/>
          <w:rtl w:val="true"/>
        </w:rPr>
        <w:footnoteReference w:id="20"/>
      </w:r>
      <w:r>
        <w:rPr>
          <w:rFonts w:ascii="IRNazanin" w:hAnsi="IRNazanin" w:eastAsia="IRNazanin"/>
          <w:color w:val="111111"/>
          <w:sz w:val="28"/>
          <w:sz w:val="28"/>
          <w:szCs w:val="28"/>
          <w:rtl w:val="true"/>
          <w:lang w:bidi="fa-IR"/>
        </w:rPr>
        <w:t> مع القربة والإخلاص کسائر  </w:t>
      </w:r>
    </w:p>
    <w:p>
      <w:pPr>
        <w:pStyle w:val="BookText"/>
        <w:rPr/>
      </w:pPr>
      <w:r>
        <w:rPr>
          <w:rFonts w:ascii="IRNazanin" w:hAnsi="IRNazanin" w:eastAsia="IRNazanin"/>
          <w:color w:val="111111"/>
          <w:sz w:val="28"/>
          <w:sz w:val="28"/>
          <w:szCs w:val="28"/>
          <w:rtl w:val="true"/>
          <w:lang w:bidi="fa-IR"/>
        </w:rPr>
        <w:t>العبادات</w:t>
      </w:r>
      <w:r>
        <w:rPr>
          <w:rStyle w:val="FootnoteAnchor"/>
          <w:rtl w:val="true"/>
        </w:rPr>
        <w:footnoteReference w:id="21"/>
      </w:r>
      <w:r>
        <w:rPr>
          <w:rFonts w:ascii="IRNazanin" w:hAnsi="IRNazanin" w:eastAsia="IRNazanin"/>
          <w:color w:val="111111"/>
          <w:sz w:val="28"/>
          <w:sz w:val="28"/>
          <w:szCs w:val="28"/>
          <w:rtl w:val="true"/>
          <w:lang w:bidi="fa-IR"/>
        </w:rPr>
        <w:t xml:space="preserve">، ولا یجب      </w:t>
      </w:r>
      <w:r>
        <w:rPr>
          <w:rFonts w:eastAsia="IRNazanin" w:cs="IRNazanin"/>
          <w:color w:val="111111"/>
          <w:sz w:val="28"/>
          <w:szCs w:val="28"/>
          <w:rtl w:val="true"/>
          <w:lang w:bidi="fa-IR"/>
        </w:rPr>
        <w:t>.      .      .      .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13281_119679"/>
    </w:p>
    <w:p>
      <w:pPr>
        <w:pStyle w:val="Heading3"/>
        <w:numPr>
          <w:ilvl w:val="2"/>
          <w:numId w:val="1"/>
        </w:numPr>
        <w:rPr/>
      </w:pPr>
      <w:bookmarkStart w:id="21" w:name="__RefHeading___Toc1954828_2322387425"/>
      <w:bookmarkStart w:id="22" w:name="_Toc7"/>
      <w:bookmarkEnd w:id="20"/>
      <w:bookmarkEnd w:id="21"/>
      <w:r>
        <w:rPr>
          <w:rtl w:val="true"/>
        </w:rPr>
        <w:t>اعتبار قصد النوع فی الصوم الواجب</w:t>
      </w:r>
      <w:bookmarkEnd w:id="22"/>
    </w:p>
    <w:p>
      <w:pPr>
        <w:pStyle w:val="BookText"/>
        <w:rPr/>
      </w:pPr>
      <w:r>
        <w:rPr>
          <w:rFonts w:ascii="IRNazanin" w:hAnsi="IRNazanin" w:eastAsia="IRNazanin"/>
          <w:color w:val="111111"/>
          <w:sz w:val="28"/>
          <w:sz w:val="28"/>
          <w:szCs w:val="28"/>
          <w:rtl w:val="true"/>
          <w:lang w:bidi="fa-IR"/>
        </w:rPr>
        <w:t>الإخطار</w:t>
      </w:r>
      <w:r>
        <w:rPr>
          <w:rStyle w:val="FootnoteAnchor"/>
          <w:rtl w:val="true"/>
        </w:rPr>
        <w:footnoteReference w:id="22"/>
      </w:r>
      <w:r>
        <w:rPr>
          <w:rFonts w:ascii="IRNazanin" w:hAnsi="IRNazanin" w:eastAsia="IRNazanin"/>
          <w:color w:val="111111"/>
          <w:sz w:val="28"/>
          <w:sz w:val="28"/>
          <w:szCs w:val="28"/>
          <w:rtl w:val="true"/>
          <w:lang w:bidi="fa-IR"/>
        </w:rPr>
        <w:t>، بل یکفی الداعی، ویعتبر فی ما عدا شهر رمضان حتّی</w:t>
      </w:r>
    </w:p>
    <w:p>
      <w:pPr>
        <w:pStyle w:val="BookText"/>
        <w:rPr/>
      </w:pPr>
      <w:r>
        <w:rPr>
          <w:rFonts w:ascii="IRNazanin" w:hAnsi="IRNazanin" w:eastAsia="IRNazanin"/>
          <w:color w:val="111111"/>
          <w:sz w:val="28"/>
          <w:sz w:val="28"/>
          <w:szCs w:val="28"/>
          <w:rtl w:val="true"/>
          <w:lang w:bidi="fa-IR"/>
        </w:rPr>
        <w:t>الواجب المعیّن أیضاً القصد إلی نوعه</w:t>
      </w:r>
      <w:r>
        <w:rPr>
          <w:rStyle w:val="FootnoteAnchor"/>
          <w:rtl w:val="true"/>
        </w:rPr>
        <w:footnoteReference w:id="23"/>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 w:name="pg13281_119680"/>
    </w:p>
    <w:p>
      <w:pPr>
        <w:pStyle w:val="Heading3"/>
        <w:numPr>
          <w:ilvl w:val="2"/>
          <w:numId w:val="1"/>
        </w:numPr>
        <w:rPr/>
      </w:pPr>
      <w:bookmarkStart w:id="24" w:name="__RefHeading___Toc1954830_2322387425"/>
      <w:bookmarkStart w:id="25" w:name="_Toc8"/>
      <w:bookmarkEnd w:id="23"/>
      <w:bookmarkEnd w:id="24"/>
      <w:r>
        <w:rPr>
          <w:rtl w:val="true"/>
        </w:rPr>
        <w:t>اعتبار قصد النوع فی الصوم المندوب</w:t>
      </w:r>
      <w:bookmarkEnd w:id="25"/>
    </w:p>
    <w:p>
      <w:pPr>
        <w:pStyle w:val="BookText"/>
        <w:rPr/>
      </w:pPr>
      <w:r>
        <w:rPr>
          <w:rFonts w:ascii="IRNazanin" w:hAnsi="IRNazanin" w:eastAsia="IRNazanin"/>
          <w:color w:val="111111"/>
          <w:sz w:val="28"/>
          <w:sz w:val="28"/>
          <w:szCs w:val="28"/>
          <w:rtl w:val="true"/>
          <w:lang w:bidi="fa-IR"/>
        </w:rPr>
        <w:t>من الکفّارة أو القضاء أو النذر</w:t>
      </w:r>
      <w:r>
        <w:rPr>
          <w:rStyle w:val="FootnoteAnchor"/>
          <w:rtl w:val="true"/>
        </w:rPr>
        <w:footnoteReference w:id="24"/>
      </w:r>
      <w:r>
        <w:rPr>
          <w:rFonts w:ascii="Amiri" w:hAnsi="Amiri" w:eastAsia="Amiri" w:cs="Amiri"/>
          <w:color w:val="111111"/>
          <w:sz w:val="28"/>
          <w:sz w:val="28"/>
          <w:szCs w:val="28"/>
          <w:rtl w:val="true"/>
          <w:lang w:bidi="ar-SA"/>
        </w:rPr>
        <w:t>، مطلقاً کان أو مقیّداً بزمان</w:t>
      </w:r>
    </w:p>
    <w:p>
      <w:pPr>
        <w:pStyle w:val="BookText"/>
        <w:rPr/>
      </w:pPr>
      <w:r>
        <w:rPr>
          <w:rFonts w:ascii="Amiri" w:hAnsi="Amiri" w:eastAsia="Amiri" w:cs="Amiri"/>
          <w:color w:val="111111"/>
          <w:sz w:val="28"/>
          <w:sz w:val="28"/>
          <w:szCs w:val="28"/>
          <w:rtl w:val="true"/>
          <w:lang w:bidi="ar-SA"/>
        </w:rPr>
        <w:t>معیّن</w:t>
      </w:r>
      <w:r>
        <w:rPr>
          <w:rStyle w:val="FootnoteAnchor"/>
          <w:rtl w:val="true"/>
        </w:rPr>
        <w:footnoteReference w:id="25"/>
      </w:r>
      <w:r>
        <w:rPr>
          <w:rFonts w:ascii="IRNazanin" w:hAnsi="IRNazanin" w:eastAsia="IRNazanin"/>
          <w:color w:val="111111"/>
          <w:sz w:val="28"/>
          <w:sz w:val="28"/>
          <w:szCs w:val="28"/>
          <w:rtl w:val="true"/>
          <w:lang w:bidi="fa-IR"/>
        </w:rPr>
        <w:t>، من غیر فرقٍ بین الصوم الواجب والمندوب،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المندوب أیضاً</w:t>
      </w:r>
      <w:r>
        <w:rPr>
          <w:rStyle w:val="FootnoteAnchor"/>
          <w:rtl w:val="true"/>
        </w:rPr>
        <w:footnoteReference w:id="26"/>
      </w:r>
      <w:r>
        <w:rPr>
          <w:rFonts w:ascii="IRNazanin" w:hAnsi="IRNazanin" w:eastAsia="IRNazanin"/>
          <w:color w:val="111111"/>
          <w:sz w:val="28"/>
          <w:sz w:val="28"/>
          <w:szCs w:val="28"/>
          <w:rtl w:val="true"/>
          <w:lang w:bidi="fa-IR"/>
        </w:rPr>
        <w:t> یعتبر تعیین</w:t>
      </w:r>
      <w:r>
        <w:rPr>
          <w:rStyle w:val="FootnoteAnchor"/>
          <w:rtl w:val="true"/>
        </w:rPr>
        <w:footnoteReference w:id="27"/>
      </w:r>
      <w:r>
        <w:rPr>
          <w:rFonts w:ascii="IRNazanin" w:hAnsi="IRNazanin" w:eastAsia="IRNazanin"/>
          <w:color w:val="111111"/>
          <w:sz w:val="28"/>
          <w:sz w:val="28"/>
          <w:szCs w:val="28"/>
          <w:rtl w:val="true"/>
          <w:lang w:bidi="fa-IR"/>
        </w:rPr>
        <w:t> نوعه</w:t>
      </w:r>
      <w:r>
        <w:rPr>
          <w:rStyle w:val="FootnoteAnchor"/>
          <w:rtl w:val="true"/>
        </w:rPr>
        <w:footnoteReference w:id="28"/>
      </w:r>
      <w:r>
        <w:rPr>
          <w:rFonts w:ascii="IRNazanin" w:hAnsi="IRNazanin" w:eastAsia="IRNazanin"/>
          <w:color w:val="111111"/>
          <w:sz w:val="28"/>
          <w:sz w:val="28"/>
          <w:szCs w:val="28"/>
          <w:rtl w:val="true"/>
          <w:lang w:bidi="fa-IR"/>
        </w:rPr>
        <w:t xml:space="preserve"> من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کونه</w:t>
      </w:r>
      <w:r>
        <w:rPr>
          <w:rStyle w:val="FootnoteAnchor"/>
          <w:rtl w:val="true"/>
        </w:rPr>
        <w:footnoteReference w:id="29"/>
      </w:r>
      <w:r>
        <w:rPr>
          <w:rFonts w:ascii="IRNazanin" w:hAnsi="IRNazanin" w:eastAsia="IRNazanin"/>
          <w:color w:val="111111"/>
          <w:sz w:val="28"/>
          <w:sz w:val="28"/>
          <w:szCs w:val="28"/>
          <w:rtl w:val="true"/>
          <w:lang w:bidi="fa-IR"/>
        </w:rPr>
        <w:t> صوم أیّام البیض مثلاً، أو غیرها من الأیّام المخصوصة</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یجزی</w:t>
      </w:r>
      <w:r>
        <w:rPr>
          <w:rStyle w:val="FootnoteAnchor"/>
          <w:rtl w:val="true"/>
        </w:rPr>
        <w:footnoteReference w:id="31"/>
      </w:r>
      <w:r>
        <w:rPr>
          <w:rFonts w:ascii="IRNazanin" w:hAnsi="IRNazanin" w:eastAsia="IRNazanin"/>
          <w:color w:val="111111"/>
          <w:sz w:val="28"/>
          <w:sz w:val="28"/>
          <w:szCs w:val="28"/>
          <w:rtl w:val="true"/>
          <w:lang w:bidi="fa-IR"/>
        </w:rPr>
        <w:t> القصد</w:t>
      </w:r>
      <w:r>
        <w:rPr>
          <w:rStyle w:val="FootnoteAnchor"/>
          <w:rtl w:val="true"/>
        </w:rPr>
        <w:footnoteReference w:id="32"/>
      </w:r>
      <w:r>
        <w:rPr>
          <w:rFonts w:ascii="IRNazanin" w:hAnsi="IRNazanin" w:eastAsia="IRNazanin"/>
          <w:color w:val="111111"/>
          <w:sz w:val="28"/>
          <w:sz w:val="28"/>
          <w:szCs w:val="28"/>
          <w:rtl w:val="true"/>
          <w:lang w:bidi="fa-IR"/>
        </w:rPr>
        <w:t xml:space="preserve"> إلی      </w:t>
      </w:r>
      <w:r>
        <w:rPr>
          <w:rFonts w:eastAsia="IRNazanin" w:cs="IRNazanin"/>
          <w:color w:val="111111"/>
          <w:sz w:val="28"/>
          <w:szCs w:val="28"/>
          <w:rtl w:val="true"/>
          <w:lang w:bidi="fa-IR"/>
        </w:rPr>
        <w:t xml:space="preserve">.      .      .      .      .      . </w:t>
      </w:r>
      <w:bookmarkStart w:id="26" w:name="pg13281_119683"/>
    </w:p>
    <w:p>
      <w:pPr>
        <w:pStyle w:val="Heading3"/>
        <w:numPr>
          <w:ilvl w:val="2"/>
          <w:numId w:val="1"/>
        </w:numPr>
        <w:rPr/>
      </w:pPr>
      <w:bookmarkStart w:id="27" w:name="__RefHeading___Toc1954832_2322387425"/>
      <w:bookmarkStart w:id="28" w:name="_Toc9"/>
      <w:bookmarkEnd w:id="26"/>
      <w:bookmarkEnd w:id="27"/>
      <w:r>
        <w:rPr>
          <w:rtl w:val="true"/>
        </w:rPr>
        <w:t>کفایة قصد الصوم فی صوم رمضان</w:t>
      </w:r>
      <w:bookmarkEnd w:id="28"/>
    </w:p>
    <w:p>
      <w:pPr>
        <w:pStyle w:val="BookText"/>
        <w:rPr/>
      </w:pPr>
      <w:r>
        <w:rPr>
          <w:rFonts w:ascii="IRNazanin" w:hAnsi="IRNazanin" w:eastAsia="IRNazanin"/>
          <w:color w:val="111111"/>
          <w:sz w:val="28"/>
          <w:sz w:val="28"/>
          <w:szCs w:val="28"/>
          <w:rtl w:val="true"/>
          <w:lang w:bidi="fa-IR"/>
        </w:rPr>
        <w:t>الصوم</w:t>
      </w:r>
      <w:r>
        <w:rPr>
          <w:rStyle w:val="FootnoteAnchor"/>
          <w:rtl w:val="true"/>
        </w:rPr>
        <w:footnoteReference w:id="33"/>
      </w:r>
      <w:r>
        <w:rPr>
          <w:rFonts w:ascii="IRNazanin" w:hAnsi="IRNazanin" w:eastAsia="IRNazanin"/>
          <w:color w:val="111111"/>
          <w:sz w:val="28"/>
          <w:sz w:val="28"/>
          <w:szCs w:val="28"/>
          <w:rtl w:val="true"/>
          <w:lang w:bidi="fa-IR"/>
        </w:rPr>
        <w:t> مع القربة من دون تعیین النوع</w:t>
      </w:r>
      <w:r>
        <w:rPr>
          <w:rStyle w:val="FootnoteAnchor"/>
          <w:rtl w:val="true"/>
        </w:rPr>
        <w:footnoteReference w:id="34"/>
      </w:r>
      <w:r>
        <w:rPr>
          <w:rFonts w:ascii="IRNazanin" w:hAnsi="IRNazanin" w:eastAsia="IRNazanin"/>
          <w:color w:val="111111"/>
          <w:sz w:val="28"/>
          <w:sz w:val="28"/>
          <w:szCs w:val="28"/>
          <w:rtl w:val="true"/>
          <w:lang w:bidi="fa-IR"/>
        </w:rPr>
        <w:t>، من غیر فرقٍ بین ما إذا کان ما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ذمّته متّحداً أو متعدّداً، ففی صورة الاتّحاد أیضاً یعتبر تعیین النوع، ویکفی التعیین الإجمالی، کأن یکون ما فی ذمّته واحداً، فیقصد ما فی ذمّته وإن لم یعلم أنّه من أیّ نوع، وإن کان یمکنه الاستعلام أیضاً، بل فی ما إذا کان ما فی ذمّته متعدّداً أیضاً یکفی التعیین الإجمالی، کأن ینوی ما اشتغلت ذمّته به أوّلاً أو ثانیاً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شهر رمضان</w:t>
      </w:r>
      <w:r>
        <w:rPr>
          <w:rStyle w:val="FootnoteAnchor"/>
          <w:rtl w:val="true"/>
        </w:rPr>
        <w:footnoteReference w:id="35"/>
      </w:r>
      <w:r>
        <w:rPr>
          <w:rFonts w:ascii="IRNazanin" w:hAnsi="IRNazanin" w:eastAsia="IRNazanin"/>
          <w:color w:val="111111"/>
          <w:sz w:val="28"/>
          <w:sz w:val="28"/>
          <w:szCs w:val="28"/>
          <w:rtl w:val="true"/>
          <w:lang w:bidi="fa-IR"/>
        </w:rPr>
        <w:t> فیکفی  </w:t>
      </w:r>
    </w:p>
    <w:p>
      <w:pPr>
        <w:pStyle w:val="BookText"/>
        <w:rPr/>
      </w:pPr>
      <w:r>
        <w:rPr>
          <w:rFonts w:ascii="IRNazanin" w:hAnsi="IRNazanin" w:eastAsia="IRNazanin"/>
          <w:color w:val="111111"/>
          <w:sz w:val="28"/>
          <w:sz w:val="28"/>
          <w:szCs w:val="28"/>
          <w:rtl w:val="true"/>
          <w:lang w:bidi="fa-IR"/>
        </w:rPr>
        <w:t>قصد الصوم</w:t>
      </w:r>
      <w:r>
        <w:rPr>
          <w:rStyle w:val="FootnoteAnchor"/>
          <w:rtl w:val="true"/>
        </w:rPr>
        <w:footnoteReference w:id="36"/>
      </w:r>
      <w:r>
        <w:rPr>
          <w:rFonts w:ascii="IRNazanin" w:hAnsi="IRNazanin" w:eastAsia="IRNazanin"/>
          <w:color w:val="111111"/>
          <w:sz w:val="28"/>
          <w:sz w:val="28"/>
          <w:szCs w:val="28"/>
          <w:rtl w:val="true"/>
          <w:lang w:bidi="fa-IR"/>
        </w:rPr>
        <w:t> وإن لم ینوِ کونه من رمضان</w:t>
      </w:r>
      <w:r>
        <w:rPr>
          <w:rStyle w:val="FootnoteAnchor"/>
          <w:rtl w:val="true"/>
        </w:rPr>
        <w:footnoteReference w:id="37"/>
      </w:r>
      <w:r>
        <w:rPr>
          <w:rFonts w:ascii="IRNazanin" w:hAnsi="IRNazanin" w:eastAsia="IRNazanin"/>
          <w:color w:val="111111"/>
          <w:sz w:val="28"/>
          <w:sz w:val="28"/>
          <w:szCs w:val="28"/>
          <w:rtl w:val="true"/>
          <w:lang w:bidi="fa-IR"/>
        </w:rPr>
        <w:t>، بل لو نوی فیه غیره</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 w:name="pg13281_119684"/>
    </w:p>
    <w:p>
      <w:pPr>
        <w:pStyle w:val="BookText"/>
        <w:rPr/>
      </w:pPr>
      <w:bookmarkEnd w:id="29"/>
      <w:r>
        <w:rPr>
          <w:rFonts w:ascii="Amiri" w:hAnsi="Amiri" w:eastAsia="Amiri" w:cs="Amiri"/>
          <w:color w:val="111111"/>
          <w:sz w:val="28"/>
          <w:sz w:val="28"/>
          <w:szCs w:val="28"/>
          <w:rtl w:val="true"/>
          <w:lang w:bidi="ar-SA"/>
        </w:rPr>
        <w:t>جاهلاً</w:t>
      </w:r>
      <w:r>
        <w:rPr>
          <w:rStyle w:val="FootnoteAnchor"/>
          <w:rtl w:val="true"/>
        </w:rPr>
        <w:footnoteReference w:id="39"/>
      </w:r>
      <w:r>
        <w:rPr>
          <w:rFonts w:ascii="Amiri" w:hAnsi="Amiri" w:eastAsia="Amiri" w:cs="Amiri"/>
          <w:color w:val="111111"/>
          <w:sz w:val="28"/>
          <w:sz w:val="28"/>
          <w:szCs w:val="28"/>
          <w:rtl w:val="true"/>
          <w:lang w:bidi="ar-SA"/>
        </w:rPr>
        <w:t> أو ناسیاً له</w:t>
      </w:r>
      <w:r>
        <w:rPr>
          <w:rStyle w:val="FootnoteAnchor"/>
          <w:rtl w:val="true"/>
        </w:rPr>
        <w:footnoteReference w:id="40"/>
      </w:r>
      <w:r>
        <w:rPr>
          <w:rFonts w:ascii="IRNazanin" w:hAnsi="IRNazanin" w:eastAsia="IRNazanin"/>
          <w:color w:val="111111"/>
          <w:sz w:val="28"/>
          <w:sz w:val="28"/>
          <w:szCs w:val="28"/>
          <w:rtl w:val="true"/>
          <w:lang w:bidi="fa-IR"/>
        </w:rPr>
        <w:t> أجزأ</w:t>
      </w:r>
      <w:r>
        <w:rPr>
          <w:rStyle w:val="FootnoteAnchor"/>
          <w:rtl w:val="true"/>
        </w:rPr>
        <w:footnoteReference w:id="41"/>
      </w:r>
      <w:r>
        <w:rPr>
          <w:rFonts w:ascii="IRNazanin" w:hAnsi="IRNazanin" w:eastAsia="IRNazanin"/>
          <w:color w:val="111111"/>
          <w:sz w:val="28"/>
          <w:sz w:val="28"/>
          <w:szCs w:val="28"/>
          <w:rtl w:val="true"/>
          <w:lang w:bidi="fa-IR"/>
        </w:rPr>
        <w:t> عنه، نعم، إذا کان عالماً به وقصد غیره</w:t>
      </w:r>
      <w:r>
        <w:rPr>
          <w:rStyle w:val="FootnoteAnchor"/>
          <w:rtl w:val="true"/>
        </w:rPr>
        <w:footnoteReference w:id="42"/>
      </w:r>
    </w:p>
    <w:p>
      <w:pPr>
        <w:pStyle w:val="Heading3"/>
        <w:numPr>
          <w:ilvl w:val="2"/>
          <w:numId w:val="1"/>
        </w:numPr>
        <w:rPr/>
      </w:pPr>
      <w:bookmarkStart w:id="30" w:name="__RefHeading___Toc1954834_2322387425"/>
      <w:bookmarkStart w:id="31" w:name="_Toc10"/>
      <w:bookmarkEnd w:id="30"/>
      <w:r>
        <w:rPr>
          <w:rtl w:val="true"/>
        </w:rPr>
        <w:t>قصد صوم غیر رمضان فی رمضان</w:t>
      </w:r>
      <w:bookmarkEnd w:id="31"/>
    </w:p>
    <w:p>
      <w:pPr>
        <w:pStyle w:val="BookText"/>
        <w:rPr/>
      </w:pPr>
      <w:r>
        <w:rPr>
          <w:rFonts w:ascii="IRNazanin" w:hAnsi="IRNazanin" w:eastAsia="IRNazanin"/>
          <w:color w:val="111111"/>
          <w:sz w:val="28"/>
          <w:sz w:val="28"/>
          <w:szCs w:val="28"/>
          <w:rtl w:val="true"/>
          <w:lang w:bidi="fa-IR"/>
        </w:rPr>
        <w:t>لم یجزه</w:t>
      </w:r>
      <w:r>
        <w:rPr>
          <w:rStyle w:val="FootnoteAnchor"/>
          <w:rtl w:val="true"/>
        </w:rPr>
        <w:footnoteReference w:id="43"/>
      </w:r>
      <w:r>
        <w:rPr>
          <w:rFonts w:ascii="IRNazanin" w:hAnsi="IRNazanin" w:eastAsia="IRNazanin"/>
          <w:color w:val="111111"/>
          <w:sz w:val="28"/>
          <w:sz w:val="28"/>
          <w:szCs w:val="28"/>
          <w:rtl w:val="true"/>
          <w:lang w:bidi="fa-IR"/>
        </w:rPr>
        <w:t>، کما لا یجزی</w:t>
      </w:r>
      <w:r>
        <w:rPr>
          <w:rStyle w:val="FootnoteAnchor"/>
          <w:rtl w:val="true"/>
        </w:rPr>
        <w:footnoteReference w:id="44"/>
      </w:r>
      <w:r>
        <w:rPr>
          <w:rFonts w:ascii="IRNazanin" w:hAnsi="IRNazanin" w:eastAsia="IRNazanin"/>
          <w:color w:val="111111"/>
          <w:sz w:val="28"/>
          <w:sz w:val="28"/>
          <w:szCs w:val="28"/>
          <w:rtl w:val="true"/>
          <w:lang w:bidi="fa-IR"/>
        </w:rPr>
        <w:t> لما قصده أیضاً</w:t>
      </w:r>
      <w:r>
        <w:rPr>
          <w:rStyle w:val="FootnoteAnchor"/>
          <w:rtl w:val="true"/>
        </w:rPr>
        <w:footnoteReference w:id="45"/>
      </w:r>
      <w:r>
        <w:rPr>
          <w:rFonts w:ascii="IRNazanin" w:hAnsi="IRNazanin" w:eastAsia="IRNazanin"/>
          <w:color w:val="111111"/>
          <w:sz w:val="28"/>
          <w:sz w:val="28"/>
          <w:szCs w:val="28"/>
          <w:rtl w:val="true"/>
          <w:lang w:bidi="fa-IR"/>
        </w:rPr>
        <w:t>، بل إذا قصد غیره عالماً به</w:t>
      </w:r>
    </w:p>
    <w:p>
      <w:pPr>
        <w:pStyle w:val="BookText"/>
        <w:rPr/>
      </w:pPr>
      <w:r>
        <w:rPr>
          <w:rFonts w:ascii="IRNazanin" w:hAnsi="IRNazanin" w:eastAsia="IRNazanin"/>
          <w:color w:val="111111"/>
          <w:sz w:val="28"/>
          <w:sz w:val="28"/>
          <w:szCs w:val="28"/>
          <w:rtl w:val="true"/>
          <w:lang w:bidi="fa-IR"/>
        </w:rPr>
        <w:t>مع تخیّل صحّة الغیر فیه، ثمّ علم بعدم الصحّة وجدّد نیّته قبل الزوال لم یجزه</w:t>
      </w:r>
      <w:r>
        <w:rPr>
          <w:rStyle w:val="FootnoteAnchor"/>
          <w:rtl w:val="true"/>
        </w:rPr>
        <w:footnoteReference w:id="46"/>
      </w:r>
      <w:r>
        <w:rPr>
          <w:rFonts w:ascii="Amiri" w:hAnsi="Amiri" w:eastAsia="Amiri" w:cs="Amiri"/>
          <w:color w:val="111111"/>
          <w:sz w:val="28"/>
          <w:sz w:val="28"/>
          <w:szCs w:val="28"/>
          <w:rtl w:val="true"/>
          <w:lang w:bidi="ar-SA"/>
        </w:rPr>
        <w:t> أیضاً</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عدم</w:t>
      </w:r>
      <w:r>
        <w:rPr>
          <w:rStyle w:val="FootnoteAnchor"/>
          <w:rtl w:val="true"/>
        </w:rPr>
        <w:footnoteReference w:id="48"/>
      </w:r>
      <w:r>
        <w:rPr>
          <w:rFonts w:ascii="IRNazanin" w:hAnsi="IRNazanin" w:eastAsia="IRNazanin"/>
          <w:color w:val="111111"/>
          <w:sz w:val="28"/>
          <w:sz w:val="28"/>
          <w:szCs w:val="28"/>
          <w:rtl w:val="true"/>
          <w:lang w:bidi="fa-IR"/>
        </w:rPr>
        <w:t> الإجزاء</w:t>
      </w:r>
      <w:r>
        <w:rPr>
          <w:rStyle w:val="FootnoteAnchor"/>
          <w:rtl w:val="true"/>
        </w:rPr>
        <w:footnoteReference w:id="49"/>
      </w:r>
      <w:r>
        <w:rPr>
          <w:rFonts w:ascii="IRNazanin" w:hAnsi="IRNazanin" w:eastAsia="IRNazanin"/>
          <w:color w:val="111111"/>
          <w:sz w:val="28"/>
          <w:sz w:val="28"/>
          <w:szCs w:val="28"/>
          <w:rtl w:val="true"/>
          <w:lang w:bidi="fa-IR"/>
        </w:rPr>
        <w:t> إذا کان جاهلاً بعدم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صحّة غیره فیه، وإن لم یقصد الغیر أیضاً بل قصد</w:t>
      </w:r>
      <w:r>
        <w:rPr>
          <w:rStyle w:val="FootnoteAnchor"/>
          <w:rtl w:val="true"/>
        </w:rPr>
        <w:footnoteReference w:id="50"/>
      </w:r>
      <w:r>
        <w:rPr>
          <w:rFonts w:ascii="IRNazanin" w:hAnsi="IRNazanin" w:eastAsia="IRNazanin"/>
          <w:color w:val="111111"/>
          <w:sz w:val="28"/>
          <w:sz w:val="28"/>
          <w:szCs w:val="28"/>
          <w:rtl w:val="true"/>
          <w:lang w:bidi="fa-IR"/>
        </w:rPr>
        <w:t> الصوم</w:t>
      </w:r>
      <w:r>
        <w:rPr>
          <w:rStyle w:val="FootnoteAnchor"/>
          <w:rtl w:val="true"/>
        </w:rPr>
        <w:footnoteReference w:id="51"/>
      </w:r>
      <w:r>
        <w:rPr>
          <w:rFonts w:ascii="IRNazanin" w:hAnsi="IRNazanin" w:eastAsia="IRNazanin"/>
          <w:color w:val="111111"/>
          <w:sz w:val="28"/>
          <w:sz w:val="28"/>
          <w:szCs w:val="28"/>
          <w:rtl w:val="true"/>
          <w:lang w:bidi="fa-IR"/>
        </w:rPr>
        <w:t> فی الغد</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 w:name="pg13281_119686"/>
    </w:p>
    <w:p>
      <w:pPr>
        <w:pStyle w:val="BookText"/>
        <w:rPr/>
      </w:pPr>
      <w:bookmarkEnd w:id="32"/>
      <w:r>
        <w:rPr>
          <w:rFonts w:ascii="IRNazanin" w:hAnsi="IRNazanin" w:eastAsia="IRNazanin"/>
          <w:color w:val="111111"/>
          <w:sz w:val="28"/>
          <w:sz w:val="28"/>
          <w:szCs w:val="28"/>
          <w:rtl w:val="true"/>
          <w:lang w:bidi="fa-IR"/>
        </w:rPr>
        <w:t>مثلاً فیعتبر فی مثله</w:t>
      </w:r>
      <w:r>
        <w:rPr>
          <w:rStyle w:val="FootnoteAnchor"/>
          <w:rtl w:val="true"/>
        </w:rPr>
        <w:footnoteReference w:id="53"/>
      </w:r>
      <w:r>
        <w:rPr>
          <w:rFonts w:ascii="IRNazanin" w:hAnsi="IRNazanin" w:eastAsia="IRNazanin"/>
          <w:color w:val="111111"/>
          <w:sz w:val="28"/>
          <w:sz w:val="28"/>
          <w:szCs w:val="28"/>
          <w:rtl w:val="true"/>
          <w:lang w:bidi="fa-IR"/>
        </w:rPr>
        <w:t> تعیین کونه من رمضان،</w:t>
      </w:r>
    </w:p>
    <w:p>
      <w:pPr>
        <w:pStyle w:val="Heading3"/>
        <w:numPr>
          <w:ilvl w:val="2"/>
          <w:numId w:val="1"/>
        </w:numPr>
        <w:rPr/>
      </w:pPr>
      <w:bookmarkStart w:id="33" w:name="__RefHeading___Toc1954836_2322387425"/>
      <w:bookmarkStart w:id="34" w:name="_Toc11"/>
      <w:bookmarkEnd w:id="33"/>
      <w:r>
        <w:rPr>
          <w:rtl w:val="true"/>
        </w:rPr>
        <w:t>المتوخّی وهو من اشتبه علیه شهر رمضان کالمحبوس ونحوه</w:t>
      </w:r>
      <w:bookmarkEnd w:id="34"/>
    </w:p>
    <w:p>
      <w:pPr>
        <w:pStyle w:val="BookText"/>
        <w:rPr/>
      </w:pPr>
      <w:r>
        <w:rPr>
          <w:rFonts w:ascii="IRNazanin" w:hAnsi="IRNazanin" w:eastAsia="IRNazanin"/>
          <w:color w:val="111111"/>
          <w:sz w:val="28"/>
          <w:sz w:val="28"/>
          <w:szCs w:val="28"/>
          <w:rtl w:val="true"/>
          <w:lang w:bidi="fa-IR"/>
        </w:rPr>
        <w:t>کما أنّ الأحوط فی المتوخّی</w:t>
      </w:r>
      <w:r>
        <w:rPr>
          <w:rStyle w:val="FootnoteAnchor"/>
          <w:rtl w:val="true"/>
        </w:rPr>
        <w:footnoteReference w:id="54"/>
      </w:r>
      <w:r>
        <w:rPr>
          <w:rFonts w:ascii="IRNazanin" w:hAnsi="IRNazanin" w:eastAsia="IRNazanin"/>
          <w:color w:val="111111"/>
          <w:sz w:val="28"/>
          <w:sz w:val="28"/>
          <w:szCs w:val="28"/>
          <w:rtl w:val="true"/>
          <w:lang w:bidi="fa-IR"/>
        </w:rPr>
        <w:t> ـ أی المحبوس الّذی اشتبه علیه شهر رمضان وعمل بالظنّ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ـ أیضاً ذلک، أی اعتبار قصد کونه من رمضان، بل وجوب ذلک لا یخلو من قوّة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w:t>
      </w:r>
      <w:r>
        <w:rPr>
          <w:rStyle w:val="FootnoteAnchor"/>
          <w:rtl w:val="true"/>
        </w:rPr>
        <w:footnoteReference w:id="57"/>
      </w:r>
      <w:r>
        <w:rPr>
          <w:rFonts w:ascii="Amiri" w:hAnsi="Amiri" w:eastAsia="Amiri" w:cs="Amiri"/>
          <w:color w:val="111111"/>
          <w:sz w:val="28"/>
          <w:sz w:val="28"/>
          <w:szCs w:val="28"/>
          <w:rtl w:val="true"/>
          <w:lang w:bidi="ar-SA"/>
        </w:rPr>
        <w:t> التعرّض</w:t>
      </w:r>
      <w:r>
        <w:rPr>
          <w:rStyle w:val="FootnoteAnchor"/>
          <w:rtl w:val="true"/>
        </w:rPr>
        <w:footnoteReference w:id="58"/>
      </w:r>
      <w:r>
        <w:rPr>
          <w:rFonts w:ascii="IRNazanin" w:hAnsi="IRNazanin" w:eastAsia="IRNazanin"/>
          <w:color w:val="111111"/>
          <w:sz w:val="28"/>
          <w:sz w:val="28"/>
          <w:szCs w:val="28"/>
          <w:rtl w:val="true"/>
          <w:lang w:bidi="fa-IR"/>
        </w:rPr>
        <w:t> للأداء</w:t>
      </w:r>
      <w:r>
        <w:rPr>
          <w:rStyle w:val="FootnoteAnchor"/>
          <w:rtl w:val="true"/>
        </w:rPr>
        <w:footnoteReference w:id="59"/>
      </w:r>
      <w:r>
        <w:rPr>
          <w:rFonts w:ascii="IRNazanin" w:hAnsi="IRNazanin" w:eastAsia="IRNazanin"/>
          <w:color w:val="111111"/>
          <w:sz w:val="28"/>
          <w:sz w:val="28"/>
          <w:szCs w:val="28"/>
          <w:rtl w:val="true"/>
          <w:lang w:bidi="fa-IR"/>
        </w:rPr>
        <w:t> والقضاء</w:t>
      </w:r>
      <w:r>
        <w:rPr>
          <w:rStyle w:val="FootnoteAnchor"/>
          <w:rtl w:val="true"/>
        </w:rPr>
        <w:footnoteReference w:id="60"/>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 w:name="pg13281_119688"/>
    </w:p>
    <w:p>
      <w:pPr>
        <w:pStyle w:val="Heading3"/>
        <w:numPr>
          <w:ilvl w:val="2"/>
          <w:numId w:val="1"/>
        </w:numPr>
        <w:rPr/>
      </w:pPr>
      <w:bookmarkStart w:id="36" w:name="__RefHeading___Toc1954838_2322387425"/>
      <w:bookmarkStart w:id="37" w:name="_Toc12"/>
      <w:bookmarkEnd w:id="35"/>
      <w:bookmarkEnd w:id="36"/>
      <w:r>
        <w:rPr>
          <w:rtl w:val="true"/>
        </w:rPr>
        <w:t>قصد الوجه وعدمه فی الصوم</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الوجوب والندب، ولا سائر الأوصاف الشخصیّة، بل لو نوی شیئاً منها فی محلِّ الآخر صحّ، إلّا إذا کان منافیاً للتعیین</w:t>
      </w:r>
      <w:r>
        <w:rPr>
          <w:rStyle w:val="FootnoteAnchor"/>
          <w:rtl w:val="true"/>
        </w:rPr>
        <w:footnoteReference w:id="61"/>
      </w:r>
      <w:r>
        <w:rPr>
          <w:rFonts w:ascii="Amiri" w:hAnsi="Amiri" w:eastAsia="Amiri" w:cs="Amiri"/>
          <w:color w:val="111111"/>
          <w:sz w:val="28"/>
          <w:sz w:val="28"/>
          <w:szCs w:val="28"/>
          <w:rtl w:val="true"/>
          <w:lang w:bidi="ar-SA"/>
        </w:rPr>
        <w:t>، مثلاً إذا تعلّق به الأمر الأدائی فتخیّل کونه قضائیاً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الأمر الفعلیّ المتعلّق به واشتبه فی التطبیق فَقَصَدَهُ قضاءً</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صحّ</w:t>
      </w:r>
      <w:r>
        <w:rPr>
          <w:rStyle w:val="FootnoteAnchor"/>
          <w:rtl w:val="true"/>
        </w:rPr>
        <w:footnoteReference w:id="63"/>
      </w:r>
      <w:r>
        <w:rPr>
          <w:rFonts w:ascii="IRNazanin" w:hAnsi="IRNazanin" w:eastAsia="IRNazanin"/>
          <w:color w:val="111111"/>
          <w:sz w:val="28"/>
          <w:sz w:val="28"/>
          <w:szCs w:val="28"/>
          <w:rtl w:val="true"/>
          <w:lang w:bidi="fa-IR"/>
        </w:rPr>
        <w:t>، وأمّا إذا لم یقصد الأمر الفعلیّ بل قصد الأمر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القضائیّ</w:t>
      </w:r>
      <w:r>
        <w:rPr>
          <w:rStyle w:val="FootnoteAnchor"/>
          <w:rtl w:val="true"/>
        </w:rPr>
        <w:footnoteReference w:id="64"/>
      </w:r>
      <w:r>
        <w:rPr>
          <w:rFonts w:ascii="IRNazanin" w:hAnsi="IRNazanin" w:eastAsia="IRNazanin"/>
          <w:color w:val="111111"/>
          <w:sz w:val="28"/>
          <w:sz w:val="28"/>
          <w:szCs w:val="28"/>
          <w:rtl w:val="true"/>
          <w:lang w:bidi="fa-IR"/>
        </w:rPr>
        <w:t> بطل</w:t>
      </w:r>
      <w:r>
        <w:rPr>
          <w:rStyle w:val="FootnoteAnchor"/>
          <w:rtl w:val="true"/>
        </w:rPr>
        <w:footnoteReference w:id="65"/>
      </w:r>
      <w:r>
        <w:rPr>
          <w:rFonts w:ascii="Amiri" w:hAnsi="Amiri" w:eastAsia="Amiri" w:cs="Amiri"/>
          <w:color w:val="111111"/>
          <w:sz w:val="28"/>
          <w:sz w:val="28"/>
          <w:szCs w:val="28"/>
          <w:rtl w:val="true"/>
          <w:lang w:bidi="ar-SA"/>
        </w:rPr>
        <w:t>؛ لأنّه منافٍ</w:t>
      </w:r>
      <w:r>
        <w:rPr>
          <w:rStyle w:val="FootnoteAnchor"/>
          <w:rtl w:val="true"/>
        </w:rPr>
        <w:footnoteReference w:id="66"/>
      </w:r>
      <w:r>
        <w:rPr>
          <w:rFonts w:ascii="IRNazanin" w:hAnsi="IRNazanin" w:eastAsia="IRNazanin"/>
          <w:color w:val="111111"/>
          <w:sz w:val="28"/>
          <w:sz w:val="28"/>
          <w:szCs w:val="28"/>
          <w:rtl w:val="true"/>
          <w:lang w:bidi="fa-IR"/>
        </w:rPr>
        <w:t> للتعیین</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حینئذٍ</w:t>
      </w:r>
      <w:r>
        <w:rPr>
          <w:rStyle w:val="FootnoteAnchor"/>
          <w:rtl w:val="true"/>
        </w:rPr>
        <w:footnoteReference w:id="68"/>
      </w:r>
      <w:r>
        <w:rPr>
          <w:rFonts w:ascii="IRNazanin" w:hAnsi="IRNazanin" w:eastAsia="IRNazanin"/>
          <w:color w:val="111111"/>
          <w:sz w:val="28"/>
          <w:sz w:val="28"/>
          <w:szCs w:val="28"/>
          <w:rtl w:val="true"/>
          <w:lang w:bidi="fa-IR"/>
        </w:rPr>
        <w:t>، وکذا یبطل</w:t>
      </w:r>
      <w:r>
        <w:rPr>
          <w:rStyle w:val="FootnoteAnchor"/>
          <w:rtl w:val="true"/>
        </w:rPr>
        <w:footnoteReference w:id="69"/>
      </w:r>
      <w:r>
        <w:rPr>
          <w:rFonts w:ascii="IRNazanin" w:hAnsi="IRNazanin" w:eastAsia="IRNazanin"/>
          <w:color w:val="111111"/>
          <w:sz w:val="28"/>
          <w:sz w:val="28"/>
          <w:szCs w:val="28"/>
          <w:rtl w:val="true"/>
          <w:lang w:bidi="fa-IR"/>
        </w:rPr>
        <w:t> إذا کان مغیّراً للنوع، کما إذا قصد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الأمر الفعلیّ لکن بقید کونه قضائیّاً</w:t>
      </w:r>
      <w:r>
        <w:rPr>
          <w:rStyle w:val="FootnoteAnchor"/>
          <w:rtl w:val="true"/>
        </w:rPr>
        <w:footnoteReference w:id="70"/>
      </w:r>
      <w:r>
        <w:rPr>
          <w:rFonts w:ascii="IRNazanin" w:hAnsi="IRNazanin" w:eastAsia="IRNazanin"/>
          <w:color w:val="111111"/>
          <w:sz w:val="28"/>
          <w:sz w:val="28"/>
          <w:szCs w:val="28"/>
          <w:rtl w:val="true"/>
          <w:lang w:bidi="fa-IR"/>
        </w:rPr>
        <w:t> مثلاً، أو بقید کونه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وجوبیّاً</w:t>
      </w:r>
      <w:r>
        <w:rPr>
          <w:rStyle w:val="FootnoteAnchor"/>
          <w:rtl w:val="true"/>
        </w:rPr>
        <w:footnoteReference w:id="71"/>
      </w:r>
      <w:r>
        <w:rPr>
          <w:rFonts w:ascii="Amiri" w:hAnsi="Amiri" w:eastAsia="Amiri" w:cs="Amiri"/>
          <w:color w:val="111111"/>
          <w:sz w:val="28"/>
          <w:sz w:val="28"/>
          <w:szCs w:val="28"/>
          <w:rtl w:val="true"/>
          <w:lang w:bidi="ar-SA"/>
        </w:rPr>
        <w:t> مثلاً</w:t>
      </w:r>
      <w:r>
        <w:rPr>
          <w:rStyle w:val="FootnoteAnchor"/>
          <w:rtl w:val="true"/>
        </w:rPr>
        <w:footnoteReference w:id="72"/>
      </w:r>
      <w:r>
        <w:rPr>
          <w:rFonts w:ascii="Amiri" w:hAnsi="Amiri" w:eastAsia="Amiri" w:cs="Amiri"/>
          <w:color w:val="111111"/>
          <w:sz w:val="28"/>
          <w:sz w:val="28"/>
          <w:szCs w:val="28"/>
          <w:rtl w:val="true"/>
          <w:lang w:bidi="ar-SA"/>
        </w:rPr>
        <w:t> فبان کونه أدائیّاً، أو کونه ندبیّاً فإنّه</w:t>
      </w:r>
    </w:p>
    <w:p>
      <w:pPr>
        <w:pStyle w:val="BookText"/>
        <w:rPr/>
      </w:pPr>
      <w:r>
        <w:rPr>
          <w:rFonts w:ascii="Amiri" w:hAnsi="Amiri" w:eastAsia="Amiri" w:cs="Amiri"/>
          <w:color w:val="111111"/>
          <w:sz w:val="28"/>
          <w:sz w:val="28"/>
          <w:szCs w:val="28"/>
          <w:rtl w:val="true"/>
          <w:lang w:bidi="ar-SA"/>
        </w:rPr>
        <w:t>حینئذٍ مغیِّر للنوع، ویرجع إلی عدم</w:t>
      </w:r>
      <w:r>
        <w:rPr>
          <w:rStyle w:val="FootnoteAnchor"/>
          <w:rtl w:val="true"/>
        </w:rPr>
        <w:footnoteReference w:id="73"/>
      </w:r>
      <w:r>
        <w:rPr>
          <w:rFonts w:ascii="IRNazanin" w:hAnsi="IRNazanin" w:eastAsia="IRNazanin"/>
          <w:color w:val="111111"/>
          <w:sz w:val="28"/>
          <w:sz w:val="28"/>
          <w:szCs w:val="28"/>
          <w:rtl w:val="true"/>
          <w:lang w:bidi="fa-IR"/>
        </w:rPr>
        <w:t> قصد</w:t>
      </w:r>
      <w:r>
        <w:rPr>
          <w:rStyle w:val="FootnoteAnchor"/>
          <w:rtl w:val="true"/>
        </w:rPr>
        <w:footnoteReference w:id="7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 w:name="pg13281_119691"/>
    </w:p>
    <w:p>
      <w:pPr>
        <w:pStyle w:val="BookText"/>
        <w:rPr/>
      </w:pPr>
      <w:bookmarkEnd w:id="38"/>
      <w:r>
        <w:rPr>
          <w:rFonts w:ascii="IRNazanin" w:hAnsi="IRNazanin" w:eastAsia="IRNazanin"/>
          <w:color w:val="111111"/>
          <w:sz w:val="28"/>
          <w:sz w:val="28"/>
          <w:szCs w:val="28"/>
          <w:rtl w:val="true"/>
          <w:lang w:bidi="fa-IR"/>
        </w:rPr>
        <w:t>الأمر</w:t>
      </w:r>
      <w:r>
        <w:rPr>
          <w:rStyle w:val="FootnoteAnchor"/>
          <w:rtl w:val="true"/>
        </w:rPr>
        <w:footnoteReference w:id="75"/>
      </w:r>
      <w:r>
        <w:rPr>
          <w:rFonts w:ascii="Amiri" w:hAnsi="Amiri" w:eastAsia="Amiri" w:cs="Amiri"/>
          <w:color w:val="111111"/>
          <w:sz w:val="28"/>
          <w:sz w:val="28"/>
          <w:szCs w:val="28"/>
          <w:rtl w:val="true"/>
          <w:lang w:bidi="ar-SA"/>
        </w:rPr>
        <w:t> الخاصّ</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954840_2322387425"/>
      <w:bookmarkStart w:id="40" w:name="_Toc13"/>
      <w:bookmarkEnd w:id="39"/>
      <w:r>
        <w:rPr>
          <w:rtl w:val="true"/>
        </w:rPr>
        <w:t>إذا جاء بالمأمور به مع قصد الخلاف خطأً </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صوم الیوم الأوّل من شهر رمضان فبان أنّه الیوم الثانی مثلاً أو العکس</w:t>
      </w:r>
      <w:r>
        <w:rPr>
          <w:rStyle w:val="FootnoteAnchor"/>
          <w:rtl w:val="true"/>
        </w:rPr>
        <w:footnoteReference w:id="77"/>
      </w:r>
      <w:r>
        <w:rPr>
          <w:rFonts w:ascii="Amiri" w:hAnsi="Amiri" w:eastAsia="Amiri" w:cs="Amiri"/>
          <w:color w:val="111111"/>
          <w:sz w:val="28"/>
          <w:sz w:val="28"/>
          <w:szCs w:val="28"/>
          <w:rtl w:val="true"/>
          <w:lang w:bidi="ar-SA"/>
        </w:rPr>
        <w:t> صحّ</w:t>
      </w:r>
      <w:r>
        <w:rPr>
          <w:rStyle w:val="FootnoteAnchor"/>
          <w:rtl w:val="true"/>
        </w:rPr>
        <w:footnoteReference w:id="78"/>
      </w:r>
      <w:r>
        <w:rPr>
          <w:rFonts w:ascii="IRNazanin" w:hAnsi="IRNazanin" w:eastAsia="IRNazanin"/>
          <w:color w:val="111111"/>
          <w:sz w:val="28"/>
          <w:sz w:val="28"/>
          <w:szCs w:val="28"/>
          <w:rtl w:val="true"/>
          <w:lang w:bidi="fa-IR"/>
        </w:rPr>
        <w:t>، وکذا</w:t>
      </w:r>
      <w:r>
        <w:rPr>
          <w:rStyle w:val="FootnoteAnchor"/>
          <w:rtl w:val="true"/>
        </w:rPr>
        <w:footnoteReference w:id="79"/>
      </w:r>
      <w:r>
        <w:rPr>
          <w:rFonts w:ascii="IRNazanin" w:hAnsi="IRNazanin" w:eastAsia="IRNazanin"/>
          <w:color w:val="111111"/>
          <w:sz w:val="28"/>
          <w:sz w:val="28"/>
          <w:szCs w:val="28"/>
          <w:rtl w:val="true"/>
          <w:lang w:bidi="fa-IR"/>
        </w:rPr>
        <w:t> لو قصد الیوم الأوّل من صوم الکفّارة أو غیرها فبان الثانی مثلاً أو العکس، وکذا إذا قصد</w:t>
      </w:r>
      <w:r>
        <w:rPr>
          <w:rStyle w:val="FootnoteAnchor"/>
          <w:rtl w:val="true"/>
        </w:rPr>
        <w:footnoteReference w:id="80"/>
      </w:r>
      <w:bookmarkStart w:id="41" w:name="pg13281_119692"/>
    </w:p>
    <w:p>
      <w:pPr>
        <w:pStyle w:val="BookText"/>
        <w:rPr/>
      </w:pPr>
      <w:bookmarkEnd w:id="41"/>
      <w:r>
        <w:rPr>
          <w:rFonts w:ascii="IRNazanin" w:hAnsi="IRNazanin" w:eastAsia="IRNazanin"/>
          <w:color w:val="111111"/>
          <w:sz w:val="28"/>
          <w:sz w:val="28"/>
          <w:szCs w:val="28"/>
          <w:rtl w:val="true"/>
          <w:lang w:bidi="fa-IR"/>
        </w:rPr>
        <w:t>قضاء</w:t>
      </w:r>
      <w:r>
        <w:rPr>
          <w:rStyle w:val="FootnoteAnchor"/>
          <w:rtl w:val="true"/>
        </w:rPr>
        <w:footnoteReference w:id="81"/>
      </w:r>
      <w:r>
        <w:rPr>
          <w:rFonts w:ascii="Amiri" w:hAnsi="Amiri" w:eastAsia="Amiri" w:cs="Amiri"/>
          <w:color w:val="111111"/>
          <w:sz w:val="28"/>
          <w:sz w:val="28"/>
          <w:szCs w:val="28"/>
          <w:rtl w:val="true"/>
          <w:lang w:bidi="ar-SA"/>
        </w:rPr>
        <w:t> رمضان السنة</w:t>
      </w:r>
      <w:r>
        <w:rPr>
          <w:rStyle w:val="FootnoteAnchor"/>
          <w:rtl w:val="true"/>
        </w:rPr>
        <w:footnoteReference w:id="82"/>
      </w:r>
      <w:r>
        <w:rPr>
          <w:rFonts w:ascii="Amiri" w:hAnsi="Amiri" w:eastAsia="Amiri" w:cs="Amiri"/>
          <w:color w:val="111111"/>
          <w:sz w:val="28"/>
          <w:sz w:val="28"/>
          <w:szCs w:val="28"/>
          <w:rtl w:val="true"/>
          <w:lang w:bidi="ar-SA"/>
        </w:rPr>
        <w:t> الحالیّة</w:t>
      </w:r>
      <w:r>
        <w:rPr>
          <w:rStyle w:val="FootnoteAnchor"/>
          <w:rtl w:val="true"/>
        </w:rPr>
        <w:footnoteReference w:id="83"/>
      </w:r>
      <w:r>
        <w:rPr>
          <w:rFonts w:ascii="Amiri" w:hAnsi="Amiri" w:eastAsia="Amiri" w:cs="Amiri"/>
          <w:color w:val="111111"/>
          <w:sz w:val="28"/>
          <w:sz w:val="28"/>
          <w:szCs w:val="28"/>
          <w:rtl w:val="true"/>
          <w:lang w:bidi="ar-SA"/>
        </w:rPr>
        <w:t> فبان أنّه قضاء رمضان السنة السابقة</w:t>
      </w:r>
    </w:p>
    <w:p>
      <w:pPr>
        <w:pStyle w:val="BookText"/>
        <w:rPr/>
      </w:pPr>
      <w:r>
        <w:rPr>
          <w:rFonts w:ascii="IRNazanin" w:hAnsi="IRNazanin" w:eastAsia="IRNazanin"/>
          <w:color w:val="111111"/>
          <w:sz w:val="28"/>
          <w:sz w:val="28"/>
          <w:szCs w:val="28"/>
          <w:rtl w:val="true"/>
          <w:lang w:bidi="fa-IR"/>
        </w:rPr>
        <w:t>وبالعکس</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954842_2322387425"/>
      <w:bookmarkStart w:id="43" w:name="_Toc14"/>
      <w:bookmarkEnd w:id="42"/>
      <w:r>
        <w:rPr>
          <w:rtl w:val="true"/>
        </w:rPr>
        <w:t>العلم بالمفطرات علی التفصیل</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العلم بالمُفطِرات علی التفصیل، فلو نوی الإمساک عن اُمور</w:t>
      </w:r>
      <w:r>
        <w:rPr>
          <w:rStyle w:val="FootnoteAnchor"/>
          <w:rtl w:val="true"/>
        </w:rPr>
        <w:footnoteReference w:id="85"/>
      </w:r>
      <w:r>
        <w:rPr>
          <w:rFonts w:ascii="IRNazanin" w:hAnsi="IRNazanin" w:eastAsia="IRNazanin"/>
          <w:color w:val="111111"/>
          <w:sz w:val="28"/>
          <w:sz w:val="28"/>
          <w:szCs w:val="28"/>
          <w:rtl w:val="true"/>
          <w:lang w:bidi="fa-IR"/>
        </w:rPr>
        <w:t> یعلم</w:t>
      </w:r>
      <w:r>
        <w:rPr>
          <w:rStyle w:val="FootnoteAnchor"/>
          <w:rtl w:val="true"/>
        </w:rPr>
        <w:footnoteReference w:id="86"/>
      </w:r>
      <w:r>
        <w:rPr>
          <w:rFonts w:ascii="IRNazanin" w:hAnsi="IRNazanin" w:eastAsia="IRNazanin"/>
          <w:color w:val="111111"/>
          <w:sz w:val="28"/>
          <w:sz w:val="28"/>
          <w:szCs w:val="28"/>
          <w:rtl w:val="true"/>
          <w:lang w:bidi="fa-IR"/>
        </w:rPr>
        <w:t> دخول جمیع المفطِرات</w:t>
      </w:r>
      <w:r>
        <w:rPr>
          <w:rStyle w:val="FootnoteAnchor"/>
          <w:rtl w:val="true"/>
        </w:rPr>
        <w:footnoteReference w:id="87"/>
      </w:r>
      <w:r>
        <w:rPr>
          <w:rFonts w:ascii="IRNazanin" w:hAnsi="IRNazanin" w:eastAsia="IRNazanin"/>
          <w:color w:val="111111"/>
          <w:sz w:val="28"/>
          <w:sz w:val="28"/>
          <w:szCs w:val="28"/>
          <w:rtl w:val="true"/>
          <w:lang w:bidi="fa-IR"/>
        </w:rPr>
        <w:t> فیها کفی</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954844_2322387425"/>
      <w:bookmarkStart w:id="45" w:name="_Toc15"/>
      <w:bookmarkEnd w:id="44"/>
      <w:r>
        <w:rPr>
          <w:rtl w:val="true"/>
        </w:rPr>
        <w:t>نیّة الجاهل بالمفطر</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نوی الإمساک عن جمیع المُفطِرات ولکن تخیّل أنّ المفطِر الفلانی لیس بمفطِرٍ فإن ارتکبه فی ذلک الیوم بطل صومه</w:t>
      </w:r>
      <w:r>
        <w:rPr>
          <w:rStyle w:val="FootnoteAnchor"/>
          <w:rtl w:val="true"/>
        </w:rPr>
        <w:footnoteReference w:id="89"/>
      </w:r>
      <w:r>
        <w:rPr>
          <w:rFonts w:ascii="IRNazanin" w:hAnsi="IRNazanin" w:eastAsia="IRNazanin"/>
          <w:color w:val="111111"/>
          <w:sz w:val="28"/>
          <w:sz w:val="28"/>
          <w:szCs w:val="28"/>
          <w:rtl w:val="true"/>
          <w:lang w:bidi="fa-IR"/>
        </w:rPr>
        <w:t>، وکذا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r>
        <w:rPr>
          <w:rStyle w:val="FootnoteAnchor"/>
          <w:rtl w:val="true"/>
        </w:rPr>
        <w:footnoteReference w:id="90"/>
      </w:r>
      <w:r>
        <w:rPr>
          <w:rFonts w:ascii="IRNazanin" w:hAnsi="IRNazanin" w:eastAsia="IRNazanin"/>
          <w:color w:val="111111"/>
          <w:sz w:val="28"/>
          <w:sz w:val="28"/>
          <w:szCs w:val="28"/>
          <w:rtl w:val="true"/>
          <w:lang w:bidi="fa-IR"/>
        </w:rPr>
        <w:t> لم یرتکبه</w:t>
      </w:r>
      <w:r>
        <w:rPr>
          <w:rStyle w:val="FootnoteAnchor"/>
          <w:rtl w:val="true"/>
        </w:rPr>
        <w:footnoteReference w:id="91"/>
      </w:r>
      <w:r>
        <w:rPr>
          <w:rFonts w:ascii="Amiri" w:hAnsi="Amiri" w:eastAsia="Amiri" w:cs="Amiri"/>
          <w:color w:val="111111"/>
          <w:sz w:val="28"/>
          <w:sz w:val="28"/>
          <w:szCs w:val="28"/>
          <w:rtl w:val="true"/>
          <w:lang w:bidi="ar-SA"/>
        </w:rPr>
        <w:t> ولکنّه لاحظ فی نیّته</w:t>
      </w:r>
      <w:r>
        <w:rPr>
          <w:rStyle w:val="FootnoteAnchor"/>
          <w:rtl w:val="true"/>
        </w:rPr>
        <w:footnoteReference w:id="92"/>
      </w:r>
      <w:r>
        <w:rPr>
          <w:rFonts w:ascii="IRNazanin" w:hAnsi="IRNazanin" w:eastAsia="IRNazanin"/>
          <w:color w:val="111111"/>
          <w:sz w:val="28"/>
          <w:sz w:val="28"/>
          <w:szCs w:val="28"/>
          <w:rtl w:val="true"/>
          <w:lang w:bidi="fa-IR"/>
        </w:rPr>
        <w:t> الإمساک</w:t>
      </w:r>
      <w:r>
        <w:rPr>
          <w:rStyle w:val="FootnoteAnchor"/>
          <w:rtl w:val="true"/>
        </w:rPr>
        <w:footnoteReference w:id="93"/>
      </w:r>
      <w:r>
        <w:rPr>
          <w:rFonts w:ascii="Amiri" w:hAnsi="Amiri" w:eastAsia="Amiri" w:cs="Amiri"/>
          <w:color w:val="111111"/>
          <w:sz w:val="28"/>
          <w:sz w:val="28"/>
          <w:szCs w:val="28"/>
          <w:rtl w:val="true"/>
          <w:lang w:bidi="ar-SA"/>
        </w:rPr>
        <w:t> عمّا</w:t>
      </w:r>
      <w:r>
        <w:rPr>
          <w:rStyle w:val="FootnoteAnchor"/>
          <w:rtl w:val="true"/>
        </w:rPr>
        <w:footnoteReference w:id="94"/>
      </w:r>
      <w:r>
        <w:rPr>
          <w:rFonts w:ascii="IRNazanin" w:hAnsi="IRNazanin" w:eastAsia="IRNazanin"/>
          <w:color w:val="111111"/>
          <w:sz w:val="28"/>
          <w:sz w:val="28"/>
          <w:szCs w:val="28"/>
          <w:rtl w:val="true"/>
          <w:lang w:bidi="fa-IR"/>
        </w:rPr>
        <w:t> عداه</w:t>
      </w:r>
      <w:r>
        <w:rPr>
          <w:rStyle w:val="FootnoteAnchor"/>
          <w:rtl w:val="true"/>
        </w:rPr>
        <w:footnoteReference w:id="95"/>
      </w:r>
      <w:r>
        <w:rPr>
          <w:rFonts w:ascii="IRNazanin" w:hAnsi="IRNazanin" w:eastAsia="IRNazanin"/>
          <w:color w:val="111111"/>
          <w:sz w:val="28"/>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لم یلاحظ</w:t>
      </w:r>
      <w:r>
        <w:rPr>
          <w:rStyle w:val="FootnoteAnchor"/>
          <w:rtl w:val="true"/>
        </w:rPr>
        <w:footnoteReference w:id="96"/>
      </w:r>
      <w:r>
        <w:rPr>
          <w:rFonts w:ascii="Amiri" w:hAnsi="Amiri" w:eastAsia="Amiri" w:cs="Amiri"/>
          <w:color w:val="111111"/>
          <w:sz w:val="28"/>
          <w:sz w:val="28"/>
          <w:szCs w:val="28"/>
          <w:rtl w:val="true"/>
          <w:lang w:bidi="ar-SA"/>
        </w:rPr>
        <w:t> ذلک صحّ صومه</w:t>
      </w:r>
      <w:r>
        <w:rPr>
          <w:rStyle w:val="FootnoteAnchor"/>
          <w:rtl w:val="true"/>
        </w:rPr>
        <w:footnoteReference w:id="97"/>
      </w:r>
      <w:r>
        <w:rPr>
          <w:rFonts w:ascii="IRNazanin" w:hAnsi="IRNazanin" w:eastAsia="IRNazanin"/>
          <w:color w:val="111111"/>
          <w:sz w:val="28"/>
          <w:sz w:val="28"/>
          <w:szCs w:val="28"/>
          <w:rtl w:val="true"/>
          <w:lang w:bidi="fa-IR"/>
        </w:rPr>
        <w:t> فی الأقوی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46" w:name="pg13281_119696"/>
    </w:p>
    <w:p>
      <w:pPr>
        <w:pStyle w:val="Heading3"/>
        <w:numPr>
          <w:ilvl w:val="2"/>
          <w:numId w:val="1"/>
        </w:numPr>
        <w:rPr/>
      </w:pPr>
      <w:bookmarkStart w:id="47" w:name="__RefHeading___Toc1954846_2322387425"/>
      <w:bookmarkStart w:id="48" w:name="_Toc16"/>
      <w:bookmarkEnd w:id="46"/>
      <w:bookmarkEnd w:id="47"/>
      <w:r>
        <w:rPr>
          <w:rtl w:val="true"/>
        </w:rPr>
        <w:t>نیّة النیابة عن الغیر</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النائب عن الغیر لا یکفیه</w:t>
      </w:r>
      <w:r>
        <w:rPr>
          <w:rStyle w:val="FootnoteAnchor"/>
          <w:rtl w:val="true"/>
        </w:rPr>
        <w:footnoteReference w:id="99"/>
      </w:r>
      <w:r>
        <w:rPr>
          <w:rFonts w:ascii="IRNazanin" w:hAnsi="IRNazanin" w:eastAsia="IRNazanin"/>
          <w:color w:val="111111"/>
          <w:sz w:val="28"/>
          <w:sz w:val="28"/>
          <w:szCs w:val="28"/>
          <w:rtl w:val="true"/>
          <w:lang w:bidi="fa-IR"/>
        </w:rPr>
        <w:t> قصد الصوم بدون نیّة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النیابة</w:t>
      </w:r>
      <w:r>
        <w:rPr>
          <w:rStyle w:val="FootnoteAnchor"/>
          <w:rtl w:val="true"/>
        </w:rPr>
        <w:footnoteReference w:id="100"/>
      </w:r>
      <w:r>
        <w:rPr>
          <w:rFonts w:ascii="IRNazanin" w:hAnsi="IRNazanin" w:eastAsia="IRNazanin"/>
          <w:color w:val="111111"/>
          <w:sz w:val="28"/>
          <w:sz w:val="28"/>
          <w:szCs w:val="28"/>
          <w:rtl w:val="true"/>
          <w:lang w:bidi="fa-IR"/>
        </w:rPr>
        <w:t> وإن کان متّحداً، نعم، لو علم باشتغال ذمّته بصوم ولا یعلم أنّه له أو نیابة عن الغیر یکفیه</w:t>
      </w:r>
      <w:r>
        <w:rPr>
          <w:rStyle w:val="FootnoteAnchor"/>
          <w:rtl w:val="true"/>
        </w:rPr>
        <w:footnoteReference w:id="101"/>
      </w:r>
      <w:r>
        <w:rPr>
          <w:rFonts w:ascii="IRNazanin" w:hAnsi="IRNazanin" w:eastAsia="IRNazanin"/>
          <w:color w:val="111111"/>
          <w:sz w:val="28"/>
          <w:sz w:val="28"/>
          <w:szCs w:val="28"/>
          <w:rtl w:val="true"/>
          <w:lang w:bidi="fa-IR"/>
        </w:rPr>
        <w:t> أن یقصد</w:t>
      </w:r>
      <w:r>
        <w:rPr>
          <w:rStyle w:val="FootnoteAnchor"/>
          <w:rtl w:val="true"/>
        </w:rPr>
        <w:footnoteReference w:id="102"/>
      </w:r>
      <w:r>
        <w:rPr>
          <w:rFonts w:ascii="Amiri" w:hAnsi="Amiri" w:eastAsia="Amiri" w:cs="Amiri"/>
          <w:color w:val="111111"/>
          <w:sz w:val="28"/>
          <w:sz w:val="28"/>
          <w:szCs w:val="28"/>
          <w:rtl w:val="true"/>
          <w:lang w:bidi="ar-SA"/>
        </w:rPr>
        <w:t> ما فی الذمّة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49" w:name="pg13281_119697"/>
    </w:p>
    <w:p>
      <w:pPr>
        <w:pStyle w:val="Heading3"/>
        <w:numPr>
          <w:ilvl w:val="2"/>
          <w:numId w:val="1"/>
        </w:numPr>
        <w:rPr/>
      </w:pPr>
      <w:bookmarkStart w:id="50" w:name="__RefHeading___Toc1954848_2322387425"/>
      <w:bookmarkStart w:id="51" w:name="_Toc17"/>
      <w:bookmarkEnd w:id="49"/>
      <w:bookmarkEnd w:id="50"/>
      <w:r>
        <w:rPr>
          <w:rtl w:val="true"/>
        </w:rPr>
        <w:t>الصوم فی شهر رمضان لغیره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یصلح</w:t>
      </w:r>
      <w:r>
        <w:rPr>
          <w:rStyle w:val="FootnoteAnchor"/>
          <w:rtl w:val="true"/>
        </w:rPr>
        <w:footnoteReference w:id="104"/>
      </w:r>
      <w:r>
        <w:rPr>
          <w:rFonts w:ascii="IRNazanin" w:hAnsi="IRNazanin" w:eastAsia="IRNazanin"/>
          <w:color w:val="111111"/>
          <w:sz w:val="28"/>
          <w:sz w:val="28"/>
          <w:szCs w:val="28"/>
          <w:rtl w:val="true"/>
          <w:lang w:bidi="fa-IR"/>
        </w:rPr>
        <w:t> شهر</w:t>
      </w:r>
      <w:r>
        <w:rPr>
          <w:rStyle w:val="FootnoteAnchor"/>
          <w:rtl w:val="true"/>
        </w:rPr>
        <w:footnoteReference w:id="105"/>
      </w:r>
      <w:r>
        <w:rPr>
          <w:rFonts w:ascii="IRNazanin" w:hAnsi="IRNazanin" w:eastAsia="IRNazanin"/>
          <w:color w:val="111111"/>
          <w:sz w:val="28"/>
          <w:sz w:val="28"/>
          <w:szCs w:val="28"/>
          <w:rtl w:val="true"/>
          <w:lang w:bidi="fa-IR"/>
        </w:rPr>
        <w:t> رمضان لصوم غیره</w:t>
      </w:r>
      <w:r>
        <w:rPr>
          <w:rStyle w:val="FootnoteAnchor"/>
          <w:rtl w:val="true"/>
        </w:rPr>
        <w:footnoteReference w:id="106"/>
      </w:r>
      <w:r>
        <w:rPr>
          <w:rFonts w:ascii="Amiri" w:hAnsi="Amiri" w:eastAsia="Amiri" w:cs="Amiri"/>
          <w:color w:val="111111"/>
          <w:sz w:val="28"/>
          <w:sz w:val="28"/>
          <w:szCs w:val="28"/>
          <w:rtl w:val="true"/>
          <w:lang w:bidi="ar-SA"/>
        </w:rPr>
        <w:t>، واجباً کان</w:t>
      </w:r>
    </w:p>
    <w:p>
      <w:pPr>
        <w:pStyle w:val="BookText"/>
        <w:rPr/>
      </w:pPr>
      <w:r>
        <w:rPr>
          <w:rFonts w:ascii="IRNazanin" w:hAnsi="IRNazanin" w:eastAsia="IRNazanin"/>
          <w:color w:val="111111"/>
          <w:sz w:val="28"/>
          <w:sz w:val="28"/>
          <w:szCs w:val="28"/>
          <w:rtl w:val="true"/>
          <w:lang w:bidi="fa-IR"/>
        </w:rPr>
        <w:t>ذلک الغیر أو ندباً، سواء کان مکلّفاً بصومه أم لا، کالمسافر ونحوه، فلو نوی صوم غیره لم یقع عن ذلک الغیر، سواء کان عالماً بأنّه رمضان أم جاهلاً، وسواء کان عالماً بعدم وقوع غیره فیه أم جاهلاً، ولا یجزی</w:t>
      </w:r>
      <w:r>
        <w:rPr>
          <w:rStyle w:val="FootnoteAnchor"/>
          <w:rtl w:val="true"/>
        </w:rPr>
        <w:footnoteReference w:id="107"/>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رمضان أیضاً إذا کان مکلّفاً به مع العلم</w:t>
      </w:r>
      <w:r>
        <w:rPr>
          <w:rStyle w:val="FootnoteAnchor"/>
          <w:rtl w:val="true"/>
        </w:rPr>
        <w:footnoteReference w:id="108"/>
      </w:r>
      <w:r>
        <w:rPr>
          <w:rFonts w:ascii="IRNazanin" w:hAnsi="IRNazanin" w:eastAsia="IRNazanin"/>
          <w:color w:val="111111"/>
          <w:sz w:val="28"/>
          <w:sz w:val="28"/>
          <w:szCs w:val="28"/>
          <w:rtl w:val="true"/>
          <w:lang w:bidi="fa-IR"/>
        </w:rPr>
        <w:t> والعمد</w:t>
      </w:r>
      <w:r>
        <w:rPr>
          <w:rStyle w:val="FootnoteAnchor"/>
          <w:rtl w:val="true"/>
        </w:rPr>
        <w:footnoteReference w:id="109"/>
      </w:r>
      <w:r>
        <w:rPr>
          <w:rFonts w:ascii="IRNazanin" w:hAnsi="IRNazanin" w:eastAsia="IRNazanin"/>
          <w:color w:val="111111"/>
          <w:sz w:val="28"/>
          <w:sz w:val="28"/>
          <w:szCs w:val="28"/>
          <w:rtl w:val="true"/>
          <w:lang w:bidi="fa-IR"/>
        </w:rPr>
        <w:t>، نعم، یجزی عنه</w:t>
      </w:r>
      <w:r>
        <w:rPr>
          <w:rStyle w:val="FootnoteAnchor"/>
          <w:rtl w:val="true"/>
        </w:rPr>
        <w:footnoteReference w:id="110"/>
      </w:r>
      <w:r>
        <w:rPr>
          <w:rFonts w:ascii="IRNazanin" w:hAnsi="IRNazanin" w:eastAsia="IRNazanin"/>
          <w:color w:val="111111"/>
          <w:sz w:val="28"/>
          <w:sz w:val="28"/>
          <w:szCs w:val="28"/>
          <w:rtl w:val="true"/>
          <w:lang w:bidi="fa-IR"/>
        </w:rPr>
        <w:t> مع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 أو النسیان، کما مرّ</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فی شهر رمضان قضاء رمضان </w:t>
      </w:r>
      <w:bookmarkStart w:id="52" w:name="pg13281_119698"/>
    </w:p>
    <w:p>
      <w:pPr>
        <w:pStyle w:val="BookText"/>
        <w:rPr/>
      </w:pPr>
      <w:bookmarkEnd w:id="52"/>
      <w:r>
        <w:rPr>
          <w:rFonts w:ascii="Amiri" w:hAnsi="Amiri" w:eastAsia="Amiri" w:cs="Amiri"/>
          <w:color w:val="111111"/>
          <w:sz w:val="28"/>
          <w:sz w:val="28"/>
          <w:szCs w:val="28"/>
          <w:rtl w:val="true"/>
          <w:lang w:bidi="ar-SA"/>
        </w:rPr>
        <w:t>الماضی لم یصحّ قضاءً، ولم یُجزِ</w:t>
      </w:r>
      <w:r>
        <w:rPr>
          <w:rStyle w:val="FootnoteAnchor"/>
          <w:rtl w:val="true"/>
        </w:rPr>
        <w:footnoteReference w:id="112"/>
      </w:r>
      <w:r>
        <w:rPr>
          <w:rFonts w:ascii="IRNazanin" w:hAnsi="IRNazanin" w:eastAsia="IRNazanin"/>
          <w:color w:val="111111"/>
          <w:sz w:val="28"/>
          <w:sz w:val="28"/>
          <w:szCs w:val="28"/>
          <w:rtl w:val="true"/>
          <w:lang w:bidi="fa-IR"/>
        </w:rPr>
        <w:t> عن رمضان أیضاً مع العلم والعمد</w:t>
      </w:r>
      <w:r>
        <w:rPr>
          <w:rFonts w:eastAsia="IRNazanin" w:cs="IRNazanin"/>
          <w:color w:val="111111"/>
          <w:sz w:val="28"/>
          <w:szCs w:val="28"/>
          <w:rtl w:val="true"/>
          <w:lang w:bidi="fa-IR"/>
        </w:rPr>
        <w:t>.</w:t>
      </w:r>
    </w:p>
    <w:p>
      <w:pPr>
        <w:pStyle w:val="Heading3"/>
        <w:numPr>
          <w:ilvl w:val="2"/>
          <w:numId w:val="1"/>
        </w:numPr>
        <w:rPr/>
      </w:pPr>
      <w:bookmarkStart w:id="53" w:name="__RefHeading___Toc1954850_2322387425"/>
      <w:bookmarkStart w:id="54" w:name="_Toc18"/>
      <w:bookmarkEnd w:id="53"/>
      <w:r>
        <w:rPr>
          <w:rtl w:val="true"/>
        </w:rPr>
        <w:t>صوم النذر إذا لم ینوه أو نوی غیره</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صومَ یومٍ بعینه لا تجزیه</w:t>
      </w:r>
      <w:r>
        <w:rPr>
          <w:rStyle w:val="FootnoteAnchor"/>
          <w:rtl w:val="true"/>
        </w:rPr>
        <w:footnoteReference w:id="113"/>
      </w:r>
      <w:r>
        <w:rPr>
          <w:rFonts w:ascii="Amiri" w:hAnsi="Amiri" w:eastAsia="Amiri" w:cs="Amiri"/>
          <w:color w:val="111111"/>
          <w:sz w:val="28"/>
          <w:sz w:val="28"/>
          <w:szCs w:val="28"/>
          <w:rtl w:val="true"/>
          <w:lang w:bidi="ar-SA"/>
        </w:rPr>
        <w:t> نیّة</w:t>
      </w:r>
      <w:r>
        <w:rPr>
          <w:rStyle w:val="FootnoteAnchor"/>
          <w:rtl w:val="true"/>
        </w:rPr>
        <w:footnoteReference w:id="114"/>
      </w:r>
      <w:r>
        <w:rPr>
          <w:rFonts w:ascii="IRNazanin" w:hAnsi="IRNazanin" w:eastAsia="IRNazanin"/>
          <w:color w:val="111111"/>
          <w:sz w:val="28"/>
          <w:sz w:val="28"/>
          <w:szCs w:val="28"/>
          <w:rtl w:val="true"/>
          <w:lang w:bidi="fa-IR"/>
        </w:rPr>
        <w:t> الصوم</w:t>
      </w:r>
      <w:r>
        <w:rPr>
          <w:rStyle w:val="FootnoteAnchor"/>
          <w:rtl w:val="true"/>
        </w:rPr>
        <w:footnoteReference w:id="115"/>
      </w:r>
      <w:r>
        <w:rPr>
          <w:rFonts w:ascii="IRNazanin" w:hAnsi="IRNazanin" w:eastAsia="IRNazanin"/>
          <w:color w:val="111111"/>
          <w:sz w:val="28"/>
          <w:sz w:val="28"/>
          <w:szCs w:val="28"/>
          <w:rtl w:val="true"/>
          <w:lang w:bidi="fa-IR"/>
        </w:rPr>
        <w:t> بدون تعیین أنّه للنذر</w:t>
      </w:r>
      <w:r>
        <w:rPr>
          <w:rStyle w:val="FootnoteAnchor"/>
          <w:rtl w:val="true"/>
        </w:rPr>
        <w:footnoteReference w:id="116"/>
      </w:r>
      <w:r>
        <w:rPr>
          <w:rFonts w:ascii="IRNazanin" w:hAnsi="IRNazanin" w:eastAsia="IRNazanin"/>
          <w:color w:val="111111"/>
          <w:sz w:val="28"/>
          <w:sz w:val="28"/>
          <w:szCs w:val="28"/>
          <w:rtl w:val="true"/>
          <w:lang w:bidi="fa-IR"/>
        </w:rPr>
        <w:t> ولو إجمالاً، کما مرّ، ولو نوی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مع الغفلة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النذر</w:t>
      </w:r>
      <w:r>
        <w:rPr>
          <w:rStyle w:val="FootnoteAnchor"/>
          <w:rtl w:val="true"/>
        </w:rPr>
        <w:footnoteReference w:id="117"/>
      </w:r>
      <w:r>
        <w:rPr>
          <w:rFonts w:ascii="Amiri" w:hAnsi="Amiri" w:eastAsia="Amiri" w:cs="Amiri"/>
          <w:color w:val="111111"/>
          <w:sz w:val="28"/>
          <w:sz w:val="28"/>
          <w:szCs w:val="28"/>
          <w:rtl w:val="true"/>
          <w:lang w:bidi="ar-SA"/>
        </w:rPr>
        <w:t> صحّ</w:t>
      </w:r>
      <w:r>
        <w:rPr>
          <w:rStyle w:val="FootnoteAnchor"/>
          <w:rtl w:val="true"/>
        </w:rPr>
        <w:footnoteReference w:id="118"/>
      </w:r>
      <w:r>
        <w:rPr>
          <w:rFonts w:ascii="IRNazanin" w:hAnsi="IRNazanin" w:eastAsia="IRNazanin"/>
          <w:color w:val="111111"/>
          <w:sz w:val="28"/>
          <w:sz w:val="28"/>
          <w:szCs w:val="28"/>
          <w:rtl w:val="true"/>
          <w:lang w:bidi="fa-IR"/>
        </w:rPr>
        <w:t>، وإن کان مع العلم والعمد ففی صحّته إشکال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55" w:name="pg13281_119700"/>
    </w:p>
    <w:p>
      <w:pPr>
        <w:pStyle w:val="Heading3"/>
        <w:numPr>
          <w:ilvl w:val="2"/>
          <w:numId w:val="1"/>
        </w:numPr>
        <w:rPr/>
      </w:pPr>
      <w:bookmarkStart w:id="56" w:name="__RefHeading___Toc1954852_2322387425"/>
      <w:bookmarkStart w:id="57" w:name="_Toc19"/>
      <w:bookmarkEnd w:id="55"/>
      <w:bookmarkEnd w:id="56"/>
      <w:r>
        <w:rPr>
          <w:rtl w:val="true"/>
        </w:rPr>
        <w:t>التعیین ممّن علیه أکثر من قضاء أو نذر أو کفّارة</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لوکان علیه قضاء رمضان السنة الّتی هو فیها، وقضاء رمضان السنة الماضیة لایجب</w:t>
      </w:r>
      <w:r>
        <w:rPr>
          <w:rStyle w:val="FootnoteAnchor"/>
          <w:rtl w:val="true"/>
        </w:rPr>
        <w:footnoteReference w:id="120"/>
      </w:r>
      <w:r>
        <w:rPr>
          <w:rFonts w:ascii="IRNazanin" w:hAnsi="IRNazanin" w:eastAsia="IRNazanin"/>
          <w:color w:val="111111"/>
          <w:sz w:val="28"/>
          <w:sz w:val="28"/>
          <w:szCs w:val="28"/>
          <w:rtl w:val="true"/>
          <w:lang w:bidi="fa-IR"/>
        </w:rPr>
        <w:t> علیه</w:t>
      </w:r>
      <w:r>
        <w:rPr>
          <w:rStyle w:val="FootnoteAnchor"/>
          <w:rtl w:val="true"/>
        </w:rPr>
        <w:footnoteReference w:id="121"/>
      </w:r>
      <w:r>
        <w:rPr>
          <w:rFonts w:ascii="IRNazanin" w:hAnsi="IRNazanin" w:eastAsia="IRNazanin"/>
          <w:color w:val="111111"/>
          <w:sz w:val="28"/>
          <w:sz w:val="28"/>
          <w:szCs w:val="28"/>
          <w:rtl w:val="true"/>
          <w:lang w:bidi="fa-IR"/>
        </w:rPr>
        <w:t> تعیین</w:t>
      </w:r>
      <w:r>
        <w:rPr>
          <w:rStyle w:val="FootnoteAnchor"/>
          <w:rtl w:val="true"/>
        </w:rPr>
        <w:footnoteReference w:id="122"/>
      </w:r>
      <w:r>
        <w:rPr>
          <w:rFonts w:ascii="Amiri" w:hAnsi="Amiri" w:eastAsia="Amiri" w:cs="Amiri"/>
          <w:color w:val="111111"/>
          <w:sz w:val="28"/>
          <w:sz w:val="28"/>
          <w:szCs w:val="28"/>
          <w:rtl w:val="true"/>
          <w:lang w:bidi="ar-SA"/>
        </w:rPr>
        <w:t> أنّه من أیٍّ منهما</w:t>
      </w:r>
      <w:r>
        <w:rPr>
          <w:rStyle w:val="FootnoteAnchor"/>
          <w:rtl w:val="true"/>
        </w:rPr>
        <w:footnoteReference w:id="123"/>
      </w:r>
      <w:r>
        <w:rPr>
          <w:rFonts w:ascii="IRNazanin" w:hAnsi="IRNazanin" w:eastAsia="IRNazanin"/>
          <w:color w:val="111111"/>
          <w:sz w:val="28"/>
          <w:sz w:val="28"/>
          <w:szCs w:val="28"/>
          <w:rtl w:val="true"/>
          <w:lang w:bidi="fa-IR"/>
        </w:rPr>
        <w:t>، بل یکفیه نیّة الصوم</w:t>
      </w:r>
      <w:r>
        <w:rPr>
          <w:rStyle w:val="FootnoteAnchor"/>
          <w:rtl w:val="true"/>
        </w:rPr>
        <w:footnoteReference w:id="124"/>
      </w:r>
      <w:r>
        <w:rPr>
          <w:rFonts w:ascii="Amiri" w:hAnsi="Amiri" w:eastAsia="Amiri" w:cs="Amiri"/>
          <w:color w:val="111111"/>
          <w:sz w:val="28"/>
          <w:sz w:val="28"/>
          <w:szCs w:val="28"/>
          <w:rtl w:val="true"/>
          <w:lang w:bidi="ar-SA"/>
        </w:rPr>
        <w:t> قضاءً</w:t>
      </w:r>
      <w:r>
        <w:rPr>
          <w:rStyle w:val="FootnoteAnchor"/>
          <w:rtl w:val="true"/>
        </w:rPr>
        <w:footnoteReference w:id="125"/>
      </w:r>
      <w:r>
        <w:rPr>
          <w:rFonts w:ascii="IRNazanin" w:hAnsi="IRNazanin" w:eastAsia="IRNazanin"/>
          <w:color w:val="111111"/>
          <w:sz w:val="28"/>
          <w:sz w:val="28"/>
          <w:szCs w:val="28"/>
          <w:rtl w:val="true"/>
          <w:lang w:bidi="fa-IR"/>
        </w:rPr>
        <w:t xml:space="preserve">، وکذا إذا کان علیه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نذران</w:t>
      </w:r>
      <w:r>
        <w:rPr>
          <w:rStyle w:val="FootnoteAnchor"/>
          <w:rtl w:val="true"/>
        </w:rPr>
        <w:footnoteReference w:id="126"/>
      </w:r>
      <w:r>
        <w:rPr>
          <w:rFonts w:ascii="Amiri" w:hAnsi="Amiri" w:eastAsia="Amiri" w:cs="Amiri"/>
          <w:color w:val="111111"/>
          <w:sz w:val="28"/>
          <w:sz w:val="28"/>
          <w:szCs w:val="28"/>
          <w:rtl w:val="true"/>
          <w:lang w:bidi="ar-SA"/>
        </w:rPr>
        <w:t> کلُّ واحد یوم أو أزید</w:t>
      </w:r>
      <w:r>
        <w:rPr>
          <w:rStyle w:val="FootnoteAnchor"/>
          <w:rtl w:val="true"/>
        </w:rPr>
        <w:footnoteReference w:id="127"/>
      </w:r>
      <w:r>
        <w:rPr>
          <w:rFonts w:ascii="IRNazanin" w:hAnsi="IRNazanin" w:eastAsia="IRNazanin"/>
          <w:color w:val="111111"/>
          <w:sz w:val="28"/>
          <w:sz w:val="28"/>
          <w:szCs w:val="28"/>
          <w:rtl w:val="true"/>
          <w:lang w:bidi="fa-IR"/>
        </w:rPr>
        <w:t>، وکذا إذا کان علیه کفّارتان</w:t>
      </w:r>
      <w:r>
        <w:rPr>
          <w:rStyle w:val="FootnoteAnchor"/>
          <w:rtl w:val="true"/>
        </w:rPr>
        <w:footnoteReference w:id="128"/>
      </w:r>
      <w:r>
        <w:rPr>
          <w:rFonts w:ascii="IRNazanin" w:hAnsi="IRNazanin" w:eastAsia="IRNazanin"/>
          <w:color w:val="111111"/>
          <w:sz w:val="28"/>
          <w:sz w:val="28"/>
          <w:szCs w:val="28"/>
          <w:rtl w:val="true"/>
          <w:lang w:bidi="fa-IR"/>
        </w:rPr>
        <w:t xml:space="preserve"> غیر </w:t>
      </w:r>
      <w:bookmarkStart w:id="58" w:name="pg13281_119702"/>
    </w:p>
    <w:p>
      <w:pPr>
        <w:pStyle w:val="BookText"/>
        <w:rPr/>
      </w:pPr>
      <w:bookmarkEnd w:id="58"/>
      <w:r>
        <w:rPr>
          <w:rFonts w:ascii="IRNazanin" w:hAnsi="IRNazanin" w:eastAsia="IRNazanin"/>
          <w:color w:val="111111"/>
          <w:sz w:val="28"/>
          <w:sz w:val="28"/>
          <w:szCs w:val="28"/>
          <w:rtl w:val="true"/>
          <w:lang w:bidi="fa-IR"/>
        </w:rPr>
        <w:t>مختلفَتین فی الآثار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954854_2322387425"/>
      <w:bookmarkStart w:id="60" w:name="_Toc20"/>
      <w:bookmarkEnd w:id="59"/>
      <w:r>
        <w:rPr>
          <w:rtl w:val="true"/>
        </w:rPr>
        <w:t>فروع فی التعیین إذا کان العمل واحداً</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صوم یوم خمیس معیّن ونذر صوم یوم معیّن</w:t>
      </w:r>
      <w:r>
        <w:rPr>
          <w:rStyle w:val="FootnoteAnchor"/>
          <w:rtl w:val="true"/>
        </w:rPr>
        <w:footnoteReference w:id="130"/>
      </w:r>
      <w:r>
        <w:rPr>
          <w:rFonts w:ascii="Amiri" w:hAnsi="Amiri" w:eastAsia="Amiri" w:cs="Amiri"/>
          <w:color w:val="111111"/>
          <w:sz w:val="28"/>
          <w:sz w:val="28"/>
          <w:szCs w:val="28"/>
          <w:rtl w:val="true"/>
          <w:lang w:bidi="ar-SA"/>
        </w:rPr>
        <w:t> من شهر معیّن</w:t>
      </w:r>
      <w:r>
        <w:rPr>
          <w:rStyle w:val="FootnoteAnchor"/>
          <w:rtl w:val="true"/>
        </w:rPr>
        <w:footnoteReference w:id="131"/>
      </w:r>
      <w:r>
        <w:rPr>
          <w:rFonts w:ascii="IRNazanin" w:hAnsi="IRNazanin" w:eastAsia="IRNazanin"/>
          <w:color w:val="111111"/>
          <w:sz w:val="28"/>
          <w:sz w:val="28"/>
          <w:szCs w:val="28"/>
          <w:rtl w:val="true"/>
          <w:lang w:bidi="fa-IR"/>
        </w:rPr>
        <w:t xml:space="preserve"> فاتّفق فی ذلک الخمیس المعیّن یکفیه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صومه</w:t>
      </w:r>
      <w:r>
        <w:rPr>
          <w:rStyle w:val="FootnoteAnchor"/>
          <w:rtl w:val="true"/>
        </w:rPr>
        <w:footnoteReference w:id="132"/>
      </w:r>
      <w:r>
        <w:rPr>
          <w:rFonts w:ascii="IRNazanin" w:hAnsi="IRNazanin" w:eastAsia="IRNazanin"/>
          <w:color w:val="111111"/>
          <w:sz w:val="28"/>
          <w:sz w:val="28"/>
          <w:szCs w:val="28"/>
          <w:rtl w:val="true"/>
          <w:lang w:bidi="fa-IR"/>
        </w:rPr>
        <w:t>، ویسقط</w:t>
      </w:r>
      <w:r>
        <w:rPr>
          <w:rStyle w:val="FootnoteAnchor"/>
          <w:rtl w:val="true"/>
        </w:rPr>
        <w:footnoteReference w:id="133"/>
      </w:r>
      <w:r>
        <w:rPr>
          <w:rFonts w:ascii="IRNazanin" w:hAnsi="IRNazanin" w:eastAsia="IRNazanin"/>
          <w:color w:val="111111"/>
          <w:sz w:val="28"/>
          <w:sz w:val="28"/>
          <w:szCs w:val="28"/>
          <w:rtl w:val="true"/>
          <w:lang w:bidi="fa-IR"/>
        </w:rPr>
        <w:t> النذران</w:t>
      </w:r>
      <w:r>
        <w:rPr>
          <w:rStyle w:val="FootnoteAnchor"/>
          <w:rtl w:val="true"/>
        </w:rPr>
        <w:footnoteReference w:id="134"/>
      </w:r>
      <w:r>
        <w:rPr>
          <w:rFonts w:ascii="IRNazanin" w:hAnsi="IRNazanin" w:eastAsia="IRNazanin"/>
          <w:color w:val="111111"/>
          <w:sz w:val="28"/>
          <w:sz w:val="28"/>
          <w:szCs w:val="28"/>
          <w:rtl w:val="true"/>
          <w:lang w:bidi="fa-IR"/>
        </w:rPr>
        <w:t>، فإن قصدهما</w:t>
      </w:r>
      <w:r>
        <w:rPr>
          <w:rStyle w:val="FootnoteAnchor"/>
          <w:rtl w:val="true"/>
        </w:rPr>
        <w:footnoteReference w:id="135"/>
      </w:r>
      <w:r>
        <w:rPr>
          <w:rFonts w:ascii="IRNazanin" w:hAnsi="IRNazanin" w:eastAsia="IRNazanin"/>
          <w:color w:val="111111"/>
          <w:sz w:val="28"/>
          <w:sz w:val="28"/>
          <w:szCs w:val="28"/>
          <w:rtl w:val="true"/>
          <w:lang w:bidi="fa-IR"/>
        </w:rPr>
        <w:t> اُثیب علیهما</w:t>
      </w:r>
      <w:r>
        <w:rPr>
          <w:rStyle w:val="FootnoteAnchor"/>
          <w:rtl w:val="true"/>
        </w:rPr>
        <w:footnoteReference w:id="136"/>
      </w:r>
      <w:r>
        <w:rPr>
          <w:rFonts w:ascii="IRNazanin" w:hAnsi="IRNazanin" w:eastAsia="IRNazanin"/>
          <w:color w:val="111111"/>
          <w:sz w:val="28"/>
          <w:sz w:val="28"/>
          <w:szCs w:val="28"/>
          <w:rtl w:val="true"/>
          <w:lang w:bidi="fa-IR"/>
        </w:rPr>
        <w:t xml:space="preserve">، وإن </w:t>
      </w:r>
    </w:p>
    <w:p>
      <w:pPr>
        <w:pStyle w:val="BookText"/>
        <w:rPr/>
      </w:pPr>
      <w:r>
        <w:rPr>
          <w:rFonts w:ascii="IRNazanin" w:hAnsi="IRNazanin" w:eastAsia="IRNazanin"/>
          <w:color w:val="111111"/>
          <w:sz w:val="28"/>
          <w:sz w:val="28"/>
          <w:szCs w:val="28"/>
          <w:rtl w:val="true"/>
          <w:lang w:bidi="fa-IR"/>
        </w:rPr>
        <w:t>قصد أحدهما</w:t>
      </w:r>
      <w:r>
        <w:rPr>
          <w:rStyle w:val="FootnoteAnchor"/>
          <w:rtl w:val="true"/>
        </w:rPr>
        <w:footnoteReference w:id="137"/>
      </w:r>
      <w:r>
        <w:rPr>
          <w:rFonts w:ascii="Amiri" w:hAnsi="Amiri" w:eastAsia="Amiri" w:cs="Amiri"/>
          <w:color w:val="111111"/>
          <w:sz w:val="28"/>
          <w:sz w:val="28"/>
          <w:szCs w:val="28"/>
          <w:rtl w:val="true"/>
          <w:lang w:bidi="ar-SA"/>
        </w:rPr>
        <w:t> اُثیب</w:t>
      </w:r>
      <w:r>
        <w:rPr>
          <w:rStyle w:val="FootnoteAnchor"/>
          <w:rtl w:val="true"/>
        </w:rPr>
        <w:footnoteReference w:id="138"/>
      </w:r>
      <w:r>
        <w:rPr>
          <w:rFonts w:ascii="IRNazanin" w:hAnsi="IRNazanin" w:eastAsia="IRNazanin"/>
          <w:color w:val="111111"/>
          <w:sz w:val="28"/>
          <w:sz w:val="28"/>
          <w:szCs w:val="28"/>
          <w:rtl w:val="true"/>
          <w:lang w:bidi="fa-IR"/>
        </w:rPr>
        <w:t> علیه، وسقط عنه الآخر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صوم</w:t>
      </w:r>
      <w:r>
        <w:rPr>
          <w:rStyle w:val="FootnoteAnchor"/>
          <w:rtl w:val="true"/>
        </w:rPr>
        <w:footnoteReference w:id="140"/>
      </w:r>
      <w:r>
        <w:rPr>
          <w:rFonts w:ascii="IRNazanin" w:hAnsi="IRNazanin" w:eastAsia="IRNazanin"/>
          <w:color w:val="111111"/>
          <w:sz w:val="28"/>
          <w:sz w:val="28"/>
          <w:szCs w:val="28"/>
          <w:rtl w:val="true"/>
          <w:lang w:bidi="fa-IR"/>
        </w:rPr>
        <w:t> یوم معیّن فاتّفق ذلک الیوم فی أیّام البیض</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 وفاء النذر وصوم أیّام البیض اُثیب علیهما، وإن قصد النذر               </w:t>
      </w:r>
    </w:p>
    <w:p>
      <w:pPr>
        <w:pStyle w:val="BookText"/>
        <w:rPr/>
      </w:pPr>
      <w:r>
        <w:rPr>
          <w:rFonts w:ascii="IRNazanin" w:hAnsi="IRNazanin" w:eastAsia="IRNazanin"/>
          <w:color w:val="111111"/>
          <w:sz w:val="28"/>
          <w:sz w:val="28"/>
          <w:szCs w:val="28"/>
          <w:rtl w:val="true"/>
          <w:lang w:bidi="fa-IR"/>
        </w:rPr>
        <w:t>فقط اُثیب علیه</w:t>
      </w:r>
      <w:r>
        <w:rPr>
          <w:rStyle w:val="FootnoteAnchor"/>
          <w:rtl w:val="true"/>
        </w:rPr>
        <w:footnoteReference w:id="141"/>
      </w:r>
      <w:r>
        <w:rPr>
          <w:rFonts w:ascii="IRNazanin" w:hAnsi="IRNazanin" w:eastAsia="IRNazanin"/>
          <w:color w:val="111111"/>
          <w:sz w:val="28"/>
          <w:sz w:val="28"/>
          <w:szCs w:val="28"/>
          <w:rtl w:val="true"/>
          <w:lang w:bidi="fa-IR"/>
        </w:rPr>
        <w:t> فقط وسقط الآخر، ولا یجوز</w:t>
      </w:r>
      <w:r>
        <w:rPr>
          <w:rStyle w:val="FootnoteAnchor"/>
          <w:rtl w:val="true"/>
        </w:rPr>
        <w:footnoteReference w:id="142"/>
      </w:r>
      <w:r>
        <w:rPr>
          <w:rFonts w:ascii="IRNazanin" w:hAnsi="IRNazanin" w:eastAsia="IRNazanin"/>
          <w:color w:val="111111"/>
          <w:sz w:val="28"/>
          <w:sz w:val="28"/>
          <w:szCs w:val="28"/>
          <w:rtl w:val="true"/>
          <w:lang w:bidi="fa-IR"/>
        </w:rPr>
        <w:t> أن یقصد</w:t>
      </w:r>
      <w:r>
        <w:rPr>
          <w:rStyle w:val="FootnoteAnchor"/>
          <w:rtl w:val="true"/>
        </w:rPr>
        <w:footnoteReference w:id="143"/>
      </w:r>
      <w:r>
        <w:rPr>
          <w:rFonts w:ascii="Amiri" w:hAnsi="Amiri" w:eastAsia="Amiri" w:cs="Amiri"/>
          <w:color w:val="111111"/>
          <w:sz w:val="28"/>
          <w:sz w:val="28"/>
          <w:szCs w:val="28"/>
          <w:rtl w:val="true"/>
          <w:lang w:bidi="ar-SA"/>
        </w:rPr>
        <w:t> أیّام</w:t>
      </w:r>
      <w:r>
        <w:rPr>
          <w:rStyle w:val="FootnoteAnchor"/>
          <w:rtl w:val="true"/>
        </w:rPr>
        <w:footnoteReference w:id="144"/>
      </w:r>
      <w:r>
        <w:rPr>
          <w:rFonts w:ascii="IRNazanin" w:hAnsi="IRNazanin" w:eastAsia="IRNazanin"/>
          <w:color w:val="111111"/>
          <w:sz w:val="28"/>
          <w:sz w:val="28"/>
          <w:szCs w:val="28"/>
          <w:rtl w:val="true"/>
          <w:lang w:bidi="fa-IR"/>
        </w:rPr>
        <w:t>البیض</w:t>
      </w:r>
      <w:r>
        <w:rPr>
          <w:rStyle w:val="FootnoteAnchor"/>
          <w:rtl w:val="true"/>
        </w:rPr>
        <w:footnoteReference w:id="145"/>
      </w:r>
      <w:r>
        <w:rPr>
          <w:rFonts w:ascii="IRNazanin" w:hAnsi="IRNazanin" w:eastAsia="IRNazanin"/>
          <w:color w:val="111111"/>
          <w:sz w:val="28"/>
          <w:sz w:val="28"/>
          <w:szCs w:val="28"/>
          <w:rtl w:val="true"/>
          <w:lang w:bidi="fa-IR"/>
        </w:rPr>
        <w:t> دون وفاء النذر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تعدّد فی یوم واحد جهات من الوجوب أو جهات من الاستحباب أو من الأمرین فقصد الجمیع اُثیب علی الجمیع، وإن قصد </w:t>
      </w:r>
      <w:bookmarkStart w:id="61" w:name="pg13281_119706"/>
    </w:p>
    <w:p>
      <w:pPr>
        <w:pStyle w:val="BookText"/>
        <w:rPr/>
      </w:pPr>
      <w:bookmarkEnd w:id="61"/>
      <w:r>
        <w:rPr>
          <w:rFonts w:ascii="IRNazanin" w:hAnsi="IRNazanin" w:eastAsia="IRNazanin"/>
          <w:color w:val="111111"/>
          <w:sz w:val="28"/>
          <w:sz w:val="28"/>
          <w:szCs w:val="28"/>
          <w:rtl w:val="true"/>
          <w:lang w:bidi="fa-IR"/>
        </w:rPr>
        <w:t>البعض دون البعض اُثیب علی المنویِّ، وسقط الأمر</w:t>
      </w:r>
      <w:r>
        <w:rPr>
          <w:rStyle w:val="FootnoteAnchor"/>
          <w:rtl w:val="true"/>
        </w:rPr>
        <w:footnoteReference w:id="146"/>
      </w:r>
      <w:r>
        <w:rPr>
          <w:rFonts w:ascii="IRNazanin" w:hAnsi="IRNazanin" w:eastAsia="IRNazanin"/>
          <w:color w:val="111111"/>
          <w:sz w:val="28"/>
          <w:sz w:val="28"/>
          <w:szCs w:val="28"/>
          <w:rtl w:val="true"/>
          <w:lang w:bidi="fa-IR"/>
        </w:rPr>
        <w:t> بالنسبة إلی البقیّة</w:t>
      </w:r>
      <w:r>
        <w:rPr>
          <w:rFonts w:eastAsia="IRNazanin" w:cs="IRNazanin"/>
          <w:color w:val="111111"/>
          <w:sz w:val="28"/>
          <w:szCs w:val="28"/>
          <w:rtl w:val="true"/>
          <w:lang w:bidi="fa-IR"/>
        </w:rPr>
        <w:t>.</w:t>
      </w:r>
    </w:p>
    <w:p>
      <w:pPr>
        <w:pStyle w:val="Heading3"/>
        <w:numPr>
          <w:ilvl w:val="2"/>
          <w:numId w:val="1"/>
        </w:numPr>
        <w:rPr/>
      </w:pPr>
      <w:bookmarkStart w:id="62" w:name="__RefHeading___Toc1954856_2322387425"/>
      <w:bookmarkStart w:id="63" w:name="_Toc21"/>
      <w:bookmarkEnd w:id="62"/>
      <w:r>
        <w:rPr>
          <w:rtl w:val="true"/>
        </w:rPr>
        <w:t>وقت النیّة</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وقت النیّة</w:t>
      </w:r>
      <w:r>
        <w:rPr>
          <w:rStyle w:val="FootnoteAnchor"/>
          <w:rtl w:val="true"/>
        </w:rPr>
        <w:footnoteReference w:id="147"/>
      </w:r>
      <w:r>
        <w:rPr>
          <w:rFonts w:ascii="IRNazanin" w:hAnsi="IRNazanin" w:eastAsia="IRNazanin"/>
          <w:color w:val="111111"/>
          <w:sz w:val="28"/>
          <w:sz w:val="28"/>
          <w:szCs w:val="28"/>
          <w:rtl w:val="true"/>
          <w:lang w:bidi="fa-IR"/>
        </w:rPr>
        <w:t> فی الواجب المعیّن رمضان کان أو غیره عند طلوع الفجر</w:t>
      </w:r>
      <w:r>
        <w:rPr>
          <w:rStyle w:val="FootnoteAnchor"/>
          <w:rtl w:val="true"/>
        </w:rPr>
        <w:footnoteReference w:id="148"/>
      </w:r>
      <w:r>
        <w:rPr>
          <w:rFonts w:ascii="IRNazanin" w:hAnsi="IRNazanin" w:eastAsia="IRNazanin"/>
          <w:color w:val="111111"/>
          <w:sz w:val="28"/>
          <w:sz w:val="28"/>
          <w:szCs w:val="28"/>
          <w:rtl w:val="true"/>
          <w:lang w:bidi="fa-IR"/>
        </w:rPr>
        <w:t> الصادق</w:t>
      </w:r>
      <w:r>
        <w:rPr>
          <w:rStyle w:val="FootnoteAnchor"/>
          <w:rtl w:val="true"/>
        </w:rPr>
        <w:footnoteReference w:id="149"/>
      </w:r>
      <w:r>
        <w:rPr>
          <w:rFonts w:ascii="IRNazanin" w:hAnsi="IRNazanin" w:eastAsia="IRNazanin"/>
          <w:color w:val="111111"/>
          <w:sz w:val="28"/>
          <w:sz w:val="28"/>
          <w:szCs w:val="28"/>
          <w:rtl w:val="true"/>
          <w:lang w:bidi="fa-IR"/>
        </w:rPr>
        <w:t>، ویجوز التقدیم</w:t>
      </w:r>
      <w:r>
        <w:rPr>
          <w:rStyle w:val="FootnoteAnchor"/>
          <w:rtl w:val="true"/>
        </w:rPr>
        <w:footnoteReference w:id="150"/>
      </w:r>
      <w:r>
        <w:rPr>
          <w:rFonts w:ascii="Amiri" w:hAnsi="Amiri" w:eastAsia="Amiri" w:cs="Amiri"/>
          <w:color w:val="111111"/>
          <w:sz w:val="28"/>
          <w:sz w:val="28"/>
          <w:szCs w:val="28"/>
          <w:rtl w:val="true"/>
          <w:lang w:bidi="ar-SA"/>
        </w:rPr>
        <w:t xml:space="preserve"> فی أیّ </w:t>
      </w:r>
    </w:p>
    <w:p>
      <w:pPr>
        <w:pStyle w:val="BookText"/>
        <w:rPr/>
      </w:pPr>
      <w:r>
        <w:rPr>
          <w:rFonts w:ascii="IRNazanin" w:hAnsi="IRNazanin" w:eastAsia="IRNazanin"/>
          <w:color w:val="111111"/>
          <w:sz w:val="28"/>
          <w:sz w:val="28"/>
          <w:szCs w:val="28"/>
          <w:rtl w:val="true"/>
          <w:lang w:bidi="fa-IR"/>
        </w:rPr>
        <w:t>جزء</w:t>
      </w:r>
      <w:r>
        <w:rPr>
          <w:rStyle w:val="FootnoteAnchor"/>
          <w:rtl w:val="true"/>
        </w:rPr>
        <w:footnoteReference w:id="151"/>
      </w:r>
      <w:r>
        <w:rPr>
          <w:rFonts w:ascii="IRNazanin" w:hAnsi="IRNazanin" w:eastAsia="IRNazanin"/>
          <w:color w:val="111111"/>
          <w:sz w:val="28"/>
          <w:sz w:val="28"/>
          <w:szCs w:val="28"/>
          <w:rtl w:val="true"/>
          <w:lang w:bidi="fa-IR"/>
        </w:rPr>
        <w:t> من أجزاء لیلة الیوم الّذی یرید صومه</w:t>
      </w:r>
      <w:r>
        <w:rPr>
          <w:rStyle w:val="FootnoteAnchor"/>
          <w:rtl w:val="true"/>
        </w:rPr>
        <w:footnoteReference w:id="152"/>
      </w:r>
      <w:r>
        <w:rPr>
          <w:rFonts w:ascii="IRNazanin" w:hAnsi="IRNazanin" w:eastAsia="IRNazanin"/>
          <w:color w:val="111111"/>
          <w:sz w:val="28"/>
          <w:sz w:val="28"/>
          <w:szCs w:val="28"/>
          <w:rtl w:val="true"/>
          <w:lang w:bidi="fa-IR"/>
        </w:rPr>
        <w:t>، ومع النسیان أو</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الجهل بکونه رمضان أو المعیّن الآخر</w:t>
      </w:r>
      <w:r>
        <w:rPr>
          <w:rStyle w:val="FootnoteAnchor"/>
          <w:rtl w:val="true"/>
        </w:rPr>
        <w:footnoteReference w:id="153"/>
      </w:r>
      <w:r>
        <w:rPr>
          <w:rFonts w:ascii="IRNazanin" w:hAnsi="IRNazanin" w:eastAsia="IRNazanin"/>
          <w:color w:val="111111"/>
          <w:sz w:val="28"/>
          <w:sz w:val="28"/>
          <w:szCs w:val="28"/>
          <w:rtl w:val="true"/>
          <w:lang w:bidi="fa-IR"/>
        </w:rPr>
        <w:t> یجوز</w:t>
      </w:r>
      <w:r>
        <w:rPr>
          <w:rStyle w:val="FootnoteAnchor"/>
          <w:rtl w:val="true"/>
        </w:rPr>
        <w:footnoteReference w:id="154"/>
      </w:r>
      <w:r>
        <w:rPr>
          <w:rFonts w:ascii="IRNazanin" w:hAnsi="IRNazanin" w:eastAsia="IRNazanin"/>
          <w:color w:val="111111"/>
          <w:sz w:val="28"/>
          <w:sz w:val="28"/>
          <w:szCs w:val="28"/>
          <w:rtl w:val="true"/>
          <w:lang w:bidi="fa-IR"/>
        </w:rPr>
        <w:t> متی</w:t>
      </w:r>
      <w:r>
        <w:rPr>
          <w:rStyle w:val="FootnoteAnchor"/>
          <w:rtl w:val="true"/>
        </w:rPr>
        <w:footnoteReference w:id="155"/>
      </w:r>
      <w:r>
        <w:rPr>
          <w:rFonts w:ascii="Amiri" w:hAnsi="Amiri" w:eastAsia="Amiri" w:cs="Amiri"/>
          <w:color w:val="111111"/>
          <w:sz w:val="28"/>
          <w:sz w:val="28"/>
          <w:szCs w:val="28"/>
          <w:rtl w:val="true"/>
          <w:lang w:bidi="ar-SA"/>
        </w:rPr>
        <w:t> تذکّر</w:t>
      </w:r>
      <w:r>
        <w:rPr>
          <w:rStyle w:val="FootnoteAnchor"/>
          <w:rtl w:val="true"/>
        </w:rPr>
        <w:footnoteReference w:id="156"/>
      </w:r>
      <w:r>
        <w:rPr>
          <w:rFonts w:ascii="IRNazanin" w:hAnsi="IRNazanin" w:eastAsia="IRNazanin"/>
          <w:color w:val="111111"/>
          <w:sz w:val="28"/>
          <w:sz w:val="28"/>
          <w:szCs w:val="28"/>
          <w:rtl w:val="true"/>
          <w:lang w:bidi="fa-IR"/>
        </w:rPr>
        <w:t> إلی</w:t>
      </w:r>
    </w:p>
    <w:p>
      <w:pPr>
        <w:pStyle w:val="BookText"/>
        <w:rPr/>
      </w:pPr>
      <w:r>
        <w:rPr>
          <w:rFonts w:ascii="IRNazanin" w:hAnsi="IRNazanin" w:eastAsia="IRNazanin"/>
          <w:color w:val="111111"/>
          <w:sz w:val="28"/>
          <w:sz w:val="28"/>
          <w:szCs w:val="28"/>
          <w:rtl w:val="true"/>
          <w:lang w:bidi="fa-IR"/>
        </w:rPr>
        <w:t>ما قبل الزوال إذا لم یأتِ بمفطِر، وأجزأه</w:t>
      </w:r>
      <w:r>
        <w:rPr>
          <w:rStyle w:val="FootnoteAnchor"/>
          <w:rtl w:val="true"/>
        </w:rPr>
        <w:footnoteReference w:id="157"/>
      </w:r>
      <w:r>
        <w:rPr>
          <w:rFonts w:ascii="IRNazanin" w:hAnsi="IRNazanin" w:eastAsia="IRNazanin"/>
          <w:color w:val="111111"/>
          <w:sz w:val="28"/>
          <w:sz w:val="28"/>
          <w:szCs w:val="28"/>
          <w:rtl w:val="true"/>
          <w:lang w:bidi="fa-IR"/>
        </w:rPr>
        <w:t> عن ذلک الیوم</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یجزیه إذا تذکّر بعد الزوال</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الواجب الغیر المعیّن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فیمتدّ وقتها اختیاراً من أوّل اللیل إلی الزوال</w:t>
      </w:r>
      <w:r>
        <w:rPr>
          <w:rStyle w:val="FootnoteAnchor"/>
          <w:rtl w:val="true"/>
        </w:rPr>
        <w:footnoteReference w:id="160"/>
      </w:r>
      <w:r>
        <w:rPr>
          <w:rFonts w:ascii="IRNazanin" w:hAnsi="IRNazanin" w:eastAsia="IRNazanin"/>
          <w:color w:val="111111"/>
          <w:sz w:val="28"/>
          <w:sz w:val="28"/>
          <w:szCs w:val="28"/>
          <w:rtl w:val="true"/>
          <w:lang w:bidi="fa-IR"/>
        </w:rPr>
        <w:t xml:space="preserve"> دون ما بعده </w:t>
      </w:r>
      <w:bookmarkStart w:id="64" w:name="pg13281_119708"/>
    </w:p>
    <w:p>
      <w:pPr>
        <w:pStyle w:val="BookText"/>
        <w:rPr/>
      </w:pPr>
      <w:bookmarkEnd w:id="64"/>
      <w:r>
        <w:rPr>
          <w:rFonts w:ascii="Amiri" w:hAnsi="Amiri" w:eastAsia="Amiri" w:cs="Amiri"/>
          <w:color w:val="111111"/>
          <w:sz w:val="28"/>
          <w:sz w:val="28"/>
          <w:szCs w:val="28"/>
          <w:rtl w:val="true"/>
          <w:lang w:bidi="ar-SA"/>
        </w:rPr>
        <w:t>علی الأصحّ</w:t>
      </w:r>
      <w:r>
        <w:rPr>
          <w:rStyle w:val="FootnoteAnchor"/>
          <w:rtl w:val="true"/>
        </w:rPr>
        <w:footnoteReference w:id="161"/>
      </w:r>
      <w:r>
        <w:rPr>
          <w:rFonts w:ascii="IRNazanin" w:hAnsi="IRNazanin" w:eastAsia="IRNazanin"/>
          <w:color w:val="111111"/>
          <w:sz w:val="28"/>
          <w:sz w:val="28"/>
          <w:szCs w:val="28"/>
          <w:rtl w:val="true"/>
          <w:lang w:bidi="fa-IR"/>
        </w:rPr>
        <w:t>، ولا فرق فی ذلک بین سبق التردّد أو العزم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المندوب فیمتدّ إلی أن یبقی من الغروب</w:t>
      </w:r>
      <w:r>
        <w:rPr>
          <w:rStyle w:val="FootnoteAnchor"/>
          <w:rtl w:val="true"/>
        </w:rPr>
        <w:footnoteReference w:id="162"/>
      </w:r>
      <w:r>
        <w:rPr>
          <w:rFonts w:ascii="IRNazanin" w:hAnsi="IRNazanin" w:eastAsia="IRNazanin"/>
          <w:color w:val="111111"/>
          <w:sz w:val="28"/>
          <w:sz w:val="28"/>
          <w:szCs w:val="28"/>
          <w:rtl w:val="true"/>
          <w:lang w:bidi="fa-IR"/>
        </w:rPr>
        <w:t> زمان یمکن تجدیدها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164"/>
      </w:r>
      <w:r>
        <w:rPr>
          <w:rFonts w:ascii="IRNazanin" w:hAnsi="IRNazanin" w:eastAsia="IRNazanin"/>
          <w:color w:val="111111"/>
          <w:sz w:val="28"/>
          <w:sz w:val="28"/>
          <w:szCs w:val="28"/>
          <w:rtl w:val="true"/>
          <w:lang w:bidi="fa-IR"/>
        </w:rPr>
        <w:t> علی الأقوی</w:t>
      </w:r>
      <w:r>
        <w:rPr>
          <w:rFonts w:eastAsia="IRNazanin" w:cs="IRNazanin"/>
          <w:color w:val="111111"/>
          <w:sz w:val="28"/>
          <w:szCs w:val="28"/>
          <w:rtl w:val="true"/>
          <w:lang w:bidi="fa-IR"/>
        </w:rPr>
        <w:t>.</w:t>
      </w:r>
    </w:p>
    <w:p>
      <w:pPr>
        <w:pStyle w:val="Heading3"/>
        <w:numPr>
          <w:ilvl w:val="2"/>
          <w:numId w:val="1"/>
        </w:numPr>
        <w:rPr/>
      </w:pPr>
      <w:bookmarkStart w:id="65" w:name="__RefHeading___Toc1954858_2322387425"/>
      <w:bookmarkStart w:id="66" w:name="_Toc22"/>
      <w:bookmarkEnd w:id="65"/>
      <w:r>
        <w:rPr>
          <w:rtl w:val="true"/>
        </w:rPr>
        <w:t>فروع فی وقت النیّة</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نوی الصوم لیلاً</w:t>
      </w:r>
      <w:r>
        <w:rPr>
          <w:rStyle w:val="FootnoteAnchor"/>
          <w:rtl w:val="true"/>
        </w:rPr>
        <w:footnoteReference w:id="165"/>
      </w:r>
      <w:r>
        <w:rPr>
          <w:rFonts w:ascii="IRNazanin" w:hAnsi="IRNazanin" w:eastAsia="IRNazanin"/>
          <w:color w:val="111111"/>
          <w:sz w:val="28"/>
          <w:sz w:val="28"/>
          <w:szCs w:val="28"/>
          <w:rtl w:val="true"/>
          <w:lang w:bidi="fa-IR"/>
        </w:rPr>
        <w:t> ثمّ نوی الإفطار</w:t>
      </w:r>
      <w:r>
        <w:rPr>
          <w:rStyle w:val="FootnoteAnchor"/>
          <w:rtl w:val="true"/>
        </w:rPr>
        <w:footnoteReference w:id="166"/>
      </w:r>
      <w:r>
        <w:rPr>
          <w:rFonts w:ascii="IRNazanin" w:hAnsi="IRNazanin" w:eastAsia="IRNazanin"/>
          <w:color w:val="111111"/>
          <w:sz w:val="28"/>
          <w:sz w:val="28"/>
          <w:szCs w:val="28"/>
          <w:rtl w:val="true"/>
          <w:lang w:bidi="fa-IR"/>
        </w:rPr>
        <w:t> ثمّ بدا له الصوم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الزوال فنوی وصام قبل أن یأتی بمفطِر صحّ</w:t>
      </w:r>
      <w:r>
        <w:rPr>
          <w:rStyle w:val="FootnoteAnchor"/>
          <w:rtl w:val="true"/>
        </w:rPr>
        <w:footnoteReference w:id="167"/>
      </w:r>
      <w:r>
        <w:rPr>
          <w:rFonts w:ascii="IRNazanin" w:hAnsi="IRNazanin" w:eastAsia="IRNazanin"/>
          <w:color w:val="111111"/>
          <w:sz w:val="28"/>
          <w:sz w:val="28"/>
          <w:szCs w:val="28"/>
          <w:rtl w:val="true"/>
          <w:lang w:bidi="fa-IR"/>
        </w:rPr>
        <w:t> علی الأقوی</w:t>
      </w:r>
      <w:r>
        <w:rPr>
          <w:rStyle w:val="FootnoteAnchor"/>
          <w:rtl w:val="true"/>
        </w:rPr>
        <w:footnoteReference w:id="168"/>
      </w:r>
      <w:r>
        <w:rPr>
          <w:rFonts w:ascii="Amiri" w:hAnsi="Amiri" w:eastAsia="Amiri" w:cs="Amiri"/>
          <w:color w:val="111111"/>
          <w:sz w:val="28"/>
          <w:sz w:val="28"/>
          <w:szCs w:val="28"/>
          <w:rtl w:val="true"/>
          <w:lang w:bidi="ar-SA"/>
        </w:rPr>
        <w:t xml:space="preserve">، إلّا أن </w:t>
      </w:r>
    </w:p>
    <w:p>
      <w:pPr>
        <w:pStyle w:val="BookText"/>
        <w:rPr/>
      </w:pPr>
      <w:r>
        <w:rPr>
          <w:rFonts w:ascii="IRNazanin" w:hAnsi="IRNazanin" w:eastAsia="IRNazanin"/>
          <w:color w:val="111111"/>
          <w:sz w:val="28"/>
          <w:sz w:val="28"/>
          <w:szCs w:val="28"/>
          <w:rtl w:val="true"/>
          <w:lang w:bidi="fa-IR"/>
        </w:rPr>
        <w:t>یُفسد صومه بریاء ونحوه</w:t>
      </w:r>
      <w:r>
        <w:rPr>
          <w:rStyle w:val="FootnoteAnchor"/>
          <w:rtl w:val="true"/>
        </w:rPr>
        <w:footnoteReference w:id="169"/>
      </w:r>
      <w:r>
        <w:rPr>
          <w:rFonts w:ascii="IRNazanin" w:hAnsi="IRNazanin" w:eastAsia="IRNazanin"/>
          <w:color w:val="111111"/>
          <w:sz w:val="28"/>
          <w:sz w:val="28"/>
          <w:szCs w:val="28"/>
          <w:rtl w:val="true"/>
          <w:lang w:bidi="fa-IR"/>
        </w:rPr>
        <w:t>، فإنّه لا یجزیه</w:t>
      </w:r>
      <w:r>
        <w:rPr>
          <w:rStyle w:val="FootnoteAnchor"/>
          <w:rtl w:val="true"/>
        </w:rPr>
        <w:footnoteReference w:id="170"/>
      </w:r>
      <w:r>
        <w:rPr>
          <w:rFonts w:ascii="IRNazanin" w:hAnsi="IRNazanin" w:eastAsia="IRNazanin"/>
          <w:color w:val="111111"/>
          <w:sz w:val="28"/>
          <w:sz w:val="28"/>
          <w:szCs w:val="28"/>
          <w:rtl w:val="true"/>
          <w:lang w:bidi="fa-IR"/>
        </w:rPr>
        <w:t> لو أراد التجدید قبل الزوال</w:t>
      </w:r>
    </w:p>
    <w:p>
      <w:pPr>
        <w:pStyle w:val="BookText"/>
        <w:rPr/>
      </w:pPr>
      <w:r>
        <w:rPr>
          <w:rFonts w:ascii="IRNazanin" w:hAnsi="IRNazanin" w:eastAsia="IRNazanin"/>
          <w:color w:val="111111"/>
          <w:sz w:val="28"/>
          <w:sz w:val="28"/>
          <w:szCs w:val="28"/>
          <w:rtl w:val="true"/>
          <w:lang w:bidi="fa-IR"/>
        </w:rPr>
        <w:t>علی الأحوط</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 w:name="pg13281_119710"/>
    </w:p>
    <w:p>
      <w:pPr>
        <w:pStyle w:val="Heading3"/>
        <w:numPr>
          <w:ilvl w:val="2"/>
          <w:numId w:val="1"/>
        </w:numPr>
        <w:rPr/>
      </w:pPr>
      <w:bookmarkStart w:id="68" w:name="__RefHeading___Toc1954860_2322387425"/>
      <w:bookmarkStart w:id="69" w:name="_Toc23"/>
      <w:bookmarkEnd w:id="67"/>
      <w:bookmarkEnd w:id="68"/>
      <w:r>
        <w:rPr>
          <w:rtl w:val="true"/>
        </w:rPr>
        <w:t>کیفیة نیة صوم شهر رمضان</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الصوم لیلاً لا یضرّه</w:t>
      </w:r>
      <w:r>
        <w:rPr>
          <w:rStyle w:val="FootnoteAnchor"/>
          <w:rtl w:val="true"/>
        </w:rPr>
        <w:footnoteReference w:id="172"/>
      </w:r>
      <w:r>
        <w:rPr>
          <w:rFonts w:ascii="IRNazanin" w:hAnsi="IRNazanin" w:eastAsia="IRNazanin"/>
          <w:color w:val="111111"/>
          <w:sz w:val="28"/>
          <w:sz w:val="28"/>
          <w:szCs w:val="28"/>
          <w:rtl w:val="true"/>
          <w:lang w:bidi="fa-IR"/>
        </w:rPr>
        <w:t> الإتیان بالمفطِر بعده قبل  </w:t>
      </w:r>
    </w:p>
    <w:p>
      <w:pPr>
        <w:pStyle w:val="BookText"/>
        <w:rPr/>
      </w:pPr>
      <w:r>
        <w:rPr>
          <w:rFonts w:ascii="IRNazanin" w:hAnsi="IRNazanin" w:eastAsia="IRNazanin"/>
          <w:color w:val="111111"/>
          <w:sz w:val="28"/>
          <w:sz w:val="28"/>
          <w:szCs w:val="28"/>
          <w:rtl w:val="true"/>
          <w:lang w:bidi="fa-IR"/>
        </w:rPr>
        <w:t>الفجر مع بقاء العزم علی الصوم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173"/>
      </w:r>
      <w:r>
        <w:rPr>
          <w:rFonts w:ascii="IRNazanin" w:hAnsi="IRNazanin" w:eastAsia="IRNazanin"/>
          <w:color w:val="111111"/>
          <w:sz w:val="28"/>
          <w:sz w:val="28"/>
          <w:szCs w:val="28"/>
          <w:rtl w:val="true"/>
          <w:lang w:bidi="fa-IR"/>
        </w:rPr>
        <w:t> فی شهر رمضان أن ینوی لکلّ یوم نیّة علی حِدة، والأولی</w:t>
      </w:r>
      <w:r>
        <w:rPr>
          <w:rStyle w:val="FootnoteAnchor"/>
          <w:rtl w:val="true"/>
        </w:rPr>
        <w:footnoteReference w:id="174"/>
      </w:r>
      <w:r>
        <w:rPr>
          <w:rFonts w:ascii="IRNazanin" w:hAnsi="IRNazanin" w:eastAsia="IRNazanin"/>
          <w:color w:val="111111"/>
          <w:sz w:val="28"/>
          <w:sz w:val="28"/>
          <w:szCs w:val="28"/>
          <w:rtl w:val="true"/>
          <w:lang w:bidi="fa-IR"/>
        </w:rPr>
        <w:t> أن ینوی صوم الشهر جملة، ویجدّد النیّة لکلّ یوم، ویقوی الاجتزاء</w:t>
      </w:r>
      <w:r>
        <w:rPr>
          <w:rStyle w:val="FootnoteAnchor"/>
          <w:rtl w:val="true"/>
        </w:rPr>
        <w:footnoteReference w:id="175"/>
      </w:r>
      <w:r>
        <w:rPr>
          <w:rFonts w:ascii="Amiri" w:hAnsi="Amiri" w:eastAsia="Amiri" w:cs="Amiri"/>
          <w:color w:val="111111"/>
          <w:sz w:val="28"/>
          <w:sz w:val="28"/>
          <w:szCs w:val="28"/>
          <w:rtl w:val="true"/>
          <w:lang w:bidi="ar-SA"/>
        </w:rPr>
        <w:t xml:space="preserve"> بنیّة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واحدة</w:t>
      </w:r>
      <w:r>
        <w:rPr>
          <w:rStyle w:val="FootnoteAnchor"/>
          <w:rtl w:val="true"/>
        </w:rPr>
        <w:footnoteReference w:id="176"/>
      </w:r>
      <w:r>
        <w:rPr>
          <w:rFonts w:ascii="Amiri" w:hAnsi="Amiri" w:eastAsia="Amiri" w:cs="Amiri"/>
          <w:color w:val="111111"/>
          <w:sz w:val="28"/>
          <w:sz w:val="28"/>
          <w:szCs w:val="28"/>
          <w:rtl w:val="true"/>
          <w:lang w:bidi="ar-SA"/>
        </w:rPr>
        <w:t> للشهر کلّه</w:t>
      </w:r>
      <w:r>
        <w:rPr>
          <w:rStyle w:val="FootnoteAnchor"/>
          <w:rtl w:val="true"/>
        </w:rPr>
        <w:footnoteReference w:id="177"/>
      </w:r>
      <w:r>
        <w:rPr>
          <w:rFonts w:ascii="IRNazanin" w:hAnsi="IRNazanin" w:eastAsia="IRNazanin"/>
          <w:color w:val="111111"/>
          <w:sz w:val="28"/>
          <w:sz w:val="28"/>
          <w:szCs w:val="28"/>
          <w:rtl w:val="true"/>
          <w:lang w:bidi="fa-IR"/>
        </w:rPr>
        <w:t>، لکن لا یُترک</w:t>
      </w:r>
      <w:r>
        <w:rPr>
          <w:rStyle w:val="FootnoteAnchor"/>
          <w:rtl w:val="true"/>
        </w:rPr>
        <w:footnoteReference w:id="178"/>
      </w:r>
      <w:r>
        <w:rPr>
          <w:rFonts w:ascii="IRNazanin" w:hAnsi="IRNazanin" w:eastAsia="IRNazanin"/>
          <w:color w:val="111111"/>
          <w:sz w:val="28"/>
          <w:sz w:val="28"/>
          <w:szCs w:val="28"/>
          <w:rtl w:val="true"/>
          <w:lang w:bidi="fa-IR"/>
        </w:rPr>
        <w:t> الاحتیاط</w:t>
      </w:r>
      <w:r>
        <w:rPr>
          <w:rStyle w:val="FootnoteAnchor"/>
          <w:rtl w:val="true"/>
        </w:rPr>
        <w:footnoteReference w:id="179"/>
      </w:r>
      <w:r>
        <w:rPr>
          <w:rFonts w:ascii="IRNazanin" w:hAnsi="IRNazanin" w:eastAsia="IRNazanin"/>
          <w:color w:val="111111"/>
          <w:sz w:val="28"/>
          <w:sz w:val="28"/>
          <w:szCs w:val="28"/>
          <w:rtl w:val="true"/>
          <w:lang w:bidi="fa-IR"/>
        </w:rPr>
        <w:t> بتجدیدها</w:t>
      </w:r>
      <w:r>
        <w:rPr>
          <w:rStyle w:val="FootnoteAnchor"/>
          <w:rtl w:val="true"/>
        </w:rPr>
        <w:footnoteReference w:id="180"/>
      </w:r>
      <w:r>
        <w:rPr>
          <w:rFonts w:ascii="IRNazanin" w:hAnsi="IRNazanin" w:eastAsia="IRNazanin"/>
          <w:color w:val="111111"/>
          <w:sz w:val="28"/>
          <w:sz w:val="28"/>
          <w:szCs w:val="28"/>
          <w:rtl w:val="true"/>
          <w:lang w:bidi="fa-IR"/>
        </w:rPr>
        <w:t> لکلّ یوم، وأمّا فی غیر شهر رمضان</w:t>
      </w:r>
      <w:r>
        <w:rPr>
          <w:rStyle w:val="FootnoteAnchor"/>
          <w:rtl w:val="true"/>
        </w:rPr>
        <w:footnoteReference w:id="181"/>
      </w:r>
      <w:r>
        <w:rPr>
          <w:rFonts w:ascii="Amiri" w:hAnsi="Amiri" w:eastAsia="Amiri" w:cs="Amiri"/>
          <w:color w:val="111111"/>
          <w:sz w:val="28"/>
          <w:sz w:val="28"/>
          <w:szCs w:val="28"/>
          <w:rtl w:val="true"/>
          <w:lang w:bidi="ar-SA"/>
        </w:rPr>
        <w:t> من الصوم المعیّن فلابدّ</w:t>
      </w:r>
      <w:r>
        <w:rPr>
          <w:rStyle w:val="FootnoteAnchor"/>
          <w:rtl w:val="true"/>
        </w:rPr>
        <w:footnoteReference w:id="182"/>
      </w:r>
      <w:r>
        <w:rPr>
          <w:rFonts w:ascii="Amiri" w:hAnsi="Amiri" w:eastAsia="Amiri" w:cs="Amiri"/>
          <w:color w:val="111111"/>
          <w:sz w:val="28"/>
          <w:sz w:val="28"/>
          <w:szCs w:val="28"/>
          <w:rtl w:val="true"/>
          <w:lang w:bidi="ar-SA"/>
        </w:rPr>
        <w:t> من نیّته</w:t>
      </w:r>
      <w:r>
        <w:rPr>
          <w:rStyle w:val="FootnoteAnchor"/>
          <w:rtl w:val="true"/>
        </w:rPr>
        <w:footnoteReference w:id="1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 w:name="pg13281_119712"/>
    </w:p>
    <w:p>
      <w:pPr>
        <w:pStyle w:val="BookText"/>
        <w:rPr/>
      </w:pPr>
      <w:bookmarkEnd w:id="70"/>
      <w:r>
        <w:rPr>
          <w:rFonts w:ascii="Amiri" w:hAnsi="Amiri" w:eastAsia="Amiri" w:cs="Amiri"/>
          <w:color w:val="111111"/>
          <w:sz w:val="28"/>
          <w:sz w:val="28"/>
          <w:szCs w:val="28"/>
          <w:rtl w:val="true"/>
          <w:lang w:bidi="ar-SA"/>
        </w:rPr>
        <w:t>لکلّ یوم</w:t>
      </w:r>
      <w:r>
        <w:rPr>
          <w:rStyle w:val="FootnoteAnchor"/>
          <w:rtl w:val="true"/>
        </w:rPr>
        <w:footnoteReference w:id="184"/>
      </w:r>
      <w:r>
        <w:rPr>
          <w:rFonts w:ascii="IRNazanin" w:hAnsi="IRNazanin" w:eastAsia="IRNazanin"/>
          <w:color w:val="111111"/>
          <w:sz w:val="28"/>
          <w:sz w:val="28"/>
          <w:szCs w:val="28"/>
          <w:rtl w:val="true"/>
          <w:lang w:bidi="fa-IR"/>
        </w:rPr>
        <w:t> إذا کان علیه أیّام، کشهرٍ أو أقلّ أو أکثر</w:t>
      </w:r>
      <w:r>
        <w:rPr>
          <w:rFonts w:eastAsia="IRNazanin" w:cs="IRNazanin"/>
          <w:color w:val="111111"/>
          <w:sz w:val="28"/>
          <w:szCs w:val="28"/>
          <w:rtl w:val="true"/>
          <w:lang w:bidi="fa-IR"/>
        </w:rPr>
        <w:t>.</w:t>
      </w:r>
    </w:p>
    <w:p>
      <w:pPr>
        <w:pStyle w:val="Heading3"/>
        <w:numPr>
          <w:ilvl w:val="2"/>
          <w:numId w:val="1"/>
        </w:numPr>
        <w:rPr/>
      </w:pPr>
      <w:bookmarkStart w:id="71" w:name="__RefHeading___Toc1954862_2322387425"/>
      <w:bookmarkStart w:id="72" w:name="_Toc24"/>
      <w:bookmarkEnd w:id="71"/>
      <w:r>
        <w:rPr>
          <w:rtl w:val="true"/>
        </w:rPr>
        <w:t>حکم یوم الشک</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الشکِّ فی أنّه من شعبان أو رمضان یبنی علی أنّه من شعبان، فلا یجب صومه، وإن صام ینویه ندباً أو قضاءً أو غیرهما، ولو بان بعد ذلک أنّه من رمضان أجزأ عنه، ووجب علیه تجدید</w:t>
      </w:r>
      <w:r>
        <w:rPr>
          <w:rStyle w:val="FootnoteAnchor"/>
          <w:rtl w:val="true"/>
        </w:rPr>
        <w:footnoteReference w:id="185"/>
      </w:r>
      <w:r>
        <w:rPr>
          <w:rFonts w:ascii="Amiri" w:hAnsi="Amiri" w:eastAsia="Amiri" w:cs="Amiri"/>
          <w:color w:val="111111"/>
          <w:sz w:val="28"/>
          <w:sz w:val="28"/>
          <w:szCs w:val="28"/>
          <w:rtl w:val="true"/>
          <w:lang w:bidi="ar-SA"/>
        </w:rPr>
        <w:t> النیّة</w:t>
      </w:r>
      <w:r>
        <w:rPr>
          <w:rStyle w:val="FootnoteAnchor"/>
          <w:rtl w:val="true"/>
        </w:rPr>
        <w:footnoteReference w:id="186"/>
      </w:r>
      <w:r>
        <w:rPr>
          <w:rFonts w:ascii="IRNazanin" w:hAnsi="IRNazanin" w:eastAsia="IRNazanin"/>
          <w:color w:val="111111"/>
          <w:sz w:val="28"/>
          <w:sz w:val="28"/>
          <w:szCs w:val="28"/>
          <w:rtl w:val="true"/>
          <w:lang w:bidi="fa-IR"/>
        </w:rPr>
        <w:t> إن بان فی أثناء النهار ولو کان بعد الزوال، ولو صامه بنیّة أنّه من رمضان لم یصحّ</w:t>
      </w:r>
      <w:r>
        <w:rPr>
          <w:rStyle w:val="FootnoteAnchor"/>
          <w:rtl w:val="true"/>
        </w:rPr>
        <w:footnoteReference w:id="187"/>
      </w:r>
      <w:r>
        <w:rPr>
          <w:rFonts w:ascii="IRNazanin" w:hAnsi="IRNazanin" w:eastAsia="IRNazanin"/>
          <w:color w:val="111111"/>
          <w:sz w:val="28"/>
          <w:sz w:val="28"/>
          <w:szCs w:val="28"/>
          <w:rtl w:val="true"/>
          <w:lang w:bidi="fa-IR"/>
        </w:rPr>
        <w:t> وإن</w:t>
      </w:r>
      <w:r>
        <w:rPr>
          <w:rStyle w:val="FootnoteAnchor"/>
          <w:rtl w:val="true"/>
        </w:rPr>
        <w:footnoteReference w:id="188"/>
      </w:r>
      <w:r>
        <w:rPr>
          <w:rFonts w:ascii="IRNazanin" w:hAnsi="IRNazanin" w:eastAsia="IRNazanin"/>
          <w:color w:val="111111"/>
          <w:sz w:val="28"/>
          <w:sz w:val="28"/>
          <w:szCs w:val="28"/>
          <w:rtl w:val="true"/>
          <w:lang w:bidi="fa-IR"/>
        </w:rPr>
        <w:t> صادف الواقع</w:t>
      </w:r>
      <w:r>
        <w:rPr>
          <w:rFonts w:eastAsia="IRNazanin" w:cs="IRNazanin"/>
          <w:color w:val="111111"/>
          <w:sz w:val="28"/>
          <w:szCs w:val="28"/>
          <w:rtl w:val="true"/>
          <w:lang w:bidi="fa-IR"/>
        </w:rPr>
        <w:t>.</w:t>
      </w:r>
    </w:p>
    <w:p>
      <w:pPr>
        <w:pStyle w:val="Heading3"/>
        <w:numPr>
          <w:ilvl w:val="2"/>
          <w:numId w:val="1"/>
        </w:numPr>
        <w:rPr/>
      </w:pPr>
      <w:bookmarkStart w:id="73" w:name="__RefHeading___Toc1954864_2322387425"/>
      <w:bookmarkStart w:id="74" w:name="_Toc25"/>
      <w:bookmarkEnd w:id="73"/>
      <w:r>
        <w:rPr>
          <w:rtl w:val="true"/>
        </w:rPr>
        <w:t>کیفیة النیّة فی صوم یوم الشک</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یوم الشکّ یتصوّر علی وجوه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89"/>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 علی أنّه من شعبان، وهذا لا إشکال فیه، سواء</w:t>
      </w:r>
    </w:p>
    <w:p>
      <w:pPr>
        <w:pStyle w:val="BookText"/>
        <w:rPr/>
      </w:pPr>
      <w:r>
        <w:rPr>
          <w:rFonts w:ascii="IRNazanin" w:hAnsi="IRNazanin" w:eastAsia="IRNazanin"/>
          <w:color w:val="111111"/>
          <w:sz w:val="28"/>
          <w:sz w:val="28"/>
          <w:szCs w:val="28"/>
          <w:rtl w:val="true"/>
          <w:lang w:bidi="fa-IR"/>
        </w:rPr>
        <w:t>نواه ندباً أم بنیّة ما علیه من القضاء أو النذر أو نحو ذلک، ولو انکشف بعد ذلک أنّه کان من رمضان أجزأ عنه وحُسب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یصومه بنیّة أنّه من رمضان، والأقوی بطلانه</w:t>
      </w:r>
      <w:r>
        <w:rPr>
          <w:rStyle w:val="FootnoteAnchor"/>
          <w:rtl w:val="true"/>
        </w:rPr>
        <w:footnoteReference w:id="190"/>
      </w:r>
      <w:r>
        <w:rPr>
          <w:rFonts w:ascii="IRNazanin" w:hAnsi="IRNazanin" w:eastAsia="IRNazanin"/>
          <w:color w:val="111111"/>
          <w:sz w:val="28"/>
          <w:sz w:val="28"/>
          <w:szCs w:val="28"/>
          <w:rtl w:val="true"/>
          <w:lang w:bidi="fa-IR"/>
        </w:rPr>
        <w:t> وإن صادف</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یصومه علی أنّه</w:t>
      </w:r>
      <w:r>
        <w:rPr>
          <w:rStyle w:val="FootnoteAnchor"/>
          <w:rtl w:val="true"/>
        </w:rPr>
        <w:footnoteReference w:id="191"/>
      </w:r>
      <w:r>
        <w:rPr>
          <w:rFonts w:ascii="IRNazanin" w:hAnsi="IRNazanin" w:eastAsia="IRNazanin"/>
          <w:color w:val="111111"/>
          <w:sz w:val="28"/>
          <w:sz w:val="28"/>
          <w:szCs w:val="28"/>
          <w:rtl w:val="true"/>
          <w:lang w:bidi="fa-IR"/>
        </w:rPr>
        <w:t> إن کان من شعبان کان ندباً أو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مثلاً، وإن کان من رمضان کان واجباً</w:t>
      </w:r>
      <w:r>
        <w:rPr>
          <w:rStyle w:val="FootnoteAnchor"/>
          <w:rtl w:val="true"/>
        </w:rPr>
        <w:footnoteReference w:id="192"/>
      </w:r>
      <w:r>
        <w:rPr>
          <w:rFonts w:ascii="IRNazanin" w:hAnsi="IRNazanin" w:eastAsia="IRNazanin"/>
          <w:color w:val="111111"/>
          <w:sz w:val="28"/>
          <w:sz w:val="28"/>
          <w:szCs w:val="28"/>
          <w:rtl w:val="true"/>
          <w:lang w:bidi="fa-IR"/>
        </w:rPr>
        <w:t>، والأقوی</w:t>
      </w:r>
      <w:r>
        <w:rPr>
          <w:rStyle w:val="FootnoteAnchor"/>
          <w:rtl w:val="true"/>
        </w:rPr>
        <w:footnoteReference w:id="193"/>
      </w:r>
      <w:r>
        <w:rPr>
          <w:rFonts w:ascii="IRNazanin" w:hAnsi="IRNazanin" w:eastAsia="IRNazanin"/>
          <w:color w:val="111111"/>
          <w:sz w:val="28"/>
          <w:sz w:val="28"/>
          <w:szCs w:val="28"/>
          <w:rtl w:val="true"/>
          <w:lang w:bidi="fa-IR"/>
        </w:rPr>
        <w:t> بطلانه</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یصومه بنیّة القربة</w:t>
      </w:r>
      <w:r>
        <w:rPr>
          <w:rStyle w:val="FootnoteAnchor"/>
          <w:rtl w:val="true"/>
        </w:rPr>
        <w:footnoteReference w:id="196"/>
      </w:r>
      <w:r>
        <w:rPr>
          <w:rFonts w:ascii="IRNazanin" w:hAnsi="IRNazanin" w:eastAsia="IRNazanin"/>
          <w:color w:val="111111"/>
          <w:sz w:val="28"/>
          <w:sz w:val="28"/>
          <w:szCs w:val="28"/>
          <w:rtl w:val="true"/>
          <w:lang w:bidi="fa-IR"/>
        </w:rPr>
        <w:t> المطلقة بقصد ما فی الذمّة</w:t>
      </w:r>
      <w:r>
        <w:rPr>
          <w:rStyle w:val="FootnoteAnchor"/>
          <w:rtl w:val="true"/>
        </w:rPr>
        <w:footnoteReference w:id="197"/>
      </w:r>
      <w:r>
        <w:rPr>
          <w:rFonts w:ascii="IRNazanin" w:hAnsi="IRNazanin" w:eastAsia="IRNazanin"/>
          <w:color w:val="111111"/>
          <w:sz w:val="28"/>
          <w:sz w:val="28"/>
          <w:szCs w:val="28"/>
          <w:rtl w:val="true"/>
          <w:lang w:bidi="fa-IR"/>
        </w:rPr>
        <w:t xml:space="preserve"> وکان فی   </w:t>
      </w:r>
      <w:bookmarkStart w:id="75" w:name="pg13281_119715"/>
    </w:p>
    <w:p>
      <w:pPr>
        <w:pStyle w:val="BookText"/>
        <w:rPr/>
      </w:pPr>
      <w:bookmarkEnd w:id="75"/>
      <w:r>
        <w:rPr>
          <w:rFonts w:ascii="IRNazanin" w:hAnsi="IRNazanin" w:eastAsia="IRNazanin"/>
          <w:color w:val="111111"/>
          <w:sz w:val="28"/>
          <w:sz w:val="28"/>
          <w:szCs w:val="28"/>
          <w:rtl w:val="true"/>
          <w:lang w:bidi="fa-IR"/>
        </w:rPr>
        <w:t>ذهنه أنّه إمّا من رمضان أو غیره</w:t>
      </w:r>
      <w:r>
        <w:rPr>
          <w:rStyle w:val="FootnoteAnchor"/>
          <w:rtl w:val="true"/>
        </w:rPr>
        <w:footnoteReference w:id="198"/>
      </w:r>
      <w:r>
        <w:rPr>
          <w:rFonts w:ascii="IRNazanin" w:hAnsi="IRNazanin" w:eastAsia="IRNazanin"/>
          <w:color w:val="111111"/>
          <w:sz w:val="28"/>
          <w:sz w:val="28"/>
          <w:szCs w:val="28"/>
          <w:rtl w:val="true"/>
          <w:lang w:bidi="fa-IR"/>
        </w:rPr>
        <w:t>، بأن یکون التردید فی المنویّ لا فی</w:t>
      </w:r>
    </w:p>
    <w:p>
      <w:pPr>
        <w:pStyle w:val="BookText"/>
        <w:rPr/>
      </w:pPr>
      <w:r>
        <w:rPr>
          <w:rFonts w:ascii="IRNazanin" w:hAnsi="IRNazanin" w:eastAsia="IRNazanin"/>
          <w:color w:val="111111"/>
          <w:sz w:val="28"/>
          <w:sz w:val="28"/>
          <w:szCs w:val="28"/>
          <w:rtl w:val="true"/>
          <w:lang w:bidi="fa-IR"/>
        </w:rPr>
        <w:t>نیّته، فالأقوی</w:t>
      </w:r>
      <w:r>
        <w:rPr>
          <w:rStyle w:val="FootnoteAnchor"/>
          <w:rtl w:val="true"/>
        </w:rPr>
        <w:footnoteReference w:id="199"/>
      </w:r>
      <w:r>
        <w:rPr>
          <w:rFonts w:ascii="Amiri" w:hAnsi="Amiri" w:eastAsia="Amiri" w:cs="Amiri"/>
          <w:color w:val="111111"/>
          <w:sz w:val="28"/>
          <w:sz w:val="28"/>
          <w:szCs w:val="28"/>
          <w:rtl w:val="true"/>
          <w:lang w:bidi="ar-SA"/>
        </w:rPr>
        <w:t> صحّته</w:t>
      </w:r>
      <w:r>
        <w:rPr>
          <w:rStyle w:val="FootnoteAnchor"/>
          <w:rtl w:val="true"/>
        </w:rPr>
        <w:footnoteReference w:id="200"/>
      </w:r>
      <w:r>
        <w:rPr>
          <w:rFonts w:ascii="IRNazanin" w:hAnsi="IRNazanin" w:eastAsia="IRNazanin"/>
          <w:color w:val="111111"/>
          <w:sz w:val="28"/>
          <w:sz w:val="28"/>
          <w:szCs w:val="28"/>
          <w:rtl w:val="true"/>
          <w:lang w:bidi="fa-IR"/>
        </w:rPr>
        <w:t> وإن کان</w:t>
      </w:r>
      <w:r>
        <w:rPr>
          <w:rStyle w:val="FootnoteAnchor"/>
          <w:rtl w:val="true"/>
        </w:rPr>
        <w:footnoteReference w:id="201"/>
      </w:r>
      <w:r>
        <w:rPr>
          <w:rFonts w:ascii="IRNazanin" w:hAnsi="IRNazanin" w:eastAsia="IRNazanin"/>
          <w:color w:val="111111"/>
          <w:sz w:val="28"/>
          <w:sz w:val="28"/>
          <w:szCs w:val="28"/>
          <w:rtl w:val="true"/>
          <w:lang w:bidi="fa-IR"/>
        </w:rPr>
        <w:t> الأحوط خلافه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954866_2322387425"/>
      <w:bookmarkStart w:id="77" w:name="_Toc26"/>
      <w:bookmarkEnd w:id="76"/>
      <w:r>
        <w:rPr>
          <w:rtl w:val="true"/>
        </w:rPr>
        <w:t>فروع صوم یوم الشک</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أصبح یوم الشکّ بنیّة الإفطار ثمّ بان له أنّه</w:t>
      </w:r>
    </w:p>
    <w:p>
      <w:pPr>
        <w:pStyle w:val="BookText"/>
        <w:rPr/>
      </w:pPr>
      <w:r>
        <w:rPr>
          <w:rFonts w:ascii="IRNazanin" w:hAnsi="IRNazanin" w:eastAsia="IRNazanin"/>
          <w:color w:val="111111"/>
          <w:sz w:val="28"/>
          <w:sz w:val="28"/>
          <w:szCs w:val="28"/>
          <w:rtl w:val="true"/>
          <w:lang w:bidi="fa-IR"/>
        </w:rPr>
        <w:t>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تناول المفطِر وجب علیه القضاء، وأمسک</w:t>
      </w:r>
      <w:r>
        <w:rPr>
          <w:rStyle w:val="FootnoteAnchor"/>
          <w:rtl w:val="true"/>
        </w:rPr>
        <w:footnoteReference w:id="203"/>
      </w:r>
      <w:r>
        <w:rPr>
          <w:rFonts w:ascii="Amiri" w:hAnsi="Amiri" w:eastAsia="Amiri" w:cs="Amiri"/>
          <w:color w:val="111111"/>
          <w:sz w:val="28"/>
          <w:sz w:val="28"/>
          <w:szCs w:val="28"/>
          <w:rtl w:val="true"/>
          <w:lang w:bidi="ar-SA"/>
        </w:rPr>
        <w:t> بقیّة</w:t>
      </w:r>
    </w:p>
    <w:p>
      <w:pPr>
        <w:pStyle w:val="BookText"/>
        <w:rPr/>
      </w:pPr>
      <w:r>
        <w:rPr>
          <w:rFonts w:ascii="IRNazanin" w:hAnsi="IRNazanin" w:eastAsia="IRNazanin"/>
          <w:color w:val="111111"/>
          <w:sz w:val="28"/>
          <w:sz w:val="28"/>
          <w:szCs w:val="28"/>
          <w:rtl w:val="true"/>
          <w:lang w:bidi="fa-IR"/>
        </w:rPr>
        <w:t>النهار وجوباً</w:t>
      </w:r>
      <w:r>
        <w:rPr>
          <w:rStyle w:val="FootnoteAnchor"/>
          <w:rtl w:val="true"/>
        </w:rPr>
        <w:footnoteReference w:id="204"/>
      </w:r>
      <w:r>
        <w:rPr>
          <w:rFonts w:ascii="Amiri" w:hAnsi="Amiri" w:eastAsia="Amiri" w:cs="Amiri"/>
          <w:color w:val="111111"/>
          <w:sz w:val="28"/>
          <w:sz w:val="28"/>
          <w:szCs w:val="28"/>
          <w:rtl w:val="true"/>
          <w:lang w:bidi="ar-SA"/>
        </w:rPr>
        <w:t> تأدّباً</w:t>
      </w:r>
      <w:r>
        <w:rPr>
          <w:rStyle w:val="FootnoteAnchor"/>
          <w:rtl w:val="true"/>
        </w:rPr>
        <w:footnoteReference w:id="205"/>
      </w:r>
      <w:r>
        <w:rPr>
          <w:rFonts w:ascii="IRNazanin" w:hAnsi="IRNazanin" w:eastAsia="IRNazanin"/>
          <w:color w:val="111111"/>
          <w:sz w:val="28"/>
          <w:sz w:val="28"/>
          <w:szCs w:val="28"/>
          <w:rtl w:val="true"/>
          <w:lang w:bidi="fa-IR"/>
        </w:rPr>
        <w:t>، وکذا لو لم یتناوله</w:t>
      </w:r>
      <w:r>
        <w:rPr>
          <w:rStyle w:val="FootnoteAnchor"/>
          <w:rtl w:val="true"/>
        </w:rPr>
        <w:footnoteReference w:id="206"/>
      </w:r>
      <w:r>
        <w:rPr>
          <w:rFonts w:ascii="IRNazanin" w:hAnsi="IRNazanin" w:eastAsia="IRNazanin"/>
          <w:color w:val="111111"/>
          <w:sz w:val="28"/>
          <w:sz w:val="28"/>
          <w:szCs w:val="28"/>
          <w:rtl w:val="true"/>
          <w:lang w:bidi="fa-IR"/>
        </w:rPr>
        <w:t> ولکن کان بعد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الزوال</w:t>
      </w:r>
      <w:r>
        <w:rPr>
          <w:rStyle w:val="FootnoteAnchor"/>
          <w:rtl w:val="true"/>
        </w:rPr>
        <w:footnoteReference w:id="207"/>
      </w:r>
      <w:r>
        <w:rPr>
          <w:rFonts w:ascii="IRNazanin" w:hAnsi="IRNazanin" w:eastAsia="IRNazanin"/>
          <w:color w:val="111111"/>
          <w:sz w:val="28"/>
          <w:sz w:val="28"/>
          <w:szCs w:val="28"/>
          <w:rtl w:val="true"/>
          <w:lang w:bidi="fa-IR"/>
        </w:rPr>
        <w:t>، وإن کان قبل الزوال ولم یتناول المفطِر جدّد النیّة</w:t>
      </w:r>
      <w:r>
        <w:rPr>
          <w:rStyle w:val="FootnoteAnchor"/>
          <w:rtl w:val="true"/>
        </w:rPr>
        <w:footnoteReference w:id="208"/>
      </w:r>
      <w:r>
        <w:rPr>
          <w:rFonts w:ascii="IRNazanin" w:hAnsi="IRNazanin" w:eastAsia="IRNazanin"/>
          <w:color w:val="111111"/>
          <w:sz w:val="28"/>
          <w:sz w:val="28"/>
          <w:szCs w:val="28"/>
          <w:rtl w:val="true"/>
          <w:lang w:bidi="fa-IR"/>
        </w:rPr>
        <w:t> وأجزأ</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صام یوم الشکّ بنیّة أنّه من شعبان ندباً أو قضاءً أو نحوهما ثمّ تناول المفطِر نسیاناً وتبیّن بعده أنّه من رمضان أجزأ عنه أیضاً، ولا یضرّه تناول المفطِر نسیاناً، کما لو لم یتبیّن، وکما لو تناول المفطِر نسیاناً بعد التبیّن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صام بنیّة شعبان ثمّ أفسد صومه بریاء ونحوه لم یجزه</w:t>
      </w:r>
      <w:r>
        <w:rPr>
          <w:rStyle w:val="FootnoteAnchor"/>
          <w:rtl w:val="true"/>
        </w:rPr>
        <w:footnoteReference w:id="210"/>
      </w:r>
      <w:r>
        <w:rPr>
          <w:rFonts w:ascii="IRNazanin" w:hAnsi="IRNazanin" w:eastAsia="IRNazanin"/>
          <w:color w:val="111111"/>
          <w:sz w:val="28"/>
          <w:sz w:val="28"/>
          <w:szCs w:val="28"/>
          <w:rtl w:val="true"/>
          <w:lang w:bidi="fa-IR"/>
        </w:rPr>
        <w:t> من رمضان، وإن تبیّن</w:t>
      </w:r>
      <w:r>
        <w:rPr>
          <w:rStyle w:val="FootnoteAnchor"/>
          <w:rtl w:val="true"/>
        </w:rPr>
        <w:footnoteReference w:id="211"/>
      </w:r>
      <w:r>
        <w:rPr>
          <w:rFonts w:ascii="IRNazanin" w:hAnsi="IRNazanin" w:eastAsia="IRNazanin"/>
          <w:color w:val="111111"/>
          <w:sz w:val="28"/>
          <w:sz w:val="28"/>
          <w:szCs w:val="28"/>
          <w:rtl w:val="true"/>
          <w:lang w:bidi="fa-IR"/>
        </w:rPr>
        <w:t> له کونه منه قبل الزوال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صام یوم الشکّ بنیّة شعبان ثمّ نوی الإفطار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وتبیّن کونه من رمضان قبل الزوال قبل أن یفطر فنوی صحّ صومه</w:t>
      </w:r>
      <w:r>
        <w:rPr>
          <w:rStyle w:val="FootnoteAnchor"/>
          <w:rtl w:val="true"/>
        </w:rPr>
        <w:footnoteReference w:id="213"/>
      </w:r>
      <w:r>
        <w:rPr>
          <w:rFonts w:ascii="IRNazanin" w:hAnsi="IRNazanin" w:eastAsia="IRNazanin"/>
          <w:color w:val="111111"/>
          <w:sz w:val="28"/>
          <w:sz w:val="28"/>
          <w:szCs w:val="28"/>
          <w:rtl w:val="true"/>
          <w:lang w:bidi="fa-IR"/>
        </w:rPr>
        <w:t>، وأمّا إن نوی الإفطار</w:t>
      </w:r>
      <w:r>
        <w:rPr>
          <w:rStyle w:val="FootnoteAnchor"/>
          <w:rtl w:val="true"/>
        </w:rPr>
        <w:footnoteReference w:id="214"/>
      </w:r>
      <w:r>
        <w:rPr>
          <w:rFonts w:ascii="IRNazanin" w:hAnsi="IRNazanin" w:eastAsia="IRNazanin"/>
          <w:color w:val="111111"/>
          <w:sz w:val="28"/>
          <w:sz w:val="28"/>
          <w:szCs w:val="28"/>
          <w:rtl w:val="true"/>
          <w:lang w:bidi="fa-IR"/>
        </w:rPr>
        <w:t> فی یوم من شهر رمضان عصیاناً</w:t>
      </w:r>
      <w:r>
        <w:rPr>
          <w:rStyle w:val="FootnoteAnchor"/>
          <w:rtl w:val="true"/>
        </w:rPr>
        <w:footnoteReference w:id="215"/>
      </w:r>
      <w:r>
        <w:rPr>
          <w:rFonts w:ascii="IRNazanin" w:hAnsi="IRNazanin" w:eastAsia="IRNazanin"/>
          <w:color w:val="111111"/>
          <w:sz w:val="28"/>
          <w:sz w:val="28"/>
          <w:szCs w:val="28"/>
          <w:rtl w:val="true"/>
          <w:lang w:bidi="fa-IR"/>
        </w:rPr>
        <w:t> ثمّ تاب فجدّد النیّة قبل الزوال لم ینعقد</w:t>
      </w:r>
      <w:r>
        <w:rPr>
          <w:rStyle w:val="FootnoteAnchor"/>
          <w:rtl w:val="true"/>
        </w:rPr>
        <w:footnoteReference w:id="216"/>
      </w:r>
      <w:r>
        <w:rPr>
          <w:rFonts w:ascii="IRNazanin" w:hAnsi="IRNazanin" w:eastAsia="IRNazanin"/>
          <w:color w:val="111111"/>
          <w:sz w:val="28"/>
          <w:sz w:val="28"/>
          <w:szCs w:val="28"/>
          <w:rtl w:val="true"/>
          <w:lang w:bidi="fa-IR"/>
        </w:rPr>
        <w:t> صومه</w:t>
      </w:r>
      <w:r>
        <w:rPr>
          <w:rStyle w:val="FootnoteAnchor"/>
          <w:rtl w:val="true"/>
        </w:rPr>
        <w:footnoteReference w:id="217"/>
      </w:r>
      <w:r>
        <w:rPr>
          <w:rFonts w:ascii="IRNazanin" w:hAnsi="IRNazanin" w:eastAsia="IRNazanin"/>
          <w:color w:val="111111"/>
          <w:sz w:val="28"/>
          <w:sz w:val="28"/>
          <w:szCs w:val="28"/>
          <w:rtl w:val="true"/>
          <w:lang w:bidi="fa-IR"/>
        </w:rPr>
        <w:t>، وکذا لو صام</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یوم الشکّ</w:t>
      </w:r>
      <w:r>
        <w:rPr>
          <w:rStyle w:val="FootnoteAnchor"/>
          <w:rtl w:val="true"/>
        </w:rPr>
        <w:footnoteReference w:id="219"/>
      </w:r>
      <w:r>
        <w:rPr>
          <w:rFonts w:ascii="IRNazanin" w:hAnsi="IRNazanin" w:eastAsia="IRNazanin"/>
          <w:color w:val="111111"/>
          <w:sz w:val="28"/>
          <w:sz w:val="28"/>
          <w:szCs w:val="28"/>
          <w:rtl w:val="true"/>
          <w:lang w:bidi="fa-IR"/>
        </w:rPr>
        <w:t> بقصد واجب معیّن ثمّ نوی الإفطار عصیاناً</w:t>
      </w:r>
      <w:r>
        <w:rPr>
          <w:rStyle w:val="FootnoteAnchor"/>
          <w:rtl w:val="true"/>
        </w:rPr>
        <w:footnoteReference w:id="220"/>
      </w:r>
      <w:r>
        <w:rPr>
          <w:rFonts w:ascii="Amiri" w:hAnsi="Amiri" w:eastAsia="Amiri" w:cs="Amiri"/>
          <w:color w:val="111111"/>
          <w:sz w:val="28"/>
          <w:sz w:val="28"/>
          <w:szCs w:val="28"/>
          <w:rtl w:val="true"/>
          <w:lang w:bidi="ar-SA"/>
        </w:rPr>
        <w:t>، ثمّ تاب فجدّد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 بعد تبیّن کونه من رمضان قبل الزوال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78" w:name="pg13281_119719"/>
    </w:p>
    <w:p>
      <w:pPr>
        <w:pStyle w:val="Heading3"/>
        <w:numPr>
          <w:ilvl w:val="2"/>
          <w:numId w:val="1"/>
        </w:numPr>
        <w:rPr/>
      </w:pPr>
      <w:bookmarkStart w:id="79" w:name="__RefHeading___Toc1954868_2322387425"/>
      <w:bookmarkStart w:id="80" w:name="_Toc27"/>
      <w:bookmarkEnd w:id="78"/>
      <w:bookmarkEnd w:id="79"/>
      <w:r>
        <w:rPr>
          <w:rtl w:val="true"/>
        </w:rPr>
        <w:t>نیّة القطع أو القاطع فی أثناء النهار</w:t>
      </w:r>
      <w:bookmarkEnd w:id="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نوی القطع أو القاطع</w:t>
      </w:r>
      <w:r>
        <w:rPr>
          <w:rStyle w:val="FootnoteAnchor"/>
          <w:rtl w:val="true"/>
        </w:rPr>
        <w:footnoteReference w:id="222"/>
      </w:r>
      <w:r>
        <w:rPr>
          <w:rFonts w:ascii="IRNazanin" w:hAnsi="IRNazanin" w:eastAsia="IRNazanin"/>
          <w:color w:val="111111"/>
          <w:sz w:val="28"/>
          <w:sz w:val="28"/>
          <w:szCs w:val="28"/>
          <w:rtl w:val="true"/>
          <w:lang w:bidi="fa-IR"/>
        </w:rPr>
        <w:t> فی الصوم الواجب المعیّن بطل صومه</w:t>
      </w:r>
      <w:r>
        <w:rPr>
          <w:rStyle w:val="FootnoteAnchor"/>
          <w:rtl w:val="true"/>
        </w:rPr>
        <w:footnoteReference w:id="223"/>
      </w:r>
      <w:r>
        <w:rPr>
          <w:rFonts w:ascii="IRNazanin" w:hAnsi="IRNazanin" w:eastAsia="IRNazanin"/>
          <w:color w:val="111111"/>
          <w:sz w:val="28"/>
          <w:sz w:val="28"/>
          <w:szCs w:val="28"/>
          <w:rtl w:val="true"/>
          <w:lang w:bidi="fa-IR"/>
        </w:rPr>
        <w:t>، سواء نواهما من حینه</w:t>
      </w:r>
      <w:r>
        <w:rPr>
          <w:rStyle w:val="FootnoteAnchor"/>
          <w:rtl w:val="true"/>
        </w:rPr>
        <w:footnoteReference w:id="224"/>
      </w:r>
      <w:r>
        <w:rPr>
          <w:rFonts w:ascii="IRNazanin" w:hAnsi="IRNazanin" w:eastAsia="IRNazanin"/>
          <w:color w:val="111111"/>
          <w:sz w:val="28"/>
          <w:sz w:val="28"/>
          <w:szCs w:val="28"/>
          <w:rtl w:val="true"/>
          <w:lang w:bidi="fa-IR"/>
        </w:rPr>
        <w:t> أم فی ما یأتی</w:t>
      </w:r>
      <w:r>
        <w:rPr>
          <w:rStyle w:val="FootnoteAnchor"/>
          <w:rtl w:val="true"/>
        </w:rPr>
        <w:footnoteReference w:id="225"/>
      </w:r>
      <w:r>
        <w:rPr>
          <w:rFonts w:ascii="IRNazanin" w:hAnsi="IRNazanin" w:eastAsia="IRNazanin"/>
          <w:color w:val="111111"/>
          <w:sz w:val="28"/>
          <w:sz w:val="28"/>
          <w:szCs w:val="28"/>
          <w:rtl w:val="true"/>
          <w:lang w:bidi="fa-IR"/>
        </w:rPr>
        <w:t xml:space="preserve">، وکذا لو </w:t>
      </w:r>
    </w:p>
    <w:p>
      <w:pPr>
        <w:pStyle w:val="BookText"/>
        <w:rPr/>
      </w:pPr>
      <w:r>
        <w:rPr>
          <w:rFonts w:ascii="Amiri" w:hAnsi="Amiri" w:eastAsia="Amiri" w:cs="Amiri"/>
          <w:color w:val="111111"/>
          <w:sz w:val="28"/>
          <w:sz w:val="28"/>
          <w:szCs w:val="28"/>
          <w:rtl w:val="true"/>
          <w:lang w:bidi="ar-SA"/>
        </w:rPr>
        <w:t>تردّد</w:t>
      </w:r>
      <w:r>
        <w:rPr>
          <w:rStyle w:val="FootnoteAnchor"/>
          <w:rtl w:val="true"/>
        </w:rPr>
        <w:footnoteReference w:id="226"/>
      </w:r>
      <w:r>
        <w:rPr>
          <w:rFonts w:ascii="IRNazanin" w:hAnsi="IRNazanin" w:eastAsia="IRNazanin"/>
          <w:color w:val="111111"/>
          <w:sz w:val="28"/>
          <w:sz w:val="28"/>
          <w:szCs w:val="28"/>
          <w:rtl w:val="true"/>
          <w:lang w:bidi="fa-IR"/>
        </w:rPr>
        <w:t>، نعم، لو کان تردّده من جهة الشکّ فی بطلان صومه</w:t>
      </w:r>
      <w:r>
        <w:rPr>
          <w:rStyle w:val="FootnoteAnchor"/>
          <w:rtl w:val="true"/>
        </w:rPr>
        <w:footnoteReference w:id="227"/>
      </w:r>
      <w:r>
        <w:rPr>
          <w:rFonts w:ascii="IRNazanin" w:hAnsi="IRNazanin" w:eastAsia="IRNazanin"/>
          <w:color w:val="111111"/>
          <w:sz w:val="28"/>
          <w:sz w:val="28"/>
          <w:szCs w:val="28"/>
          <w:rtl w:val="true"/>
          <w:lang w:bidi="fa-IR"/>
        </w:rPr>
        <w:t> وعدمه  </w:t>
      </w:r>
    </w:p>
    <w:p>
      <w:pPr>
        <w:pStyle w:val="BookText"/>
        <w:rPr/>
      </w:pPr>
      <w:r>
        <w:rPr>
          <w:rFonts w:ascii="IRNazanin" w:hAnsi="IRNazanin" w:eastAsia="IRNazanin"/>
          <w:color w:val="111111"/>
          <w:sz w:val="28"/>
          <w:sz w:val="28"/>
          <w:szCs w:val="28"/>
          <w:rtl w:val="true"/>
          <w:lang w:bidi="fa-IR"/>
        </w:rPr>
        <w:t>لعروض عارض لم یبطل</w:t>
      </w:r>
      <w:r>
        <w:rPr>
          <w:rStyle w:val="FootnoteAnchor"/>
          <w:rtl w:val="true"/>
        </w:rPr>
        <w:footnoteReference w:id="228"/>
      </w:r>
      <w:r>
        <w:rPr>
          <w:rFonts w:ascii="IRNazanin" w:hAnsi="IRNazanin" w:eastAsia="IRNazanin"/>
          <w:color w:val="111111"/>
          <w:sz w:val="28"/>
          <w:sz w:val="28"/>
          <w:szCs w:val="28"/>
          <w:rtl w:val="true"/>
          <w:lang w:bidi="fa-IR"/>
        </w:rPr>
        <w:t> وإن استمرّ ذلک إلی أن یسأل، ولا فرق فی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البطلان بنیّة القطع أو القاطع أو التردّد بین أن یرجع إلی نیّة الصوم قبل </w:t>
      </w:r>
      <w:bookmarkStart w:id="81" w:name="pg13281_119721"/>
    </w:p>
    <w:p>
      <w:pPr>
        <w:pStyle w:val="BookText"/>
        <w:rPr/>
      </w:pPr>
      <w:bookmarkEnd w:id="81"/>
      <w:r>
        <w:rPr>
          <w:rFonts w:ascii="IRNazanin" w:hAnsi="IRNazanin" w:eastAsia="IRNazanin"/>
          <w:color w:val="111111"/>
          <w:sz w:val="28"/>
          <w:sz w:val="28"/>
          <w:szCs w:val="28"/>
          <w:rtl w:val="true"/>
          <w:lang w:bidi="fa-IR"/>
        </w:rPr>
        <w:t>الزوال أوْ لا</w:t>
      </w:r>
      <w:r>
        <w:rPr>
          <w:rStyle w:val="FootnoteAnchor"/>
          <w:rtl w:val="true"/>
        </w:rPr>
        <w:footnoteReference w:id="229"/>
      </w:r>
      <w:r>
        <w:rPr>
          <w:rFonts w:ascii="IRNazanin" w:hAnsi="IRNazanin" w:eastAsia="IRNazanin"/>
          <w:color w:val="111111"/>
          <w:sz w:val="28"/>
          <w:sz w:val="28"/>
          <w:szCs w:val="28"/>
          <w:rtl w:val="true"/>
          <w:lang w:bidi="fa-IR"/>
        </w:rPr>
        <w:t>، وأمّا فی غیر</w:t>
      </w:r>
      <w:r>
        <w:rPr>
          <w:rStyle w:val="FootnoteAnchor"/>
          <w:rtl w:val="true"/>
        </w:rPr>
        <w:footnoteReference w:id="230"/>
      </w:r>
      <w:r>
        <w:rPr>
          <w:rFonts w:ascii="IRNazanin" w:hAnsi="IRNazanin" w:eastAsia="IRNazanin"/>
          <w:color w:val="111111"/>
          <w:sz w:val="28"/>
          <w:sz w:val="28"/>
          <w:szCs w:val="28"/>
          <w:rtl w:val="true"/>
          <w:lang w:bidi="fa-IR"/>
        </w:rPr>
        <w:t> الواجب المعیّن فیصحّ لو رجع</w:t>
      </w:r>
      <w:r>
        <w:rPr>
          <w:rStyle w:val="FootnoteAnchor"/>
          <w:rtl w:val="true"/>
        </w:rPr>
        <w:footnoteReference w:id="231"/>
      </w:r>
      <w:r>
        <w:rPr>
          <w:rFonts w:ascii="IRNazanin" w:hAnsi="IRNazanin" w:eastAsia="IRNazanin"/>
          <w:color w:val="111111"/>
          <w:sz w:val="28"/>
          <w:sz w:val="28"/>
          <w:szCs w:val="28"/>
          <w:rtl w:val="true"/>
          <w:lang w:bidi="fa-IR"/>
        </w:rPr>
        <w:t> قبل الزوال</w:t>
      </w:r>
      <w:r>
        <w:rPr>
          <w:rFonts w:eastAsia="IRNazanin" w:cs="IRNazanin"/>
          <w:color w:val="111111"/>
          <w:sz w:val="28"/>
          <w:szCs w:val="28"/>
          <w:rtl w:val="true"/>
          <w:lang w:bidi="fa-IR"/>
        </w:rPr>
        <w:t>.</w:t>
      </w:r>
    </w:p>
    <w:p>
      <w:pPr>
        <w:pStyle w:val="Heading3"/>
        <w:numPr>
          <w:ilvl w:val="2"/>
          <w:numId w:val="1"/>
        </w:numPr>
        <w:rPr/>
      </w:pPr>
      <w:bookmarkStart w:id="82" w:name="__RefHeading___Toc1954870_2322387425"/>
      <w:bookmarkStart w:id="83" w:name="_Toc28"/>
      <w:bookmarkEnd w:id="82"/>
      <w:r>
        <w:rPr>
          <w:rtl w:val="true"/>
        </w:rPr>
        <w:t>عدم لزوم معرفة حقیقة الصوم التفصیلیة</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معرفة کون الصوم هو ترک المُفطِرات</w:t>
      </w:r>
      <w:r>
        <w:rPr>
          <w:rStyle w:val="FootnoteAnchor"/>
          <w:rtl w:val="true"/>
        </w:rPr>
        <w:footnoteReference w:id="232"/>
      </w:r>
      <w:r>
        <w:rPr>
          <w:rFonts w:ascii="IRNazanin" w:hAnsi="IRNazanin" w:eastAsia="IRNazanin"/>
          <w:color w:val="111111"/>
          <w:sz w:val="28"/>
          <w:sz w:val="28"/>
          <w:szCs w:val="28"/>
          <w:rtl w:val="true"/>
          <w:lang w:bidi="fa-IR"/>
        </w:rPr>
        <w:t> مع   </w:t>
      </w:r>
    </w:p>
    <w:p>
      <w:pPr>
        <w:pStyle w:val="BookText"/>
        <w:rPr/>
      </w:pPr>
      <w:r>
        <w:rPr>
          <w:rFonts w:ascii="IRNazanin" w:hAnsi="IRNazanin" w:eastAsia="IRNazanin"/>
          <w:color w:val="111111"/>
          <w:sz w:val="28"/>
          <w:sz w:val="28"/>
          <w:szCs w:val="28"/>
          <w:rtl w:val="true"/>
          <w:lang w:bidi="fa-IR"/>
        </w:rPr>
        <w:t>النیّة، أو کفّ النفس عنها معها</w:t>
      </w:r>
      <w:r>
        <w:rPr>
          <w:rFonts w:eastAsia="IRNazanin" w:cs="IRNazanin"/>
          <w:color w:val="111111"/>
          <w:sz w:val="28"/>
          <w:szCs w:val="28"/>
          <w:rtl w:val="true"/>
          <w:lang w:bidi="fa-IR"/>
        </w:rPr>
        <w:t>.</w:t>
      </w:r>
    </w:p>
    <w:p>
      <w:pPr>
        <w:pStyle w:val="Heading3"/>
        <w:numPr>
          <w:ilvl w:val="2"/>
          <w:numId w:val="1"/>
        </w:numPr>
        <w:rPr/>
      </w:pPr>
      <w:bookmarkStart w:id="84" w:name="__RefHeading___Toc1954872_2322387425"/>
      <w:bookmarkStart w:id="85" w:name="_Toc29"/>
      <w:bookmarkEnd w:id="84"/>
      <w:r>
        <w:rPr>
          <w:rtl w:val="true"/>
        </w:rPr>
        <w:t>العدول من صوم الی صوم</w:t>
      </w:r>
      <w:bookmarkEnd w:id="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العدول</w:t>
      </w:r>
      <w:r>
        <w:rPr>
          <w:rStyle w:val="FootnoteAnchor"/>
          <w:rtl w:val="true"/>
        </w:rPr>
        <w:footnoteReference w:id="233"/>
      </w:r>
      <w:r>
        <w:rPr>
          <w:rFonts w:ascii="IRNazanin" w:hAnsi="IRNazanin" w:eastAsia="IRNazanin"/>
          <w:color w:val="111111"/>
          <w:sz w:val="28"/>
          <w:sz w:val="28"/>
          <w:szCs w:val="28"/>
          <w:rtl w:val="true"/>
          <w:lang w:bidi="fa-IR"/>
        </w:rPr>
        <w:t> من صوم</w:t>
      </w:r>
      <w:r>
        <w:rPr>
          <w:rStyle w:val="FootnoteAnchor"/>
          <w:rtl w:val="true"/>
        </w:rPr>
        <w:footnoteReference w:id="234"/>
      </w:r>
      <w:r>
        <w:rPr>
          <w:rFonts w:ascii="IRNazanin" w:hAnsi="IRNazanin" w:eastAsia="IRNazanin"/>
          <w:color w:val="111111"/>
          <w:sz w:val="28"/>
          <w:sz w:val="28"/>
          <w:szCs w:val="28"/>
          <w:rtl w:val="true"/>
          <w:lang w:bidi="fa-IR"/>
        </w:rPr>
        <w:t> إلی صوم</w:t>
      </w:r>
      <w:r>
        <w:rPr>
          <w:rStyle w:val="FootnoteAnchor"/>
          <w:rtl w:val="true"/>
        </w:rPr>
        <w:footnoteReference w:id="235"/>
      </w:r>
      <w:r>
        <w:rPr>
          <w:rFonts w:ascii="Amiri" w:hAnsi="Amiri" w:eastAsia="Amiri" w:cs="Amiri"/>
          <w:color w:val="111111"/>
          <w:sz w:val="28"/>
          <w:sz w:val="28"/>
          <w:szCs w:val="28"/>
          <w:rtl w:val="true"/>
          <w:lang w:bidi="ar-SA"/>
        </w:rPr>
        <w:t xml:space="preserve">، واجبَینِ کانا </w:t>
      </w:r>
    </w:p>
    <w:p>
      <w:pPr>
        <w:pStyle w:val="BookText"/>
        <w:rPr/>
      </w:pPr>
      <w:r>
        <w:rPr>
          <w:rFonts w:ascii="IRNazanin" w:hAnsi="IRNazanin" w:eastAsia="IRNazanin"/>
          <w:color w:val="111111"/>
          <w:sz w:val="28"/>
          <w:sz w:val="28"/>
          <w:szCs w:val="28"/>
          <w:rtl w:val="true"/>
          <w:lang w:bidi="fa-IR"/>
        </w:rPr>
        <w:t>أو مستحبّین أو مختلفین، وتجدید نیّة رمضان إذا صام یوم الشکّ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بنیّة شعبان لیس</w:t>
      </w:r>
      <w:r>
        <w:rPr>
          <w:rStyle w:val="FootnoteAnchor"/>
          <w:rtl w:val="true"/>
        </w:rPr>
        <w:footnoteReference w:id="236"/>
      </w:r>
      <w:r>
        <w:rPr>
          <w:rFonts w:ascii="IRNazanin" w:hAnsi="IRNazanin" w:eastAsia="IRNazanin"/>
          <w:color w:val="111111"/>
          <w:sz w:val="28"/>
          <w:sz w:val="28"/>
          <w:szCs w:val="28"/>
          <w:rtl w:val="true"/>
          <w:lang w:bidi="fa-IR"/>
        </w:rPr>
        <w:t> من باب العدول</w:t>
      </w:r>
      <w:r>
        <w:rPr>
          <w:rStyle w:val="FootnoteAnchor"/>
          <w:rtl w:val="true"/>
        </w:rPr>
        <w:footnoteReference w:id="237"/>
      </w:r>
      <w:r>
        <w:rPr>
          <w:rFonts w:ascii="Amiri" w:hAnsi="Amiri" w:eastAsia="Amiri" w:cs="Amiri"/>
          <w:color w:val="111111"/>
          <w:sz w:val="28"/>
          <w:sz w:val="28"/>
          <w:szCs w:val="28"/>
          <w:rtl w:val="true"/>
          <w:lang w:bidi="ar-SA"/>
        </w:rPr>
        <w:t>، بل من جهة</w:t>
      </w:r>
      <w:r>
        <w:rPr>
          <w:rStyle w:val="FootnoteAnchor"/>
          <w:rtl w:val="true"/>
        </w:rPr>
        <w:footnoteReference w:id="238"/>
      </w:r>
      <w:r>
        <w:rPr>
          <w:rFonts w:ascii="Amiri" w:hAnsi="Amiri" w:eastAsia="Amiri" w:cs="Amiri"/>
          <w:color w:val="111111"/>
          <w:sz w:val="28"/>
          <w:sz w:val="28"/>
          <w:szCs w:val="28"/>
          <w:rtl w:val="true"/>
          <w:lang w:bidi="ar-SA"/>
        </w:rPr>
        <w:t> أنّ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وقتها</w:t>
      </w:r>
      <w:r>
        <w:rPr>
          <w:rStyle w:val="FootnoteAnchor"/>
          <w:rtl w:val="true"/>
        </w:rPr>
        <w:footnoteReference w:id="240"/>
      </w:r>
      <w:r>
        <w:rPr>
          <w:rFonts w:ascii="Amiri" w:hAnsi="Amiri" w:eastAsia="Amiri" w:cs="Amiri"/>
          <w:color w:val="111111"/>
          <w:sz w:val="28"/>
          <w:sz w:val="28"/>
          <w:szCs w:val="28"/>
          <w:rtl w:val="true"/>
          <w:lang w:bidi="ar-SA"/>
        </w:rPr>
        <w:t> موسّع</w:t>
      </w:r>
      <w:r>
        <w:rPr>
          <w:rStyle w:val="FootnoteAnchor"/>
          <w:rtl w:val="true"/>
        </w:rPr>
        <w:footnoteReference w:id="241"/>
      </w:r>
      <w:r>
        <w:rPr>
          <w:rFonts w:ascii="IRNazanin" w:hAnsi="IRNazanin" w:eastAsia="IRNazanin"/>
          <w:color w:val="111111"/>
          <w:sz w:val="28"/>
          <w:sz w:val="28"/>
          <w:szCs w:val="28"/>
          <w:rtl w:val="true"/>
          <w:lang w:bidi="fa-IR"/>
        </w:rPr>
        <w:t> لغیر</w:t>
      </w:r>
      <w:r>
        <w:rPr>
          <w:rStyle w:val="FootnoteAnchor"/>
          <w:rtl w:val="true"/>
        </w:rPr>
        <w:footnoteReference w:id="242"/>
      </w:r>
      <w:r>
        <w:rPr>
          <w:rFonts w:ascii="Amiri" w:hAnsi="Amiri" w:eastAsia="Amiri" w:cs="Amiri"/>
          <w:color w:val="111111"/>
          <w:sz w:val="28"/>
          <w:sz w:val="28"/>
          <w:szCs w:val="28"/>
          <w:rtl w:val="true"/>
          <w:lang w:bidi="ar-SA"/>
        </w:rPr>
        <w:t> العالِمِ</w:t>
      </w:r>
      <w:r>
        <w:rPr>
          <w:rStyle w:val="FootnoteAnchor"/>
          <w:rtl w:val="true"/>
        </w:rPr>
        <w:footnoteReference w:id="243"/>
      </w:r>
      <w:r>
        <w:rPr>
          <w:rFonts w:ascii="IRNazanin" w:hAnsi="IRNazanin" w:eastAsia="IRNazanin"/>
          <w:color w:val="111111"/>
          <w:sz w:val="28"/>
          <w:sz w:val="28"/>
          <w:szCs w:val="28"/>
          <w:rtl w:val="true"/>
          <w:lang w:bidi="fa-IR"/>
        </w:rPr>
        <w:t> به إلی الزوال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86" w:name="pg13281_119724"/>
    </w:p>
    <w:p>
      <w:pPr>
        <w:pStyle w:val="BookText"/>
        <w:rPr/>
      </w:pPr>
      <w:bookmarkEnd w:id="86"/>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w:t>
      </w:r>
    </w:p>
    <w:p>
      <w:pPr>
        <w:pStyle w:val="Heading2"/>
        <w:numPr>
          <w:ilvl w:val="1"/>
          <w:numId w:val="1"/>
        </w:numPr>
        <w:rPr/>
      </w:pPr>
      <w:bookmarkStart w:id="87" w:name="__RefHeading___Toc1954874_2322387425"/>
      <w:bookmarkStart w:id="88" w:name="_Toc30"/>
      <w:bookmarkEnd w:id="87"/>
      <w:r>
        <w:rPr>
          <w:rtl w:val="true"/>
        </w:rPr>
        <w:t>فصل</w:t>
      </w:r>
      <w:r>
        <w:rPr>
          <w:rtl w:val="true"/>
        </w:rPr>
        <w:t xml:space="preserve">: </w:t>
      </w:r>
      <w:r>
        <w:rPr>
          <w:rtl w:val="true"/>
        </w:rPr>
        <w:t>فی ما یجب الإمساک عنه فی الصوم من المفطِرات</w:t>
      </w:r>
      <w:bookmarkEnd w:id="88"/>
    </w:p>
    <w:p>
      <w:pPr>
        <w:pStyle w:val="Heading3"/>
        <w:numPr>
          <w:ilvl w:val="2"/>
          <w:numId w:val="1"/>
        </w:numPr>
        <w:rPr/>
      </w:pPr>
      <w:bookmarkStart w:id="89" w:name="__RefHeading___Toc1954876_2322387425"/>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وهی اُمور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954878_2322387425"/>
      <w:bookmarkStart w:id="92" w:name="_Toc32"/>
      <w:bookmarkEnd w:id="91"/>
      <w:r>
        <w:rPr>
          <w:rtl w:val="true"/>
        </w:rPr>
        <w:t>الأول والثانی</w:t>
      </w:r>
      <w:r>
        <w:rPr>
          <w:rtl w:val="true"/>
        </w:rPr>
        <w:t xml:space="preserve">: </w:t>
      </w:r>
      <w:r>
        <w:rPr>
          <w:rtl w:val="true"/>
        </w:rPr>
        <w:t>الأکل والشرب المعتاد منه وغیره قلّ أو کثر</w:t>
      </w:r>
      <w:bookmarkEnd w:id="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من غیر فرقٍ فی المأکول والمشروب بین المعتاد کالخبز والماء ونحوهما وغیره کالتراب والحصی وعصارة الأشجار ونحوها، ولا بین الکثیر والقلیل، کعُشر حبّة الحنطة أو عُشر قطرة من الماء أو غیرها من المائعات، حتّی أنّه لو بلّ الخیّاط الخیط بریقه أو غیره ثمّ ردّه إلی الفم وابتلع ما علیه من الرطوبة بطل صومه، إلّا إذا استهلک</w:t>
      </w:r>
      <w:r>
        <w:rPr>
          <w:rStyle w:val="FootnoteAnchor"/>
          <w:rtl w:val="true"/>
        </w:rPr>
        <w:footnoteReference w:id="245"/>
      </w:r>
      <w:r>
        <w:rPr>
          <w:rFonts w:ascii="IRNazanin" w:hAnsi="IRNazanin" w:eastAsia="IRNazanin"/>
          <w:color w:val="111111"/>
          <w:sz w:val="28"/>
          <w:sz w:val="28"/>
          <w:szCs w:val="28"/>
          <w:rtl w:val="true"/>
          <w:lang w:bidi="fa-IR"/>
        </w:rPr>
        <w:t> ما کان علیه</w:t>
      </w:r>
      <w:r>
        <w:rPr>
          <w:rStyle w:val="FootnoteAnchor"/>
          <w:rtl w:val="true"/>
        </w:rPr>
        <w:footnoteReference w:id="246"/>
      </w:r>
      <w:r>
        <w:rPr>
          <w:rFonts w:ascii="IRNazanin" w:hAnsi="IRNazanin" w:eastAsia="IRNazanin"/>
          <w:color w:val="111111"/>
          <w:sz w:val="28"/>
          <w:sz w:val="28"/>
          <w:szCs w:val="28"/>
          <w:rtl w:val="true"/>
          <w:lang w:bidi="fa-IR"/>
        </w:rPr>
        <w:t> من الرطوبة بریقه علی وجه لا یصدق</w:t>
      </w:r>
      <w:r>
        <w:rPr>
          <w:rStyle w:val="FootnoteAnchor"/>
          <w:rtl w:val="true"/>
        </w:rPr>
        <w:footnoteReference w:id="247"/>
      </w:r>
      <w:r>
        <w:rPr>
          <w:rFonts w:ascii="IRNazanin" w:hAnsi="IRNazanin" w:eastAsia="IRNazanin"/>
          <w:color w:val="111111"/>
          <w:sz w:val="28"/>
          <w:sz w:val="28"/>
          <w:szCs w:val="28"/>
          <w:rtl w:val="true"/>
          <w:lang w:bidi="fa-IR"/>
        </w:rPr>
        <w:t> علیه لرطوبة الخارجیّة</w:t>
      </w:r>
      <w:r>
        <w:rPr>
          <w:rStyle w:val="FootnoteAnchor"/>
          <w:rtl w:val="true"/>
        </w:rPr>
        <w:footnoteReference w:id="248"/>
      </w:r>
      <w:r>
        <w:rPr>
          <w:rFonts w:ascii="IRNazanin" w:hAnsi="IRNazanin" w:eastAsia="IRNazanin"/>
          <w:color w:val="111111"/>
          <w:sz w:val="28"/>
          <w:sz w:val="28"/>
          <w:szCs w:val="28"/>
          <w:rtl w:val="true"/>
          <w:lang w:bidi="fa-IR"/>
        </w:rPr>
        <w:t xml:space="preserve">، وکذا لو استاک وأخرج المسواک من فمه وکان علیه   </w:t>
      </w:r>
      <w:bookmarkStart w:id="93" w:name="pg13281_119725"/>
    </w:p>
    <w:p>
      <w:pPr>
        <w:pStyle w:val="BookText"/>
        <w:rPr/>
      </w:pPr>
      <w:bookmarkEnd w:id="93"/>
      <w:r>
        <w:rPr>
          <w:rFonts w:ascii="IRNazanin" w:hAnsi="IRNazanin" w:eastAsia="IRNazanin"/>
          <w:color w:val="111111"/>
          <w:sz w:val="28"/>
          <w:sz w:val="28"/>
          <w:szCs w:val="28"/>
          <w:rtl w:val="true"/>
          <w:lang w:bidi="fa-IR"/>
        </w:rPr>
        <w:t>رطوبة ثمّ ردّه إلی الفم، فإنّه لو ابتلع ما علیه بطل صومه، إلّا مع الاستهلاک علی الوجه المذکور، وکذا یبطل بابتلاع ما یخرج من بقایا الطعام من بین أسنانه</w:t>
      </w:r>
      <w:r>
        <w:rPr>
          <w:rFonts w:eastAsia="IRNazanin" w:cs="IRNazanin"/>
          <w:color w:val="111111"/>
          <w:sz w:val="28"/>
          <w:szCs w:val="28"/>
          <w:rtl w:val="true"/>
          <w:lang w:bidi="fa-IR"/>
        </w:rPr>
        <w:t>.</w:t>
      </w:r>
    </w:p>
    <w:p>
      <w:pPr>
        <w:pStyle w:val="Heading3"/>
        <w:numPr>
          <w:ilvl w:val="2"/>
          <w:numId w:val="1"/>
        </w:numPr>
        <w:rPr/>
      </w:pPr>
      <w:bookmarkStart w:id="94" w:name="__RefHeading___Toc1954880_2322387425"/>
      <w:bookmarkStart w:id="95" w:name="_Toc33"/>
      <w:bookmarkEnd w:id="94"/>
      <w:r>
        <w:rPr>
          <w:rtl w:val="true"/>
        </w:rPr>
        <w:t>حکم التخلیل بعد الأکل ممّن یرید الصوم</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التخلیل بعد الأکل لمن یرید الصوم، وإن احتمل</w:t>
      </w:r>
      <w:r>
        <w:rPr>
          <w:rStyle w:val="FootnoteAnchor"/>
          <w:rtl w:val="true"/>
        </w:rPr>
        <w:footnoteReference w:id="249"/>
      </w:r>
      <w:r>
        <w:rPr>
          <w:rFonts w:ascii="Amiri" w:hAnsi="Amiri" w:eastAsia="Amiri" w:cs="Amiri"/>
          <w:color w:val="111111"/>
          <w:sz w:val="28"/>
          <w:sz w:val="28"/>
          <w:szCs w:val="28"/>
          <w:rtl w:val="true"/>
          <w:lang w:bidi="ar-SA"/>
        </w:rPr>
        <w:t> أنّ ترکه</w:t>
      </w:r>
      <w:r>
        <w:rPr>
          <w:rStyle w:val="FootnoteAnchor"/>
          <w:rtl w:val="true"/>
        </w:rPr>
        <w:footnoteReference w:id="250"/>
      </w:r>
      <w:r>
        <w:rPr>
          <w:rFonts w:ascii="IRNazanin" w:hAnsi="IRNazanin" w:eastAsia="IRNazanin"/>
          <w:color w:val="111111"/>
          <w:sz w:val="28"/>
          <w:sz w:val="28"/>
          <w:szCs w:val="28"/>
          <w:rtl w:val="true"/>
          <w:lang w:bidi="fa-IR"/>
        </w:rPr>
        <w:t> یودّی إلی دخول البقایا بین الأسنان ی حلقه</w:t>
      </w:r>
      <w:r>
        <w:rPr>
          <w:rStyle w:val="FootnoteAnchor"/>
          <w:rtl w:val="true"/>
        </w:rPr>
        <w:footnoteReference w:id="251"/>
      </w:r>
      <w:r>
        <w:rPr>
          <w:rFonts w:ascii="IRNazanin" w:hAnsi="IRNazanin" w:eastAsia="IRNazanin"/>
          <w:color w:val="111111"/>
          <w:sz w:val="28"/>
          <w:sz w:val="28"/>
          <w:szCs w:val="28"/>
          <w:rtl w:val="true"/>
          <w:lang w:bidi="fa-IR"/>
        </w:rPr>
        <w:t>، ولا یبطل صومه لو دخل بعد ذلک سهواً، نعم، لو علم</w:t>
      </w:r>
      <w:r>
        <w:rPr>
          <w:rStyle w:val="FootnoteAnchor"/>
          <w:rtl w:val="true"/>
        </w:rPr>
        <w:footnoteReference w:id="252"/>
      </w:r>
      <w:r>
        <w:rPr>
          <w:rFonts w:ascii="Amiri" w:hAnsi="Amiri" w:eastAsia="Amiri" w:cs="Amiri"/>
          <w:color w:val="111111"/>
          <w:sz w:val="28"/>
          <w:sz w:val="28"/>
          <w:szCs w:val="28"/>
          <w:rtl w:val="true"/>
          <w:lang w:bidi="ar-SA"/>
        </w:rPr>
        <w:t>أنّ ترکه</w:t>
      </w:r>
      <w:r>
        <w:rPr>
          <w:rStyle w:val="FootnoteAnchor"/>
          <w:rtl w:val="true"/>
        </w:rPr>
        <w:footnoteReference w:id="253"/>
      </w:r>
      <w:r>
        <w:rPr>
          <w:rFonts w:ascii="IRNazanin" w:hAnsi="IRNazanin" w:eastAsia="IRNazanin"/>
          <w:color w:val="111111"/>
          <w:sz w:val="28"/>
          <w:sz w:val="28"/>
          <w:szCs w:val="28"/>
          <w:rtl w:val="true"/>
          <w:lang w:bidi="fa-IR"/>
        </w:rPr>
        <w:t> یودّی إلی ذلک</w:t>
      </w:r>
      <w:r>
        <w:rPr>
          <w:rStyle w:val="FootnoteAnchor"/>
          <w:rtl w:val="true"/>
        </w:rPr>
        <w:footnoteReference w:id="254"/>
      </w:r>
      <w:r>
        <w:rPr>
          <w:rFonts w:ascii="IRNazanin" w:hAnsi="IRNazanin" w:eastAsia="IRNazanin"/>
          <w:color w:val="111111"/>
          <w:sz w:val="28"/>
          <w:sz w:val="28"/>
          <w:szCs w:val="28"/>
          <w:rtl w:val="true"/>
          <w:lang w:bidi="fa-IR"/>
        </w:rPr>
        <w:t> وجب علیه، وبطل صومه</w:t>
      </w:r>
      <w:r>
        <w:rPr>
          <w:rStyle w:val="FootnoteAnchor"/>
          <w:rtl w:val="true"/>
        </w:rPr>
        <w:footnoteReference w:id="255"/>
      </w:r>
      <w:r>
        <w:rPr>
          <w:rFonts w:ascii="IRNazanin" w:hAnsi="IRNazanin" w:eastAsia="IRNazanin"/>
          <w:color w:val="111111"/>
          <w:sz w:val="28"/>
          <w:sz w:val="28"/>
          <w:szCs w:val="28"/>
          <w:rtl w:val="true"/>
          <w:lang w:bidi="fa-IR"/>
        </w:rPr>
        <w:t xml:space="preserve"> علی </w:t>
      </w:r>
      <w:bookmarkStart w:id="96" w:name="pg13281_119726"/>
    </w:p>
    <w:p>
      <w:pPr>
        <w:pStyle w:val="BookText"/>
        <w:rPr/>
      </w:pPr>
      <w:bookmarkEnd w:id="96"/>
      <w:r>
        <w:rPr>
          <w:rFonts w:ascii="IRNazanin" w:hAnsi="IRNazanin" w:eastAsia="IRNazanin"/>
          <w:color w:val="111111"/>
          <w:sz w:val="28"/>
          <w:sz w:val="28"/>
          <w:szCs w:val="28"/>
          <w:rtl w:val="true"/>
          <w:lang w:bidi="fa-IR"/>
        </w:rPr>
        <w:t>فرض</w:t>
      </w:r>
      <w:r>
        <w:rPr>
          <w:rStyle w:val="FootnoteAnchor"/>
          <w:rtl w:val="true"/>
        </w:rPr>
        <w:footnoteReference w:id="256"/>
      </w:r>
      <w:r>
        <w:rPr>
          <w:rFonts w:ascii="IRNazanin" w:hAnsi="IRNazanin" w:eastAsia="IRNazanin"/>
          <w:color w:val="111111"/>
          <w:sz w:val="28"/>
          <w:sz w:val="28"/>
          <w:szCs w:val="28"/>
          <w:rtl w:val="true"/>
          <w:lang w:bidi="fa-IR"/>
        </w:rPr>
        <w:t> الدخول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954882_2322387425"/>
      <w:bookmarkStart w:id="98" w:name="_Toc34"/>
      <w:bookmarkEnd w:id="97"/>
      <w:r>
        <w:rPr>
          <w:rtl w:val="true"/>
        </w:rPr>
        <w:t>حکم ابتلاع البصاق وما یخرج من الصدر</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ببلع البُصاق وإن کان کثیراً مجتمعاً، بل وإن کان </w:t>
      </w:r>
    </w:p>
    <w:p>
      <w:pPr>
        <w:pStyle w:val="BookText"/>
        <w:rPr/>
      </w:pPr>
      <w:r>
        <w:rPr>
          <w:rFonts w:ascii="IRNazanin" w:hAnsi="IRNazanin" w:eastAsia="IRNazanin"/>
          <w:color w:val="111111"/>
          <w:sz w:val="28"/>
          <w:sz w:val="28"/>
          <w:szCs w:val="28"/>
          <w:rtl w:val="true"/>
          <w:lang w:bidi="fa-IR"/>
        </w:rPr>
        <w:t>اجتماعه بفعل ما یوجبه کتذکّر الحامض مثلاً</w:t>
      </w:r>
      <w:r>
        <w:rPr>
          <w:rStyle w:val="FootnoteAnchor"/>
          <w:rtl w:val="true"/>
        </w:rPr>
        <w:footnoteReference w:id="258"/>
      </w:r>
      <w:r>
        <w:rPr>
          <w:rFonts w:ascii="IRNazanin" w:hAnsi="IRNazanin" w:eastAsia="IRNazanin"/>
          <w:color w:val="111111"/>
          <w:sz w:val="28"/>
          <w:sz w:val="28"/>
          <w:szCs w:val="28"/>
          <w:rtl w:val="true"/>
          <w:lang w:bidi="fa-IR"/>
        </w:rPr>
        <w:t>، لکنّ الأحوط</w:t>
      </w:r>
      <w:r>
        <w:rPr>
          <w:rStyle w:val="FootnoteAnchor"/>
          <w:rtl w:val="true"/>
        </w:rPr>
        <w:footnoteReference w:id="259"/>
      </w:r>
      <w:r>
        <w:rPr>
          <w:rFonts w:ascii="IRNazanin" w:hAnsi="IRNazanin" w:eastAsia="IRNazanin"/>
          <w:color w:val="111111"/>
          <w:sz w:val="28"/>
          <w:sz w:val="28"/>
          <w:szCs w:val="28"/>
          <w:rtl w:val="true"/>
          <w:lang w:bidi="fa-IR"/>
        </w:rPr>
        <w:t> الترک  </w:t>
      </w:r>
    </w:p>
    <w:p>
      <w:pPr>
        <w:pStyle w:val="BookText"/>
        <w:rPr/>
      </w:pPr>
      <w:r>
        <w:rPr>
          <w:rFonts w:ascii="IRNazanin" w:hAnsi="IRNazanin" w:eastAsia="IRNazanin"/>
          <w:color w:val="111111"/>
          <w:sz w:val="28"/>
          <w:sz w:val="28"/>
          <w:szCs w:val="28"/>
          <w:rtl w:val="true"/>
          <w:lang w:bidi="fa-IR"/>
        </w:rPr>
        <w:t>فی صورة الاجتماع خصوصاً مع تعمّد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بابتلاع ما یخرج من الصدر من الخلط وما ینزل من الرأس ما لم یصل إلی فضاء الفم، بل الأقوی جواز الجرّ من الرأس</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إلی الحلق، وإن کان الأحوط</w:t>
      </w:r>
      <w:r>
        <w:rPr>
          <w:rStyle w:val="FootnoteAnchor"/>
          <w:rtl w:val="true"/>
        </w:rPr>
        <w:footnoteReference w:id="261"/>
      </w:r>
      <w:r>
        <w:rPr>
          <w:rFonts w:ascii="IRNazanin" w:hAnsi="IRNazanin" w:eastAsia="IRNazanin"/>
          <w:color w:val="111111"/>
          <w:sz w:val="28"/>
          <w:sz w:val="28"/>
          <w:szCs w:val="28"/>
          <w:rtl w:val="true"/>
          <w:lang w:bidi="fa-IR"/>
        </w:rPr>
        <w:t> ترکه</w:t>
      </w:r>
      <w:r>
        <w:rPr>
          <w:rStyle w:val="FootnoteAnchor"/>
          <w:rtl w:val="true"/>
        </w:rPr>
        <w:footnoteReference w:id="262"/>
      </w:r>
      <w:r>
        <w:rPr>
          <w:rFonts w:ascii="IRNazanin" w:hAnsi="IRNazanin" w:eastAsia="IRNazanin"/>
          <w:color w:val="111111"/>
          <w:sz w:val="28"/>
          <w:sz w:val="28"/>
          <w:szCs w:val="28"/>
          <w:rtl w:val="true"/>
          <w:lang w:bidi="fa-IR"/>
        </w:rPr>
        <w:t>، وأمّا ما وصل منهما إلی فضاء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الفم</w:t>
      </w:r>
      <w:r>
        <w:rPr>
          <w:rStyle w:val="FootnoteAnchor"/>
          <w:rtl w:val="true"/>
        </w:rPr>
        <w:footnoteReference w:id="263"/>
      </w:r>
      <w:r>
        <w:rPr>
          <w:rFonts w:ascii="IRNazanin" w:hAnsi="IRNazanin" w:eastAsia="IRNazanin"/>
          <w:color w:val="111111"/>
          <w:sz w:val="28"/>
          <w:sz w:val="28"/>
          <w:szCs w:val="28"/>
          <w:rtl w:val="true"/>
          <w:lang w:bidi="fa-IR"/>
        </w:rPr>
        <w:t> فلا یُترک الاحتیاط</w:t>
      </w:r>
      <w:r>
        <w:rPr>
          <w:rStyle w:val="FootnoteAnchor"/>
          <w:rtl w:val="true"/>
        </w:rPr>
        <w:footnoteReference w:id="264"/>
      </w:r>
      <w:r>
        <w:rPr>
          <w:rFonts w:ascii="IRNazanin" w:hAnsi="IRNazanin" w:eastAsia="IRNazanin"/>
          <w:color w:val="111111"/>
          <w:sz w:val="28"/>
          <w:sz w:val="28"/>
          <w:szCs w:val="28"/>
          <w:rtl w:val="true"/>
          <w:lang w:bidi="fa-IR"/>
        </w:rPr>
        <w:t> فیه بترک الابتلاع</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99" w:name="pg13281_119728"/>
    </w:p>
    <w:p>
      <w:pPr>
        <w:pStyle w:val="Heading3"/>
        <w:numPr>
          <w:ilvl w:val="2"/>
          <w:numId w:val="1"/>
        </w:numPr>
        <w:rPr/>
      </w:pPr>
      <w:bookmarkStart w:id="100" w:name="__RefHeading___Toc1954884_2322387425"/>
      <w:bookmarkStart w:id="101" w:name="_Toc35"/>
      <w:bookmarkEnd w:id="99"/>
      <w:bookmarkEnd w:id="100"/>
      <w:r>
        <w:rPr>
          <w:rtl w:val="true"/>
        </w:rPr>
        <w:t>المدار صدق الأکل والشرب بأیّ نحوٍ کان</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صدق الأکل</w:t>
      </w:r>
      <w:r>
        <w:rPr>
          <w:rStyle w:val="FootnoteAnchor"/>
          <w:rtl w:val="true"/>
        </w:rPr>
        <w:footnoteReference w:id="266"/>
      </w:r>
      <w:r>
        <w:rPr>
          <w:rFonts w:ascii="IRNazanin" w:hAnsi="IRNazanin" w:eastAsia="IRNazanin"/>
          <w:color w:val="111111"/>
          <w:sz w:val="28"/>
          <w:sz w:val="28"/>
          <w:szCs w:val="28"/>
          <w:rtl w:val="true"/>
          <w:lang w:bidi="fa-IR"/>
        </w:rPr>
        <w:t> والشرب وإن کان النحو الغیرالمتعارف، فلا یضرّ مجرّد الوصول إلی الجوف</w:t>
      </w:r>
      <w:r>
        <w:rPr>
          <w:rStyle w:val="FootnoteAnchor"/>
          <w:rtl w:val="true"/>
        </w:rPr>
        <w:footnoteReference w:id="267"/>
      </w:r>
      <w:r>
        <w:rPr>
          <w:rFonts w:ascii="IRNazanin" w:hAnsi="IRNazanin" w:eastAsia="IRNazanin"/>
          <w:color w:val="111111"/>
          <w:sz w:val="28"/>
          <w:sz w:val="28"/>
          <w:szCs w:val="28"/>
          <w:rtl w:val="true"/>
          <w:lang w:bidi="fa-IR"/>
        </w:rPr>
        <w:t>إذا</w:t>
      </w:r>
      <w:r>
        <w:rPr>
          <w:rStyle w:val="FootnoteAnchor"/>
          <w:rtl w:val="true"/>
        </w:rPr>
        <w:footnoteReference w:id="268"/>
      </w:r>
      <w:r>
        <w:rPr>
          <w:rFonts w:ascii="IRNazanin" w:hAnsi="IRNazanin" w:eastAsia="IRNazanin"/>
          <w:color w:val="111111"/>
          <w:sz w:val="28"/>
          <w:sz w:val="28"/>
          <w:szCs w:val="28"/>
          <w:rtl w:val="true"/>
          <w:lang w:bidi="fa-IR"/>
        </w:rPr>
        <w:t> لم یصدق</w:t>
      </w:r>
      <w:r>
        <w:rPr>
          <w:rStyle w:val="FootnoteAnchor"/>
          <w:rtl w:val="true"/>
        </w:rPr>
        <w:footnoteReference w:id="269"/>
      </w:r>
      <w:r>
        <w:rPr>
          <w:rFonts w:ascii="IRNazanin" w:hAnsi="IRNazanin" w:eastAsia="IRNazanin"/>
          <w:color w:val="111111"/>
          <w:sz w:val="28"/>
          <w:sz w:val="28"/>
          <w:szCs w:val="28"/>
          <w:rtl w:val="true"/>
          <w:lang w:bidi="fa-IR"/>
        </w:rPr>
        <w:t> الأکل</w:t>
      </w:r>
      <w:r>
        <w:rPr>
          <w:rStyle w:val="FootnoteAnchor"/>
          <w:rtl w:val="true"/>
        </w:rPr>
        <w:footnoteReference w:id="270"/>
      </w:r>
      <w:r>
        <w:rPr>
          <w:rFonts w:ascii="IRNazanin" w:hAnsi="IRNazanin" w:eastAsia="IRNazanin"/>
          <w:color w:val="111111"/>
          <w:sz w:val="28"/>
          <w:sz w:val="28"/>
          <w:szCs w:val="28"/>
          <w:rtl w:val="true"/>
          <w:lang w:bidi="fa-IR"/>
        </w:rPr>
        <w:t> أو الشرب</w:t>
      </w:r>
      <w:r>
        <w:rPr>
          <w:rStyle w:val="FootnoteAnchor"/>
          <w:rtl w:val="true"/>
        </w:rPr>
        <w:footnoteReference w:id="271"/>
      </w:r>
      <w:r>
        <w:rPr>
          <w:rFonts w:ascii="Amiri" w:hAnsi="Amiri" w:eastAsia="Amiri" w:cs="Amiri"/>
          <w:color w:val="111111"/>
          <w:sz w:val="28"/>
          <w:sz w:val="28"/>
          <w:szCs w:val="28"/>
          <w:rtl w:val="true"/>
          <w:lang w:bidi="ar-SA"/>
        </w:rPr>
        <w:t>، کما إذا صبّ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دواء</w:t>
      </w:r>
      <w:r>
        <w:rPr>
          <w:rStyle w:val="FootnoteAnchor"/>
          <w:rtl w:val="true"/>
        </w:rPr>
        <w:footnoteReference w:id="272"/>
      </w:r>
      <w:r>
        <w:rPr>
          <w:rFonts w:ascii="IRNazanin" w:hAnsi="IRNazanin" w:eastAsia="IRNazanin"/>
          <w:color w:val="111111"/>
          <w:sz w:val="28"/>
          <w:sz w:val="28"/>
          <w:szCs w:val="28"/>
          <w:rtl w:val="true"/>
          <w:lang w:bidi="fa-IR"/>
        </w:rPr>
        <w:t> فی جرحه</w:t>
      </w:r>
      <w:r>
        <w:rPr>
          <w:rStyle w:val="FootnoteAnchor"/>
          <w:rtl w:val="true"/>
        </w:rPr>
        <w:footnoteReference w:id="273"/>
      </w:r>
      <w:r>
        <w:rPr>
          <w:rFonts w:ascii="Amiri" w:hAnsi="Amiri" w:eastAsia="Amiri" w:cs="Amiri"/>
          <w:color w:val="111111"/>
          <w:sz w:val="28"/>
          <w:sz w:val="28"/>
          <w:szCs w:val="28"/>
          <w:rtl w:val="true"/>
          <w:lang w:bidi="ar-SA"/>
        </w:rPr>
        <w:t>، أو شیئاً</w:t>
      </w:r>
      <w:r>
        <w:rPr>
          <w:rStyle w:val="FootnoteAnchor"/>
          <w:rtl w:val="true"/>
        </w:rPr>
        <w:footnoteReference w:id="274"/>
      </w:r>
      <w:r>
        <w:rPr>
          <w:rFonts w:ascii="IRNazanin" w:hAnsi="IRNazanin" w:eastAsia="IRNazanin"/>
          <w:color w:val="111111"/>
          <w:sz w:val="28"/>
          <w:sz w:val="28"/>
          <w:szCs w:val="28"/>
          <w:rtl w:val="true"/>
          <w:lang w:bidi="fa-IR"/>
        </w:rPr>
        <w:t> فی اُذنه أو إحلیله فوصل إلی جوفه</w:t>
      </w:r>
      <w:r>
        <w:rPr>
          <w:rStyle w:val="FootnoteAnchor"/>
          <w:rtl w:val="true"/>
        </w:rPr>
        <w:footnoteReference w:id="275"/>
      </w:r>
      <w:r>
        <w:rPr>
          <w:rFonts w:ascii="IRNazanin" w:hAnsi="IRNazanin" w:eastAsia="IRNazanin"/>
          <w:color w:val="111111"/>
          <w:sz w:val="28"/>
          <w:sz w:val="28"/>
          <w:szCs w:val="28"/>
          <w:rtl w:val="true"/>
          <w:lang w:bidi="fa-IR"/>
        </w:rPr>
        <w:t>، نعم، إذا وصل من طریق أنفه فالظاهر أنّه موجب للبطلان إن کان متعمّداً؛ لصدق الأکل والشرب حینئذٍ</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 w:name="pg13281_119730"/>
    </w:p>
    <w:p>
      <w:pPr>
        <w:pStyle w:val="Heading3"/>
        <w:numPr>
          <w:ilvl w:val="2"/>
          <w:numId w:val="1"/>
        </w:numPr>
        <w:rPr/>
      </w:pPr>
      <w:bookmarkStart w:id="103" w:name="__RefHeading___Toc1954886_2322387425"/>
      <w:bookmarkStart w:id="104" w:name="_Toc36"/>
      <w:bookmarkEnd w:id="102"/>
      <w:bookmarkEnd w:id="103"/>
      <w:r>
        <w:rPr>
          <w:rtl w:val="true"/>
        </w:rPr>
        <w:t>صوم من أنفذ إلی جوفه رمحاً أو نحوه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w:t>
      </w:r>
      <w:r>
        <w:rPr>
          <w:rStyle w:val="FootnoteAnchor"/>
          <w:rtl w:val="true"/>
        </w:rPr>
        <w:footnoteReference w:id="277"/>
      </w:r>
      <w:r>
        <w:rPr>
          <w:rFonts w:ascii="IRNazanin" w:hAnsi="IRNazanin" w:eastAsia="IRNazanin"/>
          <w:color w:val="111111"/>
          <w:sz w:val="28"/>
          <w:sz w:val="28"/>
          <w:szCs w:val="28"/>
          <w:rtl w:val="true"/>
          <w:lang w:bidi="fa-IR"/>
        </w:rPr>
        <w:t> الصوم بإنفاذ الرمح أو السکّین أو نحوهما</w:t>
      </w:r>
    </w:p>
    <w:p>
      <w:pPr>
        <w:pStyle w:val="BookText"/>
        <w:rPr/>
      </w:pPr>
      <w:r>
        <w:rPr>
          <w:rFonts w:ascii="IRNazanin" w:hAnsi="IRNazanin" w:eastAsia="IRNazanin"/>
          <w:color w:val="111111"/>
          <w:sz w:val="28"/>
          <w:sz w:val="28"/>
          <w:szCs w:val="28"/>
          <w:rtl w:val="true"/>
          <w:lang w:bidi="fa-IR"/>
        </w:rPr>
        <w:t>بحیث یصل إلی الجوف وإن کان متعمّداً</w:t>
      </w:r>
      <w:r>
        <w:rPr>
          <w:rFonts w:eastAsia="IRNazanin" w:cs="IRNazanin"/>
          <w:color w:val="111111"/>
          <w:sz w:val="28"/>
          <w:szCs w:val="28"/>
          <w:rtl w:val="true"/>
          <w:lang w:bidi="fa-IR"/>
        </w:rPr>
        <w:t>.</w:t>
      </w:r>
    </w:p>
    <w:p>
      <w:pPr>
        <w:pStyle w:val="Heading3"/>
        <w:numPr>
          <w:ilvl w:val="2"/>
          <w:numId w:val="1"/>
        </w:numPr>
        <w:rPr/>
      </w:pPr>
      <w:bookmarkStart w:id="105" w:name="__RefHeading___Toc1954888_2322387425"/>
      <w:bookmarkStart w:id="106" w:name="_Toc37"/>
      <w:bookmarkEnd w:id="105"/>
      <w:r>
        <w:rPr>
          <w:rtl w:val="true"/>
        </w:rPr>
        <w:t xml:space="preserve">الثالث </w:t>
      </w:r>
      <w:r>
        <w:rPr>
          <w:rtl w:val="true"/>
        </w:rPr>
        <w:t xml:space="preserve">: </w:t>
      </w:r>
      <w:r>
        <w:rPr>
          <w:rtl w:val="true"/>
        </w:rPr>
        <w:t>الجماع وإن لم ینزل</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وإن لم ینزل للذکر والاُنثی، قُبُلاً أو دُبُراً</w:t>
      </w:r>
      <w:r>
        <w:rPr>
          <w:rStyle w:val="FootnoteAnchor"/>
          <w:rtl w:val="true"/>
        </w:rPr>
        <w:footnoteReference w:id="278"/>
      </w:r>
      <w:r>
        <w:rPr>
          <w:rFonts w:ascii="Amiri" w:hAnsi="Amiri" w:eastAsia="Amiri" w:cs="Amiri"/>
          <w:color w:val="111111"/>
          <w:sz w:val="28"/>
          <w:sz w:val="28"/>
          <w:szCs w:val="28"/>
          <w:rtl w:val="true"/>
          <w:lang w:bidi="ar-SA"/>
        </w:rPr>
        <w:t>، صغیراً کان و کبیراً، حیّاً أو میّتاً، واطئاً أو موطوءً، وکذا لو کان الموطوء بهیمة</w:t>
      </w:r>
      <w:r>
        <w:rPr>
          <w:rStyle w:val="FootnoteAnchor"/>
          <w:rtl w:val="true"/>
        </w:rPr>
        <w:footnoteReference w:id="27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وکذا لو کانت هی الواطئة</w:t>
      </w:r>
      <w:r>
        <w:rPr>
          <w:rStyle w:val="FootnoteAnchor"/>
          <w:rtl w:val="true"/>
        </w:rPr>
        <w:footnoteReference w:id="280"/>
      </w:r>
      <w:r>
        <w:rPr>
          <w:rFonts w:ascii="IRNazanin" w:hAnsi="IRNazanin" w:eastAsia="IRNazanin"/>
          <w:color w:val="111111"/>
          <w:sz w:val="28"/>
          <w:sz w:val="28"/>
          <w:szCs w:val="28"/>
          <w:rtl w:val="true"/>
          <w:lang w:bidi="fa-IR"/>
        </w:rPr>
        <w:t>، ویتحقّق بإدخال الحشفة أومقدارها</w:t>
      </w:r>
      <w:r>
        <w:rPr>
          <w:rStyle w:val="FootnoteAnchor"/>
          <w:rtl w:val="true"/>
        </w:rPr>
        <w:footnoteReference w:id="2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مقطوعها</w:t>
      </w:r>
      <w:r>
        <w:rPr>
          <w:rStyle w:val="FootnoteAnchor"/>
          <w:rtl w:val="true"/>
        </w:rPr>
        <w:footnoteReference w:id="282"/>
      </w:r>
      <w:r>
        <w:rPr>
          <w:rFonts w:ascii="IRNazanin" w:hAnsi="IRNazanin" w:eastAsia="IRNazanin"/>
          <w:color w:val="111111"/>
          <w:sz w:val="28"/>
          <w:sz w:val="28"/>
          <w:szCs w:val="28"/>
          <w:rtl w:val="true"/>
          <w:lang w:bidi="fa-IR"/>
        </w:rPr>
        <w:t>، فلا یبطل بأقلّ من ذلک</w:t>
      </w:r>
      <w:r>
        <w:rPr>
          <w:rStyle w:val="FootnoteAnchor"/>
          <w:rtl w:val="true"/>
        </w:rPr>
        <w:footnoteReference w:id="283"/>
      </w:r>
      <w:r>
        <w:rPr>
          <w:rFonts w:ascii="IRNazanin" w:hAnsi="IRNazanin" w:eastAsia="IRNazanin"/>
          <w:color w:val="111111"/>
          <w:sz w:val="28"/>
          <w:sz w:val="28"/>
          <w:szCs w:val="28"/>
          <w:rtl w:val="true"/>
          <w:lang w:bidi="fa-IR"/>
        </w:rPr>
        <w:t>، بل لو دخل بجملته ملتویاً</w:t>
      </w:r>
      <w:r>
        <w:rPr>
          <w:rStyle w:val="FootnoteAnchor"/>
          <w:rtl w:val="true"/>
        </w:rPr>
        <w:footnoteReference w:id="284"/>
      </w:r>
      <w:bookmarkStart w:id="107" w:name="pg13281_119732"/>
    </w:p>
    <w:p>
      <w:pPr>
        <w:pStyle w:val="BookText"/>
        <w:rPr/>
      </w:pPr>
      <w:bookmarkEnd w:id="107"/>
      <w:r>
        <w:rPr>
          <w:rFonts w:ascii="IRNazanin" w:hAnsi="IRNazanin" w:eastAsia="IRNazanin"/>
          <w:color w:val="111111"/>
          <w:sz w:val="28"/>
          <w:sz w:val="28"/>
          <w:szCs w:val="28"/>
          <w:rtl w:val="true"/>
          <w:lang w:bidi="fa-IR"/>
        </w:rPr>
        <w:t>ولم یکن بمقدار الحشفة</w:t>
      </w:r>
      <w:r>
        <w:rPr>
          <w:rStyle w:val="FootnoteAnchor"/>
          <w:rtl w:val="true"/>
        </w:rPr>
        <w:footnoteReference w:id="285"/>
      </w:r>
      <w:r>
        <w:rPr>
          <w:rFonts w:ascii="IRNazanin" w:hAnsi="IRNazanin" w:eastAsia="IRNazanin"/>
          <w:color w:val="111111"/>
          <w:sz w:val="28"/>
          <w:sz w:val="28"/>
          <w:szCs w:val="28"/>
          <w:rtl w:val="true"/>
          <w:lang w:bidi="fa-IR"/>
        </w:rPr>
        <w:t> لم یبطل</w:t>
      </w:r>
      <w:r>
        <w:rPr>
          <w:rStyle w:val="FootnoteAnchor"/>
          <w:rtl w:val="true"/>
        </w:rPr>
        <w:footnoteReference w:id="286"/>
      </w:r>
      <w:r>
        <w:rPr>
          <w:rFonts w:ascii="IRNazanin" w:hAnsi="IRNazanin" w:eastAsia="IRNazanin"/>
          <w:color w:val="111111"/>
          <w:sz w:val="28"/>
          <w:sz w:val="28"/>
          <w:szCs w:val="28"/>
          <w:rtl w:val="true"/>
          <w:lang w:bidi="fa-IR"/>
        </w:rPr>
        <w:t>، وإن کان</w:t>
      </w:r>
      <w:r>
        <w:rPr>
          <w:rStyle w:val="FootnoteAnchor"/>
          <w:rtl w:val="true"/>
        </w:rPr>
        <w:footnoteReference w:id="287"/>
      </w:r>
      <w:r>
        <w:rPr>
          <w:rFonts w:ascii="IRNazanin" w:hAnsi="IRNazanin" w:eastAsia="IRNazanin"/>
          <w:color w:val="111111"/>
          <w:sz w:val="28"/>
          <w:sz w:val="28"/>
          <w:szCs w:val="28"/>
          <w:rtl w:val="true"/>
          <w:lang w:bidi="fa-IR"/>
        </w:rPr>
        <w:t> لو انتشر کان بمقدارها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البطلان بالجماع بین صورة قصد الإنزال به وعدمه</w:t>
      </w:r>
      <w:r>
        <w:rPr>
          <w:rFonts w:eastAsia="IRNazanin" w:cs="IRNazanin"/>
          <w:color w:val="111111"/>
          <w:sz w:val="28"/>
          <w:szCs w:val="28"/>
          <w:rtl w:val="true"/>
          <w:lang w:bidi="fa-IR"/>
        </w:rPr>
        <w:t>.</w:t>
      </w:r>
    </w:p>
    <w:p>
      <w:pPr>
        <w:pStyle w:val="Heading3"/>
        <w:numPr>
          <w:ilvl w:val="2"/>
          <w:numId w:val="1"/>
        </w:numPr>
        <w:rPr/>
      </w:pPr>
      <w:bookmarkStart w:id="108" w:name="__RefHeading___Toc1954890_2322387425"/>
      <w:bookmarkStart w:id="109" w:name="_Toc38"/>
      <w:bookmarkEnd w:id="108"/>
      <w:r>
        <w:rPr>
          <w:rtl w:val="true"/>
        </w:rPr>
        <w:t>بعض فروع الإنزال وصوره</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الصوم بالإیلاج فی غیر أحد الفَرْجَین بلا إنزال، إلّا إذا کان قاصداً</w:t>
      </w:r>
      <w:r>
        <w:rPr>
          <w:rStyle w:val="FootnoteAnchor"/>
          <w:rtl w:val="true"/>
        </w:rPr>
        <w:footnoteReference w:id="288"/>
      </w:r>
      <w:r>
        <w:rPr>
          <w:rFonts w:ascii="IRNazanin" w:hAnsi="IRNazanin" w:eastAsia="IRNazanin"/>
          <w:color w:val="111111"/>
          <w:sz w:val="28"/>
          <w:sz w:val="28"/>
          <w:szCs w:val="28"/>
          <w:rtl w:val="true"/>
          <w:lang w:bidi="fa-IR"/>
        </w:rPr>
        <w:t> له فإنّه یبطل</w:t>
      </w:r>
      <w:r>
        <w:rPr>
          <w:rStyle w:val="FootnoteAnchor"/>
          <w:rtl w:val="true"/>
        </w:rPr>
        <w:footnoteReference w:id="2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r>
        <w:rPr>
          <w:rStyle w:val="FootnoteAnchor"/>
          <w:rtl w:val="true"/>
        </w:rPr>
        <w:footnoteReference w:id="290"/>
      </w:r>
      <w:r>
        <w:rPr>
          <w:rFonts w:ascii="IRNazanin" w:hAnsi="IRNazanin" w:eastAsia="IRNazanin"/>
          <w:color w:val="111111"/>
          <w:sz w:val="28"/>
          <w:sz w:val="28"/>
          <w:szCs w:val="28"/>
          <w:rtl w:val="true"/>
          <w:lang w:bidi="fa-IR"/>
        </w:rPr>
        <w:t> لم ینزل</w:t>
      </w:r>
      <w:r>
        <w:rPr>
          <w:rStyle w:val="FootnoteAnchor"/>
          <w:rtl w:val="true"/>
        </w:rPr>
        <w:footnoteReference w:id="291"/>
      </w:r>
      <w:r>
        <w:rPr>
          <w:rFonts w:ascii="IRNazanin" w:hAnsi="IRNazanin" w:eastAsia="IRNazanin"/>
          <w:color w:val="111111"/>
          <w:sz w:val="28"/>
          <w:sz w:val="28"/>
          <w:szCs w:val="28"/>
          <w:rtl w:val="true"/>
          <w:lang w:bidi="fa-IR"/>
        </w:rPr>
        <w:t>؛ من حیث إنّه نوی</w:t>
      </w:r>
      <w:r>
        <w:rPr>
          <w:rStyle w:val="FootnoteAnchor"/>
          <w:rtl w:val="true"/>
        </w:rPr>
        <w:footnoteReference w:id="292"/>
      </w:r>
      <w:r>
        <w:rPr>
          <w:rFonts w:ascii="Amiri" w:hAnsi="Amiri" w:eastAsia="Amiri" w:cs="Amiri"/>
          <w:color w:val="111111"/>
          <w:sz w:val="28"/>
          <w:sz w:val="28"/>
          <w:szCs w:val="28"/>
          <w:rtl w:val="true"/>
          <w:lang w:bidi="ar-SA"/>
        </w:rPr>
        <w:t> المفطِر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10" w:name="pg13281_119734"/>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یضرّ إدخال الإصبع ونحوه لا بقصد</w:t>
      </w:r>
      <w:r>
        <w:rPr>
          <w:rStyle w:val="FootnoteAnchor"/>
          <w:rtl w:val="true"/>
        </w:rPr>
        <w:footnoteReference w:id="294"/>
      </w:r>
      <w:r>
        <w:rPr>
          <w:rFonts w:ascii="IRNazanin" w:hAnsi="IRNazanin" w:eastAsia="IRNazanin"/>
          <w:color w:val="111111"/>
          <w:sz w:val="28"/>
          <w:sz w:val="28"/>
          <w:szCs w:val="28"/>
          <w:rtl w:val="true"/>
          <w:lang w:bidi="fa-IR"/>
        </w:rPr>
        <w:t> الإنزال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954892_2322387425"/>
      <w:bookmarkStart w:id="112" w:name="_Toc39"/>
      <w:bookmarkEnd w:id="111"/>
      <w:r>
        <w:rPr>
          <w:rtl w:val="true"/>
        </w:rPr>
        <w:t>حکم الجماع قهراً أو سهواً من غیر اختیار</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الصوم بالجماع إذا کان نائماً أو کان مکرهاً</w:t>
      </w:r>
      <w:r>
        <w:rPr>
          <w:rStyle w:val="FootnoteAnchor"/>
          <w:rtl w:val="true"/>
        </w:rPr>
        <w:footnoteReference w:id="2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خرج عن اختیاره</w:t>
      </w:r>
      <w:r>
        <w:rPr>
          <w:rStyle w:val="FootnoteAnchor"/>
          <w:rtl w:val="true"/>
        </w:rPr>
        <w:footnoteReference w:id="297"/>
      </w:r>
      <w:r>
        <w:rPr>
          <w:rFonts w:ascii="IRNazanin" w:hAnsi="IRNazanin" w:eastAsia="IRNazanin"/>
          <w:color w:val="111111"/>
          <w:sz w:val="28"/>
          <w:sz w:val="28"/>
          <w:szCs w:val="28"/>
          <w:rtl w:val="true"/>
          <w:lang w:bidi="fa-IR"/>
        </w:rPr>
        <w:t>، کما لا یضرّ إذا کان سهواً</w:t>
      </w:r>
      <w:r>
        <w:rPr>
          <w:rFonts w:eastAsia="IRNazanin" w:cs="IRNazanin"/>
          <w:color w:val="111111"/>
          <w:sz w:val="28"/>
          <w:szCs w:val="28"/>
          <w:rtl w:val="true"/>
          <w:lang w:bidi="fa-IR"/>
        </w:rPr>
        <w:t xml:space="preserve">. </w:t>
      </w:r>
      <w:bookmarkStart w:id="113" w:name="pg13281_119735"/>
    </w:p>
    <w:p>
      <w:pPr>
        <w:pStyle w:val="Heading3"/>
        <w:numPr>
          <w:ilvl w:val="2"/>
          <w:numId w:val="1"/>
        </w:numPr>
        <w:rPr/>
      </w:pPr>
      <w:bookmarkStart w:id="114" w:name="__RefHeading___Toc1954894_2322387425"/>
      <w:bookmarkStart w:id="115" w:name="_Toc40"/>
      <w:bookmarkEnd w:id="113"/>
      <w:bookmarkEnd w:id="114"/>
      <w:r>
        <w:rPr>
          <w:rtl w:val="true"/>
        </w:rPr>
        <w:t>حکم ارتکاب المفطر خطأً أو قاصداً مع الخلاف</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قصد التفخیذ مثلاً فدخل فی أحد الفرجین لم یبطل، ولو قصد الإدخال فی أحدهما فلم یتحقّق کان مبطلاً</w:t>
      </w:r>
      <w:r>
        <w:rPr>
          <w:rStyle w:val="FootnoteAnchor"/>
          <w:rtl w:val="true"/>
        </w:rPr>
        <w:footnoteReference w:id="298"/>
      </w:r>
      <w:r>
        <w:rPr>
          <w:rFonts w:ascii="IRNazanin" w:hAnsi="IRNazanin" w:eastAsia="IRNazanin"/>
          <w:color w:val="111111"/>
          <w:sz w:val="28"/>
          <w:sz w:val="28"/>
          <w:szCs w:val="28"/>
          <w:rtl w:val="true"/>
          <w:lang w:bidi="fa-IR"/>
        </w:rPr>
        <w:t>؛ من حیث</w:t>
      </w:r>
      <w:r>
        <w:rPr>
          <w:rStyle w:val="FootnoteAnchor"/>
          <w:rtl w:val="true"/>
        </w:rPr>
        <w:footnoteReference w:id="299"/>
      </w:r>
      <w:r>
        <w:rPr>
          <w:rFonts w:ascii="Amiri" w:hAnsi="Amiri" w:eastAsia="Amiri" w:cs="Amiri"/>
          <w:color w:val="111111"/>
          <w:sz w:val="28"/>
          <w:sz w:val="28"/>
          <w:szCs w:val="28"/>
          <w:rtl w:val="true"/>
          <w:lang w:bidi="ar-SA"/>
        </w:rPr>
        <w:t> إنّه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نوی المفطِر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16" w:name="pg13281_119736"/>
    </w:p>
    <w:p>
      <w:pPr>
        <w:pStyle w:val="Heading3"/>
        <w:numPr>
          <w:ilvl w:val="2"/>
          <w:numId w:val="1"/>
        </w:numPr>
        <w:rPr/>
      </w:pPr>
      <w:bookmarkStart w:id="117" w:name="__RefHeading___Toc1954896_2322387425"/>
      <w:bookmarkStart w:id="118" w:name="_Toc41"/>
      <w:bookmarkEnd w:id="116"/>
      <w:bookmarkEnd w:id="117"/>
      <w:r>
        <w:rPr>
          <w:rtl w:val="true"/>
        </w:rPr>
        <w:t>حکم مجامعة الخنثی</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الرجل بالخنثی قُبُلاً لم یبطل</w:t>
      </w:r>
      <w:r>
        <w:rPr>
          <w:rStyle w:val="FootnoteAnchor"/>
          <w:rtl w:val="true"/>
        </w:rPr>
        <w:footnoteReference w:id="30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صومه ولا صومها</w:t>
      </w:r>
      <w:r>
        <w:rPr>
          <w:rStyle w:val="FootnoteAnchor"/>
          <w:rtl w:val="true"/>
        </w:rPr>
        <w:footnoteReference w:id="302"/>
      </w:r>
      <w:r>
        <w:rPr>
          <w:rFonts w:ascii="Amiri" w:hAnsi="Amiri" w:eastAsia="Amiri" w:cs="Amiri"/>
          <w:color w:val="111111"/>
          <w:sz w:val="28"/>
          <w:sz w:val="28"/>
          <w:szCs w:val="28"/>
          <w:rtl w:val="true"/>
          <w:lang w:bidi="ar-SA"/>
        </w:rPr>
        <w:t>، وکذا لو دخل الخنثی بالاُنثی ولو دبراً، أمّا لو وَطِئَ الخنثی</w:t>
      </w:r>
      <w:r>
        <w:rPr>
          <w:rStyle w:val="FootnoteAnchor"/>
          <w:rtl w:val="true"/>
        </w:rPr>
        <w:footnoteReference w:id="303"/>
      </w:r>
      <w:r>
        <w:rPr>
          <w:rFonts w:ascii="Amiri" w:hAnsi="Amiri" w:eastAsia="Amiri" w:cs="Amiri"/>
          <w:color w:val="111111"/>
          <w:sz w:val="28"/>
          <w:sz w:val="28"/>
          <w:szCs w:val="28"/>
          <w:rtl w:val="true"/>
          <w:lang w:bidi="ar-SA"/>
        </w:rPr>
        <w:t> دبراً</w:t>
      </w:r>
      <w:r>
        <w:rPr>
          <w:rStyle w:val="FootnoteAnchor"/>
          <w:rtl w:val="true"/>
        </w:rPr>
        <w:footnoteReference w:id="304"/>
      </w:r>
      <w:r>
        <w:rPr>
          <w:rFonts w:ascii="IRNazanin" w:hAnsi="IRNazanin" w:eastAsia="IRNazanin"/>
          <w:color w:val="111111"/>
          <w:sz w:val="28"/>
          <w:sz w:val="28"/>
          <w:szCs w:val="28"/>
          <w:rtl w:val="true"/>
          <w:lang w:bidi="fa-IR"/>
        </w:rPr>
        <w:t> بطل صومهما</w:t>
      </w:r>
      <w:r>
        <w:rPr>
          <w:rStyle w:val="FootnoteAnchor"/>
          <w:rtl w:val="true"/>
        </w:rPr>
        <w:footnoteReference w:id="305"/>
      </w:r>
      <w:r>
        <w:rPr>
          <w:rFonts w:ascii="IRNazanin" w:hAnsi="IRNazanin" w:eastAsia="IRNazanin"/>
          <w:color w:val="111111"/>
          <w:sz w:val="28"/>
          <w:sz w:val="28"/>
          <w:szCs w:val="28"/>
          <w:rtl w:val="true"/>
          <w:lang w:bidi="fa-IR"/>
        </w:rPr>
        <w:t xml:space="preserve">، ولو دخل </w:t>
      </w:r>
    </w:p>
    <w:p>
      <w:pPr>
        <w:pStyle w:val="BookText"/>
        <w:rPr/>
      </w:pPr>
      <w:r>
        <w:rPr>
          <w:rFonts w:ascii="IRNazanin" w:hAnsi="IRNazanin" w:eastAsia="IRNazanin"/>
          <w:color w:val="111111"/>
          <w:sz w:val="28"/>
          <w:sz w:val="28"/>
          <w:szCs w:val="28"/>
          <w:rtl w:val="true"/>
          <w:lang w:bidi="fa-IR"/>
        </w:rPr>
        <w:t>الرجل</w:t>
      </w:r>
      <w:r>
        <w:rPr>
          <w:rStyle w:val="FootnoteAnchor"/>
          <w:rtl w:val="true"/>
        </w:rPr>
        <w:footnoteReference w:id="306"/>
      </w:r>
      <w:r>
        <w:rPr>
          <w:rFonts w:ascii="IRNazanin" w:hAnsi="IRNazanin" w:eastAsia="IRNazanin"/>
          <w:color w:val="111111"/>
          <w:sz w:val="28"/>
          <w:sz w:val="28"/>
          <w:szCs w:val="28"/>
          <w:rtl w:val="true"/>
          <w:lang w:bidi="fa-IR"/>
        </w:rPr>
        <w:t> بالخنثی</w:t>
      </w:r>
      <w:r>
        <w:rPr>
          <w:rStyle w:val="FootnoteAnchor"/>
          <w:rtl w:val="true"/>
        </w:rPr>
        <w:footnoteReference w:id="307"/>
      </w:r>
      <w:r>
        <w:rPr>
          <w:rFonts w:ascii="IRNazanin" w:hAnsi="IRNazanin" w:eastAsia="IRNazanin"/>
          <w:color w:val="111111"/>
          <w:sz w:val="28"/>
          <w:sz w:val="28"/>
          <w:szCs w:val="28"/>
          <w:rtl w:val="true"/>
          <w:lang w:bidi="fa-IR"/>
        </w:rPr>
        <w:t> ودخلت</w:t>
      </w:r>
      <w:r>
        <w:rPr>
          <w:rStyle w:val="FootnoteAnchor"/>
          <w:rtl w:val="true"/>
        </w:rPr>
        <w:footnoteReference w:id="308"/>
      </w:r>
      <w:r>
        <w:rPr>
          <w:rFonts w:ascii="IRNazanin" w:hAnsi="IRNazanin" w:eastAsia="IRNazanin"/>
          <w:color w:val="111111"/>
          <w:sz w:val="28"/>
          <w:sz w:val="28"/>
          <w:szCs w:val="28"/>
          <w:rtl w:val="true"/>
          <w:lang w:bidi="fa-IR"/>
        </w:rPr>
        <w:t> الخنثی بالاُنثی بطل</w:t>
      </w:r>
      <w:r>
        <w:rPr>
          <w:rStyle w:val="FootnoteAnchor"/>
          <w:rtl w:val="true"/>
        </w:rPr>
        <w:footnoteReference w:id="309"/>
      </w:r>
      <w:r>
        <w:rPr>
          <w:rFonts w:ascii="IRNazanin" w:hAnsi="IRNazanin" w:eastAsia="IRNazanin"/>
          <w:color w:val="111111"/>
          <w:sz w:val="28"/>
          <w:sz w:val="28"/>
          <w:szCs w:val="28"/>
          <w:rtl w:val="true"/>
          <w:lang w:bidi="fa-IR"/>
        </w:rPr>
        <w:t> صوم الخنثی</w:t>
      </w:r>
    </w:p>
    <w:p>
      <w:pPr>
        <w:pStyle w:val="BookText"/>
        <w:rPr/>
      </w:pPr>
      <w:r>
        <w:rPr>
          <w:rFonts w:ascii="Amiri" w:hAnsi="Amiri" w:eastAsia="Amiri" w:cs="Amiri"/>
          <w:color w:val="111111"/>
          <w:sz w:val="28"/>
          <w:sz w:val="28"/>
          <w:szCs w:val="28"/>
          <w:rtl w:val="true"/>
          <w:lang w:bidi="ar-SA"/>
        </w:rPr>
        <w:t>دونهما، ولو وطِئت کلّ من الخُنثَیین الاُخری لم یبطل صومهما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نسیاناً أو من غیر اختیار، ثمّ تذکّر أو ارتفع الجبر وجب الإخراج فوراً، فإن تراخی بطل صومه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الدخول</w:t>
      </w:r>
      <w:r>
        <w:rPr>
          <w:rStyle w:val="FootnoteAnchor"/>
          <w:rtl w:val="true"/>
        </w:rPr>
        <w:footnoteReference w:id="311"/>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شکّ</w:t>
      </w:r>
      <w:r>
        <w:rPr>
          <w:rStyle w:val="FootnoteAnchor"/>
          <w:rtl w:val="true"/>
        </w:rPr>
        <w:footnoteReference w:id="312"/>
      </w:r>
      <w:r>
        <w:rPr>
          <w:rFonts w:ascii="IRNazanin" w:hAnsi="IRNazanin" w:eastAsia="IRNazanin"/>
          <w:color w:val="111111"/>
          <w:sz w:val="28"/>
          <w:sz w:val="28"/>
          <w:szCs w:val="28"/>
          <w:rtl w:val="true"/>
          <w:lang w:bidi="fa-IR"/>
        </w:rPr>
        <w:t> فی بلوغ</w:t>
      </w:r>
      <w:r>
        <w:rPr>
          <w:rStyle w:val="FootnoteAnchor"/>
          <w:rtl w:val="true"/>
        </w:rPr>
        <w:footnoteReference w:id="313"/>
      </w:r>
      <w:r>
        <w:rPr>
          <w:rFonts w:ascii="Amiri" w:hAnsi="Amiri" w:eastAsia="Amiri" w:cs="Amiri"/>
          <w:color w:val="111111"/>
          <w:sz w:val="28"/>
          <w:sz w:val="28"/>
          <w:szCs w:val="28"/>
          <w:rtl w:val="true"/>
          <w:lang w:bidi="ar-SA"/>
        </w:rPr>
        <w:t> مقدار الحشفة</w:t>
      </w:r>
      <w:r>
        <w:rPr>
          <w:rStyle w:val="FootnoteAnchor"/>
          <w:rtl w:val="true"/>
        </w:rPr>
        <w:footnoteReference w:id="314"/>
      </w:r>
      <w:r>
        <w:rPr>
          <w:rFonts w:ascii="IRNazanin" w:hAnsi="IRNazanin" w:eastAsia="IRNazanin"/>
          <w:color w:val="111111"/>
          <w:sz w:val="28"/>
          <w:sz w:val="28"/>
          <w:szCs w:val="28"/>
          <w:rtl w:val="true"/>
          <w:lang w:bidi="fa-IR"/>
        </w:rPr>
        <w:t> لم یبطل</w:t>
      </w:r>
      <w:r>
        <w:rPr>
          <w:rStyle w:val="FootnoteAnchor"/>
          <w:rtl w:val="true"/>
        </w:rPr>
        <w:footnoteReference w:id="315"/>
      </w:r>
      <w:r>
        <w:rPr>
          <w:rFonts w:ascii="IRNazanin" w:hAnsi="IRNazanin" w:eastAsia="IRNazanin"/>
          <w:color w:val="111111"/>
          <w:sz w:val="28"/>
          <w:sz w:val="28"/>
          <w:szCs w:val="28"/>
          <w:rtl w:val="true"/>
          <w:lang w:bidi="fa-IR"/>
        </w:rPr>
        <w:t> صومه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19" w:name="pg13281_119739"/>
    </w:p>
    <w:p>
      <w:pPr>
        <w:pStyle w:val="Heading3"/>
        <w:numPr>
          <w:ilvl w:val="2"/>
          <w:numId w:val="1"/>
        </w:numPr>
        <w:rPr/>
      </w:pPr>
      <w:bookmarkStart w:id="120" w:name="__RefHeading___Toc1954898_2322387425"/>
      <w:bookmarkStart w:id="121" w:name="_Toc42"/>
      <w:bookmarkEnd w:id="119"/>
      <w:bookmarkEnd w:id="120"/>
      <w:r>
        <w:rPr>
          <w:rtl w:val="true"/>
        </w:rPr>
        <w:t>الرابع</w:t>
      </w:r>
      <w:r>
        <w:rPr>
          <w:rtl w:val="true"/>
        </w:rPr>
        <w:t xml:space="preserve">: </w:t>
      </w:r>
      <w:r>
        <w:rPr>
          <w:rtl w:val="true"/>
        </w:rPr>
        <w:t>الاستمناء</w:t>
      </w:r>
      <w:bookmarkEnd w:id="121"/>
    </w:p>
    <w:p>
      <w:pPr>
        <w:pStyle w:val="BookText"/>
        <w:rPr/>
      </w:pPr>
      <w:r>
        <w:rPr>
          <w:rFonts w:ascii="IRNazanin" w:hAnsi="IRNazanin" w:eastAsia="IRNazanin"/>
          <w:color w:val="111111"/>
          <w:sz w:val="28"/>
          <w:sz w:val="28"/>
          <w:szCs w:val="28"/>
          <w:rtl w:val="true"/>
          <w:lang w:bidi="fa-IR"/>
        </w:rPr>
        <w:t xml:space="preserve">الرابع من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أی إنزال المنیّ متعمّداً بملامسة أو قبلة أو تفخیذ أو نظر</w:t>
      </w:r>
      <w:r>
        <w:rPr>
          <w:rStyle w:val="FootnoteAnchor"/>
          <w:rtl w:val="true"/>
        </w:rPr>
        <w:footnoteReference w:id="317"/>
      </w:r>
      <w:r>
        <w:rPr>
          <w:rFonts w:ascii="IRNazanin" w:hAnsi="IRNazanin" w:eastAsia="IRNazanin"/>
          <w:color w:val="111111"/>
          <w:sz w:val="28"/>
          <w:sz w:val="28"/>
          <w:szCs w:val="28"/>
          <w:rtl w:val="true"/>
          <w:lang w:bidi="fa-IR"/>
        </w:rPr>
        <w:t> أو تصویر صورة الواقعة أو تخیّل صورة امرأة، أو</w:t>
      </w:r>
    </w:p>
    <w:p>
      <w:pPr>
        <w:pStyle w:val="BookText"/>
        <w:rPr/>
      </w:pPr>
      <w:r>
        <w:rPr>
          <w:rFonts w:ascii="IRNazanin" w:hAnsi="IRNazanin" w:eastAsia="IRNazanin"/>
          <w:color w:val="111111"/>
          <w:sz w:val="28"/>
          <w:sz w:val="28"/>
          <w:szCs w:val="28"/>
          <w:rtl w:val="true"/>
          <w:lang w:bidi="fa-IR"/>
        </w:rPr>
        <w:t>نحو ذلک من الأفعال التی یقصد بها حصوله فإنّه مبطل للصوم بجمیع أفراده، وأمّا لو لم یکن قاصداً</w:t>
      </w:r>
      <w:r>
        <w:rPr>
          <w:rStyle w:val="FootnoteAnchor"/>
          <w:rtl w:val="true"/>
        </w:rPr>
        <w:footnoteReference w:id="318"/>
      </w:r>
      <w:r>
        <w:rPr>
          <w:rFonts w:ascii="IRNazanin" w:hAnsi="IRNazanin" w:eastAsia="IRNazanin"/>
          <w:color w:val="111111"/>
          <w:sz w:val="28"/>
          <w:sz w:val="28"/>
          <w:szCs w:val="28"/>
          <w:rtl w:val="true"/>
          <w:lang w:bidi="fa-IR"/>
        </w:rPr>
        <w:t> للإنزال وسبقه المنیّ من دون إیجاد شیء</w:t>
      </w:r>
    </w:p>
    <w:p>
      <w:pPr>
        <w:pStyle w:val="BookText"/>
        <w:rPr/>
      </w:pPr>
      <w:r>
        <w:rPr>
          <w:rFonts w:ascii="Amiri" w:hAnsi="Amiri" w:eastAsia="Amiri" w:cs="Amiri"/>
          <w:color w:val="111111"/>
          <w:sz w:val="28"/>
          <w:sz w:val="28"/>
          <w:szCs w:val="28"/>
          <w:rtl w:val="true"/>
          <w:lang w:bidi="ar-SA"/>
        </w:rPr>
        <w:t>ممّا یقتضیه</w:t>
      </w:r>
      <w:r>
        <w:rPr>
          <w:rStyle w:val="FootnoteAnchor"/>
          <w:rtl w:val="true"/>
        </w:rPr>
        <w:footnoteReference w:id="319"/>
      </w:r>
      <w:r>
        <w:rPr>
          <w:rFonts w:ascii="IRNazanin" w:hAnsi="IRNazanin" w:eastAsia="IRNazanin"/>
          <w:color w:val="111111"/>
          <w:sz w:val="28"/>
          <w:sz w:val="28"/>
          <w:szCs w:val="28"/>
          <w:rtl w:val="true"/>
          <w:lang w:bidi="fa-IR"/>
        </w:rPr>
        <w:t> لم یکن علیه شیء</w:t>
      </w:r>
      <w:r>
        <w:rPr>
          <w:rFonts w:eastAsia="IRNazanin" w:cs="IRNazanin"/>
          <w:color w:val="111111"/>
          <w:sz w:val="28"/>
          <w:szCs w:val="28"/>
          <w:rtl w:val="true"/>
          <w:lang w:bidi="fa-IR"/>
        </w:rPr>
        <w:t>.</w:t>
      </w:r>
    </w:p>
    <w:p>
      <w:pPr>
        <w:pStyle w:val="Heading3"/>
        <w:numPr>
          <w:ilvl w:val="2"/>
          <w:numId w:val="1"/>
        </w:numPr>
        <w:rPr/>
      </w:pPr>
      <w:bookmarkStart w:id="122" w:name="__RefHeading___Toc1954900_2322387425"/>
      <w:bookmarkStart w:id="123" w:name="_Toc43"/>
      <w:bookmarkEnd w:id="122"/>
      <w:r>
        <w:rPr>
          <w:rtl w:val="true"/>
        </w:rPr>
        <w:t>بعض صور مفطریة الاستمناء</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من نفسه أنّه لو نام فی نهار رمضان یحتلم فالأحوط</w:t>
      </w:r>
      <w:r>
        <w:rPr>
          <w:rStyle w:val="FootnoteAnchor"/>
          <w:rtl w:val="true"/>
        </w:rPr>
        <w:footnoteReference w:id="320"/>
      </w:r>
      <w:r>
        <w:rPr>
          <w:rFonts w:ascii="IRNazanin" w:hAnsi="IRNazanin" w:eastAsia="IRNazanin"/>
          <w:color w:val="111111"/>
          <w:sz w:val="28"/>
          <w:sz w:val="28"/>
          <w:szCs w:val="28"/>
          <w:rtl w:val="true"/>
          <w:lang w:bidi="fa-IR"/>
        </w:rPr>
        <w:t> ترکه</w:t>
      </w:r>
      <w:r>
        <w:rPr>
          <w:rStyle w:val="FootnoteAnchor"/>
          <w:rtl w:val="true"/>
        </w:rPr>
        <w:footnoteReference w:id="321"/>
      </w:r>
      <w:r>
        <w:rPr>
          <w:rFonts w:ascii="IRNazanin" w:hAnsi="IRNazanin" w:eastAsia="IRNazanin"/>
          <w:color w:val="111111"/>
          <w:sz w:val="28"/>
          <w:sz w:val="28"/>
          <w:szCs w:val="28"/>
          <w:rtl w:val="true"/>
          <w:lang w:bidi="fa-IR"/>
        </w:rPr>
        <w:t>، وإن کان الظاهر جوازه</w:t>
      </w:r>
      <w:r>
        <w:rPr>
          <w:rStyle w:val="FootnoteAnchor"/>
          <w:rtl w:val="true"/>
        </w:rPr>
        <w:footnoteReference w:id="322"/>
      </w:r>
      <w:r>
        <w:rPr>
          <w:rFonts w:ascii="IRNazanin" w:hAnsi="IRNazanin" w:eastAsia="IRNazanin"/>
          <w:color w:val="111111"/>
          <w:sz w:val="28"/>
          <w:sz w:val="28"/>
          <w:szCs w:val="28"/>
          <w:rtl w:val="true"/>
          <w:lang w:bidi="fa-IR"/>
        </w:rPr>
        <w:t>، خصوصاً إذا کان الترک موجباً للحرج</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للمحتلم فی النهار الاستبراء</w:t>
      </w:r>
      <w:r>
        <w:rPr>
          <w:rStyle w:val="FootnoteAnchor"/>
          <w:rtl w:val="true"/>
        </w:rPr>
        <w:footnoteReference w:id="324"/>
      </w:r>
      <w:r>
        <w:rPr>
          <w:rFonts w:ascii="IRNazanin" w:hAnsi="IRNazanin" w:eastAsia="IRNazanin"/>
          <w:color w:val="111111"/>
          <w:sz w:val="28"/>
          <w:sz w:val="28"/>
          <w:szCs w:val="28"/>
          <w:rtl w:val="true"/>
          <w:lang w:bidi="fa-IR"/>
        </w:rPr>
        <w:t> بالبول</w:t>
      </w:r>
      <w:r>
        <w:rPr>
          <w:rStyle w:val="FootnoteAnchor"/>
          <w:rtl w:val="true"/>
        </w:rPr>
        <w:footnoteReference w:id="325"/>
      </w:r>
      <w:r>
        <w:rPr>
          <w:rFonts w:ascii="IRNazanin" w:hAnsi="IRNazanin" w:eastAsia="IRNazanin"/>
          <w:color w:val="111111"/>
          <w:sz w:val="28"/>
          <w:sz w:val="28"/>
          <w:szCs w:val="28"/>
          <w:rtl w:val="true"/>
          <w:lang w:bidi="fa-IR"/>
        </w:rPr>
        <w:t> أو  </w:t>
      </w:r>
    </w:p>
    <w:p>
      <w:pPr>
        <w:pStyle w:val="BookText"/>
        <w:rPr/>
      </w:pPr>
      <w:r>
        <w:rPr>
          <w:rFonts w:ascii="IRNazanin" w:hAnsi="IRNazanin" w:eastAsia="IRNazanin"/>
          <w:color w:val="111111"/>
          <w:sz w:val="28"/>
          <w:sz w:val="28"/>
          <w:szCs w:val="28"/>
          <w:rtl w:val="true"/>
          <w:lang w:bidi="fa-IR"/>
        </w:rPr>
        <w:t>الخرطات وإن علم بخروج بقایا المنیّ فی المجری، ولا یجب</w:t>
      </w:r>
      <w:r>
        <w:rPr>
          <w:rStyle w:val="FootnoteAnchor"/>
          <w:rtl w:val="true"/>
        </w:rPr>
        <w:footnoteReference w:id="326"/>
      </w:r>
      <w:r>
        <w:rPr>
          <w:rFonts w:ascii="IRNazanin" w:hAnsi="IRNazanin" w:eastAsia="IRNazanin"/>
          <w:color w:val="111111"/>
          <w:sz w:val="28"/>
          <w:sz w:val="28"/>
          <w:szCs w:val="28"/>
          <w:rtl w:val="true"/>
          <w:lang w:bidi="fa-IR"/>
        </w:rPr>
        <w:t> علیه   </w:t>
      </w:r>
    </w:p>
    <w:p>
      <w:pPr>
        <w:pStyle w:val="BookText"/>
        <w:rPr/>
      </w:pPr>
      <w:r>
        <w:rPr>
          <w:rFonts w:ascii="IRNazanin" w:hAnsi="IRNazanin" w:eastAsia="IRNazanin"/>
          <w:color w:val="111111"/>
          <w:sz w:val="28"/>
          <w:sz w:val="28"/>
          <w:szCs w:val="28"/>
          <w:rtl w:val="true"/>
          <w:lang w:bidi="fa-IR"/>
        </w:rPr>
        <w:t>التحفّظ بعد الإنزال</w:t>
      </w:r>
      <w:r>
        <w:rPr>
          <w:rStyle w:val="FootnoteAnchor"/>
          <w:rtl w:val="true"/>
        </w:rPr>
        <w:footnoteReference w:id="327"/>
      </w:r>
      <w:r>
        <w:rPr>
          <w:rFonts w:ascii="IRNazanin" w:hAnsi="IRNazanin" w:eastAsia="IRNazanin"/>
          <w:color w:val="111111"/>
          <w:sz w:val="28"/>
          <w:sz w:val="28"/>
          <w:szCs w:val="28"/>
          <w:rtl w:val="true"/>
          <w:lang w:bidi="fa-IR"/>
        </w:rPr>
        <w:t> من خروج المنی إن استیقظ قبله، خصوصاً مع الإضرار أو الحرج</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احتلم فی النهار وأراد الاغتسال</w:t>
      </w:r>
      <w:r>
        <w:rPr>
          <w:rStyle w:val="FootnoteAnchor"/>
          <w:rtl w:val="true"/>
        </w:rPr>
        <w:footnoteReference w:id="3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330"/>
      </w:r>
      <w:r>
        <w:rPr>
          <w:rFonts w:ascii="IRNazanin" w:hAnsi="IRNazanin" w:eastAsia="IRNazanin"/>
          <w:color w:val="111111"/>
          <w:sz w:val="28"/>
          <w:sz w:val="28"/>
          <w:szCs w:val="28"/>
          <w:rtl w:val="true"/>
          <w:lang w:bidi="fa-IR"/>
        </w:rPr>
        <w:t> تقدیم الاستبراء</w:t>
      </w:r>
      <w:r>
        <w:rPr>
          <w:rStyle w:val="FootnoteAnchor"/>
          <w:rtl w:val="true"/>
        </w:rPr>
        <w:footnoteReference w:id="331"/>
      </w:r>
      <w:r>
        <w:rPr>
          <w:rFonts w:ascii="Amiri" w:hAnsi="Amiri" w:eastAsia="Amiri" w:cs="Amiri"/>
          <w:color w:val="111111"/>
          <w:sz w:val="28"/>
          <w:sz w:val="28"/>
          <w:szCs w:val="28"/>
          <w:rtl w:val="true"/>
          <w:lang w:bidi="ar-SA"/>
        </w:rPr>
        <w:t xml:space="preserve"> إذا علم أنّه </w:t>
      </w:r>
    </w:p>
    <w:p>
      <w:pPr>
        <w:pStyle w:val="BookText"/>
        <w:rPr/>
      </w:pPr>
      <w:r>
        <w:rPr>
          <w:rFonts w:ascii="IRNazanin" w:hAnsi="IRNazanin" w:eastAsia="IRNazanin"/>
          <w:color w:val="111111"/>
          <w:sz w:val="28"/>
          <w:sz w:val="28"/>
          <w:szCs w:val="28"/>
          <w:rtl w:val="true"/>
          <w:lang w:bidi="fa-IR"/>
        </w:rPr>
        <w:t>لو ترکه</w:t>
      </w:r>
      <w:r>
        <w:rPr>
          <w:rStyle w:val="FootnoteAnchor"/>
          <w:rtl w:val="true"/>
        </w:rPr>
        <w:footnoteReference w:id="332"/>
      </w:r>
      <w:r>
        <w:rPr>
          <w:rFonts w:ascii="IRNazanin" w:hAnsi="IRNazanin" w:eastAsia="IRNazanin"/>
          <w:color w:val="111111"/>
          <w:sz w:val="28"/>
          <w:sz w:val="28"/>
          <w:szCs w:val="28"/>
          <w:rtl w:val="true"/>
          <w:lang w:bidi="fa-IR"/>
        </w:rPr>
        <w:t> خرجت البقایا</w:t>
      </w:r>
      <w:r>
        <w:rPr>
          <w:rStyle w:val="FootnoteAnchor"/>
          <w:rtl w:val="true"/>
        </w:rPr>
        <w:footnoteReference w:id="333"/>
      </w:r>
      <w:r>
        <w:rPr>
          <w:rFonts w:ascii="IRNazanin" w:hAnsi="IRNazanin" w:eastAsia="IRNazanin"/>
          <w:color w:val="111111"/>
          <w:sz w:val="28"/>
          <w:sz w:val="28"/>
          <w:szCs w:val="28"/>
          <w:rtl w:val="true"/>
          <w:lang w:bidi="fa-IR"/>
        </w:rPr>
        <w:t> بعد الغسل فتحدث جنابة جدیدة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قصد الإنزال بإتیان شیء ممّا ذکر ولکن لم ینزل بطل صومه</w:t>
      </w:r>
      <w:r>
        <w:rPr>
          <w:rStyle w:val="FootnoteAnchor"/>
          <w:rtl w:val="true"/>
        </w:rPr>
        <w:footnoteReference w:id="334"/>
      </w:r>
      <w:r>
        <w:rPr>
          <w:rFonts w:ascii="IRNazanin" w:hAnsi="IRNazanin" w:eastAsia="IRNazanin"/>
          <w:color w:val="111111"/>
          <w:sz w:val="28"/>
          <w:sz w:val="28"/>
          <w:szCs w:val="28"/>
          <w:rtl w:val="true"/>
          <w:lang w:bidi="fa-IR"/>
        </w:rPr>
        <w:t>؛ من باب</w:t>
      </w:r>
      <w:r>
        <w:rPr>
          <w:rStyle w:val="FootnoteAnchor"/>
          <w:rtl w:val="true"/>
        </w:rPr>
        <w:footnoteReference w:id="335"/>
      </w:r>
      <w:r>
        <w:rPr>
          <w:rFonts w:ascii="Amiri" w:hAnsi="Amiri" w:eastAsia="Amiri" w:cs="Amiri"/>
          <w:color w:val="111111"/>
          <w:sz w:val="28"/>
          <w:sz w:val="28"/>
          <w:szCs w:val="28"/>
          <w:rtl w:val="true"/>
          <w:lang w:bidi="ar-SA"/>
        </w:rPr>
        <w:t> إیجاد نیّة المفطِر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أوجد بعض هذه الأفعال لا بنیّة الإنزال لکن کان من عادته</w:t>
      </w:r>
      <w:r>
        <w:rPr>
          <w:rStyle w:val="FootnoteAnchor"/>
          <w:rtl w:val="true"/>
        </w:rPr>
        <w:footnoteReference w:id="337"/>
      </w:r>
      <w:r>
        <w:rPr>
          <w:rFonts w:ascii="IRNazanin" w:hAnsi="IRNazanin" w:eastAsia="IRNazanin"/>
          <w:color w:val="111111"/>
          <w:sz w:val="28"/>
          <w:sz w:val="28"/>
          <w:szCs w:val="28"/>
          <w:rtl w:val="true"/>
          <w:lang w:bidi="fa-IR"/>
        </w:rPr>
        <w:t> الإنزال</w:t>
      </w:r>
      <w:r>
        <w:rPr>
          <w:rStyle w:val="FootnoteAnchor"/>
          <w:rtl w:val="true"/>
        </w:rPr>
        <w:footnoteReference w:id="338"/>
      </w:r>
      <w:r>
        <w:rPr>
          <w:rFonts w:ascii="IRNazanin" w:hAnsi="IRNazanin" w:eastAsia="IRNazanin"/>
          <w:color w:val="111111"/>
          <w:sz w:val="28"/>
          <w:sz w:val="28"/>
          <w:szCs w:val="28"/>
          <w:rtl w:val="true"/>
          <w:lang w:bidi="fa-IR"/>
        </w:rPr>
        <w:t> بذلک الفعل بطل</w:t>
      </w:r>
      <w:r>
        <w:rPr>
          <w:rStyle w:val="FootnoteAnchor"/>
          <w:rtl w:val="true"/>
        </w:rPr>
        <w:footnoteReference w:id="339"/>
      </w:r>
      <w:r>
        <w:rPr>
          <w:rFonts w:ascii="IRNazanin" w:hAnsi="IRNazanin" w:eastAsia="IRNazanin"/>
          <w:color w:val="111111"/>
          <w:sz w:val="28"/>
          <w:sz w:val="28"/>
          <w:szCs w:val="28"/>
          <w:rtl w:val="true"/>
          <w:lang w:bidi="fa-IR"/>
        </w:rPr>
        <w:t> صومه</w:t>
      </w:r>
      <w:r>
        <w:rPr>
          <w:rStyle w:val="FootnoteAnchor"/>
          <w:rtl w:val="true"/>
        </w:rPr>
        <w:footnoteReference w:id="340"/>
      </w:r>
      <w:r>
        <w:rPr>
          <w:rFonts w:ascii="Amiri" w:hAnsi="Amiri" w:eastAsia="Amiri" w:cs="Amiri"/>
          <w:color w:val="111111"/>
          <w:sz w:val="28"/>
          <w:sz w:val="28"/>
          <w:szCs w:val="28"/>
          <w:rtl w:val="true"/>
          <w:lang w:bidi="ar-SA"/>
        </w:rPr>
        <w:t>أیضاً</w:t>
      </w:r>
      <w:r>
        <w:rPr>
          <w:rStyle w:val="FootnoteAnchor"/>
          <w:rtl w:val="true"/>
        </w:rPr>
        <w:footnoteReference w:id="341"/>
      </w:r>
      <w:r>
        <w:rPr>
          <w:rFonts w:ascii="IRNazanin" w:hAnsi="IRNazanin" w:eastAsia="IRNazanin"/>
          <w:color w:val="111111"/>
          <w:sz w:val="28"/>
          <w:sz w:val="28"/>
          <w:szCs w:val="28"/>
          <w:rtl w:val="true"/>
          <w:lang w:bidi="fa-IR"/>
        </w:rPr>
        <w:t> إذا أنزل</w:t>
      </w:r>
      <w:r>
        <w:rPr>
          <w:rStyle w:val="FootnoteAnchor"/>
          <w:rtl w:val="true"/>
        </w:rPr>
        <w:footnoteReference w:id="342"/>
      </w:r>
      <w:r>
        <w:rPr>
          <w:rFonts w:ascii="IRNazanin" w:hAnsi="IRNazanin" w:eastAsia="IRNazanin"/>
          <w:color w:val="111111"/>
          <w:sz w:val="28"/>
          <w:sz w:val="28"/>
          <w:szCs w:val="28"/>
          <w:rtl w:val="true"/>
          <w:lang w:bidi="fa-IR"/>
        </w:rPr>
        <w:t>، وأمّا إذا أوجد بعض هذه ولم یکن قاصداً للإنزال ولا کان من عادته</w:t>
      </w:r>
      <w:r>
        <w:rPr>
          <w:rStyle w:val="FootnoteAnchor"/>
          <w:rtl w:val="true"/>
        </w:rPr>
        <w:footnoteReference w:id="343"/>
      </w:r>
      <w:r>
        <w:rPr>
          <w:rFonts w:ascii="Amiri" w:hAnsi="Amiri" w:eastAsia="Amiri" w:cs="Amiri"/>
          <w:color w:val="111111"/>
          <w:sz w:val="28"/>
          <w:sz w:val="28"/>
          <w:szCs w:val="28"/>
          <w:rtl w:val="true"/>
          <w:lang w:bidi="ar-SA"/>
        </w:rPr>
        <w:t> فاتّفق أنّه أنزل</w:t>
      </w:r>
      <w:r>
        <w:rPr>
          <w:rStyle w:val="FootnoteAnchor"/>
          <w:rtl w:val="true"/>
        </w:rPr>
        <w:footnoteReference w:id="3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w:t>
      </w:r>
      <w:r>
        <w:rPr>
          <w:rStyle w:val="FootnoteAnchor"/>
          <w:rtl w:val="true"/>
        </w:rPr>
        <w:footnoteReference w:id="345"/>
      </w:r>
      <w:r>
        <w:rPr>
          <w:rFonts w:ascii="IRNazanin" w:hAnsi="IRNazanin" w:eastAsia="IRNazanin"/>
          <w:color w:val="111111"/>
          <w:sz w:val="28"/>
          <w:sz w:val="28"/>
          <w:szCs w:val="28"/>
          <w:rtl w:val="true"/>
          <w:lang w:bidi="fa-IR"/>
        </w:rPr>
        <w:t> عدم البطلان</w:t>
      </w:r>
      <w:r>
        <w:rPr>
          <w:rStyle w:val="FootnoteAnchor"/>
          <w:rtl w:val="true"/>
        </w:rPr>
        <w:footnoteReference w:id="346"/>
      </w:r>
      <w:r>
        <w:rPr>
          <w:rFonts w:ascii="IRNazanin" w:hAnsi="IRNazanin" w:eastAsia="IRNazanin"/>
          <w:color w:val="111111"/>
          <w:sz w:val="28"/>
          <w:sz w:val="28"/>
          <w:szCs w:val="28"/>
          <w:rtl w:val="true"/>
          <w:lang w:bidi="fa-IR"/>
        </w:rPr>
        <w:t>، وإن کان الأحوط</w:t>
      </w:r>
      <w:r>
        <w:rPr>
          <w:rStyle w:val="FootnoteAnchor"/>
          <w:rtl w:val="true"/>
        </w:rPr>
        <w:footnoteReference w:id="347"/>
      </w:r>
      <w:bookmarkStart w:id="124" w:name="pg13281_119744"/>
    </w:p>
    <w:p>
      <w:pPr>
        <w:pStyle w:val="BookText"/>
        <w:rPr/>
      </w:pPr>
      <w:bookmarkEnd w:id="124"/>
      <w:r>
        <w:rPr>
          <w:rFonts w:ascii="IRNazanin" w:hAnsi="IRNazanin" w:eastAsia="IRNazanin"/>
          <w:color w:val="111111"/>
          <w:sz w:val="28"/>
          <w:sz w:val="28"/>
          <w:szCs w:val="28"/>
          <w:rtl w:val="true"/>
          <w:lang w:bidi="fa-IR"/>
        </w:rPr>
        <w:t>القضاء</w:t>
      </w:r>
      <w:r>
        <w:rPr>
          <w:rStyle w:val="FootnoteAnchor"/>
          <w:rtl w:val="true"/>
        </w:rPr>
        <w:footnoteReference w:id="348"/>
      </w:r>
      <w:r>
        <w:rPr>
          <w:rFonts w:ascii="IRNazanin" w:hAnsi="IRNazanin" w:eastAsia="IRNazanin"/>
          <w:color w:val="111111"/>
          <w:sz w:val="28"/>
          <w:sz w:val="28"/>
          <w:szCs w:val="28"/>
          <w:rtl w:val="true"/>
          <w:lang w:bidi="fa-IR"/>
        </w:rPr>
        <w:t> خصوصاً فی مثل الملاعبة والملامسة والتقبیل</w:t>
      </w:r>
      <w:r>
        <w:rPr>
          <w:rFonts w:eastAsia="IRNazanin" w:cs="IRNazanin"/>
          <w:color w:val="111111"/>
          <w:sz w:val="28"/>
          <w:szCs w:val="28"/>
          <w:rtl w:val="true"/>
          <w:lang w:bidi="fa-IR"/>
        </w:rPr>
        <w:t>.</w:t>
      </w:r>
    </w:p>
    <w:p>
      <w:pPr>
        <w:pStyle w:val="Heading3"/>
        <w:numPr>
          <w:ilvl w:val="2"/>
          <w:numId w:val="1"/>
        </w:numPr>
        <w:rPr/>
      </w:pPr>
      <w:bookmarkStart w:id="125" w:name="__RefHeading___Toc1954902_2322387425"/>
      <w:bookmarkStart w:id="126" w:name="_Toc44"/>
      <w:bookmarkEnd w:id="125"/>
      <w:r>
        <w:rPr>
          <w:rtl w:val="true"/>
        </w:rPr>
        <w:t xml:space="preserve">الخامس </w:t>
      </w:r>
      <w:r>
        <w:rPr>
          <w:rtl w:val="true"/>
        </w:rPr>
        <w:t xml:space="preserve">: </w:t>
      </w:r>
      <w:r>
        <w:rPr>
          <w:rtl w:val="true"/>
        </w:rPr>
        <w:t xml:space="preserve">تعمّد الکذب علی الله تعالی أو رسوله أو الأئمة </w:t>
      </w:r>
      <w:r>
        <w:rPr>
          <w:rtl w:val="true"/>
        </w:rPr>
        <w:t>(</w:t>
      </w:r>
      <w:r>
        <w:rPr>
          <w:rtl w:val="true"/>
        </w:rPr>
        <w:t>صلوات الله علیهم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w:t>
      </w:r>
      <w:r>
        <w:rPr>
          <w:rStyle w:val="FootnoteAnchor"/>
          <w:rtl w:val="true"/>
        </w:rPr>
        <w:footnoteReference w:id="349"/>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الله</w:t>
      </w:r>
      <w:r>
        <w:rPr>
          <w:rStyle w:val="FootnoteAnchor"/>
          <w:rtl w:val="true"/>
        </w:rPr>
        <w:footnoteReference w:id="350"/>
      </w:r>
      <w:r>
        <w:rPr>
          <w:rFonts w:ascii="IRNazanin" w:hAnsi="IRNazanin" w:eastAsia="IRNazanin"/>
          <w:color w:val="111111"/>
          <w:sz w:val="28"/>
          <w:sz w:val="28"/>
          <w:szCs w:val="28"/>
          <w:rtl w:val="true"/>
          <w:lang w:bidi="fa-IR"/>
        </w:rPr>
        <w:t> تعالی أو رسوله</w:t>
      </w:r>
      <w:r>
        <w:rPr>
          <w:rStyle w:val="FootnoteAnchor"/>
          <w:rtl w:val="true"/>
        </w:rPr>
        <w:footnoteReference w:id="351"/>
      </w:r>
      <w:r>
        <w:rPr>
          <w:rFonts w:ascii="IRNazanin" w:hAnsi="IRNazanin" w:eastAsia="IRNazanin"/>
          <w:color w:val="111111"/>
          <w:sz w:val="28"/>
          <w:sz w:val="28"/>
          <w:szCs w:val="28"/>
          <w:rtl w:val="true"/>
          <w:lang w:bidi="fa-IR"/>
        </w:rPr>
        <w:t> أو الأئمّة صلوات الله علیهم</w:t>
      </w:r>
      <w:r>
        <w:rPr>
          <w:rStyle w:val="FootnoteAnchor"/>
          <w:rtl w:val="true"/>
        </w:rPr>
        <w:footnoteReference w:id="35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کان متعلّقاً باُمور الدین</w:t>
      </w:r>
      <w:r>
        <w:rPr>
          <w:rStyle w:val="FootnoteAnchor"/>
          <w:rtl w:val="true"/>
        </w:rPr>
        <w:footnoteReference w:id="353"/>
      </w:r>
      <w:r>
        <w:rPr>
          <w:rFonts w:ascii="IRNazanin" w:hAnsi="IRNazanin" w:eastAsia="IRNazanin"/>
          <w:color w:val="111111"/>
          <w:sz w:val="28"/>
          <w:sz w:val="28"/>
          <w:szCs w:val="28"/>
          <w:rtl w:val="true"/>
          <w:lang w:bidi="fa-IR"/>
        </w:rPr>
        <w:t> أم الدنیا</w:t>
      </w:r>
      <w:r>
        <w:rPr>
          <w:rStyle w:val="FootnoteAnchor"/>
          <w:rtl w:val="true"/>
        </w:rPr>
        <w:footnoteReference w:id="354"/>
      </w:r>
      <w:r>
        <w:rPr>
          <w:rFonts w:ascii="IRNazanin" w:hAnsi="IRNazanin" w:eastAsia="IRNazanin"/>
          <w:color w:val="111111"/>
          <w:sz w:val="28"/>
          <w:sz w:val="28"/>
          <w:szCs w:val="28"/>
          <w:rtl w:val="true"/>
          <w:lang w:bidi="fa-IR"/>
        </w:rPr>
        <w:t>، وسواء کان بنحو الإخبار</w:t>
      </w:r>
      <w:r>
        <w:rPr>
          <w:rStyle w:val="FootnoteAnchor"/>
          <w:rtl w:val="true"/>
        </w:rPr>
        <w:footnoteReference w:id="355"/>
      </w:r>
      <w:r>
        <w:rPr>
          <w:rFonts w:ascii="IRNazanin" w:hAnsi="IRNazanin" w:eastAsia="IRNazanin"/>
          <w:color w:val="111111"/>
          <w:sz w:val="28"/>
          <w:sz w:val="28"/>
          <w:szCs w:val="28"/>
          <w:rtl w:val="true"/>
          <w:lang w:bidi="fa-IR"/>
        </w:rPr>
        <w:t> أم بنحو الفتوی</w:t>
      </w:r>
      <w:r>
        <w:rPr>
          <w:rStyle w:val="FootnoteAnchor"/>
          <w:rtl w:val="true"/>
        </w:rPr>
        <w:footnoteReference w:id="356"/>
      </w:r>
      <w:bookmarkStart w:id="127" w:name="pg13281_119746"/>
    </w:p>
    <w:p>
      <w:pPr>
        <w:pStyle w:val="BookText"/>
        <w:rPr/>
      </w:pPr>
      <w:bookmarkEnd w:id="12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بالعربی</w:t>
      </w:r>
      <w:r>
        <w:rPr>
          <w:rStyle w:val="FootnoteAnchor"/>
          <w:rtl w:val="true"/>
        </w:rPr>
        <w:footnoteReference w:id="357"/>
      </w:r>
      <w:r>
        <w:rPr>
          <w:rFonts w:ascii="IRNazanin" w:hAnsi="IRNazanin" w:eastAsia="IRNazanin"/>
          <w:color w:val="111111"/>
          <w:sz w:val="28"/>
          <w:sz w:val="28"/>
          <w:szCs w:val="28"/>
          <w:rtl w:val="true"/>
          <w:lang w:bidi="fa-IR"/>
        </w:rPr>
        <w:t> أو بغیره من اللغات، من غیر فرق</w:t>
      </w:r>
      <w:r>
        <w:rPr>
          <w:rStyle w:val="FootnoteAnchor"/>
          <w:rtl w:val="true"/>
        </w:rPr>
        <w:footnoteReference w:id="358"/>
      </w:r>
      <w:r>
        <w:rPr>
          <w:rFonts w:ascii="IRNazanin" w:hAnsi="IRNazanin" w:eastAsia="IRNazanin"/>
          <w:color w:val="111111"/>
          <w:sz w:val="28"/>
          <w:sz w:val="28"/>
          <w:szCs w:val="28"/>
          <w:rtl w:val="true"/>
          <w:lang w:bidi="fa-IR"/>
        </w:rPr>
        <w:t> بین أن یکون بالقول أو الکتابة أو الإشارة أو الکنایة، أو غیرها ممّا یصدق علیه الکذب علیهم، ومن غیر فرق بین أن یکون الکذب مجعولاً له، أو جعله غیره وهو أخبر به مسنداً إلیه لا علی وجه نقل القول، وأمّا لو کان علی وجه الحکایة ونقل القول فلا یکون مبطلاً</w:t>
      </w:r>
      <w:r>
        <w:rPr>
          <w:rFonts w:eastAsia="IRNazanin" w:cs="IRNazanin"/>
          <w:color w:val="111111"/>
          <w:sz w:val="28"/>
          <w:szCs w:val="28"/>
          <w:rtl w:val="true"/>
          <w:lang w:bidi="fa-IR"/>
        </w:rPr>
        <w:t>.</w:t>
      </w:r>
    </w:p>
    <w:p>
      <w:pPr>
        <w:pStyle w:val="Heading3"/>
        <w:numPr>
          <w:ilvl w:val="2"/>
          <w:numId w:val="1"/>
        </w:numPr>
        <w:rPr/>
      </w:pPr>
      <w:bookmarkStart w:id="128" w:name="__RefHeading___Toc1954904_2322387425"/>
      <w:bookmarkStart w:id="129" w:name="_Toc45"/>
      <w:bookmarkEnd w:id="128"/>
      <w:r>
        <w:rPr>
          <w:rtl w:val="true"/>
        </w:rPr>
        <w:t xml:space="preserve">إلحاق سائر الانبیاء والأوصیاء بنبیّنا </w:t>
      </w:r>
      <w:r>
        <w:rPr>
          <w:rtl w:val="true"/>
        </w:rPr>
        <w:t>(</w:t>
      </w:r>
      <w:r>
        <w:rPr>
          <w:rtl w:val="true"/>
        </w:rPr>
        <w:t>صلی الله علیه وآله</w:t>
      </w:r>
      <w:r>
        <w:rPr>
          <w:rtl w:val="true"/>
        </w:rPr>
        <w:t>) </w:t>
      </w:r>
      <w:bookmarkEnd w:id="1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w:t>
      </w:r>
      <w:r>
        <w:rPr>
          <w:rStyle w:val="FootnoteAnchor"/>
          <w:rtl w:val="true"/>
        </w:rPr>
        <w:footnoteReference w:id="359"/>
      </w:r>
      <w:r>
        <w:rPr>
          <w:rFonts w:ascii="IRNazanin" w:hAnsi="IRNazanin" w:eastAsia="IRNazanin"/>
          <w:color w:val="111111"/>
          <w:sz w:val="28"/>
          <w:sz w:val="28"/>
          <w:szCs w:val="28"/>
          <w:rtl w:val="true"/>
          <w:lang w:bidi="fa-IR"/>
        </w:rPr>
        <w:t> إلحاق</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الأنبیاء</w:t>
      </w:r>
      <w:r>
        <w:rPr>
          <w:rStyle w:val="FootnoteAnchor"/>
          <w:rtl w:val="true"/>
        </w:rPr>
        <w:footnoteReference w:id="361"/>
      </w:r>
      <w:r>
        <w:rPr>
          <w:rFonts w:ascii="IRNazanin" w:hAnsi="IRNazanin" w:eastAsia="IRNazanin"/>
          <w:color w:val="111111"/>
          <w:sz w:val="28"/>
          <w:sz w:val="28"/>
          <w:szCs w:val="28"/>
          <w:rtl w:val="true"/>
          <w:lang w:bidi="fa-IR"/>
        </w:rPr>
        <w:t> والأوصیاء</w:t>
      </w:r>
      <w:r>
        <w:rPr>
          <w:rStyle w:val="FootnoteAnchor"/>
          <w:rtl w:val="true"/>
        </w:rPr>
        <w:footnoteReference w:id="362"/>
      </w:r>
      <w:r>
        <w:rPr>
          <w:rFonts w:ascii="IRNazanin" w:hAnsi="IRNazanin" w:eastAsia="IRNazanin"/>
          <w:color w:val="111111"/>
          <w:sz w:val="28"/>
          <w:sz w:val="28"/>
          <w:szCs w:val="28"/>
          <w:rtl w:val="true"/>
          <w:lang w:bidi="fa-IR"/>
        </w:rPr>
        <w:t xml:space="preserve"> بنبیِّنا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فیکون الکذب علیهم أیضاً موجباً للبطلان</w:t>
      </w:r>
      <w:r>
        <w:rPr>
          <w:rStyle w:val="FootnoteAnchor"/>
          <w:rtl w:val="true"/>
        </w:rPr>
        <w:footnoteReference w:id="363"/>
      </w:r>
      <w:r>
        <w:rPr>
          <w:rFonts w:ascii="IRNazanin" w:hAnsi="IRNazanin" w:eastAsia="IRNazanin"/>
          <w:color w:val="111111"/>
          <w:sz w:val="28"/>
          <w:sz w:val="28"/>
          <w:szCs w:val="28"/>
          <w:rtl w:val="true"/>
          <w:lang w:bidi="fa-IR"/>
        </w:rPr>
        <w:t>، بل الأحوط</w:t>
      </w:r>
      <w:r>
        <w:rPr>
          <w:rStyle w:val="FootnoteAnchor"/>
          <w:rtl w:val="true"/>
        </w:rPr>
        <w:footnoteReference w:id="364"/>
      </w:r>
      <w:r>
        <w:rPr>
          <w:rFonts w:ascii="IRNazanin" w:hAnsi="IRNazanin" w:eastAsia="IRNazanin"/>
          <w:color w:val="111111"/>
          <w:sz w:val="28"/>
          <w:sz w:val="28"/>
          <w:szCs w:val="28"/>
          <w:rtl w:val="true"/>
          <w:lang w:bidi="fa-IR"/>
        </w:rPr>
        <w:t xml:space="preserve"> إلحاق فاطمة الزهراء ـ سلام الله علیها ـ </w:t>
      </w:r>
      <w:bookmarkStart w:id="130" w:name="pg13281_119748"/>
    </w:p>
    <w:p>
      <w:pPr>
        <w:pStyle w:val="BookText"/>
        <w:rPr/>
      </w:pPr>
      <w:bookmarkEnd w:id="130"/>
      <w:r>
        <w:rPr>
          <w:rFonts w:ascii="IRNazanin" w:hAnsi="IRNazanin" w:eastAsia="IRNazanin"/>
          <w:color w:val="111111"/>
          <w:sz w:val="28"/>
          <w:sz w:val="28"/>
          <w:szCs w:val="28"/>
          <w:rtl w:val="true"/>
          <w:lang w:bidi="fa-IR"/>
        </w:rPr>
        <w:t>بهم</w:t>
      </w:r>
      <w:r>
        <w:rPr>
          <w:rStyle w:val="FootnoteAnchor"/>
          <w:rtl w:val="true"/>
        </w:rPr>
        <w:footnoteReference w:id="365"/>
      </w:r>
      <w:r>
        <w:rPr>
          <w:rFonts w:ascii="Amiri" w:hAnsi="Amiri" w:eastAsia="Amiri" w:cs="Amiri"/>
          <w:color w:val="111111"/>
          <w:sz w:val="28"/>
          <w:sz w:val="28"/>
          <w:szCs w:val="28"/>
          <w:rtl w:val="true"/>
          <w:lang w:bidi="ar-SA"/>
        </w:rPr>
        <w:t> أیضاً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954906_2322387425"/>
      <w:bookmarkStart w:id="132" w:name="_Toc46"/>
      <w:bookmarkEnd w:id="131"/>
      <w:r>
        <w:rPr>
          <w:rtl w:val="true"/>
        </w:rPr>
        <w:t>فروع فی ما یندرج فی الکذب من العناوین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تکلّم بالخبر غیر موجّه خطابه</w:t>
      </w:r>
      <w:r>
        <w:rPr>
          <w:rStyle w:val="FootnoteAnchor"/>
          <w:rtl w:val="true"/>
        </w:rPr>
        <w:footnoteReference w:id="366"/>
      </w:r>
      <w:r>
        <w:rPr>
          <w:rFonts w:ascii="Amiri" w:hAnsi="Amiri" w:eastAsia="Amiri" w:cs="Amiri"/>
          <w:color w:val="111111"/>
          <w:sz w:val="28"/>
          <w:sz w:val="28"/>
          <w:szCs w:val="28"/>
          <w:rtl w:val="true"/>
          <w:lang w:bidi="ar-SA"/>
        </w:rPr>
        <w:t> إلی أحد، أو موجّهاً</w:t>
      </w:r>
    </w:p>
    <w:p>
      <w:pPr>
        <w:pStyle w:val="BookText"/>
        <w:rPr/>
      </w:pPr>
      <w:r>
        <w:rPr>
          <w:rFonts w:ascii="IRNazanin" w:hAnsi="IRNazanin" w:eastAsia="IRNazanin"/>
          <w:color w:val="111111"/>
          <w:sz w:val="28"/>
          <w:sz w:val="28"/>
          <w:szCs w:val="28"/>
          <w:rtl w:val="true"/>
          <w:lang w:bidi="fa-IR"/>
        </w:rPr>
        <w:t>إلی من لا یفهم معناه فالظاهر</w:t>
      </w:r>
      <w:r>
        <w:rPr>
          <w:rStyle w:val="FootnoteAnchor"/>
          <w:rtl w:val="true"/>
        </w:rPr>
        <w:footnoteReference w:id="367"/>
      </w:r>
      <w:r>
        <w:rPr>
          <w:rFonts w:ascii="IRNazanin" w:hAnsi="IRNazanin" w:eastAsia="IRNazanin"/>
          <w:color w:val="111111"/>
          <w:sz w:val="28"/>
          <w:sz w:val="28"/>
          <w:szCs w:val="28"/>
          <w:rtl w:val="true"/>
          <w:lang w:bidi="fa-IR"/>
        </w:rPr>
        <w:t> عدم البطلان</w:t>
      </w:r>
      <w:r>
        <w:rPr>
          <w:rStyle w:val="FootnoteAnchor"/>
          <w:rtl w:val="true"/>
        </w:rPr>
        <w:footnoteReference w:id="368"/>
      </w:r>
      <w:r>
        <w:rPr>
          <w:rFonts w:ascii="IRNazanin" w:hAnsi="IRNazanin" w:eastAsia="IRNazanin"/>
          <w:color w:val="111111"/>
          <w:sz w:val="28"/>
          <w:sz w:val="28"/>
          <w:szCs w:val="28"/>
          <w:rtl w:val="true"/>
          <w:lang w:bidi="fa-IR"/>
        </w:rPr>
        <w:t>، وإن کان الأحوط</w:t>
      </w:r>
      <w:r>
        <w:rPr>
          <w:rStyle w:val="FootnoteAnchor"/>
          <w:rtl w:val="true"/>
        </w:rPr>
        <w:footnoteReference w:id="369"/>
      </w:r>
      <w:r>
        <w:rPr>
          <w:rFonts w:ascii="IRNazanin" w:hAnsi="IRNazanin" w:eastAsia="IRNazanin"/>
          <w:color w:val="111111"/>
          <w:sz w:val="28"/>
          <w:sz w:val="28"/>
          <w:szCs w:val="28"/>
          <w:rtl w:val="true"/>
          <w:lang w:bidi="fa-IR"/>
        </w:rPr>
        <w:t> القضاء</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النبی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فأشار، نعم، فی </w:t>
      </w:r>
    </w:p>
    <w:p>
      <w:pPr>
        <w:pStyle w:val="BookText"/>
        <w:rPr/>
      </w:pPr>
      <w:r>
        <w:rPr>
          <w:rFonts w:ascii="IRNazanin" w:hAnsi="IRNazanin" w:eastAsia="IRNazanin"/>
          <w:color w:val="111111"/>
          <w:sz w:val="28"/>
          <w:sz w:val="28"/>
          <w:szCs w:val="28"/>
          <w:rtl w:val="true"/>
          <w:lang w:bidi="fa-IR"/>
        </w:rPr>
        <w:t>مقام لا، أم لا فی مقام، نعم، بطل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أخبر صادقاً عن الله أو عن النبی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صومه</w:t>
      </w:r>
      <w:r>
        <w:rPr>
          <w:rStyle w:val="FootnoteAnchor"/>
          <w:rtl w:val="true"/>
        </w:rPr>
        <w:footnoteReference w:id="371"/>
      </w:r>
      <w:r>
        <w:rPr>
          <w:rFonts w:ascii="IRNazanin" w:hAnsi="IRNazanin" w:eastAsia="IRNazanin"/>
          <w:color w:val="111111"/>
          <w:sz w:val="28"/>
          <w:sz w:val="28"/>
          <w:szCs w:val="28"/>
          <w:rtl w:val="true"/>
          <w:lang w:bidi="fa-IR"/>
        </w:rPr>
        <w:t>، وکذا</w:t>
      </w:r>
      <w:r>
        <w:rPr>
          <w:rStyle w:val="FootnoteAnchor"/>
          <w:rtl w:val="true"/>
        </w:rPr>
        <w:footnoteReference w:id="372"/>
      </w:r>
      <w:r>
        <w:rPr>
          <w:rFonts w:ascii="IRNazanin" w:hAnsi="IRNazanin" w:eastAsia="IRNazanin"/>
          <w:color w:val="111111"/>
          <w:sz w:val="28"/>
          <w:sz w:val="28"/>
          <w:szCs w:val="28"/>
          <w:rtl w:val="true"/>
          <w:lang w:bidi="fa-IR"/>
        </w:rPr>
        <w:t> إذا أخبر باللیل کاذباً ثمّ قال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 به البارحة صدق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کاذباً ثمّ رجع عنه بلا فصل لم یرتفع عنه الأثر</w:t>
      </w:r>
      <w:r>
        <w:rPr>
          <w:rStyle w:val="FootnoteAnchor"/>
          <w:rtl w:val="true"/>
        </w:rPr>
        <w:footnoteReference w:id="373"/>
      </w:r>
      <w:r>
        <w:rPr>
          <w:rFonts w:ascii="IRNazanin" w:hAnsi="IRNazanin" w:eastAsia="IRNazanin"/>
          <w:color w:val="111111"/>
          <w:sz w:val="28"/>
          <w:sz w:val="28"/>
          <w:szCs w:val="28"/>
          <w:rtl w:val="true"/>
          <w:lang w:bidi="fa-IR"/>
        </w:rPr>
        <w:t xml:space="preserve">، فیکون صومه باطلاً، بل وکذا إذا تاب بعد ذلک فإنّه لا تنفعه توبته   </w:t>
      </w:r>
    </w:p>
    <w:p>
      <w:pPr>
        <w:pStyle w:val="BookText"/>
        <w:rPr/>
      </w:pPr>
      <w:r>
        <w:rPr>
          <w:rFonts w:ascii="IRNazanin" w:hAnsi="IRNazanin" w:eastAsia="IRNazanin"/>
          <w:color w:val="111111"/>
          <w:sz w:val="28"/>
          <w:sz w:val="28"/>
          <w:szCs w:val="28"/>
          <w:rtl w:val="true"/>
          <w:lang w:bidi="fa-IR"/>
        </w:rPr>
        <w:t>فی رفع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البطلان بین أن یکون الخبر المکذوب</w:t>
      </w:r>
    </w:p>
    <w:p>
      <w:pPr>
        <w:pStyle w:val="BookText"/>
        <w:rPr/>
      </w:pPr>
      <w:r>
        <w:rPr>
          <w:rFonts w:ascii="IRNazanin" w:hAnsi="IRNazanin" w:eastAsia="IRNazanin"/>
          <w:color w:val="111111"/>
          <w:sz w:val="28"/>
          <w:sz w:val="28"/>
          <w:szCs w:val="28"/>
          <w:rtl w:val="true"/>
          <w:lang w:bidi="fa-IR"/>
        </w:rPr>
        <w:t>مکتوباً فی کتاب من کتب الأخبار، أوْ لا، فمع العلم بکذبه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الإخبار به</w:t>
      </w:r>
      <w:r>
        <w:rPr>
          <w:rStyle w:val="FootnoteAnchor"/>
          <w:rtl w:val="true"/>
        </w:rPr>
        <w:footnoteReference w:id="374"/>
      </w:r>
      <w:r>
        <w:rPr>
          <w:rFonts w:ascii="IRNazanin" w:hAnsi="IRNazanin" w:eastAsia="IRNazanin"/>
          <w:color w:val="111111"/>
          <w:sz w:val="28"/>
          <w:sz w:val="28"/>
          <w:szCs w:val="28"/>
          <w:rtl w:val="true"/>
          <w:lang w:bidi="fa-IR"/>
        </w:rPr>
        <w:t>، وإن أسنده إلی ذلک الکتاب، إلّا أن کون ذکره له علی وجه الحکایة دون الإخبار، بل لا یجوز</w:t>
      </w:r>
      <w:r>
        <w:rPr>
          <w:rStyle w:val="FootnoteAnchor"/>
          <w:rtl w:val="true"/>
        </w:rPr>
        <w:footnoteReference w:id="375"/>
      </w:r>
      <w:r>
        <w:rPr>
          <w:rFonts w:ascii="IRNazanin" w:hAnsi="IRNazanin" w:eastAsia="IRNazanin"/>
          <w:color w:val="111111"/>
          <w:sz w:val="28"/>
          <w:sz w:val="28"/>
          <w:szCs w:val="28"/>
          <w:rtl w:val="true"/>
          <w:lang w:bidi="fa-IR"/>
        </w:rPr>
        <w:t>لإخبار به علی سبیل الجزم مع الظنِّ</w:t>
      </w:r>
      <w:r>
        <w:rPr>
          <w:rStyle w:val="FootnoteAnchor"/>
          <w:rtl w:val="true"/>
        </w:rPr>
        <w:footnoteReference w:id="376"/>
      </w:r>
      <w:r>
        <w:rPr>
          <w:rFonts w:ascii="IRNazanin" w:hAnsi="IRNazanin" w:eastAsia="IRNazanin"/>
          <w:color w:val="111111"/>
          <w:sz w:val="28"/>
          <w:sz w:val="28"/>
          <w:szCs w:val="28"/>
          <w:rtl w:val="true"/>
          <w:lang w:bidi="fa-IR"/>
        </w:rPr>
        <w:t> بکذبه</w:t>
      </w:r>
      <w:r>
        <w:rPr>
          <w:rStyle w:val="FootnoteAnchor"/>
          <w:rtl w:val="true"/>
        </w:rPr>
        <w:footnoteReference w:id="377"/>
      </w:r>
      <w:r>
        <w:rPr>
          <w:rFonts w:ascii="IRNazanin" w:hAnsi="IRNazanin" w:eastAsia="IRNazanin"/>
          <w:color w:val="111111"/>
          <w:sz w:val="28"/>
          <w:sz w:val="28"/>
          <w:szCs w:val="28"/>
          <w:rtl w:val="true"/>
          <w:lang w:bidi="fa-IR"/>
        </w:rPr>
        <w:t>، بل وکذا مع احتمال کذبه</w:t>
      </w:r>
      <w:r>
        <w:rPr>
          <w:rStyle w:val="FootnoteAnchor"/>
          <w:rtl w:val="true"/>
        </w:rPr>
        <w:footnoteReference w:id="378"/>
      </w:r>
      <w:r>
        <w:rPr>
          <w:rFonts w:ascii="IRNazanin" w:hAnsi="IRNazanin" w:eastAsia="IRNazanin"/>
          <w:color w:val="111111"/>
          <w:sz w:val="28"/>
          <w:sz w:val="28"/>
          <w:szCs w:val="28"/>
          <w:rtl w:val="true"/>
          <w:lang w:bidi="fa-IR"/>
        </w:rPr>
        <w:t xml:space="preserve">، إلّا علی سبیل النقل والحکایة،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379"/>
      </w:r>
      <w:r>
        <w:rPr>
          <w:rFonts w:ascii="IRNazanin" w:hAnsi="IRNazanin" w:eastAsia="IRNazanin"/>
          <w:color w:val="111111"/>
          <w:sz w:val="28"/>
          <w:sz w:val="28"/>
          <w:szCs w:val="28"/>
          <w:rtl w:val="true"/>
          <w:lang w:bidi="fa-IR"/>
        </w:rPr>
        <w:t> لناقل الأخبار فی شهر رمضان</w:t>
      </w:r>
      <w:r>
        <w:rPr>
          <w:rStyle w:val="FootnoteAnchor"/>
          <w:rtl w:val="true"/>
        </w:rPr>
        <w:footnoteReference w:id="380"/>
      </w:r>
      <w:r>
        <w:rPr>
          <w:rFonts w:ascii="IRNazanin" w:hAnsi="IRNazanin" w:eastAsia="IRNazanin"/>
          <w:color w:val="111111"/>
          <w:sz w:val="28"/>
          <w:sz w:val="28"/>
          <w:szCs w:val="28"/>
          <w:rtl w:val="true"/>
          <w:lang w:bidi="fa-IR"/>
        </w:rPr>
        <w:t xml:space="preserve"> مع عدم </w:t>
      </w:r>
      <w:bookmarkStart w:id="133" w:name="pg13281_119752"/>
    </w:p>
    <w:p>
      <w:pPr>
        <w:pStyle w:val="BookText"/>
        <w:rPr/>
      </w:pPr>
      <w:bookmarkEnd w:id="133"/>
      <w:r>
        <w:rPr>
          <w:rFonts w:ascii="IRNazanin" w:hAnsi="IRNazanin" w:eastAsia="IRNazanin"/>
          <w:color w:val="111111"/>
          <w:sz w:val="28"/>
          <w:sz w:val="28"/>
          <w:szCs w:val="28"/>
          <w:rtl w:val="true"/>
          <w:lang w:bidi="fa-IR"/>
        </w:rPr>
        <w:t>العلم</w:t>
      </w:r>
      <w:r>
        <w:rPr>
          <w:rStyle w:val="FootnoteAnchor"/>
          <w:rtl w:val="true"/>
        </w:rPr>
        <w:footnoteReference w:id="381"/>
      </w:r>
      <w:r>
        <w:rPr>
          <w:rFonts w:ascii="IRNazanin" w:hAnsi="IRNazanin" w:eastAsia="IRNazanin"/>
          <w:color w:val="111111"/>
          <w:sz w:val="28"/>
          <w:sz w:val="28"/>
          <w:szCs w:val="28"/>
          <w:rtl w:val="true"/>
          <w:lang w:bidi="fa-IR"/>
        </w:rPr>
        <w:t> بصدق</w:t>
      </w:r>
      <w:r>
        <w:rPr>
          <w:rStyle w:val="FootnoteAnchor"/>
          <w:rtl w:val="true"/>
        </w:rPr>
        <w:footnoteReference w:id="382"/>
      </w:r>
      <w:r>
        <w:rPr>
          <w:rFonts w:ascii="IRNazanin" w:hAnsi="IRNazanin" w:eastAsia="IRNazanin"/>
          <w:color w:val="111111"/>
          <w:sz w:val="28"/>
          <w:sz w:val="28"/>
          <w:szCs w:val="28"/>
          <w:rtl w:val="true"/>
          <w:lang w:bidi="fa-IR"/>
        </w:rPr>
        <w:t> الخبر</w:t>
      </w:r>
      <w:r>
        <w:rPr>
          <w:rStyle w:val="FootnoteAnchor"/>
          <w:rtl w:val="true"/>
        </w:rPr>
        <w:footnoteReference w:id="383"/>
      </w:r>
      <w:r>
        <w:rPr>
          <w:rFonts w:ascii="IRNazanin" w:hAnsi="IRNazanin" w:eastAsia="IRNazanin"/>
          <w:color w:val="111111"/>
          <w:sz w:val="28"/>
          <w:sz w:val="28"/>
          <w:szCs w:val="28"/>
          <w:rtl w:val="true"/>
          <w:lang w:bidi="fa-IR"/>
        </w:rPr>
        <w:t> أن یسنده إلی الکتاب، أو إلی قول الراوی علی</w:t>
      </w:r>
    </w:p>
    <w:p>
      <w:pPr>
        <w:pStyle w:val="BookText"/>
        <w:rPr/>
      </w:pPr>
      <w:r>
        <w:rPr>
          <w:rFonts w:ascii="IRNazanin" w:hAnsi="IRNazanin" w:eastAsia="IRNazanin"/>
          <w:color w:val="111111"/>
          <w:sz w:val="28"/>
          <w:sz w:val="28"/>
          <w:szCs w:val="28"/>
          <w:rtl w:val="true"/>
          <w:lang w:bidi="fa-IR"/>
        </w:rPr>
        <w:t>سبیل الحکایة</w:t>
      </w:r>
      <w:r>
        <w:rPr>
          <w:rFonts w:eastAsia="IRNazanin" w:cs="IRNazanin"/>
          <w:color w:val="111111"/>
          <w:sz w:val="28"/>
          <w:szCs w:val="28"/>
          <w:rtl w:val="true"/>
          <w:lang w:bidi="fa-IR"/>
        </w:rPr>
        <w:t>.</w:t>
      </w:r>
    </w:p>
    <w:p>
      <w:pPr>
        <w:pStyle w:val="Heading3"/>
        <w:numPr>
          <w:ilvl w:val="2"/>
          <w:numId w:val="1"/>
        </w:numPr>
        <w:rPr/>
      </w:pPr>
      <w:bookmarkStart w:id="134" w:name="__RefHeading___Toc1954908_2322387425"/>
      <w:bookmarkStart w:id="135" w:name="_Toc47"/>
      <w:bookmarkEnd w:id="134"/>
      <w:r>
        <w:rPr>
          <w:rtl w:val="true"/>
        </w:rPr>
        <w:t>حکم الکذب علی الفقهاء والمجتهدین والرواة </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الکذب علی الفقهاء والمجتهدین والرواة وإن کان حراماً لایوجب بطلان</w:t>
      </w:r>
      <w:r>
        <w:rPr>
          <w:rStyle w:val="FootnoteAnchor"/>
          <w:rtl w:val="true"/>
        </w:rPr>
        <w:footnoteReference w:id="384"/>
      </w:r>
      <w:r>
        <w:rPr>
          <w:rFonts w:ascii="Amiri" w:hAnsi="Amiri" w:eastAsia="Amiri" w:cs="Amiri"/>
          <w:color w:val="111111"/>
          <w:sz w:val="28"/>
          <w:sz w:val="28"/>
          <w:szCs w:val="28"/>
          <w:rtl w:val="true"/>
          <w:lang w:bidi="ar-SA"/>
        </w:rPr>
        <w:t> الصوم، إلّا</w:t>
      </w:r>
      <w:r>
        <w:rPr>
          <w:rStyle w:val="FootnoteAnchor"/>
          <w:rtl w:val="true"/>
        </w:rPr>
        <w:footnoteReference w:id="385"/>
      </w:r>
      <w:r>
        <w:rPr>
          <w:rFonts w:ascii="IRNazanin" w:hAnsi="IRNazanin" w:eastAsia="IRNazanin"/>
          <w:color w:val="111111"/>
          <w:sz w:val="28"/>
          <w:sz w:val="28"/>
          <w:szCs w:val="28"/>
          <w:rtl w:val="true"/>
          <w:lang w:bidi="fa-IR"/>
        </w:rPr>
        <w:t> إذا رجع</w:t>
      </w:r>
      <w:r>
        <w:rPr>
          <w:rStyle w:val="FootnoteAnchor"/>
          <w:rtl w:val="true"/>
        </w:rPr>
        <w:footnoteReference w:id="386"/>
      </w:r>
      <w:r>
        <w:rPr>
          <w:rFonts w:ascii="IRNazanin" w:hAnsi="IRNazanin" w:eastAsia="IRNazanin"/>
          <w:color w:val="111111"/>
          <w:sz w:val="28"/>
          <w:sz w:val="28"/>
          <w:szCs w:val="28"/>
          <w:rtl w:val="true"/>
          <w:lang w:bidi="fa-IR"/>
        </w:rPr>
        <w:t xml:space="preserve"> إلی الکذب علی الله ورسوله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36" w:name="__RefHeading___Toc1954910_2322387425"/>
      <w:bookmarkStart w:id="137" w:name="_Toc48"/>
      <w:bookmarkEnd w:id="136"/>
      <w:r>
        <w:rPr>
          <w:rtl w:val="true"/>
        </w:rPr>
        <w:t>حکم ارتکاب الکذب لأجل الاضطرار والتقیة</w:t>
      </w:r>
      <w:bookmarkEnd w:id="13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اضطرّ إلی الکذب علی الله ورسوله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التقیّة من ظالم</w:t>
      </w:r>
      <w:r>
        <w:rPr>
          <w:rStyle w:val="FootnoteAnchor"/>
          <w:rtl w:val="true"/>
        </w:rPr>
        <w:footnoteReference w:id="387"/>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یبطل</w:t>
      </w:r>
      <w:r>
        <w:rPr>
          <w:rStyle w:val="FootnoteAnchor"/>
          <w:rtl w:val="true"/>
        </w:rPr>
        <w:footnoteReference w:id="388"/>
      </w:r>
      <w:r>
        <w:rPr>
          <w:rFonts w:ascii="IRNazanin" w:hAnsi="IRNazanin" w:eastAsia="IRNazanin"/>
          <w:color w:val="111111"/>
          <w:sz w:val="28"/>
          <w:sz w:val="28"/>
          <w:szCs w:val="28"/>
          <w:rtl w:val="true"/>
          <w:lang w:bidi="fa-IR"/>
        </w:rPr>
        <w:t> صومه</w:t>
      </w:r>
      <w:r>
        <w:rPr>
          <w:rStyle w:val="FootnoteAnchor"/>
          <w:rtl w:val="true"/>
        </w:rPr>
        <w:footnoteReference w:id="389"/>
      </w:r>
      <w:r>
        <w:rPr>
          <w:rFonts w:ascii="IRNazanin" w:hAnsi="IRNazanin" w:eastAsia="IRNazanin"/>
          <w:color w:val="111111"/>
          <w:sz w:val="28"/>
          <w:sz w:val="28"/>
          <w:szCs w:val="28"/>
          <w:rtl w:val="true"/>
          <w:lang w:bidi="fa-IR"/>
        </w:rPr>
        <w:t> به</w:t>
      </w:r>
      <w:r>
        <w:rPr>
          <w:rStyle w:val="FootnoteAnchor"/>
          <w:rtl w:val="true"/>
        </w:rPr>
        <w:footnoteReference w:id="390"/>
      </w:r>
      <w:r>
        <w:rPr>
          <w:rFonts w:ascii="IRNazanin" w:hAnsi="IRNazanin" w:eastAsia="IRNazanin"/>
          <w:color w:val="111111"/>
          <w:sz w:val="28"/>
          <w:sz w:val="28"/>
          <w:szCs w:val="28"/>
          <w:rtl w:val="true"/>
          <w:lang w:bidi="fa-IR"/>
        </w:rPr>
        <w:t>، کما أنّه لا یبطل مع السهو أو الجهل المرکّب</w:t>
      </w:r>
      <w:r>
        <w:rPr>
          <w:rFonts w:eastAsia="IRNazanin" w:cs="IRNazanin"/>
          <w:color w:val="111111"/>
          <w:sz w:val="28"/>
          <w:szCs w:val="28"/>
          <w:rtl w:val="true"/>
          <w:lang w:bidi="fa-IR"/>
        </w:rPr>
        <w:t xml:space="preserve">. </w:t>
      </w:r>
      <w:bookmarkStart w:id="138" w:name="pg13281_119754"/>
    </w:p>
    <w:p>
      <w:pPr>
        <w:pStyle w:val="Heading2"/>
        <w:numPr>
          <w:ilvl w:val="1"/>
          <w:numId w:val="1"/>
        </w:numPr>
        <w:rPr/>
      </w:pPr>
      <w:bookmarkStart w:id="139" w:name="__RefHeading___Toc1954912_2322387425"/>
      <w:bookmarkStart w:id="140" w:name="_Toc49"/>
      <w:bookmarkEnd w:id="138"/>
      <w:bookmarkEnd w:id="139"/>
      <w:r>
        <w:rPr>
          <w:rtl w:val="true"/>
        </w:rPr>
        <w:t>إذا قصد الکذب فتبیّن الصدق وبالعکس</w:t>
      </w:r>
      <w:bookmarkEnd w:id="140"/>
    </w:p>
    <w:p>
      <w:pPr>
        <w:pStyle w:val="Heading3"/>
        <w:numPr>
          <w:ilvl w:val="2"/>
          <w:numId w:val="1"/>
        </w:numPr>
        <w:rPr/>
      </w:pPr>
      <w:bookmarkStart w:id="141" w:name="__RefHeading___Toc1954914_2322387425"/>
      <w:bookmarkStart w:id="142" w:name="_Toc50"/>
      <w:bookmarkEnd w:id="141"/>
      <w:r>
        <w:rPr>
          <w:rtl w:val="true"/>
        </w:rPr>
        <w:t>اشارة</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الکذب فبان صدقاً دخل فی عنوان قصد المفطِر</w:t>
      </w:r>
      <w:r>
        <w:rPr>
          <w:rStyle w:val="FootnoteAnchor"/>
          <w:rtl w:val="true"/>
        </w:rPr>
        <w:footnoteReference w:id="391"/>
      </w:r>
      <w:r>
        <w:rPr>
          <w:rFonts w:ascii="IRNazanin" w:hAnsi="IRNazanin" w:eastAsia="IRNazanin"/>
          <w:color w:val="111111"/>
          <w:sz w:val="28"/>
          <w:sz w:val="28"/>
          <w:szCs w:val="28"/>
          <w:rtl w:val="true"/>
          <w:lang w:bidi="fa-IR"/>
        </w:rPr>
        <w:t> بشرط العلم بکونه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3" w:name="pg13281_119755"/>
    </w:p>
    <w:p>
      <w:pPr>
        <w:pStyle w:val="BookText"/>
        <w:rPr/>
      </w:pPr>
      <w:bookmarkEnd w:id="143"/>
      <w:r>
        <w:rPr>
          <w:rFonts w:ascii="Amiri" w:hAnsi="Amiri" w:eastAsia="Amiri" w:cs="Amiri"/>
          <w:color w:val="111111"/>
          <w:sz w:val="28"/>
          <w:sz w:val="28"/>
          <w:szCs w:val="28"/>
          <w:rtl w:val="true"/>
          <w:lang w:bidi="ar-SA"/>
        </w:rPr>
        <w:t>مفطِراً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الصدق فبان کذباً لم یضرّ، کما اُشیر إلیه</w:t>
      </w:r>
      <w:r>
        <w:rPr>
          <w:rFonts w:eastAsia="IRNazanin" w:cs="IRNazanin"/>
          <w:color w:val="111111"/>
          <w:sz w:val="28"/>
          <w:szCs w:val="28"/>
          <w:rtl w:val="true"/>
          <w:lang w:bidi="fa-IR"/>
        </w:rPr>
        <w:t>.</w:t>
      </w:r>
    </w:p>
    <w:p>
      <w:pPr>
        <w:pStyle w:val="Heading3"/>
        <w:numPr>
          <w:ilvl w:val="2"/>
          <w:numId w:val="1"/>
        </w:numPr>
        <w:rPr/>
      </w:pPr>
      <w:bookmarkStart w:id="144" w:name="__RefHeading___Toc1954916_2322387425"/>
      <w:bookmarkStart w:id="145" w:name="_Toc51"/>
      <w:bookmarkEnd w:id="144"/>
      <w:r>
        <w:rPr>
          <w:rtl w:val="true"/>
        </w:rPr>
        <w:t>حکم الکذب هزلاً أو مع عدم القصد</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أخبر بالکذب هزلاً بأن لم یقصد المعنی</w:t>
      </w:r>
      <w:r>
        <w:rPr>
          <w:rStyle w:val="FootnoteAnchor"/>
          <w:rtl w:val="true"/>
        </w:rPr>
        <w:footnoteReference w:id="393"/>
      </w:r>
      <w:r>
        <w:rPr>
          <w:rFonts w:ascii="Amiri" w:hAnsi="Amiri" w:eastAsia="Amiri" w:cs="Amiri"/>
          <w:color w:val="111111"/>
          <w:sz w:val="28"/>
          <w:sz w:val="28"/>
          <w:szCs w:val="28"/>
          <w:rtl w:val="true"/>
          <w:lang w:bidi="ar-SA"/>
        </w:rPr>
        <w:t> أصلاً</w:t>
      </w:r>
      <w:r>
        <w:rPr>
          <w:rStyle w:val="FootnoteAnchor"/>
          <w:rtl w:val="true"/>
        </w:rPr>
        <w:footnoteReference w:id="394"/>
      </w:r>
      <w:r>
        <w:rPr>
          <w:rFonts w:ascii="IRNazanin" w:hAnsi="IRNazanin" w:eastAsia="IRNazanin"/>
          <w:color w:val="111111"/>
          <w:sz w:val="28"/>
          <w:sz w:val="28"/>
          <w:szCs w:val="28"/>
          <w:rtl w:val="true"/>
          <w:lang w:bidi="fa-IR"/>
        </w:rPr>
        <w:t> لم بطل صومه</w:t>
      </w:r>
      <w:r>
        <w:rPr>
          <w:rFonts w:eastAsia="IRNazanin" w:cs="IRNazanin"/>
          <w:color w:val="111111"/>
          <w:sz w:val="28"/>
          <w:szCs w:val="28"/>
          <w:rtl w:val="true"/>
          <w:lang w:bidi="fa-IR"/>
        </w:rPr>
        <w:t>.</w:t>
      </w:r>
    </w:p>
    <w:p>
      <w:pPr>
        <w:pStyle w:val="Heading3"/>
        <w:numPr>
          <w:ilvl w:val="2"/>
          <w:numId w:val="1"/>
        </w:numPr>
        <w:rPr/>
      </w:pPr>
      <w:bookmarkStart w:id="146" w:name="__RefHeading___Toc1954918_2322387425"/>
      <w:bookmarkStart w:id="147" w:name="_Toc52"/>
      <w:bookmarkEnd w:id="146"/>
      <w:r>
        <w:rPr>
          <w:rtl w:val="true"/>
        </w:rPr>
        <w:t xml:space="preserve">السادس </w:t>
      </w:r>
      <w:r>
        <w:rPr>
          <w:rtl w:val="true"/>
        </w:rPr>
        <w:t xml:space="preserve">: </w:t>
      </w:r>
      <w:r>
        <w:rPr>
          <w:rtl w:val="true"/>
        </w:rPr>
        <w:t>إیصال الغبار الغلیظ إلی الحلق</w:t>
      </w:r>
      <w:bookmarkEnd w:id="1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w:t>
      </w:r>
      <w:r>
        <w:rPr>
          <w:rStyle w:val="FootnoteAnchor"/>
          <w:rtl w:val="true"/>
        </w:rPr>
        <w:footnoteReference w:id="395"/>
      </w:r>
      <w:r>
        <w:rPr>
          <w:rFonts w:ascii="IRNazanin" w:hAnsi="IRNazanin" w:eastAsia="IRNazanin"/>
          <w:color w:val="111111"/>
          <w:sz w:val="28"/>
          <w:sz w:val="28"/>
          <w:szCs w:val="28"/>
          <w:rtl w:val="true"/>
          <w:lang w:bidi="fa-IR"/>
        </w:rPr>
        <w:t> الغبار</w:t>
      </w:r>
      <w:r>
        <w:rPr>
          <w:rStyle w:val="FootnoteAnchor"/>
          <w:rtl w:val="true"/>
        </w:rPr>
        <w:footnoteReference w:id="396"/>
      </w:r>
      <w:r>
        <w:rPr>
          <w:rFonts w:ascii="IRNazanin" w:hAnsi="IRNazanin" w:eastAsia="IRNazanin"/>
          <w:color w:val="111111"/>
          <w:sz w:val="28"/>
          <w:sz w:val="28"/>
          <w:szCs w:val="28"/>
          <w:rtl w:val="true"/>
          <w:lang w:bidi="fa-IR"/>
        </w:rPr>
        <w:t> الغلیظ</w:t>
      </w:r>
      <w:r>
        <w:rPr>
          <w:rStyle w:val="FootnoteAnchor"/>
          <w:rtl w:val="true"/>
        </w:rPr>
        <w:footnoteReference w:id="397"/>
      </w:r>
      <w:r>
        <w:rPr>
          <w:rFonts w:ascii="IRNazanin" w:hAnsi="IRNazanin" w:eastAsia="IRNazanin"/>
          <w:color w:val="111111"/>
          <w:sz w:val="28"/>
          <w:sz w:val="28"/>
          <w:szCs w:val="28"/>
          <w:rtl w:val="true"/>
          <w:lang w:bidi="fa-IR"/>
        </w:rPr>
        <w:t> إلی حلقه</w:t>
      </w:r>
      <w:r>
        <w:rPr>
          <w:rStyle w:val="FootnoteAnchor"/>
          <w:rtl w:val="true"/>
        </w:rPr>
        <w:footnoteReference w:id="398"/>
      </w:r>
      <w:r>
        <w:rPr>
          <w:rFonts w:ascii="IRNazanin" w:hAnsi="IRNazanin" w:eastAsia="IRNazanin"/>
          <w:color w:val="111111"/>
          <w:sz w:val="28"/>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Style w:val="FootnoteAnchor"/>
          <w:rtl w:val="true"/>
        </w:rPr>
        <w:footnoteReference w:id="399"/>
      </w:r>
      <w:r>
        <w:rPr>
          <w:rFonts w:ascii="IRNazanin" w:hAnsi="IRNazanin" w:eastAsia="IRNazanin"/>
          <w:color w:val="111111"/>
          <w:sz w:val="28"/>
          <w:sz w:val="28"/>
          <w:szCs w:val="28"/>
          <w:rtl w:val="true"/>
          <w:lang w:bidi="fa-IR"/>
        </w:rPr>
        <w:t> وغیر الغلیظ</w:t>
      </w:r>
      <w:r>
        <w:rPr>
          <w:rStyle w:val="FootnoteAnchor"/>
          <w:rtl w:val="true"/>
        </w:rPr>
        <w:footnoteReference w:id="400"/>
      </w:r>
      <w:r>
        <w:rPr>
          <w:rFonts w:ascii="IRNazanin" w:hAnsi="IRNazanin" w:eastAsia="IRNazanin"/>
          <w:color w:val="111111"/>
          <w:sz w:val="28"/>
          <w:sz w:val="28"/>
          <w:szCs w:val="28"/>
          <w:rtl w:val="true"/>
          <w:lang w:bidi="fa-IR"/>
        </w:rPr>
        <w:t> علی الأحوط</w:t>
      </w:r>
      <w:r>
        <w:rPr>
          <w:rStyle w:val="FootnoteAnchor"/>
          <w:rtl w:val="true"/>
        </w:rPr>
        <w:footnoteReference w:id="401"/>
      </w:r>
      <w:r>
        <w:rPr>
          <w:rFonts w:ascii="IRNazanin" w:hAnsi="IRNazanin" w:eastAsia="IRNazanin"/>
          <w:color w:val="111111"/>
          <w:sz w:val="28"/>
          <w:sz w:val="28"/>
          <w:szCs w:val="28"/>
          <w:rtl w:val="true"/>
          <w:lang w:bidi="fa-IR"/>
        </w:rPr>
        <w:t>، سواء کان من الحلال کغبار الدقیق، أم الحرام کغبار التراب ونحوه، وسواء کان بإثارته بنفسه بکنس أو نحوه، أم بإثارة غیره، بل أو بإثارة الهواء</w:t>
      </w:r>
      <w:r>
        <w:rPr>
          <w:rStyle w:val="FootnoteAnchor"/>
          <w:rtl w:val="true"/>
        </w:rPr>
        <w:footnoteReference w:id="402"/>
      </w:r>
      <w:r>
        <w:rPr>
          <w:rFonts w:ascii="IRNazanin" w:hAnsi="IRNazanin" w:eastAsia="IRNazanin"/>
          <w:color w:val="111111"/>
          <w:sz w:val="28"/>
          <w:sz w:val="28"/>
          <w:szCs w:val="28"/>
          <w:rtl w:val="true"/>
          <w:lang w:bidi="fa-IR"/>
        </w:rPr>
        <w:t> مع التمکین منه وعدم تحفّظه، والأقوی</w:t>
      </w:r>
      <w:r>
        <w:rPr>
          <w:rStyle w:val="FootnoteAnchor"/>
          <w:rtl w:val="true"/>
        </w:rPr>
        <w:footnoteReference w:id="403"/>
      </w:r>
      <w:bookmarkStart w:id="148" w:name="pg13281_119757"/>
    </w:p>
    <w:p>
      <w:pPr>
        <w:pStyle w:val="Heading3"/>
        <w:numPr>
          <w:ilvl w:val="2"/>
          <w:numId w:val="1"/>
        </w:numPr>
        <w:rPr/>
      </w:pPr>
      <w:bookmarkStart w:id="149" w:name="__RefHeading___Toc1954920_2322387425"/>
      <w:bookmarkStart w:id="150" w:name="_Toc53"/>
      <w:bookmarkEnd w:id="148"/>
      <w:bookmarkEnd w:id="149"/>
      <w:r>
        <w:rPr>
          <w:rtl w:val="true"/>
        </w:rPr>
        <w:t>حکم البخار ودخان التتن</w:t>
      </w:r>
      <w:bookmarkEnd w:id="1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إلحاق</w:t>
      </w:r>
      <w:r>
        <w:rPr>
          <w:rStyle w:val="FootnoteAnchor"/>
          <w:rtl w:val="true"/>
        </w:rPr>
        <w:footnoteReference w:id="404"/>
      </w:r>
      <w:r>
        <w:rPr>
          <w:rFonts w:ascii="IRNazanin" w:hAnsi="IRNazanin" w:eastAsia="IRNazanin"/>
          <w:color w:val="111111"/>
          <w:sz w:val="28"/>
          <w:sz w:val="28"/>
          <w:szCs w:val="28"/>
          <w:rtl w:val="true"/>
          <w:lang w:bidi="fa-IR"/>
        </w:rPr>
        <w:t> البخار</w:t>
      </w:r>
      <w:r>
        <w:rPr>
          <w:rStyle w:val="FootnoteAnchor"/>
          <w:rtl w:val="true"/>
        </w:rPr>
        <w:footnoteReference w:id="405"/>
      </w:r>
      <w:r>
        <w:rPr>
          <w:rFonts w:ascii="IRNazanin" w:hAnsi="IRNazanin" w:eastAsia="IRNazanin"/>
          <w:color w:val="111111"/>
          <w:sz w:val="28"/>
          <w:sz w:val="28"/>
          <w:szCs w:val="28"/>
          <w:rtl w:val="true"/>
          <w:lang w:bidi="fa-IR"/>
        </w:rPr>
        <w:t> الغلیظ</w:t>
      </w:r>
      <w:r>
        <w:rPr>
          <w:rStyle w:val="FootnoteAnchor"/>
          <w:rtl w:val="true"/>
        </w:rPr>
        <w:footnoteReference w:id="406"/>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w:t>
      </w:r>
      <w:bookmarkStart w:id="151" w:name="pg13281_119758"/>
    </w:p>
    <w:p>
      <w:pPr>
        <w:pStyle w:val="BookText"/>
        <w:rPr/>
      </w:pPr>
      <w:bookmarkEnd w:id="151"/>
      <w:r>
        <w:rPr>
          <w:rFonts w:ascii="Amiri" w:hAnsi="Amiri" w:eastAsia="Amiri" w:cs="Amiri"/>
          <w:color w:val="111111"/>
          <w:sz w:val="28"/>
          <w:sz w:val="28"/>
          <w:szCs w:val="28"/>
          <w:rtl w:val="true"/>
          <w:lang w:bidi="ar-SA"/>
        </w:rPr>
        <w:t>ودُخان</w:t>
      </w:r>
      <w:r>
        <w:rPr>
          <w:rStyle w:val="FootnoteAnchor"/>
          <w:rtl w:val="true"/>
        </w:rPr>
        <w:footnoteReference w:id="407"/>
      </w:r>
      <w:r>
        <w:rPr>
          <w:rFonts w:ascii="Amiri" w:hAnsi="Amiri" w:eastAsia="Amiri" w:cs="Amiri"/>
          <w:color w:val="111111"/>
          <w:sz w:val="28"/>
          <w:sz w:val="28"/>
          <w:szCs w:val="28"/>
          <w:rtl w:val="true"/>
          <w:lang w:bidi="ar-SA"/>
        </w:rPr>
        <w:t> التِنباک</w:t>
      </w:r>
      <w:r>
        <w:rPr>
          <w:rStyle w:val="FootnoteAnchor"/>
          <w:rtl w:val="true"/>
        </w:rPr>
        <w:footnoteReference w:id="408"/>
      </w:r>
      <w:r>
        <w:rPr>
          <w:rFonts w:ascii="IRNazanin" w:hAnsi="IRNazanin" w:eastAsia="IRNazanin"/>
          <w:color w:val="111111"/>
          <w:sz w:val="28"/>
          <w:sz w:val="28"/>
          <w:szCs w:val="28"/>
          <w:rtl w:val="true"/>
          <w:lang w:bidi="fa-IR"/>
        </w:rPr>
        <w:t> ونحوه</w:t>
      </w:r>
      <w:r>
        <w:rPr>
          <w:rStyle w:val="FootnoteAnchor"/>
          <w:rtl w:val="true"/>
        </w:rPr>
        <w:footnoteReference w:id="409"/>
      </w:r>
      <w:r>
        <w:rPr>
          <w:rFonts w:ascii="IRNazanin" w:hAnsi="IRNazanin" w:eastAsia="IRNazanin"/>
          <w:color w:val="111111"/>
          <w:sz w:val="28"/>
          <w:sz w:val="28"/>
          <w:szCs w:val="28"/>
          <w:rtl w:val="true"/>
          <w:lang w:bidi="fa-IR"/>
        </w:rPr>
        <w:t>، ولا بأس بما یدخل فی الحلق غفلة أو</w:t>
      </w:r>
    </w:p>
    <w:p>
      <w:pPr>
        <w:pStyle w:val="BookText"/>
        <w:rPr/>
      </w:pPr>
      <w:r>
        <w:rPr>
          <w:rFonts w:ascii="Amiri" w:hAnsi="Amiri" w:eastAsia="Amiri" w:cs="Amiri"/>
          <w:color w:val="111111"/>
          <w:sz w:val="28"/>
          <w:sz w:val="28"/>
          <w:szCs w:val="28"/>
          <w:rtl w:val="true"/>
          <w:lang w:bidi="ar-SA"/>
        </w:rPr>
        <w:t>نسیاناً أو قهراً، أو مع ترک التحفّظ</w:t>
      </w:r>
      <w:r>
        <w:rPr>
          <w:rStyle w:val="FootnoteAnchor"/>
          <w:rtl w:val="true"/>
        </w:rPr>
        <w:footnoteReference w:id="410"/>
      </w:r>
      <w:r>
        <w:rPr>
          <w:rFonts w:ascii="Amiri" w:hAnsi="Amiri" w:eastAsia="Amiri" w:cs="Amiri"/>
          <w:color w:val="111111"/>
          <w:sz w:val="28"/>
          <w:sz w:val="28"/>
          <w:szCs w:val="28"/>
          <w:rtl w:val="true"/>
          <w:lang w:bidi="ar-SA"/>
        </w:rPr>
        <w:t> بظنِّ عدم الوصول</w:t>
      </w:r>
      <w:r>
        <w:rPr>
          <w:rStyle w:val="FootnoteAnchor"/>
          <w:rtl w:val="true"/>
        </w:rPr>
        <w:footnoteReference w:id="411"/>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w:t>
      </w:r>
    </w:p>
    <w:p>
      <w:pPr>
        <w:pStyle w:val="Heading3"/>
        <w:numPr>
          <w:ilvl w:val="2"/>
          <w:numId w:val="1"/>
        </w:numPr>
        <w:rPr/>
      </w:pPr>
      <w:bookmarkStart w:id="152" w:name="__RefHeading___Toc1954922_2322387425"/>
      <w:bookmarkStart w:id="153" w:name="_Toc54"/>
      <w:bookmarkEnd w:id="152"/>
      <w:r>
        <w:rPr>
          <w:rtl w:val="true"/>
        </w:rPr>
        <w:t xml:space="preserve">السابع </w:t>
      </w:r>
      <w:r>
        <w:rPr>
          <w:rtl w:val="true"/>
        </w:rPr>
        <w:t xml:space="preserve">: </w:t>
      </w:r>
      <w:r>
        <w:rPr>
          <w:rtl w:val="true"/>
        </w:rPr>
        <w:t>الارتماس فی الماء</w:t>
      </w:r>
      <w:bookmarkEnd w:id="15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Style w:val="FootnoteAnchor"/>
          <w:rtl w:val="true"/>
        </w:rPr>
        <w:footnoteReference w:id="412"/>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w:t>
      </w:r>
      <w:bookmarkStart w:id="154" w:name="pg13281_119759"/>
    </w:p>
    <w:p>
      <w:pPr>
        <w:pStyle w:val="Heading3"/>
        <w:numPr>
          <w:ilvl w:val="2"/>
          <w:numId w:val="1"/>
        </w:numPr>
        <w:rPr/>
      </w:pPr>
      <w:bookmarkStart w:id="155" w:name="__RefHeading___Toc1954924_2322387425"/>
      <w:bookmarkStart w:id="156" w:name="_Toc55"/>
      <w:bookmarkEnd w:id="154"/>
      <w:bookmarkEnd w:id="155"/>
      <w:r>
        <w:rPr>
          <w:rtl w:val="true"/>
        </w:rPr>
        <w:t>مبطلیة رمس الرأس فی الماء</w:t>
      </w:r>
      <w:bookmarkEnd w:id="156"/>
    </w:p>
    <w:p>
      <w:pPr>
        <w:pStyle w:val="BookText"/>
        <w:rPr/>
      </w:pPr>
      <w:r>
        <w:rPr>
          <w:rFonts w:ascii="IRNazanin" w:hAnsi="IRNazanin" w:eastAsia="IRNazanin"/>
          <w:color w:val="111111"/>
          <w:sz w:val="28"/>
          <w:sz w:val="28"/>
          <w:szCs w:val="28"/>
          <w:rtl w:val="true"/>
          <w:lang w:bidi="fa-IR"/>
        </w:rPr>
        <w:t>فی الماء</w:t>
      </w:r>
      <w:r>
        <w:rPr>
          <w:rStyle w:val="FootnoteAnchor"/>
          <w:rtl w:val="true"/>
        </w:rPr>
        <w:footnoteReference w:id="413"/>
      </w:r>
      <w:r>
        <w:rPr>
          <w:rFonts w:ascii="IRNazanin" w:hAnsi="IRNazanin" w:eastAsia="IRNazanin"/>
          <w:color w:val="111111"/>
          <w:sz w:val="28"/>
          <w:sz w:val="28"/>
          <w:szCs w:val="28"/>
          <w:rtl w:val="true"/>
          <w:lang w:bidi="fa-IR"/>
        </w:rPr>
        <w:t>، ویکفی فیه رمس الرأس فیه وإن کان سائر البدن     </w:t>
      </w:r>
    </w:p>
    <w:p>
      <w:pPr>
        <w:pStyle w:val="BookText"/>
        <w:rPr/>
      </w:pPr>
      <w:r>
        <w:rPr>
          <w:rFonts w:ascii="IRNazanin" w:hAnsi="IRNazanin" w:eastAsia="IRNazanin"/>
          <w:color w:val="111111"/>
          <w:sz w:val="28"/>
          <w:sz w:val="28"/>
          <w:szCs w:val="28"/>
          <w:rtl w:val="true"/>
          <w:lang w:bidi="fa-IR"/>
        </w:rPr>
        <w:t>خارجاً عنه، من غیر فرق بین أن یکون رمسه دفعة أو تدریجاً</w:t>
      </w:r>
    </w:p>
    <w:p>
      <w:pPr>
        <w:pStyle w:val="BookText"/>
        <w:rPr/>
      </w:pPr>
      <w:r>
        <w:rPr>
          <w:rFonts w:ascii="IRNazanin" w:hAnsi="IRNazanin" w:eastAsia="IRNazanin"/>
          <w:color w:val="111111"/>
          <w:sz w:val="28"/>
          <w:sz w:val="28"/>
          <w:szCs w:val="28"/>
          <w:rtl w:val="true"/>
          <w:lang w:bidi="fa-IR"/>
        </w:rPr>
        <w:t>علی وجه یکون تمامه تحت الماء زماناً، وأمّا لو غمسه علی</w:t>
      </w:r>
    </w:p>
    <w:p>
      <w:pPr>
        <w:pStyle w:val="BookText"/>
        <w:rPr/>
      </w:pPr>
      <w:r>
        <w:rPr>
          <w:rFonts w:ascii="IRNazanin" w:hAnsi="IRNazanin" w:eastAsia="IRNazanin"/>
          <w:color w:val="111111"/>
          <w:sz w:val="28"/>
          <w:sz w:val="28"/>
          <w:szCs w:val="28"/>
          <w:rtl w:val="true"/>
          <w:lang w:bidi="fa-IR"/>
        </w:rPr>
        <w:t>التعاقب لا علی هذا الوجه فلا بأس به وإن استغرقه، والمراد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بالرأس</w:t>
      </w:r>
      <w:r>
        <w:rPr>
          <w:rStyle w:val="FootnoteAnchor"/>
          <w:rtl w:val="true"/>
        </w:rPr>
        <w:footnoteReference w:id="414"/>
      </w:r>
      <w:r>
        <w:rPr>
          <w:rFonts w:ascii="Amiri" w:hAnsi="Amiri" w:eastAsia="Amiri" w:cs="Amiri"/>
          <w:color w:val="111111"/>
          <w:sz w:val="28"/>
          <w:sz w:val="28"/>
          <w:szCs w:val="28"/>
          <w:rtl w:val="true"/>
          <w:lang w:bidi="ar-SA"/>
        </w:rPr>
        <w:t> ما فوق الرقبة</w:t>
      </w:r>
      <w:r>
        <w:rPr>
          <w:rStyle w:val="FootnoteAnchor"/>
          <w:rtl w:val="true"/>
        </w:rPr>
        <w:footnoteReference w:id="415"/>
      </w:r>
      <w:r>
        <w:rPr>
          <w:rFonts w:ascii="IRNazanin" w:hAnsi="IRNazanin" w:eastAsia="IRNazanin"/>
          <w:color w:val="111111"/>
          <w:sz w:val="28"/>
          <w:sz w:val="28"/>
          <w:szCs w:val="28"/>
          <w:rtl w:val="true"/>
          <w:lang w:bidi="fa-IR"/>
        </w:rPr>
        <w:t xml:space="preserve"> بتمامه، فلا یکفی غمس خصوص المنافذ فی   </w:t>
      </w:r>
      <w:bookmarkStart w:id="157" w:name="pg13281_119760"/>
    </w:p>
    <w:p>
      <w:pPr>
        <w:pStyle w:val="BookText"/>
        <w:rPr/>
      </w:pPr>
      <w:bookmarkEnd w:id="157"/>
      <w:r>
        <w:rPr>
          <w:rFonts w:ascii="IRNazanin" w:hAnsi="IRNazanin" w:eastAsia="IRNazanin"/>
          <w:color w:val="111111"/>
          <w:sz w:val="28"/>
          <w:sz w:val="28"/>
          <w:szCs w:val="28"/>
          <w:rtl w:val="true"/>
          <w:lang w:bidi="fa-IR"/>
        </w:rPr>
        <w:t>البطلان وإن کان هو الأحوط، وخروج الشعر لا ینافی صدق الغمس</w:t>
      </w:r>
      <w:r>
        <w:rPr>
          <w:rFonts w:eastAsia="IRNazanin" w:cs="IRNazanin"/>
          <w:color w:val="111111"/>
          <w:sz w:val="28"/>
          <w:szCs w:val="28"/>
          <w:rtl w:val="true"/>
          <w:lang w:bidi="fa-IR"/>
        </w:rPr>
        <w:t>.</w:t>
      </w:r>
    </w:p>
    <w:p>
      <w:pPr>
        <w:pStyle w:val="Heading3"/>
        <w:numPr>
          <w:ilvl w:val="2"/>
          <w:numId w:val="1"/>
        </w:numPr>
        <w:rPr/>
      </w:pPr>
      <w:bookmarkStart w:id="158" w:name="__RefHeading___Toc1954926_2322387425"/>
      <w:bookmarkStart w:id="159" w:name="_Toc56"/>
      <w:bookmarkEnd w:id="158"/>
      <w:r>
        <w:rPr>
          <w:rtl w:val="true"/>
        </w:rPr>
        <w:t>رمس الرأس فی المضاف وغیره من المائعات</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برمس الرأس أو تمام البدن فی غیر الماء من سائر المائعات، بل ولا رمسه فی الماء المضاف</w:t>
      </w:r>
      <w:r>
        <w:rPr>
          <w:rStyle w:val="FootnoteAnchor"/>
          <w:rtl w:val="true"/>
        </w:rPr>
        <w:footnoteReference w:id="416"/>
      </w:r>
      <w:r>
        <w:rPr>
          <w:rFonts w:ascii="IRNazanin" w:hAnsi="IRNazanin" w:eastAsia="IRNazanin"/>
          <w:color w:val="111111"/>
          <w:sz w:val="28"/>
          <w:sz w:val="28"/>
          <w:szCs w:val="28"/>
          <w:rtl w:val="true"/>
          <w:lang w:bidi="fa-IR"/>
        </w:rPr>
        <w:t>، وإن کان الأحوط</w:t>
      </w:r>
      <w:r>
        <w:rPr>
          <w:rStyle w:val="FootnoteAnchor"/>
          <w:rtl w:val="true"/>
        </w:rPr>
        <w:footnoteReference w:id="4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الاجتناب</w:t>
      </w:r>
      <w:r>
        <w:rPr>
          <w:rStyle w:val="FootnoteAnchor"/>
          <w:rtl w:val="true"/>
        </w:rPr>
        <w:footnoteReference w:id="418"/>
      </w:r>
      <w:r>
        <w:rPr>
          <w:rFonts w:ascii="IRNazanin" w:hAnsi="IRNazanin" w:eastAsia="IRNazanin"/>
          <w:color w:val="111111"/>
          <w:sz w:val="28"/>
          <w:sz w:val="28"/>
          <w:szCs w:val="28"/>
          <w:rtl w:val="true"/>
          <w:lang w:bidi="fa-IR"/>
        </w:rPr>
        <w:t> خصوصاً فی الماء المضاف</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160" w:name="pg13281_119761"/>
    </w:p>
    <w:p>
      <w:pPr>
        <w:pStyle w:val="Heading3"/>
        <w:numPr>
          <w:ilvl w:val="2"/>
          <w:numId w:val="1"/>
        </w:numPr>
        <w:rPr/>
      </w:pPr>
      <w:bookmarkStart w:id="161" w:name="__RefHeading___Toc1954928_2322387425"/>
      <w:bookmarkStart w:id="162" w:name="_Toc57"/>
      <w:bookmarkEnd w:id="160"/>
      <w:bookmarkEnd w:id="161"/>
      <w:r>
        <w:rPr>
          <w:rtl w:val="true"/>
        </w:rPr>
        <w:t>الکلام فی صدق الارتماس فی بعض الفروض</w:t>
      </w:r>
      <w:bookmarkEnd w:id="1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لطخ رأسه بما یمنع من وصول الماء إلیه ثمَّ رمسه فی الماء فالأحوط بل الأقوی</w:t>
      </w:r>
      <w:r>
        <w:rPr>
          <w:rStyle w:val="FootnoteAnchor"/>
          <w:rtl w:val="true"/>
        </w:rPr>
        <w:footnoteReference w:id="420"/>
      </w:r>
      <w:r>
        <w:rPr>
          <w:rFonts w:ascii="IRNazanin" w:hAnsi="IRNazanin" w:eastAsia="IRNazanin"/>
          <w:color w:val="111111"/>
          <w:sz w:val="28"/>
          <w:sz w:val="28"/>
          <w:szCs w:val="28"/>
          <w:rtl w:val="true"/>
          <w:lang w:bidi="fa-IR"/>
        </w:rPr>
        <w:t> بطلان</w:t>
      </w:r>
      <w:r>
        <w:rPr>
          <w:rStyle w:val="FootnoteAnchor"/>
          <w:rtl w:val="true"/>
        </w:rPr>
        <w:footnoteReference w:id="421"/>
      </w:r>
      <w:r>
        <w:rPr>
          <w:rFonts w:ascii="IRNazanin" w:hAnsi="IRNazanin" w:eastAsia="IRNazanin"/>
          <w:color w:val="111111"/>
          <w:sz w:val="28"/>
          <w:sz w:val="28"/>
          <w:szCs w:val="28"/>
          <w:rtl w:val="true"/>
          <w:lang w:bidi="fa-IR"/>
        </w:rPr>
        <w:t> صومه</w:t>
      </w:r>
      <w:r>
        <w:rPr>
          <w:rStyle w:val="FootnoteAnchor"/>
          <w:rtl w:val="true"/>
        </w:rPr>
        <w:footnoteReference w:id="422"/>
      </w:r>
      <w:r>
        <w:rPr>
          <w:rFonts w:ascii="IRNazanin" w:hAnsi="IRNazanin" w:eastAsia="IRNazanin"/>
          <w:color w:val="111111"/>
          <w:sz w:val="28"/>
          <w:sz w:val="28"/>
          <w:szCs w:val="28"/>
          <w:rtl w:val="true"/>
          <w:lang w:bidi="fa-IR"/>
        </w:rPr>
        <w:t>، نعم، لو أدخل</w:t>
      </w:r>
      <w:r>
        <w:rPr>
          <w:rStyle w:val="FootnoteAnchor"/>
          <w:rtl w:val="true"/>
        </w:rPr>
        <w:footnoteReference w:id="423"/>
      </w:r>
      <w:r>
        <w:rPr>
          <w:rFonts w:ascii="IRNazanin" w:hAnsi="IRNazanin" w:eastAsia="IRNazanin"/>
          <w:color w:val="111111"/>
          <w:sz w:val="28"/>
          <w:sz w:val="28"/>
          <w:szCs w:val="28"/>
          <w:rtl w:val="true"/>
          <w:lang w:bidi="fa-IR"/>
        </w:rPr>
        <w:t> رأسه فی إناء کالشیشة ونحوها ورمس الإناء فی الماء فالظاهر</w:t>
      </w:r>
      <w:r>
        <w:rPr>
          <w:rStyle w:val="FootnoteAnchor"/>
          <w:rtl w:val="true"/>
        </w:rPr>
        <w:footnoteReference w:id="424"/>
      </w:r>
      <w:r>
        <w:rPr>
          <w:rFonts w:ascii="IRNazanin" w:hAnsi="IRNazanin" w:eastAsia="IRNazanin"/>
          <w:color w:val="111111"/>
          <w:sz w:val="28"/>
          <w:sz w:val="28"/>
          <w:szCs w:val="28"/>
          <w:rtl w:val="true"/>
          <w:lang w:bidi="fa-IR"/>
        </w:rPr>
        <w:t xml:space="preserve"> عدم </w:t>
      </w:r>
      <w:bookmarkStart w:id="163" w:name="pg13281_119762"/>
    </w:p>
    <w:p>
      <w:pPr>
        <w:pStyle w:val="BookText"/>
        <w:rPr/>
      </w:pPr>
      <w:bookmarkEnd w:id="163"/>
      <w:r>
        <w:rPr>
          <w:rFonts w:ascii="IRNazanin" w:hAnsi="IRNazanin" w:eastAsia="IRNazanin"/>
          <w:color w:val="111111"/>
          <w:sz w:val="28"/>
          <w:sz w:val="28"/>
          <w:szCs w:val="28"/>
          <w:rtl w:val="true"/>
          <w:lang w:bidi="fa-IR"/>
        </w:rPr>
        <w:t>البطلان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954930_2322387425"/>
      <w:bookmarkStart w:id="165" w:name="_Toc58"/>
      <w:bookmarkEnd w:id="164"/>
      <w:r>
        <w:rPr>
          <w:rtl w:val="true"/>
        </w:rPr>
        <w:t>حکم ذی الرأسین</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ارتمس فی الماء بتمام بدنه إلی منافذ رأسه وکان ما فوق المنافذ من رأسه خارجاً عن الماء کلّاً أو بعضاً لم یبطل صومه علی الأقوی، وإن کان الأحوط</w:t>
      </w:r>
      <w:r>
        <w:rPr>
          <w:rStyle w:val="FootnoteAnchor"/>
          <w:rtl w:val="true"/>
        </w:rPr>
        <w:footnoteReference w:id="426"/>
      </w:r>
      <w:r>
        <w:rPr>
          <w:rFonts w:ascii="IRNazanin" w:hAnsi="IRNazanin" w:eastAsia="IRNazanin"/>
          <w:color w:val="111111"/>
          <w:sz w:val="28"/>
          <w:sz w:val="28"/>
          <w:szCs w:val="28"/>
          <w:rtl w:val="true"/>
          <w:lang w:bidi="fa-IR"/>
        </w:rPr>
        <w:t> البطلان برمس خصوص المنافذ،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بإفاضة الماء علی رأسه وإن اشتمل علی جمیعه ما لم یصدق الرمس فی الماء، نعم، لو أدخل رأسه أو تمام بدنه فی النهر المنصبّ من عالٍ إلی السافل ولو علی وجه التسنیم فالظاهر البطلان</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لصدق</w:t>
      </w:r>
      <w:r>
        <w:rPr>
          <w:rStyle w:val="FootnoteAnchor"/>
          <w:rtl w:val="true"/>
        </w:rPr>
        <w:footnoteReference w:id="428"/>
      </w:r>
      <w:r>
        <w:rPr>
          <w:rFonts w:ascii="IRNazanin" w:hAnsi="IRNazanin" w:eastAsia="IRNazanin"/>
          <w:color w:val="111111"/>
          <w:sz w:val="28"/>
          <w:sz w:val="28"/>
          <w:szCs w:val="28"/>
          <w:rtl w:val="true"/>
          <w:lang w:bidi="fa-IR"/>
        </w:rPr>
        <w:t> الرمس</w:t>
      </w:r>
      <w:r>
        <w:rPr>
          <w:rStyle w:val="FootnoteAnchor"/>
          <w:rtl w:val="true"/>
        </w:rPr>
        <w:footnoteReference w:id="429"/>
      </w:r>
      <w:r>
        <w:rPr>
          <w:rFonts w:ascii="IRNazanin" w:hAnsi="IRNazanin" w:eastAsia="IRNazanin"/>
          <w:color w:val="111111"/>
          <w:sz w:val="28"/>
          <w:sz w:val="28"/>
          <w:szCs w:val="28"/>
          <w:rtl w:val="true"/>
          <w:lang w:bidi="fa-IR"/>
        </w:rPr>
        <w:t>، وکذا فی المیزاب</w:t>
      </w:r>
      <w:r>
        <w:rPr>
          <w:rStyle w:val="FootnoteAnchor"/>
          <w:rtl w:val="true"/>
        </w:rPr>
        <w:footnoteReference w:id="430"/>
      </w:r>
      <w:r>
        <w:rPr>
          <w:rFonts w:ascii="IRNazanin" w:hAnsi="IRNazanin" w:eastAsia="IRNazanin"/>
          <w:color w:val="111111"/>
          <w:sz w:val="28"/>
          <w:sz w:val="28"/>
          <w:szCs w:val="28"/>
          <w:rtl w:val="true"/>
          <w:lang w:bidi="fa-IR"/>
        </w:rPr>
        <w:t> إذا کان کبیراً وکان الماء کثیراً کالنهر مثلاً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ذی الرأسین</w:t>
      </w:r>
      <w:r>
        <w:rPr>
          <w:rStyle w:val="FootnoteAnchor"/>
          <w:rtl w:val="true"/>
        </w:rPr>
        <w:footnoteReference w:id="431"/>
      </w:r>
      <w:r>
        <w:rPr>
          <w:rFonts w:ascii="IRNazanin" w:hAnsi="IRNazanin" w:eastAsia="IRNazanin"/>
          <w:color w:val="111111"/>
          <w:sz w:val="28"/>
          <w:sz w:val="28"/>
          <w:szCs w:val="28"/>
          <w:rtl w:val="true"/>
          <w:lang w:bidi="fa-IR"/>
        </w:rPr>
        <w:t xml:space="preserve"> إذا تمیّز الأصلیّ منهما فالمدار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432"/>
      </w:r>
      <w:r>
        <w:rPr>
          <w:rFonts w:ascii="IRNazanin" w:hAnsi="IRNazanin" w:eastAsia="IRNazanin"/>
          <w:color w:val="111111"/>
          <w:sz w:val="28"/>
          <w:sz w:val="28"/>
          <w:szCs w:val="28"/>
          <w:rtl w:val="true"/>
          <w:lang w:bidi="fa-IR"/>
        </w:rPr>
        <w:t>، ومع عدم التمیّز</w:t>
      </w:r>
      <w:r>
        <w:rPr>
          <w:rStyle w:val="FootnoteAnchor"/>
          <w:rtl w:val="true"/>
        </w:rPr>
        <w:footnoteReference w:id="433"/>
      </w:r>
      <w:r>
        <w:rPr>
          <w:rFonts w:ascii="IRNazanin" w:hAnsi="IRNazanin" w:eastAsia="IRNazanin"/>
          <w:color w:val="111111"/>
          <w:sz w:val="28"/>
          <w:sz w:val="28"/>
          <w:szCs w:val="28"/>
          <w:rtl w:val="true"/>
          <w:lang w:bidi="fa-IR"/>
        </w:rPr>
        <w:t> یجب</w:t>
      </w:r>
      <w:r>
        <w:rPr>
          <w:rStyle w:val="FootnoteAnchor"/>
          <w:rtl w:val="true"/>
        </w:rPr>
        <w:footnoteReference w:id="434"/>
      </w:r>
      <w:r>
        <w:rPr>
          <w:rFonts w:ascii="IRNazanin" w:hAnsi="IRNazanin" w:eastAsia="IRNazanin"/>
          <w:color w:val="111111"/>
          <w:sz w:val="28"/>
          <w:sz w:val="28"/>
          <w:szCs w:val="28"/>
          <w:rtl w:val="true"/>
          <w:lang w:bidi="fa-IR"/>
        </w:rPr>
        <w:t> علیه الاجتناب عن رمس کلٍّ منهما، لکن لا یحکم</w:t>
      </w:r>
      <w:r>
        <w:rPr>
          <w:rStyle w:val="FootnoteAnchor"/>
          <w:rtl w:val="true"/>
        </w:rPr>
        <w:footnoteReference w:id="435"/>
      </w:r>
      <w:r>
        <w:rPr>
          <w:rFonts w:ascii="IRNazanin" w:hAnsi="IRNazanin" w:eastAsia="IRNazanin"/>
          <w:color w:val="111111"/>
          <w:sz w:val="28"/>
          <w:sz w:val="28"/>
          <w:szCs w:val="28"/>
          <w:rtl w:val="true"/>
          <w:lang w:bidi="fa-IR"/>
        </w:rPr>
        <w:t> ببطلان</w:t>
      </w:r>
      <w:r>
        <w:rPr>
          <w:rStyle w:val="FootnoteAnchor"/>
          <w:rtl w:val="true"/>
        </w:rPr>
        <w:footnoteReference w:id="436"/>
      </w:r>
      <w:r>
        <w:rPr>
          <w:rFonts w:ascii="IRNazanin" w:hAnsi="IRNazanin" w:eastAsia="IRNazanin"/>
          <w:color w:val="111111"/>
          <w:sz w:val="28"/>
          <w:sz w:val="28"/>
          <w:szCs w:val="28"/>
          <w:rtl w:val="true"/>
          <w:lang w:bidi="fa-IR"/>
        </w:rPr>
        <w:t> الصوم</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برمسهما</w:t>
      </w:r>
      <w:r>
        <w:rPr>
          <w:rStyle w:val="FootnoteAnchor"/>
          <w:rtl w:val="true"/>
        </w:rPr>
        <w:footnoteReference w:id="438"/>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 </w:t>
      </w:r>
      <w:bookmarkStart w:id="166" w:name="pg13281_119765"/>
    </w:p>
    <w:p>
      <w:pPr>
        <w:pStyle w:val="BookText"/>
        <w:rPr/>
      </w:pPr>
      <w:bookmarkEnd w:id="166"/>
      <w:r>
        <w:rPr>
          <w:rFonts w:ascii="IRNazanin" w:hAnsi="IRNazanin" w:eastAsia="IRNazanin"/>
          <w:color w:val="111111"/>
          <w:sz w:val="28"/>
          <w:sz w:val="28"/>
          <w:szCs w:val="28"/>
          <w:rtl w:val="true"/>
          <w:lang w:bidi="fa-IR"/>
        </w:rPr>
        <w:t>ولو متعاقباً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954932_2322387425"/>
      <w:bookmarkStart w:id="168" w:name="_Toc59"/>
      <w:bookmarkEnd w:id="167"/>
      <w:r>
        <w:rPr>
          <w:rtl w:val="true"/>
        </w:rPr>
        <w:t>فروع فی مفطریّة الارتماس</w:t>
      </w:r>
      <w:bookmarkEnd w:id="1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مایعان یعلم بکون أحدهما ماءً یجب الاجتناب عنهما، ولکنّ الحکم بالبطلان</w:t>
      </w:r>
      <w:r>
        <w:rPr>
          <w:rStyle w:val="FootnoteAnchor"/>
          <w:rtl w:val="true"/>
        </w:rPr>
        <w:footnoteReference w:id="440"/>
      </w:r>
      <w:r>
        <w:rPr>
          <w:rFonts w:ascii="Amiri" w:hAnsi="Amiri" w:eastAsia="Amiri" w:cs="Amiri"/>
          <w:color w:val="111111"/>
          <w:sz w:val="28"/>
          <w:sz w:val="28"/>
          <w:szCs w:val="28"/>
          <w:rtl w:val="true"/>
          <w:lang w:bidi="ar-SA"/>
        </w:rPr>
        <w:t> یتوقّف</w:t>
      </w:r>
      <w:r>
        <w:rPr>
          <w:rStyle w:val="FootnoteAnchor"/>
          <w:rtl w:val="true"/>
        </w:rPr>
        <w:footnoteReference w:id="441"/>
      </w:r>
      <w:r>
        <w:rPr>
          <w:rFonts w:ascii="IRNazanin" w:hAnsi="IRNazanin" w:eastAsia="IRNazanin"/>
          <w:color w:val="111111"/>
          <w:sz w:val="28"/>
          <w:sz w:val="28"/>
          <w:szCs w:val="28"/>
          <w:rtl w:val="true"/>
          <w:lang w:bidi="fa-IR"/>
        </w:rPr>
        <w:t> علی الرمس فیهما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الصوم بالارتماس سهواً أو قهراً، أو السقوط فی الماء من غیر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ألقی نفسه من شاهق فی الماء بتخیّل</w:t>
      </w:r>
      <w:r>
        <w:rPr>
          <w:rStyle w:val="FootnoteAnchor"/>
          <w:rtl w:val="true"/>
        </w:rPr>
        <w:footnoteReference w:id="443"/>
      </w:r>
      <w:r>
        <w:rPr>
          <w:rFonts w:ascii="IRNazanin" w:hAnsi="IRNazanin" w:eastAsia="IRNazanin"/>
          <w:color w:val="111111"/>
          <w:sz w:val="28"/>
          <w:sz w:val="28"/>
          <w:szCs w:val="28"/>
          <w:rtl w:val="true"/>
          <w:lang w:bidi="fa-IR"/>
        </w:rPr>
        <w:t> عدم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الرمس</w:t>
      </w:r>
      <w:r>
        <w:rPr>
          <w:rStyle w:val="FootnoteAnchor"/>
          <w:rtl w:val="true"/>
        </w:rPr>
        <w:footnoteReference w:id="444"/>
      </w:r>
      <w:r>
        <w:rPr>
          <w:rFonts w:ascii="IRNazanin" w:hAnsi="IRNazanin" w:eastAsia="IRNazanin"/>
          <w:color w:val="111111"/>
          <w:sz w:val="28"/>
          <w:sz w:val="28"/>
          <w:szCs w:val="28"/>
          <w:rtl w:val="true"/>
          <w:lang w:bidi="fa-IR"/>
        </w:rPr>
        <w:t> فحصل لم یبطل</w:t>
      </w:r>
      <w:r>
        <w:rPr>
          <w:rStyle w:val="FootnoteAnchor"/>
          <w:rtl w:val="true"/>
        </w:rPr>
        <w:footnoteReference w:id="445"/>
      </w:r>
      <w:r>
        <w:rPr>
          <w:rFonts w:ascii="IRNazanin" w:hAnsi="IRNazanin" w:eastAsia="IRNazanin"/>
          <w:color w:val="111111"/>
          <w:sz w:val="28"/>
          <w:sz w:val="28"/>
          <w:szCs w:val="28"/>
          <w:rtl w:val="true"/>
          <w:lang w:bidi="fa-IR"/>
        </w:rPr>
        <w:t> صومه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مایع لا یُعلَم أنّه ماء أو غیره أو ماء مضاف</w:t>
      </w:r>
      <w:r>
        <w:rPr>
          <w:rStyle w:val="FootnoteAnchor"/>
          <w:rtl w:val="true"/>
        </w:rPr>
        <w:footnoteReference w:id="447"/>
      </w:r>
      <w:r>
        <w:rPr>
          <w:rFonts w:ascii="IRNazanin" w:hAnsi="IRNazanin" w:eastAsia="IRNazanin"/>
          <w:color w:val="111111"/>
          <w:sz w:val="28"/>
          <w:sz w:val="28"/>
          <w:szCs w:val="28"/>
          <w:rtl w:val="true"/>
          <w:lang w:bidi="fa-IR"/>
        </w:rPr>
        <w:t> لم یجب الاجتناب</w:t>
      </w:r>
      <w:r>
        <w:rPr>
          <w:rStyle w:val="FootnoteAnchor"/>
          <w:rtl w:val="true"/>
        </w:rPr>
        <w:footnoteReference w:id="448"/>
      </w:r>
      <w:r>
        <w:rPr>
          <w:rFonts w:ascii="IRNazanin" w:hAnsi="IRNazanin" w:eastAsia="IRNazanin"/>
          <w:color w:val="111111"/>
          <w:sz w:val="28"/>
          <w:sz w:val="28"/>
          <w:szCs w:val="28"/>
          <w:rtl w:val="true"/>
          <w:lang w:bidi="fa-IR"/>
        </w:rPr>
        <w:t> عنه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69" w:name="pg13281_119768"/>
    </w:p>
    <w:p>
      <w:pPr>
        <w:pStyle w:val="Heading3"/>
        <w:numPr>
          <w:ilvl w:val="2"/>
          <w:numId w:val="1"/>
        </w:numPr>
        <w:rPr/>
      </w:pPr>
      <w:bookmarkStart w:id="170" w:name="__RefHeading___Toc1954934_2322387425"/>
      <w:bookmarkStart w:id="171" w:name="_Toc60"/>
      <w:bookmarkEnd w:id="169"/>
      <w:bookmarkEnd w:id="170"/>
      <w:r>
        <w:rPr>
          <w:rtl w:val="true"/>
        </w:rPr>
        <w:t>حکم الصوم إذا انحصر الغسل بالارتماس</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ارتمس نسیاناً أو قهراً</w:t>
      </w:r>
      <w:r>
        <w:rPr>
          <w:rStyle w:val="FootnoteAnchor"/>
          <w:rtl w:val="true"/>
        </w:rPr>
        <w:footnoteReference w:id="450"/>
      </w:r>
      <w:r>
        <w:rPr>
          <w:rFonts w:ascii="IRNazanin" w:hAnsi="IRNazanin" w:eastAsia="IRNazanin"/>
          <w:color w:val="111111"/>
          <w:sz w:val="28"/>
          <w:sz w:val="28"/>
          <w:szCs w:val="28"/>
          <w:rtl w:val="true"/>
          <w:lang w:bidi="fa-IR"/>
        </w:rPr>
        <w:t> ثمّ تذکّر أو ارتفع القهر وجب  </w:t>
      </w:r>
    </w:p>
    <w:p>
      <w:pPr>
        <w:pStyle w:val="BookText"/>
        <w:rPr/>
      </w:pPr>
      <w:r>
        <w:rPr>
          <w:rFonts w:ascii="IRNazanin" w:hAnsi="IRNazanin" w:eastAsia="IRNazanin"/>
          <w:color w:val="111111"/>
          <w:sz w:val="28"/>
          <w:sz w:val="28"/>
          <w:szCs w:val="28"/>
          <w:rtl w:val="true"/>
          <w:lang w:bidi="fa-IR"/>
        </w:rPr>
        <w:t>علیه المبادرة إلی الخروج، وإلّا بطل صومه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مُکرَهاً فی الارتماس لم یصحّ صومه</w:t>
      </w:r>
      <w:r>
        <w:rPr>
          <w:rStyle w:val="FootnoteAnchor"/>
          <w:rtl w:val="true"/>
        </w:rPr>
        <w:footnoteReference w:id="452"/>
      </w:r>
      <w:r>
        <w:rPr>
          <w:rFonts w:ascii="IRNazanin" w:hAnsi="IRNazanin" w:eastAsia="IRNazanin"/>
          <w:color w:val="111111"/>
          <w:sz w:val="28"/>
          <w:sz w:val="28"/>
          <w:szCs w:val="28"/>
          <w:rtl w:val="true"/>
          <w:lang w:bidi="fa-IR"/>
        </w:rPr>
        <w:t>، بخلاف</w:t>
      </w:r>
    </w:p>
    <w:p>
      <w:pPr>
        <w:pStyle w:val="BookText"/>
        <w:rPr/>
      </w:pPr>
      <w:r>
        <w:rPr>
          <w:rFonts w:ascii="IRNazanin" w:hAnsi="IRNazanin" w:eastAsia="IRNazanin"/>
          <w:color w:val="111111"/>
          <w:sz w:val="28"/>
          <w:sz w:val="28"/>
          <w:szCs w:val="28"/>
          <w:rtl w:val="true"/>
          <w:lang w:bidi="fa-IR"/>
        </w:rPr>
        <w:t>ما إذا کان مقهوراً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ارتمس لإنقاذ غریقٍ بطل</w:t>
      </w:r>
      <w:r>
        <w:rPr>
          <w:rStyle w:val="FootnoteAnchor"/>
          <w:rtl w:val="true"/>
        </w:rPr>
        <w:footnoteReference w:id="453"/>
      </w:r>
      <w:r>
        <w:rPr>
          <w:rFonts w:ascii="IRNazanin" w:hAnsi="IRNazanin" w:eastAsia="IRNazanin"/>
          <w:color w:val="111111"/>
          <w:sz w:val="28"/>
          <w:sz w:val="28"/>
          <w:szCs w:val="28"/>
          <w:rtl w:val="true"/>
          <w:lang w:bidi="fa-IR"/>
        </w:rPr>
        <w:t> صومه وإن کان واجباً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جنباً وتوقّف غسله علی الارتماس</w:t>
      </w:r>
    </w:p>
    <w:p>
      <w:pPr>
        <w:pStyle w:val="BookText"/>
        <w:rPr/>
      </w:pPr>
      <w:r>
        <w:rPr>
          <w:rFonts w:ascii="IRNazanin" w:hAnsi="IRNazanin" w:eastAsia="IRNazanin"/>
          <w:color w:val="111111"/>
          <w:sz w:val="28"/>
          <w:sz w:val="28"/>
          <w:szCs w:val="28"/>
          <w:rtl w:val="true"/>
          <w:lang w:bidi="fa-IR"/>
        </w:rPr>
        <w:t>انتقل إلی التیمّم</w:t>
      </w:r>
      <w:r>
        <w:rPr>
          <w:rStyle w:val="FootnoteAnchor"/>
          <w:rtl w:val="true"/>
        </w:rPr>
        <w:footnoteReference w:id="454"/>
      </w:r>
      <w:r>
        <w:rPr>
          <w:rFonts w:ascii="IRNazanin" w:hAnsi="IRNazanin" w:eastAsia="IRNazanin"/>
          <w:color w:val="111111"/>
          <w:sz w:val="28"/>
          <w:sz w:val="28"/>
          <w:szCs w:val="28"/>
          <w:rtl w:val="true"/>
          <w:lang w:bidi="fa-IR"/>
        </w:rPr>
        <w:t> إذا کان الصوم واجباً معیّناً، وإن کان</w:t>
      </w:r>
    </w:p>
    <w:p>
      <w:pPr>
        <w:pStyle w:val="BookText"/>
        <w:rPr/>
      </w:pPr>
      <w:r>
        <w:rPr>
          <w:rFonts w:ascii="Amiri" w:hAnsi="Amiri" w:eastAsia="Amiri" w:cs="Amiri"/>
          <w:color w:val="111111"/>
          <w:sz w:val="28"/>
          <w:sz w:val="28"/>
          <w:szCs w:val="28"/>
          <w:rtl w:val="true"/>
          <w:lang w:bidi="ar-SA"/>
        </w:rPr>
        <w:t>مستحبّاً أو کان واجباً موسّعاً</w:t>
      </w:r>
      <w:r>
        <w:rPr>
          <w:rStyle w:val="FootnoteAnchor"/>
          <w:rtl w:val="true"/>
        </w:rPr>
        <w:footnoteReference w:id="455"/>
      </w:r>
      <w:r>
        <w:rPr>
          <w:rFonts w:ascii="IRNazanin" w:hAnsi="IRNazanin" w:eastAsia="IRNazanin"/>
          <w:color w:val="111111"/>
          <w:sz w:val="28"/>
          <w:sz w:val="28"/>
          <w:szCs w:val="28"/>
          <w:rtl w:val="true"/>
          <w:lang w:bidi="fa-IR"/>
        </w:rPr>
        <w:t> وجب علیه الغسل وبطل</w:t>
      </w:r>
      <w:r>
        <w:rPr>
          <w:rStyle w:val="FootnoteAnchor"/>
          <w:rtl w:val="true"/>
        </w:rPr>
        <w:footnoteReference w:id="4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72" w:name="pg13281_119769"/>
    </w:p>
    <w:p>
      <w:pPr>
        <w:pStyle w:val="Heading3"/>
        <w:numPr>
          <w:ilvl w:val="2"/>
          <w:numId w:val="1"/>
        </w:numPr>
        <w:rPr/>
      </w:pPr>
      <w:bookmarkStart w:id="173" w:name="__RefHeading___Toc1954936_2322387425"/>
      <w:bookmarkStart w:id="174" w:name="_Toc61"/>
      <w:bookmarkEnd w:id="172"/>
      <w:bookmarkEnd w:id="173"/>
      <w:r>
        <w:rPr>
          <w:rtl w:val="true"/>
        </w:rPr>
        <w:t>قصد الارتماس بالغسل فی غیر شهر رمضان</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ارتمس بقصد الاغتسال</w:t>
      </w:r>
      <w:r>
        <w:rPr>
          <w:rStyle w:val="FootnoteAnchor"/>
          <w:rtl w:val="true"/>
        </w:rPr>
        <w:footnoteReference w:id="458"/>
      </w:r>
      <w:r>
        <w:rPr>
          <w:rFonts w:ascii="IRNazanin" w:hAnsi="IRNazanin" w:eastAsia="IRNazanin"/>
          <w:color w:val="111111"/>
          <w:sz w:val="28"/>
          <w:sz w:val="28"/>
          <w:szCs w:val="28"/>
          <w:rtl w:val="true"/>
          <w:lang w:bidi="fa-IR"/>
        </w:rPr>
        <w:t> فی الصوم الواجب</w:t>
      </w:r>
      <w:r>
        <w:rPr>
          <w:rStyle w:val="FootnoteAnchor"/>
          <w:rtl w:val="true"/>
        </w:rPr>
        <w:footnoteReference w:id="45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المعیّن بطل صومه وغسله</w:t>
      </w:r>
      <w:r>
        <w:rPr>
          <w:rStyle w:val="FootnoteAnchor"/>
          <w:rtl w:val="true"/>
        </w:rPr>
        <w:footnoteReference w:id="460"/>
      </w:r>
      <w:r>
        <w:rPr>
          <w:rFonts w:ascii="Amiri" w:hAnsi="Amiri" w:eastAsia="Amiri" w:cs="Amiri"/>
          <w:color w:val="111111"/>
          <w:sz w:val="28"/>
          <w:sz w:val="28"/>
          <w:szCs w:val="28"/>
          <w:rtl w:val="true"/>
          <w:lang w:bidi="ar-SA"/>
        </w:rPr>
        <w:t xml:space="preserve"> إذا کان متعمّداً، وإن کان ناسیاً لصومه صحّا </w:t>
      </w:r>
    </w:p>
    <w:p>
      <w:pPr>
        <w:pStyle w:val="BookText"/>
        <w:rPr/>
      </w:pPr>
      <w:r>
        <w:rPr>
          <w:rFonts w:ascii="Amiri" w:hAnsi="Amiri" w:eastAsia="Amiri" w:cs="Amiri"/>
          <w:color w:val="111111"/>
          <w:sz w:val="28"/>
          <w:sz w:val="28"/>
          <w:szCs w:val="28"/>
          <w:rtl w:val="true"/>
          <w:lang w:bidi="ar-SA"/>
        </w:rPr>
        <w:t>معاً، وأمّا إذا کان الصوم مستحبّاً أو واجباً موسّعاً بطل صومه</w:t>
      </w:r>
      <w:r>
        <w:rPr>
          <w:rStyle w:val="FootnoteAnchor"/>
          <w:rtl w:val="true"/>
        </w:rPr>
        <w:footnoteReference w:id="461"/>
      </w:r>
      <w:r>
        <w:rPr>
          <w:rFonts w:ascii="Amiri" w:hAnsi="Amiri" w:eastAsia="Amiri" w:cs="Amiri"/>
          <w:color w:val="111111"/>
          <w:sz w:val="28"/>
          <w:sz w:val="28"/>
          <w:szCs w:val="28"/>
          <w:rtl w:val="true"/>
          <w:lang w:bidi="ar-SA"/>
        </w:rPr>
        <w:t> وصحّ غسله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أبطل</w:t>
      </w:r>
      <w:r>
        <w:rPr>
          <w:rStyle w:val="FootnoteAnchor"/>
          <w:rtl w:val="true"/>
        </w:rPr>
        <w:footnoteReference w:id="463"/>
      </w:r>
      <w:r>
        <w:rPr>
          <w:rFonts w:ascii="IRNazanin" w:hAnsi="IRNazanin" w:eastAsia="IRNazanin"/>
          <w:color w:val="111111"/>
          <w:sz w:val="28"/>
          <w:sz w:val="28"/>
          <w:szCs w:val="28"/>
          <w:rtl w:val="true"/>
          <w:lang w:bidi="fa-IR"/>
        </w:rPr>
        <w:t> صومه بالارتماس العمدیّ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من شهر رمضان ولا من الواجب المعیّن غیر رمضان یصحُّ له الغسل حال المکث</w:t>
      </w:r>
      <w:r>
        <w:rPr>
          <w:rStyle w:val="FootnoteAnchor"/>
          <w:rtl w:val="true"/>
        </w:rPr>
        <w:footnoteReference w:id="464"/>
      </w:r>
      <w:r>
        <w:rPr>
          <w:rFonts w:ascii="IRNazanin" w:hAnsi="IRNazanin" w:eastAsia="IRNazanin"/>
          <w:color w:val="111111"/>
          <w:sz w:val="28"/>
          <w:sz w:val="28"/>
          <w:szCs w:val="28"/>
          <w:rtl w:val="true"/>
          <w:lang w:bidi="fa-IR"/>
        </w:rPr>
        <w:t> فی الماء أو حال الخروج</w:t>
      </w:r>
      <w:r>
        <w:rPr>
          <w:rStyle w:val="FootnoteAnchor"/>
          <w:rtl w:val="true"/>
        </w:rPr>
        <w:footnoteReference w:id="465"/>
      </w:r>
      <w:r>
        <w:rPr>
          <w:rFonts w:ascii="IRNazanin" w:hAnsi="IRNazanin" w:eastAsia="IRNazanin"/>
          <w:color w:val="111111"/>
          <w:sz w:val="28"/>
          <w:sz w:val="28"/>
          <w:szCs w:val="28"/>
          <w:rtl w:val="true"/>
          <w:lang w:bidi="fa-IR"/>
        </w:rPr>
        <w:t xml:space="preserve">، وإن کان من شهر رمضان یشکل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صحّته حال</w:t>
      </w:r>
      <w:r>
        <w:rPr>
          <w:rStyle w:val="FootnoteAnchor"/>
          <w:rtl w:val="true"/>
        </w:rPr>
        <w:footnoteReference w:id="466"/>
      </w:r>
      <w:r>
        <w:rPr>
          <w:rFonts w:ascii="IRNazanin" w:hAnsi="IRNazanin" w:eastAsia="IRNazanin"/>
          <w:color w:val="111111"/>
          <w:sz w:val="28"/>
          <w:sz w:val="28"/>
          <w:szCs w:val="28"/>
          <w:rtl w:val="true"/>
          <w:lang w:bidi="fa-IR"/>
        </w:rPr>
        <w:t> المکث</w:t>
      </w:r>
      <w:r>
        <w:rPr>
          <w:rStyle w:val="FootnoteAnchor"/>
          <w:rtl w:val="true"/>
        </w:rPr>
        <w:footnoteReference w:id="467"/>
      </w:r>
      <w:r>
        <w:rPr>
          <w:rFonts w:ascii="IRNazanin" w:hAnsi="IRNazanin" w:eastAsia="IRNazanin"/>
          <w:color w:val="111111"/>
          <w:sz w:val="28"/>
          <w:sz w:val="28"/>
          <w:szCs w:val="28"/>
          <w:rtl w:val="true"/>
          <w:lang w:bidi="fa-IR"/>
        </w:rPr>
        <w:t>؛ لوجوب الإمساک عن المفطِرات فیه بعد البطلان أیضاً، بل یشکل</w:t>
      </w:r>
      <w:r>
        <w:rPr>
          <w:rStyle w:val="FootnoteAnchor"/>
          <w:rtl w:val="true"/>
        </w:rPr>
        <w:footnoteReference w:id="4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صحّته</w:t>
      </w:r>
      <w:r>
        <w:rPr>
          <w:rStyle w:val="FootnoteAnchor"/>
          <w:rtl w:val="true"/>
        </w:rPr>
        <w:footnoteReference w:id="469"/>
      </w:r>
      <w:r>
        <w:rPr>
          <w:rFonts w:ascii="IRNazanin" w:hAnsi="IRNazanin" w:eastAsia="IRNazanin"/>
          <w:color w:val="111111"/>
          <w:sz w:val="28"/>
          <w:sz w:val="28"/>
          <w:szCs w:val="28"/>
          <w:rtl w:val="true"/>
          <w:lang w:bidi="fa-IR"/>
        </w:rPr>
        <w:t> حال الخروج</w:t>
      </w:r>
      <w:r>
        <w:rPr>
          <w:rStyle w:val="FootnoteAnchor"/>
          <w:rtl w:val="true"/>
        </w:rPr>
        <w:footnoteReference w:id="470"/>
      </w:r>
      <w:r>
        <w:rPr>
          <w:rFonts w:ascii="Amiri" w:hAnsi="Amiri" w:eastAsia="Amiri" w:cs="Amiri"/>
          <w:color w:val="111111"/>
          <w:sz w:val="28"/>
          <w:sz w:val="28"/>
          <w:szCs w:val="28"/>
          <w:rtl w:val="true"/>
          <w:lang w:bidi="ar-SA"/>
        </w:rPr>
        <w:t> أیضاً</w:t>
      </w:r>
      <w:r>
        <w:rPr>
          <w:rStyle w:val="FootnoteAnchor"/>
          <w:rtl w:val="true"/>
        </w:rPr>
        <w:footnoteReference w:id="471"/>
      </w:r>
      <w:r>
        <w:rPr>
          <w:rFonts w:ascii="IRNazanin" w:hAnsi="IRNazanin" w:eastAsia="IRNazanin"/>
          <w:color w:val="111111"/>
          <w:sz w:val="28"/>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لمکان النهی السابق، کالخروج من الدار الغصبیّة</w:t>
      </w:r>
      <w:r>
        <w:rPr>
          <w:rStyle w:val="FootnoteAnchor"/>
          <w:rtl w:val="true"/>
        </w:rPr>
        <w:footnoteReference w:id="472"/>
      </w:r>
      <w:r>
        <w:rPr>
          <w:rFonts w:ascii="IRNazanin" w:hAnsi="IRNazanin" w:eastAsia="IRNazanin"/>
          <w:color w:val="111111"/>
          <w:sz w:val="28"/>
          <w:sz w:val="28"/>
          <w:szCs w:val="28"/>
          <w:rtl w:val="true"/>
          <w:lang w:bidi="fa-IR"/>
        </w:rPr>
        <w:t> إذا دخلها عامداً، ومن هنا</w:t>
      </w:r>
      <w:r>
        <w:rPr>
          <w:rStyle w:val="FootnoteAnchor"/>
          <w:rtl w:val="true"/>
        </w:rPr>
        <w:footnoteReference w:id="473"/>
      </w:r>
      <w:r>
        <w:rPr>
          <w:rFonts w:ascii="IRNazanin" w:hAnsi="IRNazanin" w:eastAsia="IRNazanin"/>
          <w:color w:val="111111"/>
          <w:sz w:val="28"/>
          <w:sz w:val="28"/>
          <w:szCs w:val="28"/>
          <w:rtl w:val="true"/>
          <w:lang w:bidi="fa-IR"/>
        </w:rPr>
        <w:t> یشکل</w:t>
      </w:r>
      <w:r>
        <w:rPr>
          <w:rStyle w:val="FootnoteAnchor"/>
          <w:rtl w:val="true"/>
        </w:rPr>
        <w:footnoteReference w:id="474"/>
      </w:r>
      <w:r>
        <w:rPr>
          <w:rFonts w:ascii="Amiri" w:hAnsi="Amiri" w:eastAsia="Amiri" w:cs="Amiri"/>
          <w:color w:val="111111"/>
          <w:sz w:val="28"/>
          <w:sz w:val="28"/>
          <w:szCs w:val="28"/>
          <w:rtl w:val="true"/>
          <w:lang w:bidi="ar-SA"/>
        </w:rPr>
        <w:t> صحّة</w:t>
      </w:r>
      <w:r>
        <w:rPr>
          <w:rStyle w:val="FootnoteAnchor"/>
          <w:rtl w:val="true"/>
        </w:rPr>
        <w:footnoteReference w:id="475"/>
      </w:r>
      <w:r>
        <w:rPr>
          <w:rFonts w:ascii="IRNazanin" w:hAnsi="IRNazanin" w:eastAsia="IRNazanin"/>
          <w:color w:val="111111"/>
          <w:sz w:val="28"/>
          <w:sz w:val="28"/>
          <w:szCs w:val="28"/>
          <w:rtl w:val="true"/>
          <w:lang w:bidi="fa-IR"/>
        </w:rPr>
        <w:t> الغسل</w:t>
      </w:r>
      <w:r>
        <w:rPr>
          <w:rStyle w:val="FootnoteAnchor"/>
          <w:rtl w:val="true"/>
        </w:rPr>
        <w:footnoteReference w:id="476"/>
      </w:r>
      <w:r>
        <w:rPr>
          <w:rFonts w:ascii="IRNazanin" w:hAnsi="IRNazanin" w:eastAsia="IRNazanin"/>
          <w:color w:val="111111"/>
          <w:sz w:val="28"/>
          <w:sz w:val="28"/>
          <w:szCs w:val="28"/>
          <w:rtl w:val="true"/>
          <w:lang w:bidi="fa-IR"/>
        </w:rPr>
        <w:t xml:space="preserve"> فی الصوم الواجب </w:t>
      </w:r>
      <w:bookmarkStart w:id="175" w:name="pg13281_119774"/>
    </w:p>
    <w:p>
      <w:pPr>
        <w:pStyle w:val="BookText"/>
        <w:rPr/>
      </w:pPr>
      <w:bookmarkEnd w:id="175"/>
      <w:r>
        <w:rPr>
          <w:rFonts w:ascii="Amiri" w:hAnsi="Amiri" w:eastAsia="Amiri" w:cs="Amiri"/>
          <w:color w:val="111111"/>
          <w:sz w:val="28"/>
          <w:sz w:val="28"/>
          <w:szCs w:val="28"/>
          <w:rtl w:val="true"/>
          <w:lang w:bidi="ar-SA"/>
        </w:rPr>
        <w:t>المعیّن</w:t>
      </w:r>
      <w:r>
        <w:rPr>
          <w:rStyle w:val="FootnoteAnchor"/>
          <w:rtl w:val="true"/>
        </w:rPr>
        <w:footnoteReference w:id="477"/>
      </w:r>
      <w:r>
        <w:rPr>
          <w:rFonts w:ascii="IRNazanin" w:hAnsi="IRNazanin" w:eastAsia="IRNazanin"/>
          <w:color w:val="111111"/>
          <w:sz w:val="28"/>
          <w:sz w:val="28"/>
          <w:szCs w:val="28"/>
          <w:rtl w:val="true"/>
          <w:lang w:bidi="fa-IR"/>
        </w:rPr>
        <w:t> أیضاً، سواء کان فی حال المکث أو حال الخروج</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954938_2322387425"/>
      <w:bookmarkStart w:id="177" w:name="_Toc62"/>
      <w:bookmarkEnd w:id="176"/>
      <w:r>
        <w:rPr>
          <w:rtl w:val="true"/>
        </w:rPr>
        <w:t>الارتماس فی الماء المغصوب</w:t>
      </w:r>
      <w:bookmarkEnd w:id="1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ارتمس الصائم فی 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ناسیاً للصوم وللغصب صحّ صومه وغسله</w:t>
      </w:r>
      <w:r>
        <w:rPr>
          <w:rStyle w:val="FootnoteAnchor"/>
          <w:rtl w:val="true"/>
        </w:rPr>
        <w:footnoteReference w:id="479"/>
      </w:r>
      <w:r>
        <w:rPr>
          <w:rFonts w:ascii="IRNazanin" w:hAnsi="IRNazanin" w:eastAsia="IRNazanin"/>
          <w:color w:val="111111"/>
          <w:sz w:val="28"/>
          <w:sz w:val="28"/>
          <w:szCs w:val="28"/>
          <w:rtl w:val="true"/>
          <w:lang w:bidi="fa-IR"/>
        </w:rPr>
        <w:t>، وإن کان عالماً بهما بطلا معاً</w:t>
      </w:r>
      <w:r>
        <w:rPr>
          <w:rStyle w:val="FootnoteAnchor"/>
          <w:rtl w:val="true"/>
        </w:rPr>
        <w:footnoteReference w:id="480"/>
      </w:r>
      <w:r>
        <w:rPr>
          <w:rFonts w:ascii="IRNazanin" w:hAnsi="IRNazanin" w:eastAsia="IRNazanin"/>
          <w:color w:val="111111"/>
          <w:sz w:val="28"/>
          <w:sz w:val="28"/>
          <w:szCs w:val="28"/>
          <w:rtl w:val="true"/>
          <w:lang w:bidi="fa-IR"/>
        </w:rPr>
        <w:t>، وکذا</w:t>
      </w:r>
      <w:r>
        <w:rPr>
          <w:rStyle w:val="FootnoteAnchor"/>
          <w:rtl w:val="true"/>
        </w:rPr>
        <w:footnoteReference w:id="481"/>
      </w:r>
      <w:r>
        <w:rPr>
          <w:rFonts w:ascii="IRNazanin" w:hAnsi="IRNazanin" w:eastAsia="IRNazanin"/>
          <w:color w:val="111111"/>
          <w:sz w:val="28"/>
          <w:sz w:val="28"/>
          <w:szCs w:val="28"/>
          <w:rtl w:val="true"/>
          <w:lang w:bidi="fa-IR"/>
        </w:rPr>
        <w:t> إن کان</w:t>
      </w:r>
      <w:r>
        <w:rPr>
          <w:rStyle w:val="FootnoteAnchor"/>
          <w:rtl w:val="true"/>
        </w:rPr>
        <w:footnoteReference w:id="482"/>
      </w:r>
      <w:r>
        <w:rPr>
          <w:rFonts w:ascii="Amiri" w:hAnsi="Amiri" w:eastAsia="Amiri" w:cs="Amiri"/>
          <w:color w:val="111111"/>
          <w:sz w:val="28"/>
          <w:sz w:val="28"/>
          <w:szCs w:val="28"/>
          <w:rtl w:val="true"/>
          <w:lang w:bidi="ar-SA"/>
        </w:rPr>
        <w:t> متذکّراً</w:t>
      </w:r>
      <w:r>
        <w:rPr>
          <w:rStyle w:val="FootnoteAnchor"/>
          <w:rtl w:val="true"/>
        </w:rPr>
        <w:footnoteReference w:id="483"/>
      </w:r>
      <w:r>
        <w:rPr>
          <w:rFonts w:ascii="IRNazanin" w:hAnsi="IRNazanin" w:eastAsia="IRNazanin"/>
          <w:color w:val="111111"/>
          <w:sz w:val="28"/>
          <w:sz w:val="28"/>
          <w:szCs w:val="28"/>
          <w:rtl w:val="true"/>
          <w:lang w:bidi="fa-IR"/>
        </w:rPr>
        <w:t> للصوم</w:t>
      </w:r>
      <w:r>
        <w:rPr>
          <w:rStyle w:val="FootnoteAnchor"/>
          <w:rtl w:val="true"/>
        </w:rPr>
        <w:footnoteReference w:id="484"/>
      </w:r>
      <w:bookmarkStart w:id="178" w:name="pg13281_119775"/>
    </w:p>
    <w:p>
      <w:pPr>
        <w:pStyle w:val="BookText"/>
        <w:rPr/>
      </w:pPr>
      <w:bookmarkEnd w:id="178"/>
      <w:r>
        <w:rPr>
          <w:rFonts w:ascii="Amiri" w:hAnsi="Amiri" w:eastAsia="Amiri" w:cs="Amiri"/>
          <w:color w:val="111111"/>
          <w:sz w:val="28"/>
          <w:sz w:val="28"/>
          <w:szCs w:val="28"/>
          <w:rtl w:val="true"/>
          <w:lang w:bidi="ar-SA"/>
        </w:rPr>
        <w:t>ناسیاً</w:t>
      </w:r>
      <w:r>
        <w:rPr>
          <w:rStyle w:val="FootnoteAnchor"/>
          <w:rtl w:val="true"/>
        </w:rPr>
        <w:footnoteReference w:id="485"/>
      </w:r>
      <w:r>
        <w:rPr>
          <w:rFonts w:ascii="IRNazanin" w:hAnsi="IRNazanin" w:eastAsia="IRNazanin"/>
          <w:color w:val="111111"/>
          <w:sz w:val="28"/>
          <w:sz w:val="28"/>
          <w:szCs w:val="28"/>
          <w:rtl w:val="true"/>
          <w:lang w:bidi="fa-IR"/>
        </w:rPr>
        <w:t> للغصب</w:t>
      </w:r>
      <w:r>
        <w:rPr>
          <w:rStyle w:val="FootnoteAnchor"/>
          <w:rtl w:val="true"/>
        </w:rPr>
        <w:footnoteReference w:id="486"/>
      </w:r>
      <w:r>
        <w:rPr>
          <w:rFonts w:ascii="IRNazanin" w:hAnsi="IRNazanin" w:eastAsia="IRNazanin"/>
          <w:color w:val="111111"/>
          <w:sz w:val="28"/>
          <w:sz w:val="28"/>
          <w:szCs w:val="28"/>
          <w:rtl w:val="true"/>
          <w:lang w:bidi="fa-IR"/>
        </w:rPr>
        <w:t>، وإن کان عالماً بالغصب ناسیاً للصوم صحّ الصوم دون الغسل</w:t>
      </w:r>
      <w:r>
        <w:rPr>
          <w:rFonts w:eastAsia="IRNazanin" w:cs="IRNazanin"/>
          <w:color w:val="111111"/>
          <w:sz w:val="28"/>
          <w:szCs w:val="28"/>
          <w:rtl w:val="true"/>
          <w:lang w:bidi="fa-IR"/>
        </w:rPr>
        <w:t>.</w:t>
      </w:r>
    </w:p>
    <w:p>
      <w:pPr>
        <w:pStyle w:val="Heading3"/>
        <w:numPr>
          <w:ilvl w:val="2"/>
          <w:numId w:val="1"/>
        </w:numPr>
        <w:rPr/>
      </w:pPr>
      <w:bookmarkStart w:id="179" w:name="__RefHeading___Toc1954940_2322387425"/>
      <w:bookmarkStart w:id="180" w:name="_Toc63"/>
      <w:bookmarkEnd w:id="179"/>
      <w:r>
        <w:rPr>
          <w:rtl w:val="true"/>
        </w:rPr>
        <w:t>عدم الفرق بین العالم بحکم الارتماس والجاهل به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بطلان الصوم بالارتماس</w:t>
      </w:r>
      <w:r>
        <w:rPr>
          <w:rStyle w:val="FootnoteAnchor"/>
          <w:rtl w:val="true"/>
        </w:rPr>
        <w:footnoteReference w:id="487"/>
      </w:r>
      <w:r>
        <w:rPr>
          <w:rFonts w:ascii="IRNazanin" w:hAnsi="IRNazanin" w:eastAsia="IRNazanin"/>
          <w:color w:val="111111"/>
          <w:sz w:val="28"/>
          <w:sz w:val="28"/>
          <w:szCs w:val="28"/>
          <w:rtl w:val="true"/>
          <w:lang w:bidi="fa-IR"/>
        </w:rPr>
        <w:t> بین أن یکون</w:t>
      </w:r>
    </w:p>
    <w:p>
      <w:pPr>
        <w:pStyle w:val="BookText"/>
        <w:rPr/>
      </w:pPr>
      <w:r>
        <w:rPr>
          <w:rFonts w:ascii="Amiri" w:hAnsi="Amiri" w:eastAsia="Amiri" w:cs="Amiri"/>
          <w:color w:val="111111"/>
          <w:sz w:val="28"/>
          <w:sz w:val="28"/>
          <w:szCs w:val="28"/>
          <w:rtl w:val="true"/>
          <w:lang w:bidi="ar-SA"/>
        </w:rPr>
        <w:t>عالماً بکونه مفطِراً أو جاهلاً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954942_2322387425"/>
      <w:bookmarkStart w:id="182" w:name="_Toc64"/>
      <w:bookmarkEnd w:id="181"/>
      <w:r>
        <w:rPr>
          <w:rtl w:val="true"/>
        </w:rPr>
        <w:t>حکم الارتماس فی الوحل والثلج</w:t>
      </w:r>
      <w:bookmarkEnd w:id="18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الصوم بالارتماس فی الوحل، ولا بالارتماس فی الثلج</w:t>
      </w:r>
      <w:r>
        <w:rPr>
          <w:rFonts w:eastAsia="IRNazanin" w:cs="IRNazanin"/>
          <w:color w:val="111111"/>
          <w:sz w:val="28"/>
          <w:szCs w:val="28"/>
          <w:rtl w:val="true"/>
          <w:lang w:bidi="fa-IR"/>
        </w:rPr>
        <w:t xml:space="preserve">. </w:t>
      </w:r>
      <w:bookmarkStart w:id="183" w:name="pg13281_119776"/>
    </w:p>
    <w:p>
      <w:pPr>
        <w:pStyle w:val="Heading3"/>
        <w:numPr>
          <w:ilvl w:val="2"/>
          <w:numId w:val="1"/>
        </w:numPr>
        <w:rPr/>
      </w:pPr>
      <w:bookmarkStart w:id="184" w:name="__RefHeading___Toc1954944_2322387425"/>
      <w:bookmarkStart w:id="185" w:name="_Toc65"/>
      <w:bookmarkEnd w:id="183"/>
      <w:bookmarkEnd w:id="184"/>
      <w:r>
        <w:rPr>
          <w:rtl w:val="true"/>
        </w:rPr>
        <w:t>حکم الشک فی الارتماس</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تحقّق الارتماس بنی علی عدمه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954946_2322387425"/>
      <w:bookmarkStart w:id="187" w:name="_Toc66"/>
      <w:bookmarkEnd w:id="186"/>
      <w:r>
        <w:rPr>
          <w:rtl w:val="true"/>
        </w:rPr>
        <w:t xml:space="preserve">الثامن </w:t>
      </w:r>
      <w:r>
        <w:rPr>
          <w:rtl w:val="true"/>
        </w:rPr>
        <w:t xml:space="preserve">: </w:t>
      </w:r>
      <w:r>
        <w:rPr>
          <w:rtl w:val="true"/>
        </w:rPr>
        <w:t>البقاء علی الجنابة عمداً فی شهر رمضان وقضائه</w:t>
      </w:r>
      <w:bookmarkEnd w:id="187"/>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Style w:val="FootnoteAnchor"/>
          <w:rtl w:val="true"/>
        </w:rPr>
        <w:footnoteReference w:id="490"/>
      </w:r>
      <w:r>
        <w:rPr>
          <w:rFonts w:ascii="IRNazanin" w:hAnsi="IRNazanin" w:eastAsia="IRNazanin"/>
          <w:color w:val="111111"/>
          <w:sz w:val="28"/>
          <w:sz w:val="28"/>
          <w:szCs w:val="28"/>
          <w:rtl w:val="true"/>
          <w:lang w:bidi="fa-IR"/>
        </w:rPr>
        <w:t> عمداً إلی الفجر الصادق فی صوم شهر رمضان</w:t>
      </w:r>
      <w:r>
        <w:rPr>
          <w:rStyle w:val="FootnoteAnchor"/>
          <w:rtl w:val="true"/>
        </w:rPr>
        <w:footnoteReference w:id="491"/>
      </w:r>
      <w:r>
        <w:rPr>
          <w:rFonts w:ascii="IRNazanin" w:hAnsi="IRNazanin" w:eastAsia="IRNazanin"/>
          <w:color w:val="111111"/>
          <w:sz w:val="28"/>
          <w:sz w:val="28"/>
          <w:szCs w:val="28"/>
          <w:rtl w:val="true"/>
          <w:lang w:bidi="fa-IR"/>
        </w:rPr>
        <w:t> أو قضائه</w:t>
      </w:r>
      <w:r>
        <w:rPr>
          <w:rStyle w:val="FootnoteAnchor"/>
          <w:rtl w:val="true"/>
        </w:rPr>
        <w:footnoteReference w:id="492"/>
      </w:r>
      <w:r>
        <w:rPr>
          <w:rFonts w:ascii="IRNazanin" w:hAnsi="IRNazanin" w:eastAsia="IRNazanin"/>
          <w:color w:val="111111"/>
          <w:sz w:val="28"/>
          <w:sz w:val="28"/>
          <w:szCs w:val="28"/>
          <w:rtl w:val="true"/>
          <w:lang w:bidi="fa-IR"/>
        </w:rPr>
        <w:t>،</w:t>
      </w:r>
    </w:p>
    <w:p>
      <w:pPr>
        <w:pStyle w:val="Heading3"/>
        <w:numPr>
          <w:ilvl w:val="2"/>
          <w:numId w:val="1"/>
        </w:numPr>
        <w:rPr/>
      </w:pPr>
      <w:bookmarkStart w:id="188" w:name="__RefHeading___Toc1954948_2322387425"/>
      <w:bookmarkStart w:id="189" w:name="_Toc67"/>
      <w:bookmarkEnd w:id="188"/>
      <w:r>
        <w:rPr>
          <w:rtl w:val="true"/>
        </w:rPr>
        <w:t>أحکام الجنابة فی صوم غیر شهر رمضان وقضائه</w:t>
      </w:r>
      <w:bookmarkEnd w:id="1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غیرهما</w:t>
      </w:r>
      <w:r>
        <w:rPr>
          <w:rStyle w:val="FootnoteAnchor"/>
          <w:rtl w:val="true"/>
        </w:rPr>
        <w:footnoteReference w:id="493"/>
      </w:r>
      <w:r>
        <w:rPr>
          <w:rFonts w:ascii="IRNazanin" w:hAnsi="IRNazanin" w:eastAsia="IRNazanin"/>
          <w:color w:val="111111"/>
          <w:sz w:val="28"/>
          <w:sz w:val="28"/>
          <w:szCs w:val="28"/>
          <w:rtl w:val="true"/>
          <w:lang w:bidi="fa-IR"/>
        </w:rPr>
        <w:t>من الصیام الواجبة</w:t>
      </w:r>
      <w:r>
        <w:rPr>
          <w:rStyle w:val="FootnoteAnchor"/>
          <w:rtl w:val="true"/>
        </w:rPr>
        <w:footnoteReference w:id="494"/>
      </w:r>
      <w:r>
        <w:rPr>
          <w:rFonts w:ascii="IRNazanin" w:hAnsi="IRNazanin" w:eastAsia="IRNazanin"/>
          <w:color w:val="111111"/>
          <w:sz w:val="28"/>
          <w:sz w:val="28"/>
          <w:szCs w:val="28"/>
          <w:rtl w:val="true"/>
          <w:lang w:bidi="fa-IR"/>
        </w:rPr>
        <w:t> والمندوبة علی الأقوی</w:t>
      </w:r>
      <w:r>
        <w:rPr>
          <w:rStyle w:val="FootnoteAnchor"/>
          <w:rtl w:val="true"/>
        </w:rPr>
        <w:footnoteReference w:id="495"/>
      </w:r>
      <w:r>
        <w:rPr>
          <w:rFonts w:ascii="IRNazanin" w:hAnsi="IRNazanin" w:eastAsia="IRNazanin"/>
          <w:color w:val="111111"/>
          <w:sz w:val="28"/>
          <w:sz w:val="28"/>
          <w:szCs w:val="28"/>
          <w:rtl w:val="true"/>
          <w:lang w:bidi="fa-IR"/>
        </w:rPr>
        <w:t>، وإن کان الأحوط</w:t>
      </w:r>
      <w:r>
        <w:rPr>
          <w:rStyle w:val="FootnoteAnchor"/>
          <w:rtl w:val="true"/>
        </w:rPr>
        <w:footnoteReference w:id="496"/>
      </w:r>
      <w:bookmarkStart w:id="190" w:name="pg13281_119777"/>
    </w:p>
    <w:p>
      <w:pPr>
        <w:pStyle w:val="BookText"/>
        <w:rPr/>
      </w:pPr>
      <w:bookmarkEnd w:id="190"/>
      <w:r>
        <w:rPr>
          <w:rFonts w:ascii="IRNazanin" w:hAnsi="IRNazanin" w:eastAsia="IRNazanin"/>
          <w:color w:val="111111"/>
          <w:sz w:val="28"/>
          <w:sz w:val="28"/>
          <w:szCs w:val="28"/>
          <w:rtl w:val="true"/>
          <w:lang w:bidi="fa-IR"/>
        </w:rPr>
        <w:t>ترکه</w:t>
      </w:r>
      <w:r>
        <w:rPr>
          <w:rStyle w:val="FootnoteAnchor"/>
          <w:rtl w:val="true"/>
        </w:rPr>
        <w:footnoteReference w:id="497"/>
      </w:r>
      <w:r>
        <w:rPr>
          <w:rFonts w:ascii="IRNazanin" w:hAnsi="IRNazanin" w:eastAsia="IRNazanin"/>
          <w:color w:val="111111"/>
          <w:sz w:val="28"/>
          <w:sz w:val="28"/>
          <w:szCs w:val="28"/>
          <w:rtl w:val="true"/>
          <w:lang w:bidi="fa-IR"/>
        </w:rPr>
        <w:t> فی غیرهما</w:t>
      </w:r>
      <w:r>
        <w:rPr>
          <w:rStyle w:val="FootnoteAnchor"/>
          <w:rtl w:val="true"/>
        </w:rPr>
        <w:footnoteReference w:id="498"/>
      </w:r>
      <w:r>
        <w:rPr>
          <w:rFonts w:ascii="IRNazanin" w:hAnsi="IRNazanin" w:eastAsia="IRNazanin"/>
          <w:color w:val="111111"/>
          <w:sz w:val="28"/>
          <w:sz w:val="28"/>
          <w:szCs w:val="28"/>
          <w:rtl w:val="true"/>
          <w:lang w:bidi="fa-IR"/>
        </w:rPr>
        <w:t> أیضاً، خصوصاً فی الصیام الواجب</w:t>
      </w:r>
      <w:r>
        <w:rPr>
          <w:rStyle w:val="FootnoteAnchor"/>
          <w:rtl w:val="true"/>
        </w:rPr>
        <w:footnoteReference w:id="499"/>
      </w:r>
      <w:r>
        <w:rPr>
          <w:rFonts w:ascii="Amiri" w:hAnsi="Amiri" w:eastAsia="Amiri" w:cs="Amiri"/>
          <w:color w:val="111111"/>
          <w:sz w:val="28"/>
          <w:sz w:val="28"/>
          <w:szCs w:val="28"/>
          <w:rtl w:val="true"/>
          <w:lang w:bidi="ar-SA"/>
        </w:rPr>
        <w:t>، موسّعاً کان أو مضیَّقاً،</w:t>
      </w:r>
    </w:p>
    <w:p>
      <w:pPr>
        <w:pStyle w:val="Heading3"/>
        <w:numPr>
          <w:ilvl w:val="2"/>
          <w:numId w:val="1"/>
        </w:numPr>
        <w:rPr/>
      </w:pPr>
      <w:bookmarkStart w:id="191" w:name="__RefHeading___Toc1954950_2322387425"/>
      <w:bookmarkStart w:id="192" w:name="_Toc68"/>
      <w:bookmarkEnd w:id="191"/>
      <w:r>
        <w:rPr>
          <w:rtl w:val="true"/>
        </w:rPr>
        <w:t>الإصباح جنباً من غیر عمد</w:t>
      </w:r>
      <w:bookmarkEnd w:id="19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الإصباح جنباً من غیر تعمّد</w:t>
      </w:r>
      <w:r>
        <w:rPr>
          <w:rStyle w:val="FootnoteAnchor"/>
          <w:rtl w:val="true"/>
        </w:rPr>
        <w:footnoteReference w:id="500"/>
      </w:r>
      <w:r>
        <w:rPr>
          <w:rFonts w:ascii="IRNazanin" w:hAnsi="IRNazanin" w:eastAsia="IRNazanin"/>
          <w:color w:val="111111"/>
          <w:sz w:val="28"/>
          <w:sz w:val="28"/>
          <w:szCs w:val="28"/>
          <w:rtl w:val="true"/>
          <w:lang w:bidi="fa-IR"/>
        </w:rPr>
        <w:t> فلا یوجب البطلان، إلّا فی قضاء</w:t>
      </w:r>
      <w:r>
        <w:rPr>
          <w:rStyle w:val="FootnoteAnchor"/>
          <w:rtl w:val="true"/>
        </w:rPr>
        <w:footnoteReference w:id="501"/>
      </w:r>
      <w:r>
        <w:rPr>
          <w:rFonts w:ascii="IRNazanin" w:hAnsi="IRNazanin" w:eastAsia="IRNazanin"/>
          <w:color w:val="111111"/>
          <w:sz w:val="28"/>
          <w:sz w:val="28"/>
          <w:szCs w:val="28"/>
          <w:rtl w:val="true"/>
          <w:lang w:bidi="fa-IR"/>
        </w:rPr>
        <w:t> شهر</w:t>
      </w:r>
      <w:r>
        <w:rPr>
          <w:rStyle w:val="FootnoteAnchor"/>
          <w:rtl w:val="true"/>
        </w:rPr>
        <w:footnoteReference w:id="502"/>
      </w:r>
      <w:r>
        <w:rPr>
          <w:rFonts w:ascii="IRNazanin" w:hAnsi="IRNazanin" w:eastAsia="IRNazanin"/>
          <w:color w:val="111111"/>
          <w:sz w:val="28"/>
          <w:sz w:val="28"/>
          <w:szCs w:val="28"/>
          <w:rtl w:val="true"/>
          <w:lang w:bidi="fa-IR"/>
        </w:rPr>
        <w:t> رمضان علی الأقوی</w:t>
      </w:r>
      <w:r>
        <w:rPr>
          <w:rStyle w:val="FootnoteAnchor"/>
          <w:rtl w:val="true"/>
        </w:rPr>
        <w:footnoteReference w:id="503"/>
      </w:r>
      <w:r>
        <w:rPr>
          <w:rFonts w:ascii="IRNazanin" w:hAnsi="IRNazanin" w:eastAsia="IRNazanin"/>
          <w:color w:val="111111"/>
          <w:sz w:val="28"/>
          <w:sz w:val="28"/>
          <w:szCs w:val="28"/>
          <w:rtl w:val="true"/>
          <w:lang w:bidi="fa-IR"/>
        </w:rPr>
        <w:t xml:space="preserve">، وإن کان </w:t>
      </w:r>
      <w:bookmarkStart w:id="193" w:name="pg13281_119778"/>
    </w:p>
    <w:p>
      <w:pPr>
        <w:pStyle w:val="BookText"/>
        <w:rPr/>
      </w:pPr>
      <w:bookmarkEnd w:id="193"/>
      <w:r>
        <w:rPr>
          <w:rFonts w:ascii="IRNazanin" w:hAnsi="IRNazanin" w:eastAsia="IRNazanin"/>
          <w:color w:val="111111"/>
          <w:sz w:val="28"/>
          <w:sz w:val="28"/>
          <w:szCs w:val="28"/>
          <w:rtl w:val="true"/>
          <w:lang w:bidi="fa-IR"/>
        </w:rPr>
        <w:t>الأحوط</w:t>
      </w:r>
      <w:r>
        <w:rPr>
          <w:rStyle w:val="FootnoteAnchor"/>
          <w:rtl w:val="true"/>
        </w:rPr>
        <w:footnoteReference w:id="504"/>
      </w:r>
      <w:r>
        <w:rPr>
          <w:rFonts w:ascii="IRNazanin" w:hAnsi="IRNazanin" w:eastAsia="IRNazanin"/>
          <w:color w:val="111111"/>
          <w:sz w:val="28"/>
          <w:sz w:val="28"/>
          <w:szCs w:val="28"/>
          <w:rtl w:val="true"/>
          <w:lang w:bidi="fa-IR"/>
        </w:rPr>
        <w:t> إلحاق</w:t>
      </w:r>
      <w:r>
        <w:rPr>
          <w:rStyle w:val="FootnoteAnchor"/>
          <w:rtl w:val="true"/>
        </w:rPr>
        <w:footnoteReference w:id="505"/>
      </w:r>
      <w:r>
        <w:rPr>
          <w:rFonts w:ascii="IRNazanin" w:hAnsi="IRNazanin" w:eastAsia="IRNazanin"/>
          <w:color w:val="111111"/>
          <w:sz w:val="28"/>
          <w:sz w:val="28"/>
          <w:szCs w:val="28"/>
          <w:rtl w:val="true"/>
          <w:lang w:bidi="fa-IR"/>
        </w:rPr>
        <w:t> مطلق الواجب</w:t>
      </w:r>
      <w:r>
        <w:rPr>
          <w:rStyle w:val="FootnoteAnchor"/>
          <w:rtl w:val="true"/>
        </w:rPr>
        <w:footnoteReference w:id="506"/>
      </w:r>
      <w:r>
        <w:rPr>
          <w:rFonts w:ascii="Amiri" w:hAnsi="Amiri" w:eastAsia="Amiri" w:cs="Amiri"/>
          <w:color w:val="111111"/>
          <w:sz w:val="28"/>
          <w:sz w:val="28"/>
          <w:szCs w:val="28"/>
          <w:rtl w:val="true"/>
          <w:lang w:bidi="ar-SA"/>
        </w:rPr>
        <w:t> الغیر معیَّن به فی ذلک،</w:t>
      </w:r>
    </w:p>
    <w:p>
      <w:pPr>
        <w:pStyle w:val="Heading3"/>
        <w:numPr>
          <w:ilvl w:val="2"/>
          <w:numId w:val="1"/>
        </w:numPr>
        <w:rPr/>
      </w:pPr>
      <w:bookmarkStart w:id="194" w:name="__RefHeading___Toc1954952_2322387425"/>
      <w:bookmarkStart w:id="195" w:name="_Toc69"/>
      <w:bookmarkEnd w:id="194"/>
      <w:r>
        <w:rPr>
          <w:rtl w:val="true"/>
        </w:rPr>
        <w:t>الاحتلام فی النهار</w:t>
      </w:r>
      <w:bookmarkEnd w:id="195"/>
    </w:p>
    <w:p>
      <w:pPr>
        <w:pStyle w:val="BookText"/>
        <w:rPr/>
      </w:pPr>
      <w:r>
        <w:rPr>
          <w:rFonts w:ascii="IRNazanin" w:hAnsi="IRNazanin" w:eastAsia="IRNazanin"/>
          <w:color w:val="111111"/>
          <w:sz w:val="28"/>
          <w:sz w:val="28"/>
          <w:szCs w:val="28"/>
          <w:rtl w:val="true"/>
          <w:lang w:bidi="fa-IR"/>
        </w:rPr>
        <w:t>وأمّا الواجب المعیّن رمضاناً کان أو غیره فلا یبطل بذلک، کما لا یبطل مطلق الصوم، واجباً کان أو مندوباً معیّناً أو غیره بالاحتلام</w:t>
      </w:r>
      <w:r>
        <w:rPr>
          <w:rStyle w:val="FootnoteAnchor"/>
          <w:rtl w:val="true"/>
        </w:rPr>
        <w:footnoteReference w:id="507"/>
      </w:r>
      <w:r>
        <w:rPr>
          <w:rFonts w:ascii="IRNazanin" w:hAnsi="IRNazanin" w:eastAsia="IRNazanin"/>
          <w:color w:val="111111"/>
          <w:sz w:val="28"/>
          <w:sz w:val="28"/>
          <w:szCs w:val="28"/>
          <w:rtl w:val="true"/>
          <w:lang w:bidi="fa-IR"/>
        </w:rPr>
        <w:t> فی النهار،</w:t>
      </w:r>
    </w:p>
    <w:p>
      <w:pPr>
        <w:pStyle w:val="Heading3"/>
        <w:numPr>
          <w:ilvl w:val="2"/>
          <w:numId w:val="1"/>
        </w:numPr>
        <w:rPr/>
      </w:pPr>
      <w:bookmarkStart w:id="196" w:name="__RefHeading___Toc1954954_2322387425"/>
      <w:bookmarkStart w:id="197" w:name="_Toc70"/>
      <w:bookmarkEnd w:id="196"/>
      <w:r>
        <w:rPr>
          <w:rtl w:val="true"/>
        </w:rPr>
        <w:t>النوم علی الجنابة بعد العلم بها</w:t>
      </w:r>
      <w:bookmarkEnd w:id="1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بطلان الصوم بالإصباح جنباً عمداً بین أن تکون الجنابة بالجماع فی اللیل أو الاحتلام، ولا بین أن یبقی کذلک متیقّظاً أو نائماً بعد العلم بالجنابة </w:t>
      </w:r>
      <w:bookmarkStart w:id="198" w:name="pg13281_119779"/>
    </w:p>
    <w:p>
      <w:pPr>
        <w:pStyle w:val="BookText"/>
        <w:rPr/>
      </w:pPr>
      <w:bookmarkEnd w:id="198"/>
      <w:r>
        <w:rPr>
          <w:rFonts w:ascii="IRNazanin" w:hAnsi="IRNazanin" w:eastAsia="IRNazanin"/>
          <w:color w:val="111111"/>
          <w:sz w:val="28"/>
          <w:sz w:val="28"/>
          <w:szCs w:val="28"/>
          <w:rtl w:val="true"/>
          <w:lang w:bidi="fa-IR"/>
        </w:rPr>
        <w:t>مع العزم</w:t>
      </w:r>
      <w:r>
        <w:rPr>
          <w:rStyle w:val="FootnoteAnchor"/>
          <w:rtl w:val="true"/>
        </w:rPr>
        <w:footnoteReference w:id="508"/>
      </w:r>
      <w:r>
        <w:rPr>
          <w:rFonts w:ascii="IRNazanin" w:hAnsi="IRNazanin" w:eastAsia="IRNazanin"/>
          <w:color w:val="111111"/>
          <w:sz w:val="28"/>
          <w:sz w:val="28"/>
          <w:szCs w:val="28"/>
          <w:rtl w:val="true"/>
          <w:lang w:bidi="fa-IR"/>
        </w:rPr>
        <w:t> علی ترک الغسل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954956_2322387425"/>
      <w:bookmarkStart w:id="200" w:name="_Toc71"/>
      <w:bookmarkEnd w:id="199"/>
      <w:r>
        <w:rPr>
          <w:rtl w:val="true"/>
        </w:rPr>
        <w:t>التعجیز الاختیاری کما لو أجنب قبل الفجر متعمداً</w:t>
      </w:r>
      <w:bookmarkEnd w:id="20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البقاء علی الجنابة عمداً الإجناب قبل الفجر متعمّداً فی زمانٍ لا یسع الغسل ولا التیمّم، وأمّا لو وسع التیمّم خاصّة فتیمّم صحّ</w:t>
      </w:r>
      <w:r>
        <w:rPr>
          <w:rStyle w:val="FootnoteAnchor"/>
          <w:rtl w:val="true"/>
        </w:rPr>
        <w:footnoteReference w:id="510"/>
      </w:r>
      <w:r>
        <w:rPr>
          <w:rFonts w:ascii="IRNazanin" w:hAnsi="IRNazanin" w:eastAsia="IRNazanin"/>
          <w:color w:val="111111"/>
          <w:sz w:val="28"/>
          <w:sz w:val="28"/>
          <w:szCs w:val="28"/>
          <w:rtl w:val="true"/>
          <w:lang w:bidi="fa-IR"/>
        </w:rPr>
        <w:t> صومه</w:t>
      </w:r>
      <w:r>
        <w:rPr>
          <w:rStyle w:val="FootnoteAnchor"/>
          <w:rtl w:val="true"/>
        </w:rPr>
        <w:footnoteReference w:id="511"/>
      </w:r>
      <w:r>
        <w:rPr>
          <w:rFonts w:ascii="IRNazanin" w:hAnsi="IRNazanin" w:eastAsia="IRNazanin"/>
          <w:color w:val="111111"/>
          <w:sz w:val="28"/>
          <w:sz w:val="28"/>
          <w:szCs w:val="28"/>
          <w:rtl w:val="true"/>
          <w:lang w:bidi="fa-IR"/>
        </w:rPr>
        <w:t> وإن کان</w:t>
      </w:r>
      <w:r>
        <w:rPr>
          <w:rStyle w:val="FootnoteAnchor"/>
          <w:rtl w:val="true"/>
        </w:rPr>
        <w:footnoteReference w:id="512"/>
      </w:r>
      <w:r>
        <w:rPr>
          <w:rFonts w:ascii="Amiri" w:hAnsi="Amiri" w:eastAsia="Amiri" w:cs="Amiri"/>
          <w:color w:val="111111"/>
          <w:sz w:val="28"/>
          <w:sz w:val="28"/>
          <w:szCs w:val="28"/>
          <w:rtl w:val="true"/>
          <w:lang w:bidi="ar-SA"/>
        </w:rPr>
        <w:t> عاصیاً</w:t>
      </w:r>
      <w:r>
        <w:rPr>
          <w:rStyle w:val="FootnoteAnchor"/>
          <w:rtl w:val="true"/>
        </w:rPr>
        <w:footnoteReference w:id="513"/>
      </w:r>
      <w:r>
        <w:rPr>
          <w:rFonts w:ascii="IRNazanin" w:hAnsi="IRNazanin" w:eastAsia="IRNazanin"/>
          <w:color w:val="111111"/>
          <w:sz w:val="28"/>
          <w:sz w:val="28"/>
          <w:szCs w:val="28"/>
          <w:rtl w:val="true"/>
          <w:lang w:bidi="fa-IR"/>
        </w:rPr>
        <w:t xml:space="preserve"> فی </w:t>
      </w:r>
      <w:bookmarkStart w:id="201" w:name="pg13281_119780"/>
    </w:p>
    <w:p>
      <w:pPr>
        <w:pStyle w:val="BookText"/>
        <w:rPr/>
      </w:pPr>
      <w:bookmarkEnd w:id="201"/>
      <w:r>
        <w:rPr>
          <w:rFonts w:ascii="IRNazanin" w:hAnsi="IRNazanin" w:eastAsia="IRNazanin"/>
          <w:color w:val="111111"/>
          <w:sz w:val="28"/>
          <w:sz w:val="28"/>
          <w:szCs w:val="28"/>
          <w:rtl w:val="true"/>
          <w:lang w:bidi="fa-IR"/>
        </w:rPr>
        <w:t>الإجناب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954958_2322387425"/>
      <w:bookmarkStart w:id="203" w:name="_Toc72"/>
      <w:bookmarkEnd w:id="202"/>
      <w:r>
        <w:rPr>
          <w:rtl w:val="true"/>
        </w:rPr>
        <w:t>البقاء علی حدث الحیض والنفاس</w:t>
      </w:r>
      <w:bookmarkEnd w:id="203"/>
    </w:p>
    <w:p>
      <w:pPr>
        <w:pStyle w:val="BookText"/>
        <w:rPr/>
      </w:pPr>
      <w:r>
        <w:rPr>
          <w:rFonts w:ascii="IRNazanin" w:hAnsi="IRNazanin" w:eastAsia="IRNazanin"/>
          <w:color w:val="111111"/>
          <w:sz w:val="28"/>
          <w:sz w:val="28"/>
          <w:szCs w:val="28"/>
          <w:rtl w:val="true"/>
          <w:lang w:bidi="fa-IR"/>
        </w:rPr>
        <w:t>وکما یبطل الصوم بالبقاء علی الجنابة متعمّداً کذا یبطل</w:t>
      </w:r>
      <w:r>
        <w:rPr>
          <w:rStyle w:val="FootnoteAnchor"/>
          <w:rtl w:val="true"/>
        </w:rPr>
        <w:footnoteReference w:id="515"/>
      </w:r>
      <w:r>
        <w:rPr>
          <w:rFonts w:ascii="IRNazanin" w:hAnsi="IRNazanin" w:eastAsia="IRNazanin"/>
          <w:color w:val="111111"/>
          <w:sz w:val="28"/>
          <w:sz w:val="28"/>
          <w:szCs w:val="28"/>
          <w:rtl w:val="true"/>
          <w:lang w:bidi="fa-IR"/>
        </w:rPr>
        <w:t> بالبقاء</w:t>
      </w:r>
      <w:r>
        <w:rPr>
          <w:rStyle w:val="FootnoteAnchor"/>
          <w:rtl w:val="true"/>
        </w:rPr>
        <w:footnoteReference w:id="51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حدث الحیض</w:t>
      </w:r>
      <w:r>
        <w:rPr>
          <w:rStyle w:val="FootnoteAnchor"/>
          <w:rtl w:val="true"/>
        </w:rPr>
        <w:footnoteReference w:id="517"/>
      </w:r>
      <w:r>
        <w:rPr>
          <w:rFonts w:ascii="IRNazanin" w:hAnsi="IRNazanin" w:eastAsia="IRNazanin"/>
          <w:color w:val="111111"/>
          <w:sz w:val="28"/>
          <w:sz w:val="28"/>
          <w:szCs w:val="28"/>
          <w:rtl w:val="true"/>
          <w:lang w:bidi="fa-IR"/>
        </w:rPr>
        <w:t> والنفاس</w:t>
      </w:r>
      <w:r>
        <w:rPr>
          <w:rStyle w:val="FootnoteAnchor"/>
          <w:rtl w:val="true"/>
        </w:rPr>
        <w:footnoteReference w:id="518"/>
      </w:r>
      <w:r>
        <w:rPr>
          <w:rFonts w:ascii="IRNazanin" w:hAnsi="IRNazanin" w:eastAsia="IRNazanin"/>
          <w:color w:val="111111"/>
          <w:sz w:val="28"/>
          <w:sz w:val="28"/>
          <w:szCs w:val="28"/>
          <w:rtl w:val="true"/>
          <w:lang w:bidi="fa-IR"/>
        </w:rPr>
        <w:t> إلی طلوع الفجر، فإذا طهرت منهما قبل الفجر وجب علیها الاغتسال أو التیمّم</w:t>
      </w:r>
      <w:r>
        <w:rPr>
          <w:rStyle w:val="FootnoteAnchor"/>
          <w:rtl w:val="true"/>
        </w:rPr>
        <w:footnoteReference w:id="519"/>
      </w:r>
      <w:r>
        <w:rPr>
          <w:rFonts w:ascii="IRNazanin" w:hAnsi="IRNazanin" w:eastAsia="IRNazanin"/>
          <w:color w:val="111111"/>
          <w:sz w:val="28"/>
          <w:sz w:val="28"/>
          <w:szCs w:val="28"/>
          <w:rtl w:val="true"/>
          <w:lang w:bidi="fa-IR"/>
        </w:rPr>
        <w:t>، ومع ترکهما عمداً یبطل صومها</w:t>
      </w:r>
      <w:r>
        <w:rPr>
          <w:rStyle w:val="FootnoteAnchor"/>
          <w:rtl w:val="true"/>
        </w:rPr>
        <w:footnoteReference w:id="520"/>
      </w:r>
      <w:r>
        <w:rPr>
          <w:rFonts w:ascii="IRNazanin" w:hAnsi="IRNazanin" w:eastAsia="IRNazanin"/>
          <w:color w:val="111111"/>
          <w:sz w:val="28"/>
          <w:sz w:val="28"/>
          <w:szCs w:val="28"/>
          <w:rtl w:val="true"/>
          <w:lang w:bidi="fa-IR"/>
        </w:rPr>
        <w:t>، والظاهر اختصاص</w:t>
      </w:r>
      <w:r>
        <w:rPr>
          <w:rStyle w:val="FootnoteAnchor"/>
          <w:rtl w:val="true"/>
        </w:rPr>
        <w:footnoteReference w:id="521"/>
      </w:r>
      <w:r>
        <w:rPr>
          <w:rFonts w:ascii="IRNazanin" w:hAnsi="IRNazanin" w:eastAsia="IRNazanin"/>
          <w:color w:val="111111"/>
          <w:sz w:val="28"/>
          <w:sz w:val="28"/>
          <w:szCs w:val="28"/>
          <w:rtl w:val="true"/>
          <w:lang w:bidi="fa-IR"/>
        </w:rPr>
        <w:t xml:space="preserve"> البطلان بصوم رمضان وإن </w:t>
      </w:r>
      <w:bookmarkStart w:id="204" w:name="pg13281_119781"/>
    </w:p>
    <w:p>
      <w:pPr>
        <w:pStyle w:val="BookText"/>
        <w:rPr/>
      </w:pPr>
      <w:bookmarkEnd w:id="204"/>
      <w:r>
        <w:rPr>
          <w:rFonts w:ascii="IRNazanin" w:hAnsi="IRNazanin" w:eastAsia="IRNazanin"/>
          <w:color w:val="111111"/>
          <w:sz w:val="28"/>
          <w:sz w:val="28"/>
          <w:szCs w:val="28"/>
          <w:rtl w:val="true"/>
          <w:lang w:bidi="fa-IR"/>
        </w:rPr>
        <w:t>کان الأحوط</w:t>
      </w:r>
      <w:r>
        <w:rPr>
          <w:rStyle w:val="FootnoteAnchor"/>
          <w:rtl w:val="true"/>
        </w:rPr>
        <w:footnoteReference w:id="522"/>
      </w:r>
      <w:r>
        <w:rPr>
          <w:rFonts w:ascii="IRNazanin" w:hAnsi="IRNazanin" w:eastAsia="IRNazanin"/>
          <w:color w:val="111111"/>
          <w:sz w:val="28"/>
          <w:sz w:val="28"/>
          <w:szCs w:val="28"/>
          <w:rtl w:val="true"/>
          <w:lang w:bidi="fa-IR"/>
        </w:rPr>
        <w:t> إلحاق</w:t>
      </w:r>
      <w:r>
        <w:rPr>
          <w:rStyle w:val="FootnoteAnchor"/>
          <w:rtl w:val="true"/>
        </w:rPr>
        <w:footnoteReference w:id="523"/>
      </w:r>
      <w:r>
        <w:rPr>
          <w:rFonts w:ascii="IRNazanin" w:hAnsi="IRNazanin" w:eastAsia="IRNazanin"/>
          <w:color w:val="111111"/>
          <w:sz w:val="28"/>
          <w:sz w:val="28"/>
          <w:szCs w:val="28"/>
          <w:rtl w:val="true"/>
          <w:lang w:bidi="fa-IR"/>
        </w:rPr>
        <w:t> قضائه</w:t>
      </w:r>
      <w:r>
        <w:rPr>
          <w:rStyle w:val="FootnoteAnchor"/>
          <w:rtl w:val="true"/>
        </w:rPr>
        <w:footnoteReference w:id="524"/>
      </w:r>
      <w:r>
        <w:rPr>
          <w:rFonts w:ascii="IRNazanin" w:hAnsi="IRNazanin" w:eastAsia="IRNazanin"/>
          <w:color w:val="111111"/>
          <w:sz w:val="28"/>
          <w:sz w:val="28"/>
          <w:szCs w:val="28"/>
          <w:rtl w:val="true"/>
          <w:lang w:bidi="fa-IR"/>
        </w:rPr>
        <w:t> به</w:t>
      </w:r>
      <w:r>
        <w:rPr>
          <w:rStyle w:val="FootnoteAnchor"/>
          <w:rtl w:val="true"/>
        </w:rPr>
        <w:footnoteReference w:id="525"/>
      </w:r>
      <w:r>
        <w:rPr>
          <w:rFonts w:ascii="IRNazanin" w:hAnsi="IRNazanin" w:eastAsia="IRNazanin"/>
          <w:color w:val="111111"/>
          <w:sz w:val="28"/>
          <w:sz w:val="28"/>
          <w:szCs w:val="28"/>
          <w:rtl w:val="true"/>
          <w:lang w:bidi="fa-IR"/>
        </w:rPr>
        <w:t> أیضاً، بل إلحاق مطلق</w:t>
      </w:r>
      <w:r>
        <w:rPr>
          <w:rStyle w:val="FootnoteAnchor"/>
          <w:rtl w:val="true"/>
        </w:rPr>
        <w:footnoteReference w:id="526"/>
      </w:r>
      <w:r>
        <w:rPr>
          <w:rFonts w:ascii="IRNazanin" w:hAnsi="IRNazanin" w:eastAsia="IRNazanin"/>
          <w:color w:val="111111"/>
          <w:sz w:val="28"/>
          <w:sz w:val="28"/>
          <w:szCs w:val="28"/>
          <w:rtl w:val="true"/>
          <w:lang w:bidi="fa-IR"/>
        </w:rPr>
        <w:t> الواجب</w:t>
      </w:r>
      <w:r>
        <w:rPr>
          <w:rStyle w:val="FootnoteAnchor"/>
          <w:rtl w:val="true"/>
        </w:rPr>
        <w:footnoteReference w:id="527"/>
      </w:r>
      <w:r>
        <w:rPr>
          <w:rFonts w:ascii="IRNazanin" w:hAnsi="IRNazanin" w:eastAsia="IRNazanin"/>
          <w:color w:val="111111"/>
          <w:sz w:val="28"/>
          <w:sz w:val="28"/>
          <w:szCs w:val="28"/>
          <w:rtl w:val="true"/>
          <w:lang w:bidi="fa-IR"/>
        </w:rPr>
        <w:t> بل المندوب</w:t>
      </w:r>
      <w:r>
        <w:rPr>
          <w:rStyle w:val="FootnoteAnchor"/>
          <w:rtl w:val="true"/>
        </w:rPr>
        <w:footnoteReference w:id="528"/>
      </w:r>
      <w:r>
        <w:rPr>
          <w:rFonts w:ascii="Amiri" w:hAnsi="Amiri" w:eastAsia="Amiri" w:cs="Amiri"/>
          <w:color w:val="111111"/>
          <w:sz w:val="28"/>
          <w:sz w:val="28"/>
          <w:szCs w:val="28"/>
          <w:rtl w:val="true"/>
          <w:lang w:bidi="ar-SA"/>
        </w:rPr>
        <w:t> أیضاً،</w:t>
      </w:r>
    </w:p>
    <w:p>
      <w:pPr>
        <w:pStyle w:val="Heading3"/>
        <w:numPr>
          <w:ilvl w:val="2"/>
          <w:numId w:val="1"/>
        </w:numPr>
        <w:rPr/>
      </w:pPr>
      <w:bookmarkStart w:id="205" w:name="__RefHeading___Toc1954960_2322387425"/>
      <w:bookmarkStart w:id="206" w:name="_Toc73"/>
      <w:bookmarkEnd w:id="205"/>
      <w:r>
        <w:rPr>
          <w:rtl w:val="true"/>
        </w:rPr>
        <w:t>مَن طهرت من حیضها ولم یسع الوقت للغسل ولا للتیمم</w:t>
      </w:r>
      <w:bookmarkEnd w:id="2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طهرت قبل الفجر فی زمانٍ لا یسع الغسل ولا التیمّم، أو لم تعلم بطهرها فی اللیل حتّی دخل النهار فصومها صحیح</w:t>
      </w:r>
      <w:r>
        <w:rPr>
          <w:rStyle w:val="FootnoteAnchor"/>
          <w:rtl w:val="true"/>
        </w:rPr>
        <w:footnoteReference w:id="529"/>
      </w:r>
      <w:r>
        <w:rPr>
          <w:rFonts w:ascii="IRNazanin" w:hAnsi="IRNazanin" w:eastAsia="IRNazanin"/>
          <w:color w:val="111111"/>
          <w:sz w:val="28"/>
          <w:sz w:val="28"/>
          <w:szCs w:val="28"/>
          <w:rtl w:val="true"/>
          <w:lang w:bidi="fa-IR"/>
        </w:rPr>
        <w:t xml:space="preserve">، واجباً کان أو </w:t>
      </w:r>
      <w:bookmarkStart w:id="207" w:name="pg13281_119782"/>
    </w:p>
    <w:p>
      <w:pPr>
        <w:pStyle w:val="BookText"/>
        <w:rPr/>
      </w:pPr>
      <w:bookmarkEnd w:id="207"/>
      <w:r>
        <w:rPr>
          <w:rFonts w:ascii="Amiri" w:hAnsi="Amiri" w:eastAsia="Amiri" w:cs="Amiri"/>
          <w:color w:val="111111"/>
          <w:sz w:val="28"/>
          <w:sz w:val="28"/>
          <w:szCs w:val="28"/>
          <w:rtl w:val="true"/>
          <w:lang w:bidi="ar-SA"/>
        </w:rPr>
        <w:t>ندباً</w:t>
      </w:r>
      <w:r>
        <w:rPr>
          <w:rStyle w:val="FootnoteAnchor"/>
          <w:rtl w:val="true"/>
        </w:rPr>
        <w:footnoteReference w:id="530"/>
      </w:r>
      <w:r>
        <w:rPr>
          <w:rFonts w:ascii="IRNazanin" w:hAnsi="IRNazanin" w:eastAsia="IRNazanin"/>
          <w:color w:val="111111"/>
          <w:sz w:val="28"/>
          <w:sz w:val="28"/>
          <w:szCs w:val="28"/>
          <w:rtl w:val="true"/>
          <w:lang w:bidi="fa-IR"/>
        </w:rPr>
        <w:t> علی الأقوی</w:t>
      </w:r>
      <w:r>
        <w:rPr>
          <w:rFonts w:eastAsia="IRNazanin" w:cs="IRNazanin"/>
          <w:color w:val="111111"/>
          <w:sz w:val="28"/>
          <w:szCs w:val="28"/>
          <w:rtl w:val="true"/>
          <w:lang w:bidi="fa-IR"/>
        </w:rPr>
        <w:t>.</w:t>
      </w:r>
    </w:p>
    <w:p>
      <w:pPr>
        <w:pStyle w:val="Heading3"/>
        <w:numPr>
          <w:ilvl w:val="2"/>
          <w:numId w:val="1"/>
        </w:numPr>
        <w:rPr/>
      </w:pPr>
      <w:bookmarkStart w:id="208" w:name="__RefHeading___Toc1954962_2322387425"/>
      <w:bookmarkStart w:id="209" w:name="_Toc74"/>
      <w:bookmarkEnd w:id="208"/>
      <w:r>
        <w:rPr>
          <w:rtl w:val="true"/>
        </w:rPr>
        <w:t>حکم صوم المستحاضة</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صوم المستحاضة</w:t>
      </w:r>
      <w:r>
        <w:rPr>
          <w:rStyle w:val="FootnoteAnchor"/>
          <w:rtl w:val="true"/>
        </w:rPr>
        <w:footnoteReference w:id="53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Style w:val="FootnoteAnchor"/>
          <w:rtl w:val="true"/>
        </w:rPr>
        <w:footnoteReference w:id="532"/>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p>
    <w:p>
      <w:pPr>
        <w:pStyle w:val="BookText"/>
        <w:rPr/>
      </w:pPr>
      <w:r>
        <w:rPr>
          <w:rFonts w:ascii="IRNazanin" w:hAnsi="IRNazanin" w:eastAsia="IRNazanin"/>
          <w:color w:val="111111"/>
          <w:sz w:val="28"/>
          <w:sz w:val="28"/>
          <w:szCs w:val="28"/>
          <w:rtl w:val="true"/>
          <w:lang w:bidi="fa-IR"/>
        </w:rPr>
        <w:t>الأغسال</w:t>
      </w:r>
      <w:r>
        <w:rPr>
          <w:rStyle w:val="FootnoteAnchor"/>
          <w:rtl w:val="true"/>
        </w:rPr>
        <w:footnoteReference w:id="533"/>
      </w:r>
      <w:r>
        <w:rPr>
          <w:rFonts w:ascii="IRNazanin" w:hAnsi="IRNazanin" w:eastAsia="IRNazanin"/>
          <w:color w:val="111111"/>
          <w:sz w:val="28"/>
          <w:sz w:val="28"/>
          <w:szCs w:val="28"/>
          <w:rtl w:val="true"/>
          <w:lang w:bidi="fa-IR"/>
        </w:rPr>
        <w:t> النهاریة</w:t>
      </w:r>
      <w:r>
        <w:rPr>
          <w:rStyle w:val="FootnoteAnchor"/>
          <w:rtl w:val="true"/>
        </w:rPr>
        <w:footnoteReference w:id="534"/>
      </w:r>
      <w:r>
        <w:rPr>
          <w:rFonts w:ascii="IRNazanin" w:hAnsi="IRNazanin" w:eastAsia="IRNazanin"/>
          <w:color w:val="111111"/>
          <w:sz w:val="28"/>
          <w:sz w:val="28"/>
          <w:szCs w:val="28"/>
          <w:rtl w:val="true"/>
          <w:lang w:bidi="fa-IR"/>
        </w:rPr>
        <w:t> التی للصلاة</w:t>
      </w:r>
      <w:r>
        <w:rPr>
          <w:rStyle w:val="FootnoteAnchor"/>
          <w:rtl w:val="true"/>
        </w:rPr>
        <w:footnoteReference w:id="535"/>
      </w:r>
      <w:r>
        <w:rPr>
          <w:rFonts w:ascii="IRNazanin" w:hAnsi="IRNazanin" w:eastAsia="IRNazanin"/>
          <w:color w:val="111111"/>
          <w:sz w:val="28"/>
          <w:sz w:val="28"/>
          <w:szCs w:val="28"/>
          <w:rtl w:val="true"/>
          <w:lang w:bidi="fa-IR"/>
        </w:rPr>
        <w:t>، دون ما لا یکون لها، فلو استحاضت قبل الإتیان بصلاة الصبح أو الظهرین بما یوجب الغسل کالمتوسّطة</w:t>
      </w:r>
      <w:r>
        <w:rPr>
          <w:rStyle w:val="FootnoteAnchor"/>
          <w:rtl w:val="true"/>
        </w:rPr>
        <w:footnoteReference w:id="536"/>
      </w:r>
      <w:r>
        <w:rPr>
          <w:rFonts w:ascii="IRNazanin" w:hAnsi="IRNazanin" w:eastAsia="IRNazanin"/>
          <w:color w:val="111111"/>
          <w:sz w:val="28"/>
          <w:sz w:val="28"/>
          <w:szCs w:val="28"/>
          <w:rtl w:val="true"/>
          <w:lang w:bidi="fa-IR"/>
        </w:rPr>
        <w:t> أو الکثیرة فترکت الغسل بطل صومها، وأمّا لو استحاضت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الإتیان بصلاة الفجر أو بعد الإتیان بالظهرین</w:t>
      </w:r>
      <w:r>
        <w:rPr>
          <w:rStyle w:val="FootnoteAnchor"/>
          <w:rtl w:val="true"/>
        </w:rPr>
        <w:footnoteReference w:id="537"/>
      </w:r>
      <w:r>
        <w:rPr>
          <w:rFonts w:ascii="IRNazanin" w:hAnsi="IRNazanin" w:eastAsia="IRNazanin"/>
          <w:color w:val="111111"/>
          <w:sz w:val="28"/>
          <w:sz w:val="28"/>
          <w:szCs w:val="28"/>
          <w:rtl w:val="true"/>
          <w:lang w:bidi="fa-IR"/>
        </w:rPr>
        <w:t> فترکت الغسل إلی الغروب لم یبطل</w:t>
      </w:r>
      <w:r>
        <w:rPr>
          <w:rStyle w:val="FootnoteAnchor"/>
          <w:rtl w:val="true"/>
        </w:rPr>
        <w:footnoteReference w:id="538"/>
      </w:r>
      <w:r>
        <w:rPr>
          <w:rFonts w:ascii="IRNazanin" w:hAnsi="IRNazanin" w:eastAsia="IRNazanin"/>
          <w:color w:val="111111"/>
          <w:sz w:val="28"/>
          <w:sz w:val="28"/>
          <w:szCs w:val="28"/>
          <w:rtl w:val="true"/>
          <w:lang w:bidi="fa-IR"/>
        </w:rPr>
        <w:t> صومها</w:t>
      </w:r>
      <w:r>
        <w:rPr>
          <w:rStyle w:val="FootnoteAnchor"/>
          <w:rtl w:val="true"/>
        </w:rPr>
        <w:footnoteReference w:id="539"/>
      </w:r>
      <w:r>
        <w:rPr>
          <w:rFonts w:ascii="IRNazanin" w:hAnsi="IRNazanin" w:eastAsia="IRNazanin"/>
          <w:color w:val="111111"/>
          <w:sz w:val="28"/>
          <w:sz w:val="28"/>
          <w:szCs w:val="28"/>
          <w:rtl w:val="true"/>
          <w:lang w:bidi="fa-IR"/>
        </w:rPr>
        <w:t>، ولا یشترط فیها</w:t>
      </w:r>
      <w:r>
        <w:rPr>
          <w:rStyle w:val="FootnoteAnchor"/>
          <w:rtl w:val="true"/>
        </w:rPr>
        <w:footnoteReference w:id="540"/>
      </w:r>
      <w:r>
        <w:rPr>
          <w:rFonts w:ascii="IRNazanin" w:hAnsi="IRNazanin" w:eastAsia="IRNazanin"/>
          <w:color w:val="111111"/>
          <w:sz w:val="28"/>
          <w:sz w:val="28"/>
          <w:szCs w:val="28"/>
          <w:rtl w:val="true"/>
          <w:lang w:bidi="fa-IR"/>
        </w:rPr>
        <w:t> الإتیان بأغسال اللیلة المستقبلة وإن کان أحوط، وکذا لا یعتبر فیها</w:t>
      </w:r>
      <w:r>
        <w:rPr>
          <w:rStyle w:val="FootnoteAnchor"/>
          <w:rtl w:val="true"/>
        </w:rPr>
        <w:footnoteReference w:id="541"/>
      </w:r>
      <w:r>
        <w:rPr>
          <w:rFonts w:ascii="IRNazanin" w:hAnsi="IRNazanin" w:eastAsia="IRNazanin"/>
          <w:color w:val="111111"/>
          <w:sz w:val="28"/>
          <w:sz w:val="28"/>
          <w:szCs w:val="28"/>
          <w:rtl w:val="true"/>
          <w:lang w:bidi="fa-IR"/>
        </w:rPr>
        <w:t> الإتیان</w:t>
      </w:r>
      <w:r>
        <w:rPr>
          <w:rStyle w:val="FootnoteAnchor"/>
          <w:rtl w:val="true"/>
        </w:rPr>
        <w:footnoteReference w:id="542"/>
      </w:r>
      <w:r>
        <w:rPr>
          <w:rFonts w:ascii="IRNazanin" w:hAnsi="IRNazanin" w:eastAsia="IRNazanin"/>
          <w:color w:val="111111"/>
          <w:sz w:val="28"/>
          <w:sz w:val="28"/>
          <w:szCs w:val="28"/>
          <w:rtl w:val="true"/>
          <w:lang w:bidi="fa-IR"/>
        </w:rPr>
        <w:t xml:space="preserve">بغسل اللیلة </w:t>
      </w:r>
    </w:p>
    <w:p>
      <w:pPr>
        <w:pStyle w:val="BookText"/>
        <w:rPr/>
      </w:pPr>
      <w:r>
        <w:rPr>
          <w:rFonts w:ascii="IRNazanin" w:hAnsi="IRNazanin" w:eastAsia="IRNazanin"/>
          <w:color w:val="111111"/>
          <w:sz w:val="28"/>
          <w:sz w:val="28"/>
          <w:szCs w:val="28"/>
          <w:rtl w:val="true"/>
          <w:lang w:bidi="fa-IR"/>
        </w:rPr>
        <w:t>الماضیة</w:t>
      </w:r>
      <w:r>
        <w:rPr>
          <w:rStyle w:val="FootnoteAnchor"/>
          <w:rtl w:val="true"/>
        </w:rPr>
        <w:footnoteReference w:id="543"/>
      </w:r>
      <w:r>
        <w:rPr>
          <w:rFonts w:ascii="IRNazanin" w:hAnsi="IRNazanin" w:eastAsia="IRNazanin"/>
          <w:color w:val="111111"/>
          <w:sz w:val="28"/>
          <w:sz w:val="28"/>
          <w:szCs w:val="28"/>
          <w:rtl w:val="true"/>
          <w:lang w:bidi="fa-IR"/>
        </w:rPr>
        <w:t>، بمعنی أنّها</w:t>
      </w:r>
      <w:r>
        <w:rPr>
          <w:rStyle w:val="FootnoteAnchor"/>
          <w:rtl w:val="true"/>
        </w:rPr>
        <w:footnoteReference w:id="544"/>
      </w:r>
      <w:r>
        <w:rPr>
          <w:rFonts w:ascii="IRNazanin" w:hAnsi="IRNazanin" w:eastAsia="IRNazanin"/>
          <w:color w:val="111111"/>
          <w:sz w:val="28"/>
          <w:sz w:val="28"/>
          <w:szCs w:val="28"/>
          <w:rtl w:val="true"/>
          <w:lang w:bidi="fa-IR"/>
        </w:rPr>
        <w:t> لو ترکت الغسل الّذی للعشاءین لم یبطل</w:t>
      </w:r>
      <w:r>
        <w:rPr>
          <w:rStyle w:val="FootnoteAnchor"/>
          <w:rtl w:val="true"/>
        </w:rPr>
        <w:footnoteReference w:id="545"/>
      </w:r>
      <w:r>
        <w:rPr>
          <w:rFonts w:ascii="IRNazanin" w:hAnsi="IRNazanin" w:eastAsia="IRNazanin"/>
          <w:color w:val="111111"/>
          <w:sz w:val="28"/>
          <w:sz w:val="28"/>
          <w:szCs w:val="28"/>
          <w:rtl w:val="true"/>
          <w:lang w:bidi="fa-IR"/>
        </w:rPr>
        <w:t> صومها لأجل ذلک</w:t>
      </w:r>
      <w:r>
        <w:rPr>
          <w:rStyle w:val="FootnoteAnchor"/>
          <w:rtl w:val="true"/>
        </w:rPr>
        <w:footnoteReference w:id="546"/>
      </w:r>
      <w:r>
        <w:rPr>
          <w:rFonts w:ascii="IRNazanin" w:hAnsi="IRNazanin" w:eastAsia="IRNazanin"/>
          <w:color w:val="111111"/>
          <w:sz w:val="28"/>
          <w:sz w:val="28"/>
          <w:szCs w:val="28"/>
          <w:rtl w:val="true"/>
          <w:lang w:bidi="fa-IR"/>
        </w:rPr>
        <w:t>، نعم، یجب</w:t>
      </w:r>
      <w:r>
        <w:rPr>
          <w:rStyle w:val="FootnoteAnchor"/>
          <w:rtl w:val="true"/>
        </w:rPr>
        <w:footnoteReference w:id="547"/>
      </w:r>
      <w:r>
        <w:rPr>
          <w:rFonts w:ascii="IRNazanin" w:hAnsi="IRNazanin" w:eastAsia="IRNazanin"/>
          <w:color w:val="111111"/>
          <w:sz w:val="28"/>
          <w:sz w:val="28"/>
          <w:szCs w:val="28"/>
          <w:rtl w:val="true"/>
          <w:lang w:bidi="fa-IR"/>
        </w:rPr>
        <w:t> علیها الغسل حینئذٍ</w:t>
      </w:r>
      <w:r>
        <w:rPr>
          <w:rStyle w:val="FootnoteAnchor"/>
          <w:rtl w:val="true"/>
        </w:rPr>
        <w:footnoteReference w:id="5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لصلاة الفجر، فلو ترکته بطل صومها من هذه الجهة، وکذا لا یعتبر فیها ما عدا الغسل من الأعمال، وإن کان الأحوط</w:t>
      </w:r>
      <w:r>
        <w:rPr>
          <w:rStyle w:val="FootnoteAnchor"/>
          <w:rtl w:val="true"/>
        </w:rPr>
        <w:footnoteReference w:id="549"/>
      </w:r>
      <w:r>
        <w:rPr>
          <w:rFonts w:ascii="IRNazanin" w:hAnsi="IRNazanin" w:eastAsia="IRNazanin"/>
          <w:color w:val="111111"/>
          <w:sz w:val="28"/>
          <w:sz w:val="28"/>
          <w:szCs w:val="28"/>
          <w:rtl w:val="true"/>
          <w:lang w:bidi="fa-IR"/>
        </w:rPr>
        <w:t> اعتبار جمیع ما یجب علیها من الأغسال والوضوءات وتغییر الخرقة والقطنة، ولا یجب تقدیم</w:t>
      </w:r>
      <w:r>
        <w:rPr>
          <w:rStyle w:val="FootnoteAnchor"/>
          <w:rtl w:val="true"/>
        </w:rPr>
        <w:footnoteReference w:id="550"/>
      </w:r>
      <w:r>
        <w:rPr>
          <w:rFonts w:ascii="Amiri" w:hAnsi="Amiri" w:eastAsia="Amiri" w:cs="Amiri"/>
          <w:color w:val="111111"/>
          <w:sz w:val="28"/>
          <w:sz w:val="28"/>
          <w:szCs w:val="28"/>
          <w:rtl w:val="true"/>
          <w:lang w:bidi="ar-SA"/>
        </w:rPr>
        <w:t> غسل المتوسّطة</w:t>
      </w:r>
      <w:r>
        <w:rPr>
          <w:rStyle w:val="FootnoteAnchor"/>
          <w:rtl w:val="true"/>
        </w:rPr>
        <w:footnoteReference w:id="551"/>
      </w:r>
      <w:r>
        <w:rPr>
          <w:rFonts w:ascii="IRNazanin" w:hAnsi="IRNazanin" w:eastAsia="IRNazanin"/>
          <w:color w:val="111111"/>
          <w:sz w:val="28"/>
          <w:sz w:val="28"/>
          <w:szCs w:val="28"/>
          <w:rtl w:val="true"/>
          <w:lang w:bidi="fa-IR"/>
        </w:rPr>
        <w:t> والکثیرة</w:t>
      </w:r>
      <w:r>
        <w:rPr>
          <w:rStyle w:val="FootnoteAnchor"/>
          <w:rtl w:val="true"/>
        </w:rPr>
        <w:footnoteReference w:id="552"/>
      </w:r>
      <w:r>
        <w:rPr>
          <w:rFonts w:ascii="IRNazanin" w:hAnsi="IRNazanin" w:eastAsia="IRNazanin"/>
          <w:color w:val="111111"/>
          <w:sz w:val="28"/>
          <w:sz w:val="28"/>
          <w:szCs w:val="28"/>
          <w:rtl w:val="true"/>
          <w:lang w:bidi="fa-IR"/>
        </w:rPr>
        <w:t xml:space="preserve"> علی الفجر وإن کان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الأحوط</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210" w:name="pg13281_119787"/>
    </w:p>
    <w:p>
      <w:pPr>
        <w:pStyle w:val="Heading3"/>
        <w:numPr>
          <w:ilvl w:val="2"/>
          <w:numId w:val="1"/>
        </w:numPr>
        <w:rPr/>
      </w:pPr>
      <w:bookmarkStart w:id="211" w:name="__RefHeading___Toc1954964_2322387425"/>
      <w:bookmarkStart w:id="212" w:name="_Toc75"/>
      <w:bookmarkEnd w:id="210"/>
      <w:bookmarkEnd w:id="211"/>
      <w:r>
        <w:rPr>
          <w:rtl w:val="true"/>
        </w:rPr>
        <w:t>من نسی غسل الجنابة فی شهر رمضان وغیره</w:t>
      </w:r>
      <w:bookmarkEnd w:id="21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بطلان صوم</w:t>
      </w:r>
      <w:r>
        <w:rPr>
          <w:rStyle w:val="FootnoteAnchor"/>
          <w:rtl w:val="true"/>
        </w:rPr>
        <w:footnoteReference w:id="554"/>
      </w:r>
      <w:r>
        <w:rPr>
          <w:rFonts w:ascii="IRNazanin" w:hAnsi="IRNazanin" w:eastAsia="IRNazanin"/>
          <w:color w:val="111111"/>
          <w:sz w:val="28"/>
          <w:sz w:val="28"/>
          <w:szCs w:val="28"/>
          <w:rtl w:val="true"/>
          <w:lang w:bidi="fa-IR"/>
        </w:rPr>
        <w:t> شهر رمضان</w:t>
      </w:r>
      <w:r>
        <w:rPr>
          <w:rStyle w:val="FootnoteAnchor"/>
          <w:rtl w:val="true"/>
        </w:rPr>
        <w:footnoteReference w:id="555"/>
      </w:r>
      <w:r>
        <w:rPr>
          <w:rFonts w:ascii="IRNazanin" w:hAnsi="IRNazanin" w:eastAsia="IRNazanin"/>
          <w:color w:val="111111"/>
          <w:sz w:val="28"/>
          <w:sz w:val="28"/>
          <w:szCs w:val="28"/>
          <w:rtl w:val="true"/>
          <w:lang w:bidi="fa-IR"/>
        </w:rPr>
        <w:t> بنسیان غسل الجنابة لیلاً قبل الفجر حتّی مضی علیه</w:t>
      </w:r>
      <w:r>
        <w:rPr>
          <w:rStyle w:val="FootnoteAnchor"/>
          <w:rtl w:val="true"/>
        </w:rPr>
        <w:footnoteReference w:id="556"/>
      </w:r>
      <w:r>
        <w:rPr>
          <w:rFonts w:ascii="IRNazanin" w:hAnsi="IRNazanin" w:eastAsia="IRNazanin"/>
          <w:color w:val="111111"/>
          <w:sz w:val="28"/>
          <w:sz w:val="28"/>
          <w:szCs w:val="28"/>
          <w:rtl w:val="true"/>
          <w:lang w:bidi="fa-IR"/>
        </w:rPr>
        <w:t> یوم</w:t>
      </w:r>
      <w:r>
        <w:rPr>
          <w:rStyle w:val="FootnoteAnchor"/>
          <w:rtl w:val="true"/>
        </w:rPr>
        <w:footnoteReference w:id="557"/>
      </w:r>
      <w:r>
        <w:rPr>
          <w:rFonts w:ascii="Amiri" w:hAnsi="Amiri" w:eastAsia="Amiri" w:cs="Amiri"/>
          <w:color w:val="111111"/>
          <w:sz w:val="28"/>
          <w:sz w:val="28"/>
          <w:szCs w:val="28"/>
          <w:rtl w:val="true"/>
          <w:lang w:bidi="ar-SA"/>
        </w:rPr>
        <w:t> أو أیّام</w:t>
      </w:r>
      <w:r>
        <w:rPr>
          <w:rStyle w:val="FootnoteAnchor"/>
          <w:rtl w:val="true"/>
        </w:rPr>
        <w:footnoteReference w:id="558"/>
      </w:r>
      <w:r>
        <w:rPr>
          <w:rFonts w:ascii="IRNazanin" w:hAnsi="IRNazanin" w:eastAsia="IRNazanin"/>
          <w:color w:val="111111"/>
          <w:sz w:val="28"/>
          <w:sz w:val="28"/>
          <w:szCs w:val="28"/>
          <w:rtl w:val="true"/>
          <w:lang w:bidi="fa-IR"/>
        </w:rPr>
        <w:t>، والأحوط</w:t>
      </w:r>
      <w:r>
        <w:rPr>
          <w:rStyle w:val="FootnoteAnchor"/>
          <w:rtl w:val="true"/>
        </w:rPr>
        <w:footnoteReference w:id="559"/>
      </w:r>
      <w:r>
        <w:rPr>
          <w:rFonts w:ascii="IRNazanin" w:hAnsi="IRNazanin" w:eastAsia="IRNazanin"/>
          <w:color w:val="111111"/>
          <w:sz w:val="28"/>
          <w:sz w:val="28"/>
          <w:szCs w:val="28"/>
          <w:rtl w:val="true"/>
          <w:lang w:bidi="fa-IR"/>
        </w:rPr>
        <w:t>إلحاق</w:t>
      </w:r>
      <w:r>
        <w:rPr>
          <w:rStyle w:val="FootnoteAnchor"/>
          <w:rtl w:val="true"/>
        </w:rPr>
        <w:footnoteReference w:id="560"/>
      </w:r>
      <w:r>
        <w:rPr>
          <w:rFonts w:ascii="IRNazanin" w:hAnsi="IRNazanin" w:eastAsia="IRNazanin"/>
          <w:color w:val="111111"/>
          <w:sz w:val="28"/>
          <w:sz w:val="28"/>
          <w:szCs w:val="28"/>
          <w:rtl w:val="true"/>
          <w:lang w:bidi="fa-IR"/>
        </w:rPr>
        <w:t xml:space="preserve"> غیر شهر رمضان من النذر المعیّن ونحوه به، وإن کان الأقوی </w:t>
      </w:r>
      <w:bookmarkStart w:id="213" w:name="pg13281_119788"/>
    </w:p>
    <w:p>
      <w:pPr>
        <w:pStyle w:val="BookText"/>
        <w:rPr/>
      </w:pPr>
      <w:bookmarkEnd w:id="213"/>
      <w:r>
        <w:rPr>
          <w:rFonts w:ascii="IRNazanin" w:hAnsi="IRNazanin" w:eastAsia="IRNazanin"/>
          <w:color w:val="111111"/>
          <w:sz w:val="28"/>
          <w:sz w:val="28"/>
          <w:szCs w:val="28"/>
          <w:rtl w:val="true"/>
          <w:lang w:bidi="fa-IR"/>
        </w:rPr>
        <w:t>عدمه</w:t>
      </w:r>
      <w:r>
        <w:rPr>
          <w:rStyle w:val="FootnoteAnchor"/>
          <w:rtl w:val="true"/>
        </w:rPr>
        <w:footnoteReference w:id="561"/>
      </w:r>
      <w:r>
        <w:rPr>
          <w:rFonts w:ascii="IRNazanin" w:hAnsi="IRNazanin" w:eastAsia="IRNazanin"/>
          <w:color w:val="111111"/>
          <w:sz w:val="28"/>
          <w:sz w:val="28"/>
          <w:szCs w:val="28"/>
          <w:rtl w:val="true"/>
          <w:lang w:bidi="fa-IR"/>
        </w:rPr>
        <w:t>، کما أنّ الأقوی عدم إلحاق غسل الحیض والنفاس لو نسیتهما</w:t>
      </w:r>
    </w:p>
    <w:p>
      <w:pPr>
        <w:pStyle w:val="BookText"/>
        <w:rPr/>
      </w:pPr>
      <w:r>
        <w:rPr>
          <w:rFonts w:ascii="IRNazanin" w:hAnsi="IRNazanin" w:eastAsia="IRNazanin"/>
          <w:color w:val="111111"/>
          <w:sz w:val="28"/>
          <w:sz w:val="28"/>
          <w:szCs w:val="28"/>
          <w:rtl w:val="true"/>
          <w:lang w:bidi="fa-IR"/>
        </w:rPr>
        <w:t>بالجنابة فی ذلک، وإن کان أحوط</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954966_2322387425"/>
      <w:bookmarkStart w:id="215" w:name="_Toc76"/>
      <w:bookmarkEnd w:id="214"/>
      <w:r>
        <w:rPr>
          <w:rtl w:val="true"/>
        </w:rPr>
        <w:t>من تعذّر علیه الغسل وجب علیه التیمّم قبل الفجر</w:t>
      </w:r>
      <w:bookmarkEnd w:id="21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المجنب ممّن لا یتمکّن من الغسل لفقد الماء أو لغیره من أسباب التیمّم وجب علیه التیمّم</w:t>
      </w:r>
      <w:r>
        <w:rPr>
          <w:rStyle w:val="FootnoteAnchor"/>
          <w:rtl w:val="true"/>
        </w:rPr>
        <w:footnoteReference w:id="563"/>
      </w:r>
      <w:r>
        <w:rPr>
          <w:rFonts w:ascii="IRNazanin" w:hAnsi="IRNazanin" w:eastAsia="IRNazanin"/>
          <w:color w:val="111111"/>
          <w:sz w:val="28"/>
          <w:sz w:val="28"/>
          <w:szCs w:val="28"/>
          <w:rtl w:val="true"/>
          <w:lang w:bidi="fa-IR"/>
        </w:rPr>
        <w:t>، فإن ترکه بطل صومه، وکذا</w:t>
      </w:r>
      <w:r>
        <w:rPr>
          <w:rStyle w:val="FootnoteAnchor"/>
          <w:rtl w:val="true"/>
        </w:rPr>
        <w:footnoteReference w:id="564"/>
      </w:r>
      <w:r>
        <w:rPr>
          <w:rFonts w:ascii="IRNazanin" w:hAnsi="IRNazanin" w:eastAsia="IRNazanin"/>
          <w:color w:val="111111"/>
          <w:sz w:val="28"/>
          <w:sz w:val="28"/>
          <w:szCs w:val="28"/>
          <w:rtl w:val="true"/>
          <w:lang w:bidi="fa-IR"/>
        </w:rPr>
        <w:t> لو کان متمکّناً من الغسل وترکه</w:t>
      </w:r>
      <w:r>
        <w:rPr>
          <w:rStyle w:val="FootnoteAnchor"/>
          <w:rtl w:val="true"/>
        </w:rPr>
        <w:footnoteReference w:id="565"/>
      </w:r>
      <w:bookmarkStart w:id="216" w:name="pg13281_119789"/>
    </w:p>
    <w:p>
      <w:pPr>
        <w:pStyle w:val="BookText"/>
        <w:rPr/>
      </w:pPr>
      <w:bookmarkEnd w:id="216"/>
      <w:r>
        <w:rPr>
          <w:rFonts w:ascii="IRNazanin" w:hAnsi="IRNazanin" w:eastAsia="IRNazanin"/>
          <w:color w:val="111111"/>
          <w:sz w:val="28"/>
          <w:sz w:val="28"/>
          <w:szCs w:val="28"/>
          <w:rtl w:val="true"/>
          <w:lang w:bidi="fa-IR"/>
        </w:rPr>
        <w:t>حتّی ضاق الوقت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954968_2322387425"/>
      <w:bookmarkStart w:id="218" w:name="_Toc77"/>
      <w:bookmarkEnd w:id="217"/>
      <w:r>
        <w:rPr>
          <w:rtl w:val="true"/>
        </w:rPr>
        <w:t>هل یبطل التیمم بدل الغسل بالحدث الأصغر أو لا؟</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w:t>
      </w:r>
      <w:r>
        <w:rPr>
          <w:rStyle w:val="FootnoteAnchor"/>
          <w:rtl w:val="true"/>
        </w:rPr>
        <w:footnoteReference w:id="567"/>
      </w:r>
      <w:r>
        <w:rPr>
          <w:rFonts w:ascii="Amiri" w:hAnsi="Amiri" w:eastAsia="Amiri" w:cs="Amiri"/>
          <w:color w:val="111111"/>
          <w:sz w:val="28"/>
          <w:sz w:val="28"/>
          <w:szCs w:val="28"/>
          <w:rtl w:val="true"/>
          <w:lang w:bidi="ar-SA"/>
        </w:rPr>
        <w:t> علی من تیمّم</w:t>
      </w:r>
      <w:r>
        <w:rPr>
          <w:rStyle w:val="FootnoteAnchor"/>
          <w:rtl w:val="true"/>
        </w:rPr>
        <w:footnoteReference w:id="568"/>
      </w:r>
      <w:r>
        <w:rPr>
          <w:rFonts w:ascii="IRNazanin" w:hAnsi="IRNazanin" w:eastAsia="IRNazanin"/>
          <w:color w:val="111111"/>
          <w:sz w:val="28"/>
          <w:sz w:val="28"/>
          <w:szCs w:val="28"/>
          <w:rtl w:val="true"/>
          <w:lang w:bidi="fa-IR"/>
        </w:rPr>
        <w:t> بدلاً عن الغسل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یبقی مستیقظاً حتّی یطلع الفجر، فیجوز له النوم</w:t>
      </w:r>
      <w:r>
        <w:rPr>
          <w:rStyle w:val="FootnoteAnchor"/>
          <w:rtl w:val="true"/>
        </w:rPr>
        <w:footnoteReference w:id="569"/>
      </w:r>
      <w:r>
        <w:rPr>
          <w:rFonts w:ascii="IRNazanin" w:hAnsi="IRNazanin" w:eastAsia="IRNazanin"/>
          <w:color w:val="111111"/>
          <w:sz w:val="28"/>
          <w:sz w:val="28"/>
          <w:szCs w:val="28"/>
          <w:rtl w:val="true"/>
          <w:lang w:bidi="fa-IR"/>
        </w:rPr>
        <w:t> بعد التیمّم قبل الفجر علی الأقوی</w:t>
      </w:r>
      <w:r>
        <w:rPr>
          <w:rStyle w:val="FootnoteAnchor"/>
          <w:rtl w:val="true"/>
        </w:rPr>
        <w:footnoteReference w:id="570"/>
      </w:r>
      <w:r>
        <w:rPr>
          <w:rFonts w:ascii="IRNazanin" w:hAnsi="IRNazanin" w:eastAsia="IRNazanin"/>
          <w:color w:val="111111"/>
          <w:sz w:val="28"/>
          <w:sz w:val="28"/>
          <w:szCs w:val="28"/>
          <w:rtl w:val="true"/>
          <w:lang w:bidi="fa-IR"/>
        </w:rPr>
        <w:t>، وإن کان</w:t>
      </w:r>
      <w:r>
        <w:rPr>
          <w:rStyle w:val="FootnoteAnchor"/>
          <w:rtl w:val="true"/>
        </w:rPr>
        <w:footnoteReference w:id="571"/>
      </w:r>
      <w:r>
        <w:rPr>
          <w:rFonts w:ascii="IRNazanin" w:hAnsi="IRNazanin" w:eastAsia="IRNazanin"/>
          <w:color w:val="111111"/>
          <w:sz w:val="28"/>
          <w:sz w:val="28"/>
          <w:szCs w:val="28"/>
          <w:rtl w:val="true"/>
          <w:lang w:bidi="fa-IR"/>
        </w:rPr>
        <w:t> الأحوط</w:t>
      </w:r>
      <w:r>
        <w:rPr>
          <w:rStyle w:val="FootnoteAnchor"/>
          <w:rtl w:val="true"/>
        </w:rPr>
        <w:footnoteReference w:id="572"/>
      </w:r>
      <w:bookmarkStart w:id="219" w:name="pg13281_119790"/>
    </w:p>
    <w:p>
      <w:pPr>
        <w:pStyle w:val="BookText"/>
        <w:rPr/>
      </w:pPr>
      <w:bookmarkEnd w:id="219"/>
      <w:r>
        <w:rPr>
          <w:rFonts w:ascii="IRNazanin" w:hAnsi="IRNazanin" w:eastAsia="IRNazanin"/>
          <w:color w:val="111111"/>
          <w:sz w:val="28"/>
          <w:sz w:val="28"/>
          <w:szCs w:val="28"/>
          <w:rtl w:val="true"/>
          <w:lang w:bidi="fa-IR"/>
        </w:rPr>
        <w:t>البقاء</w:t>
      </w:r>
      <w:r>
        <w:rPr>
          <w:rStyle w:val="FootnoteAnchor"/>
          <w:rtl w:val="true"/>
        </w:rPr>
        <w:footnoteReference w:id="573"/>
      </w:r>
      <w:r>
        <w:rPr>
          <w:rFonts w:ascii="IRNazanin" w:hAnsi="IRNazanin" w:eastAsia="IRNazanin"/>
          <w:color w:val="111111"/>
          <w:sz w:val="28"/>
          <w:sz w:val="28"/>
          <w:szCs w:val="28"/>
          <w:rtl w:val="true"/>
          <w:lang w:bidi="fa-IR"/>
        </w:rPr>
        <w:t> مستیقظاً؛ لاحتمال بطلان تیمّمه بالنوم، کما علی القول</w:t>
      </w:r>
      <w:r>
        <w:rPr>
          <w:rStyle w:val="FootnoteAnchor"/>
          <w:rtl w:val="true"/>
        </w:rPr>
        <w:footnoteReference w:id="574"/>
      </w:r>
      <w:r>
        <w:rPr>
          <w:rFonts w:ascii="Amiri" w:hAnsi="Amiri" w:eastAsia="Amiri" w:cs="Amiri"/>
          <w:color w:val="111111"/>
          <w:sz w:val="28"/>
          <w:sz w:val="28"/>
          <w:szCs w:val="28"/>
          <w:rtl w:val="true"/>
          <w:lang w:bidi="ar-SA"/>
        </w:rPr>
        <w:t> بأنّ</w:t>
      </w:r>
    </w:p>
    <w:p>
      <w:pPr>
        <w:pStyle w:val="BookText"/>
        <w:rPr/>
      </w:pPr>
      <w:r>
        <w:rPr>
          <w:rFonts w:ascii="IRNazanin" w:hAnsi="IRNazanin" w:eastAsia="IRNazanin"/>
          <w:color w:val="111111"/>
          <w:sz w:val="28"/>
          <w:sz w:val="28"/>
          <w:szCs w:val="28"/>
          <w:rtl w:val="true"/>
          <w:lang w:bidi="fa-IR"/>
        </w:rPr>
        <w:t>التیمّم بدلاً عن الغسل یبطل بالحدث الأصغر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954970_2322387425"/>
      <w:bookmarkStart w:id="221" w:name="_Toc78"/>
      <w:bookmarkEnd w:id="220"/>
      <w:r>
        <w:rPr>
          <w:rtl w:val="true"/>
        </w:rPr>
        <w:t>جواز التأخیر فی غسل من احتلم نهار شهر رمضان</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من أجنب فی النهار بالاحتلام أو نحوه من الأعذار أن یبادر إلی الغسل فوراً، وإن کان هو الأحوط</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954972_2322387425"/>
      <w:bookmarkStart w:id="223" w:name="_Toc79"/>
      <w:bookmarkEnd w:id="222"/>
      <w:r>
        <w:rPr>
          <w:rtl w:val="true"/>
        </w:rPr>
        <w:t>حکم الصوم إذا علم سبق الاحتلام علی الفجر أو شک</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تیقّظ بعد الفجر من نومه فرأی نفسه محتلماً لم یبطل صومه، سواء علم سبقه علی الفجر أو علم تأخّره أو بقی علی الشکّ؛ لأنّه لو کان سابقاً کان من البقاء علی الجنابة غیر متعمّد، ولو کان بعد الفجر کان من الاحتلام فی النهار،</w:t>
      </w:r>
    </w:p>
    <w:p>
      <w:pPr>
        <w:pStyle w:val="BookText"/>
        <w:rPr/>
      </w:pPr>
      <w:r>
        <w:rPr>
          <w:rFonts w:ascii="IRNazanin" w:hAnsi="IRNazanin" w:eastAsia="IRNazanin"/>
          <w:color w:val="111111"/>
          <w:sz w:val="28"/>
          <w:sz w:val="28"/>
          <w:szCs w:val="28"/>
          <w:rtl w:val="true"/>
          <w:lang w:bidi="fa-IR"/>
        </w:rPr>
        <w:t>نعم، إذا علم سبقه علی الفجر لم یصحَّ منه صوم</w:t>
      </w:r>
      <w:r>
        <w:rPr>
          <w:rStyle w:val="FootnoteAnchor"/>
          <w:rtl w:val="true"/>
        </w:rPr>
        <w:footnoteReference w:id="577"/>
      </w:r>
      <w:r>
        <w:rPr>
          <w:rFonts w:ascii="IRNazanin" w:hAnsi="IRNazanin" w:eastAsia="IRNazanin"/>
          <w:color w:val="111111"/>
          <w:sz w:val="28"/>
          <w:sz w:val="28"/>
          <w:szCs w:val="28"/>
          <w:rtl w:val="true"/>
          <w:lang w:bidi="fa-IR"/>
        </w:rPr>
        <w:t> قضاء رمضان</w:t>
      </w:r>
      <w:r>
        <w:rPr>
          <w:rStyle w:val="FootnoteAnchor"/>
          <w:rtl w:val="true"/>
        </w:rPr>
        <w:footnoteReference w:id="57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کونه موسّعاً</w:t>
      </w:r>
      <w:r>
        <w:rPr>
          <w:rStyle w:val="FootnoteAnchor"/>
          <w:rtl w:val="true"/>
        </w:rPr>
        <w:footnoteReference w:id="579"/>
      </w:r>
      <w:r>
        <w:rPr>
          <w:rFonts w:ascii="IRNazanin" w:hAnsi="IRNazanin" w:eastAsia="IRNazanin"/>
          <w:color w:val="111111"/>
          <w:sz w:val="28"/>
          <w:sz w:val="28"/>
          <w:szCs w:val="28"/>
          <w:rtl w:val="true"/>
          <w:lang w:bidi="fa-IR"/>
        </w:rPr>
        <w:t>، وأمّا مع ضیق وقته فالأحوط</w:t>
      </w:r>
      <w:r>
        <w:rPr>
          <w:rStyle w:val="FootnoteAnchor"/>
          <w:rtl w:val="true"/>
        </w:rPr>
        <w:footnoteReference w:id="580"/>
      </w:r>
      <w:bookmarkStart w:id="224" w:name="pg13281_119791"/>
    </w:p>
    <w:p>
      <w:pPr>
        <w:pStyle w:val="BookText"/>
        <w:rPr/>
      </w:pPr>
      <w:bookmarkEnd w:id="22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الإتیان به</w:t>
      </w:r>
      <w:r>
        <w:rPr>
          <w:rStyle w:val="FootnoteAnchor"/>
          <w:rtl w:val="true"/>
        </w:rPr>
        <w:footnoteReference w:id="581"/>
      </w:r>
      <w:r>
        <w:rPr>
          <w:rFonts w:ascii="Amiri" w:hAnsi="Amiri" w:eastAsia="Amiri" w:cs="Amiri"/>
          <w:color w:val="111111"/>
          <w:sz w:val="28"/>
          <w:sz w:val="28"/>
          <w:szCs w:val="28"/>
          <w:rtl w:val="true"/>
          <w:lang w:bidi="ar-SA"/>
        </w:rPr>
        <w:t> وبِعِوَضه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954974_2322387425"/>
      <w:bookmarkStart w:id="226" w:name="_Toc80"/>
      <w:bookmarkEnd w:id="225"/>
      <w:r>
        <w:rPr>
          <w:rtl w:val="true"/>
        </w:rPr>
        <w:t>حکم نوم الجنب قبل الفجر وأقسامه</w:t>
      </w:r>
      <w:bookmarkEnd w:id="2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جُنُباً فی شهر رمضان فی اللیل لا یجوز له أن ینام</w:t>
      </w:r>
      <w:r>
        <w:rPr>
          <w:rStyle w:val="FootnoteAnchor"/>
          <w:rtl w:val="true"/>
        </w:rPr>
        <w:footnoteReference w:id="583"/>
      </w:r>
      <w:r>
        <w:rPr>
          <w:rFonts w:ascii="IRNazanin" w:hAnsi="IRNazanin" w:eastAsia="IRNazanin"/>
          <w:color w:val="111111"/>
          <w:sz w:val="28"/>
          <w:sz w:val="28"/>
          <w:szCs w:val="28"/>
          <w:rtl w:val="true"/>
          <w:lang w:bidi="fa-IR"/>
        </w:rPr>
        <w:t> قبل الاغتسال</w:t>
      </w:r>
      <w:r>
        <w:rPr>
          <w:rStyle w:val="FootnoteAnchor"/>
          <w:rtl w:val="true"/>
        </w:rPr>
        <w:footnoteReference w:id="584"/>
      </w:r>
      <w:r>
        <w:rPr>
          <w:rFonts w:ascii="IRNazanin" w:hAnsi="IRNazanin" w:eastAsia="IRNazanin"/>
          <w:color w:val="111111"/>
          <w:sz w:val="28"/>
          <w:sz w:val="28"/>
          <w:szCs w:val="28"/>
          <w:rtl w:val="true"/>
          <w:lang w:bidi="fa-IR"/>
        </w:rPr>
        <w:t> إذا علم أنّه لا یستیقظ قبل الفجر للاغتسال</w:t>
      </w:r>
      <w:r>
        <w:rPr>
          <w:rStyle w:val="FootnoteAnchor"/>
          <w:rtl w:val="true"/>
        </w:rPr>
        <w:footnoteReference w:id="585"/>
      </w:r>
      <w:r>
        <w:rPr>
          <w:rFonts w:ascii="IRNazanin" w:hAnsi="IRNazanin" w:eastAsia="IRNazanin"/>
          <w:color w:val="111111"/>
          <w:sz w:val="28"/>
          <w:sz w:val="28"/>
          <w:szCs w:val="28"/>
          <w:rtl w:val="true"/>
          <w:lang w:bidi="fa-IR"/>
        </w:rPr>
        <w:t>، ولو نام واستمرّ إلی الفجر لحقه حکم البقاء متعمّداً، فیجب علیه القضاء والکفّارة</w:t>
      </w:r>
      <w:r>
        <w:rPr>
          <w:rStyle w:val="FootnoteAnchor"/>
          <w:rtl w:val="true"/>
        </w:rPr>
        <w:footnoteReference w:id="586"/>
      </w:r>
      <w:r>
        <w:rPr>
          <w:rFonts w:ascii="IRNazanin" w:hAnsi="IRNazanin" w:eastAsia="IRNazanin"/>
          <w:color w:val="111111"/>
          <w:sz w:val="28"/>
          <w:sz w:val="28"/>
          <w:szCs w:val="28"/>
          <w:rtl w:val="true"/>
          <w:lang w:bidi="fa-IR"/>
        </w:rPr>
        <w:t>، وأمّا إن احتمل</w:t>
      </w:r>
      <w:r>
        <w:rPr>
          <w:rStyle w:val="FootnoteAnchor"/>
          <w:rtl w:val="true"/>
        </w:rPr>
        <w:footnoteReference w:id="587"/>
      </w:r>
      <w:r>
        <w:rPr>
          <w:rFonts w:ascii="IRNazanin" w:hAnsi="IRNazanin" w:eastAsia="IRNazanin"/>
          <w:color w:val="111111"/>
          <w:sz w:val="28"/>
          <w:sz w:val="28"/>
          <w:szCs w:val="28"/>
          <w:rtl w:val="true"/>
          <w:lang w:bidi="fa-IR"/>
        </w:rPr>
        <w:t> الاستیقاظ</w:t>
      </w:r>
      <w:r>
        <w:rPr>
          <w:rStyle w:val="FootnoteAnchor"/>
          <w:rtl w:val="true"/>
        </w:rPr>
        <w:footnoteReference w:id="5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النوم</w:t>
      </w:r>
      <w:r>
        <w:rPr>
          <w:rStyle w:val="FootnoteAnchor"/>
          <w:rtl w:val="true"/>
        </w:rPr>
        <w:footnoteReference w:id="589"/>
      </w:r>
      <w:r>
        <w:rPr>
          <w:rFonts w:ascii="IRNazanin" w:hAnsi="IRNazanin" w:eastAsia="IRNazanin"/>
          <w:color w:val="111111"/>
          <w:sz w:val="28"/>
          <w:sz w:val="28"/>
          <w:szCs w:val="28"/>
          <w:rtl w:val="true"/>
          <w:lang w:bidi="fa-IR"/>
        </w:rPr>
        <w:t> وإن کان من النوم الثانی أو الثالث</w:t>
      </w:r>
      <w:r>
        <w:rPr>
          <w:rStyle w:val="FootnoteAnchor"/>
          <w:rtl w:val="true"/>
        </w:rPr>
        <w:footnoteReference w:id="590"/>
      </w:r>
      <w:r>
        <w:rPr>
          <w:rFonts w:ascii="IRNazanin" w:hAnsi="IRNazanin" w:eastAsia="IRNazanin"/>
          <w:color w:val="111111"/>
          <w:sz w:val="28"/>
          <w:sz w:val="28"/>
          <w:szCs w:val="28"/>
          <w:rtl w:val="true"/>
          <w:lang w:bidi="fa-IR"/>
        </w:rPr>
        <w:t>أو الأزید، فلا یکون نومه حراماً</w:t>
      </w:r>
      <w:r>
        <w:rPr>
          <w:rStyle w:val="FootnoteAnchor"/>
          <w:rtl w:val="true"/>
        </w:rPr>
        <w:footnoteReference w:id="591"/>
      </w:r>
      <w:r>
        <w:rPr>
          <w:rFonts w:ascii="IRNazanin" w:hAnsi="IRNazanin" w:eastAsia="IRNazanin"/>
          <w:color w:val="111111"/>
          <w:sz w:val="28"/>
          <w:sz w:val="28"/>
          <w:szCs w:val="28"/>
          <w:rtl w:val="true"/>
          <w:lang w:bidi="fa-IR"/>
        </w:rPr>
        <w:t>، وإن کان الأحوط</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ترک</w:t>
      </w:r>
      <w:r>
        <w:rPr>
          <w:rStyle w:val="FootnoteAnchor"/>
          <w:rtl w:val="true"/>
        </w:rPr>
        <w:footnoteReference w:id="593"/>
      </w:r>
      <w:r>
        <w:rPr>
          <w:rFonts w:ascii="IRNazanin" w:hAnsi="IRNazanin" w:eastAsia="IRNazanin"/>
          <w:color w:val="111111"/>
          <w:sz w:val="28"/>
          <w:sz w:val="28"/>
          <w:szCs w:val="28"/>
          <w:rtl w:val="true"/>
          <w:lang w:bidi="fa-IR"/>
        </w:rPr>
        <w:t> النوم</w:t>
      </w:r>
      <w:r>
        <w:rPr>
          <w:rStyle w:val="FootnoteAnchor"/>
          <w:rtl w:val="true"/>
        </w:rPr>
        <w:footnoteReference w:id="594"/>
      </w:r>
      <w:r>
        <w:rPr>
          <w:rFonts w:ascii="IRNazanin" w:hAnsi="IRNazanin" w:eastAsia="IRNazanin"/>
          <w:color w:val="111111"/>
          <w:sz w:val="28"/>
          <w:sz w:val="28"/>
          <w:szCs w:val="28"/>
          <w:rtl w:val="true"/>
          <w:lang w:bidi="fa-IR"/>
        </w:rPr>
        <w:t> الثانی</w:t>
      </w:r>
      <w:r>
        <w:rPr>
          <w:rStyle w:val="FootnoteAnchor"/>
          <w:rtl w:val="true"/>
        </w:rPr>
        <w:footnoteReference w:id="595"/>
      </w:r>
      <w:r>
        <w:rPr>
          <w:rFonts w:ascii="IRNazanin" w:hAnsi="IRNazanin" w:eastAsia="IRNazanin"/>
          <w:color w:val="111111"/>
          <w:sz w:val="28"/>
          <w:sz w:val="28"/>
          <w:szCs w:val="28"/>
          <w:rtl w:val="true"/>
          <w:lang w:bidi="fa-IR"/>
        </w:rPr>
        <w:t> فما زاد، وإن اتّفق استمراره إلی الفجر، غایة الأمر وجوب القضاء أو مع الکفّارة فی بعض الصور، کما سیتبیّن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 الجنب فی شهر رمضان فی اللیل مع احتمال الاستیقاظ</w:t>
      </w:r>
      <w:r>
        <w:rPr>
          <w:rStyle w:val="FootnoteAnchor"/>
          <w:rtl w:val="true"/>
        </w:rPr>
        <w:footnoteReference w:id="596"/>
      </w:r>
      <w:r>
        <w:rPr>
          <w:rFonts w:ascii="IRNazanin" w:hAnsi="IRNazanin" w:eastAsia="IRNazanin"/>
          <w:color w:val="111111"/>
          <w:sz w:val="28"/>
          <w:sz w:val="28"/>
          <w:szCs w:val="28"/>
          <w:rtl w:val="true"/>
          <w:lang w:bidi="fa-IR"/>
        </w:rPr>
        <w:t> أو العلم به</w:t>
      </w:r>
      <w:r>
        <w:rPr>
          <w:rStyle w:val="FootnoteAnchor"/>
          <w:rtl w:val="true"/>
        </w:rPr>
        <w:footnoteReference w:id="597"/>
      </w:r>
      <w:r>
        <w:rPr>
          <w:rFonts w:ascii="IRNazanin" w:hAnsi="IRNazanin" w:eastAsia="IRNazanin"/>
          <w:color w:val="111111"/>
          <w:sz w:val="28"/>
          <w:sz w:val="28"/>
          <w:szCs w:val="28"/>
          <w:rtl w:val="true"/>
          <w:lang w:bidi="fa-IR"/>
        </w:rPr>
        <w:t> إذا اتّفق استمراره إلی طلوع الفجر علی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 العزم علی ترک</w:t>
      </w:r>
      <w:r>
        <w:rPr>
          <w:rStyle w:val="FootnoteAnchor"/>
          <w:rtl w:val="true"/>
        </w:rPr>
        <w:footnoteReference w:id="599"/>
      </w:r>
      <w:r>
        <w:rPr>
          <w:rFonts w:ascii="IRNazanin" w:hAnsi="IRNazanin" w:eastAsia="IRNazanin"/>
          <w:color w:val="111111"/>
          <w:sz w:val="28"/>
          <w:sz w:val="28"/>
          <w:szCs w:val="28"/>
          <w:rtl w:val="true"/>
          <w:lang w:bidi="fa-IR"/>
        </w:rPr>
        <w:t> الغسل، وإمّا أن یکون مع التردّد فی الغسل وعدمه، وإمّا أن یکون مع الذهول والغفلة عن الغسل</w:t>
      </w:r>
      <w:r>
        <w:rPr>
          <w:rStyle w:val="FootnoteAnchor"/>
          <w:rtl w:val="true"/>
        </w:rPr>
        <w:footnoteReference w:id="600"/>
      </w:r>
      <w:r>
        <w:rPr>
          <w:rFonts w:ascii="IRNazanin" w:hAnsi="IRNazanin" w:eastAsia="IRNazanin"/>
          <w:color w:val="111111"/>
          <w:sz w:val="28"/>
          <w:sz w:val="28"/>
          <w:szCs w:val="28"/>
          <w:rtl w:val="true"/>
          <w:lang w:bidi="fa-IR"/>
        </w:rPr>
        <w:t>، وإمّا أن یکون مع البناء علی الاغتسال حین الاستیقاظ مع اتّفاق الاستمرار، فإن کان مع العزم علی ترک الغسل أو مع التردّد</w:t>
      </w:r>
      <w:r>
        <w:rPr>
          <w:rStyle w:val="FootnoteAnchor"/>
          <w:rtl w:val="true"/>
        </w:rPr>
        <w:footnoteReference w:id="601"/>
      </w:r>
      <w:r>
        <w:rPr>
          <w:rFonts w:ascii="IRNazanin" w:hAnsi="IRNazanin" w:eastAsia="IRNazanin"/>
          <w:color w:val="111111"/>
          <w:sz w:val="28"/>
          <w:sz w:val="28"/>
          <w:szCs w:val="28"/>
          <w:rtl w:val="true"/>
          <w:lang w:bidi="fa-IR"/>
        </w:rPr>
        <w:t> فیه</w:t>
      </w:r>
      <w:r>
        <w:rPr>
          <w:rStyle w:val="FootnoteAnchor"/>
          <w:rtl w:val="true"/>
        </w:rPr>
        <w:footnoteReference w:id="602"/>
      </w:r>
      <w:r>
        <w:rPr>
          <w:rFonts w:ascii="IRNazanin" w:hAnsi="IRNazanin" w:eastAsia="IRNazanin"/>
          <w:color w:val="111111"/>
          <w:sz w:val="28"/>
          <w:sz w:val="28"/>
          <w:szCs w:val="28"/>
          <w:rtl w:val="true"/>
          <w:lang w:bidi="fa-IR"/>
        </w:rPr>
        <w:t> لحقه حکم تعمّد البقاء جنباً، بل الأحوط</w:t>
      </w:r>
      <w:r>
        <w:rPr>
          <w:rStyle w:val="FootnoteAnchor"/>
          <w:rtl w:val="true"/>
        </w:rPr>
        <w:footnoteReference w:id="60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r>
        <w:rPr>
          <w:rStyle w:val="FootnoteAnchor"/>
          <w:rtl w:val="true"/>
        </w:rPr>
        <w:footnoteReference w:id="604"/>
      </w:r>
      <w:r>
        <w:rPr>
          <w:rFonts w:ascii="IRNazanin" w:hAnsi="IRNazanin" w:eastAsia="IRNazanin"/>
          <w:color w:val="111111"/>
          <w:sz w:val="28"/>
          <w:sz w:val="28"/>
          <w:szCs w:val="28"/>
          <w:rtl w:val="true"/>
          <w:lang w:bidi="fa-IR"/>
        </w:rPr>
        <w:t> إن کان</w:t>
      </w:r>
      <w:r>
        <w:rPr>
          <w:rStyle w:val="FootnoteAnchor"/>
          <w:rtl w:val="true"/>
        </w:rPr>
        <w:footnoteReference w:id="605"/>
      </w:r>
      <w:r>
        <w:rPr>
          <w:rFonts w:ascii="Amiri" w:hAnsi="Amiri" w:eastAsia="Amiri" w:cs="Amiri"/>
          <w:color w:val="111111"/>
          <w:sz w:val="28"/>
          <w:sz w:val="28"/>
          <w:szCs w:val="28"/>
          <w:rtl w:val="true"/>
          <w:lang w:bidi="ar-SA"/>
        </w:rPr>
        <w:t> مع الغفلة والذهول</w:t>
      </w:r>
      <w:r>
        <w:rPr>
          <w:rStyle w:val="FootnoteAnchor"/>
          <w:rtl w:val="true"/>
        </w:rPr>
        <w:footnoteReference w:id="606"/>
      </w:r>
      <w:r>
        <w:rPr>
          <w:rFonts w:ascii="IRNazanin" w:hAnsi="IRNazanin" w:eastAsia="IRNazanin"/>
          <w:color w:val="111111"/>
          <w:sz w:val="28"/>
          <w:sz w:val="28"/>
          <w:szCs w:val="28"/>
          <w:rtl w:val="true"/>
          <w:lang w:bidi="fa-IR"/>
        </w:rPr>
        <w:t> أیضاً، وإن کان الأقوی</w:t>
      </w:r>
      <w:r>
        <w:rPr>
          <w:rStyle w:val="FootnoteAnchor"/>
          <w:rtl w:val="true"/>
        </w:rPr>
        <w:footnoteReference w:id="607"/>
      </w:r>
      <w:r>
        <w:rPr>
          <w:rFonts w:ascii="IRNazanin" w:hAnsi="IRNazanin" w:eastAsia="IRNazanin"/>
          <w:color w:val="111111"/>
          <w:sz w:val="28"/>
          <w:sz w:val="28"/>
          <w:szCs w:val="28"/>
          <w:rtl w:val="true"/>
          <w:lang w:bidi="fa-IR"/>
        </w:rPr>
        <w:t> لحوقه بالقسم الأخیر</w:t>
      </w:r>
      <w:r>
        <w:rPr>
          <w:rStyle w:val="FootnoteAnchor"/>
          <w:rtl w:val="true"/>
        </w:rPr>
        <w:footnoteReference w:id="608"/>
      </w:r>
      <w:r>
        <w:rPr>
          <w:rFonts w:ascii="IRNazanin" w:hAnsi="IRNazanin" w:eastAsia="IRNazanin"/>
          <w:color w:val="111111"/>
          <w:sz w:val="28"/>
          <w:sz w:val="28"/>
          <w:szCs w:val="28"/>
          <w:rtl w:val="true"/>
          <w:lang w:bidi="fa-IR"/>
        </w:rPr>
        <w:t xml:space="preserve">، وإن کان مع البناء علی الاغتسال أو مع الذهول علی ما </w:t>
      </w:r>
    </w:p>
    <w:p>
      <w:pPr>
        <w:pStyle w:val="BookText"/>
        <w:rPr/>
      </w:pPr>
      <w:r>
        <w:rPr>
          <w:rFonts w:ascii="IRNazanin" w:hAnsi="IRNazanin" w:eastAsia="IRNazanin"/>
          <w:color w:val="111111"/>
          <w:sz w:val="28"/>
          <w:sz w:val="28"/>
          <w:szCs w:val="28"/>
          <w:rtl w:val="true"/>
          <w:lang w:bidi="fa-IR"/>
        </w:rPr>
        <w:t>قوَّینا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النومة الاُولی بعد العلم</w:t>
      </w:r>
      <w:r>
        <w:rPr>
          <w:rStyle w:val="FootnoteAnchor"/>
          <w:rtl w:val="true"/>
        </w:rPr>
        <w:footnoteReference w:id="609"/>
      </w:r>
      <w:r>
        <w:rPr>
          <w:rFonts w:ascii="IRNazanin" w:hAnsi="IRNazanin" w:eastAsia="IRNazanin"/>
          <w:color w:val="111111"/>
          <w:sz w:val="28"/>
          <w:sz w:val="28"/>
          <w:szCs w:val="28"/>
          <w:rtl w:val="true"/>
          <w:lang w:bidi="fa-IR"/>
        </w:rPr>
        <w:t> بالجنابة فلا شیء علیه</w:t>
      </w:r>
      <w:r>
        <w:rPr>
          <w:rStyle w:val="FootnoteAnchor"/>
          <w:rtl w:val="true"/>
        </w:rPr>
        <w:footnoteReference w:id="61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 صومه، وإن کان فی النومة الثانیة بأن نام بعد العلم بالجنابة ثمّ انتبه ونام ثانیاً مع احتمال الانتباه</w:t>
      </w:r>
      <w:r>
        <w:rPr>
          <w:rStyle w:val="FootnoteAnchor"/>
          <w:rtl w:val="true"/>
        </w:rPr>
        <w:footnoteReference w:id="611"/>
      </w:r>
      <w:r>
        <w:rPr>
          <w:rFonts w:ascii="IRNazanin" w:hAnsi="IRNazanin" w:eastAsia="IRNazanin"/>
          <w:color w:val="111111"/>
          <w:sz w:val="28"/>
          <w:sz w:val="28"/>
          <w:szCs w:val="28"/>
          <w:rtl w:val="true"/>
          <w:lang w:bidi="fa-IR"/>
        </w:rPr>
        <w:t> فاتّفق الاستمرار وجب علیه القضاء</w:t>
      </w:r>
      <w:r>
        <w:rPr>
          <w:rStyle w:val="FootnoteAnchor"/>
          <w:rtl w:val="true"/>
        </w:rPr>
        <w:footnoteReference w:id="612"/>
      </w:r>
      <w:r>
        <w:rPr>
          <w:rFonts w:ascii="IRNazanin" w:hAnsi="IRNazanin" w:eastAsia="IRNazanin"/>
          <w:color w:val="111111"/>
          <w:sz w:val="28"/>
          <w:sz w:val="28"/>
          <w:szCs w:val="28"/>
          <w:rtl w:val="true"/>
          <w:lang w:bidi="fa-IR"/>
        </w:rPr>
        <w:t>فقط دون الکفّارة</w:t>
      </w:r>
      <w:r>
        <w:rPr>
          <w:rStyle w:val="FootnoteAnchor"/>
          <w:rtl w:val="true"/>
        </w:rPr>
        <w:footnoteReference w:id="613"/>
      </w:r>
      <w:r>
        <w:rPr>
          <w:rFonts w:ascii="IRNazanin" w:hAnsi="IRNazanin" w:eastAsia="IRNazanin"/>
          <w:color w:val="111111"/>
          <w:sz w:val="28"/>
          <w:sz w:val="28"/>
          <w:szCs w:val="28"/>
          <w:rtl w:val="true"/>
          <w:lang w:bidi="fa-IR"/>
        </w:rPr>
        <w:t> علی الأقوی، وإن کان فی النومة الثالثة فکذلک علی الأقوی</w:t>
      </w:r>
      <w:r>
        <w:rPr>
          <w:rStyle w:val="FootnoteAnchor"/>
          <w:rtl w:val="true"/>
        </w:rPr>
        <w:footnoteReference w:id="614"/>
      </w:r>
      <w:r>
        <w:rPr>
          <w:rFonts w:ascii="IRNazanin" w:hAnsi="IRNazanin" w:eastAsia="IRNazanin"/>
          <w:color w:val="111111"/>
          <w:sz w:val="28"/>
          <w:sz w:val="28"/>
          <w:szCs w:val="28"/>
          <w:rtl w:val="true"/>
          <w:lang w:bidi="fa-IR"/>
        </w:rPr>
        <w:t>، وإن کان الأحوط</w:t>
      </w:r>
      <w:r>
        <w:rPr>
          <w:rStyle w:val="FootnoteAnchor"/>
          <w:rtl w:val="true"/>
        </w:rPr>
        <w:footnoteReference w:id="615"/>
      </w:r>
      <w:r>
        <w:rPr>
          <w:rFonts w:ascii="IRNazanin" w:hAnsi="IRNazanin" w:eastAsia="IRNazanin"/>
          <w:color w:val="111111"/>
          <w:sz w:val="28"/>
          <w:sz w:val="28"/>
          <w:szCs w:val="28"/>
          <w:rtl w:val="true"/>
          <w:lang w:bidi="fa-IR"/>
        </w:rPr>
        <w:t> ما هو</w:t>
      </w:r>
      <w:r>
        <w:rPr>
          <w:rStyle w:val="FootnoteAnchor"/>
          <w:rtl w:val="true"/>
        </w:rPr>
        <w:footnoteReference w:id="616"/>
      </w:r>
      <w:r>
        <w:rPr>
          <w:rFonts w:ascii="IRNazanin" w:hAnsi="IRNazanin" w:eastAsia="IRNazanin"/>
          <w:color w:val="111111"/>
          <w:sz w:val="28"/>
          <w:sz w:val="28"/>
          <w:szCs w:val="28"/>
          <w:rtl w:val="true"/>
          <w:lang w:bidi="fa-IR"/>
        </w:rPr>
        <w:t> المشهور</w:t>
      </w:r>
      <w:r>
        <w:rPr>
          <w:rStyle w:val="FootnoteAnchor"/>
          <w:rtl w:val="true"/>
        </w:rPr>
        <w:footnoteReference w:id="617"/>
      </w:r>
      <w:r>
        <w:rPr>
          <w:rFonts w:ascii="IRNazanin" w:hAnsi="IRNazanin" w:eastAsia="IRNazanin"/>
          <w:color w:val="111111"/>
          <w:sz w:val="28"/>
          <w:sz w:val="28"/>
          <w:szCs w:val="28"/>
          <w:rtl w:val="true"/>
          <w:lang w:bidi="fa-IR"/>
        </w:rPr>
        <w:t xml:space="preserve"> من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الکفّارة</w:t>
      </w:r>
      <w:r>
        <w:rPr>
          <w:rStyle w:val="FootnoteAnchor"/>
          <w:rtl w:val="true"/>
        </w:rPr>
        <w:footnoteReference w:id="618"/>
      </w:r>
      <w:r>
        <w:rPr>
          <w:rFonts w:ascii="IRNazanin" w:hAnsi="IRNazanin" w:eastAsia="IRNazanin"/>
          <w:color w:val="111111"/>
          <w:sz w:val="28"/>
          <w:sz w:val="28"/>
          <w:szCs w:val="28"/>
          <w:rtl w:val="true"/>
          <w:lang w:bidi="fa-IR"/>
        </w:rPr>
        <w:t> أیضاً فی هذه الصورة، بل الأحوط وجوبها</w:t>
      </w:r>
      <w:r>
        <w:rPr>
          <w:rStyle w:val="FootnoteAnchor"/>
          <w:rtl w:val="true"/>
        </w:rPr>
        <w:footnoteReference w:id="619"/>
      </w:r>
      <w:r>
        <w:rPr>
          <w:rFonts w:ascii="IRNazanin" w:hAnsi="IRNazanin" w:eastAsia="IRNazanin"/>
          <w:color w:val="111111"/>
          <w:sz w:val="28"/>
          <w:sz w:val="28"/>
          <w:szCs w:val="28"/>
          <w:rtl w:val="true"/>
          <w:lang w:bidi="fa-IR"/>
        </w:rPr>
        <w:t> فی النومة الثانیة أیضاً، بل وکذا فی النومة الاُولی أیضاً إذا لم یکن</w:t>
      </w:r>
      <w:r>
        <w:rPr>
          <w:rStyle w:val="FootnoteAnchor"/>
          <w:rtl w:val="true"/>
        </w:rPr>
        <w:footnoteReference w:id="620"/>
      </w:r>
      <w:r>
        <w:rPr>
          <w:rFonts w:ascii="Amiri" w:hAnsi="Amiri" w:eastAsia="Amiri" w:cs="Amiri"/>
          <w:color w:val="111111"/>
          <w:sz w:val="28"/>
          <w:sz w:val="28"/>
          <w:szCs w:val="28"/>
          <w:rtl w:val="true"/>
          <w:lang w:bidi="ar-SA"/>
        </w:rPr>
        <w:t> معتادَ</w:t>
      </w:r>
      <w:r>
        <w:rPr>
          <w:rStyle w:val="FootnoteAnchor"/>
          <w:rtl w:val="true"/>
        </w:rPr>
        <w:footnoteReference w:id="621"/>
      </w:r>
      <w:r>
        <w:rPr>
          <w:rFonts w:ascii="IRNazanin" w:hAnsi="IRNazanin" w:eastAsia="IRNazanin"/>
          <w:color w:val="111111"/>
          <w:sz w:val="28"/>
          <w:sz w:val="28"/>
          <w:szCs w:val="28"/>
          <w:rtl w:val="true"/>
          <w:lang w:bidi="fa-IR"/>
        </w:rPr>
        <w:t> الانتباه</w:t>
      </w:r>
      <w:r>
        <w:rPr>
          <w:rStyle w:val="FootnoteAnchor"/>
          <w:rtl w:val="true"/>
        </w:rPr>
        <w:footnoteReference w:id="622"/>
      </w:r>
      <w:r>
        <w:rPr>
          <w:rFonts w:ascii="Amiri" w:hAnsi="Amiri" w:eastAsia="Amiri" w:cs="Amiri"/>
          <w:color w:val="111111"/>
          <w:sz w:val="28"/>
          <w:sz w:val="28"/>
          <w:szCs w:val="28"/>
          <w:rtl w:val="true"/>
          <w:lang w:bidi="ar-SA"/>
        </w:rPr>
        <w:t>، ولا یُعَدُّ</w:t>
      </w:r>
      <w:r>
        <w:rPr>
          <w:rStyle w:val="FootnoteAnchor"/>
          <w:rtl w:val="true"/>
        </w:rPr>
        <w:footnoteReference w:id="623"/>
      </w:r>
      <w:bookmarkStart w:id="227" w:name="pg13281_119798"/>
    </w:p>
    <w:p>
      <w:pPr>
        <w:pStyle w:val="BookText"/>
        <w:rPr/>
      </w:pPr>
      <w:bookmarkEnd w:id="227"/>
      <w:r>
        <w:rPr>
          <w:rFonts w:ascii="IRNazanin" w:hAnsi="IRNazanin" w:eastAsia="IRNazanin"/>
          <w:color w:val="111111"/>
          <w:sz w:val="28"/>
          <w:sz w:val="28"/>
          <w:szCs w:val="28"/>
          <w:rtl w:val="true"/>
          <w:lang w:bidi="fa-IR"/>
        </w:rPr>
        <w:t>النوم</w:t>
      </w:r>
      <w:r>
        <w:rPr>
          <w:rStyle w:val="FootnoteAnchor"/>
          <w:rtl w:val="true"/>
        </w:rPr>
        <w:footnoteReference w:id="624"/>
      </w:r>
      <w:r>
        <w:rPr>
          <w:rFonts w:ascii="IRNazanin" w:hAnsi="IRNazanin" w:eastAsia="IRNazanin"/>
          <w:color w:val="111111"/>
          <w:sz w:val="28"/>
          <w:sz w:val="28"/>
          <w:szCs w:val="28"/>
          <w:rtl w:val="true"/>
          <w:lang w:bidi="fa-IR"/>
        </w:rPr>
        <w:t> الّذی احتلم فیه</w:t>
      </w:r>
      <w:r>
        <w:rPr>
          <w:rStyle w:val="FootnoteAnchor"/>
          <w:rtl w:val="true"/>
        </w:rPr>
        <w:footnoteReference w:id="625"/>
      </w:r>
      <w:r>
        <w:rPr>
          <w:rFonts w:ascii="IRNazanin" w:hAnsi="IRNazanin" w:eastAsia="IRNazanin"/>
          <w:color w:val="111111"/>
          <w:sz w:val="28"/>
          <w:sz w:val="28"/>
          <w:szCs w:val="28"/>
          <w:rtl w:val="true"/>
          <w:lang w:bidi="fa-IR"/>
        </w:rPr>
        <w:t> من النوم الأول</w:t>
      </w:r>
      <w:r>
        <w:rPr>
          <w:rStyle w:val="FootnoteAnchor"/>
          <w:rtl w:val="true"/>
        </w:rPr>
        <w:footnoteReference w:id="626"/>
      </w:r>
      <w:r>
        <w:rPr>
          <w:rFonts w:ascii="IRNazanin" w:hAnsi="IRNazanin" w:eastAsia="IRNazanin"/>
          <w:color w:val="111111"/>
          <w:sz w:val="28"/>
          <w:sz w:val="28"/>
          <w:szCs w:val="28"/>
          <w:rtl w:val="true"/>
          <w:lang w:bidi="fa-IR"/>
        </w:rPr>
        <w:t>، بل المعتبر فیه النوم بعد تحقّق الجنابة، فلو استیقظ المحتلم من نومه ثمّ نام</w:t>
      </w:r>
      <w:r>
        <w:rPr>
          <w:rStyle w:val="FootnoteAnchor"/>
          <w:rtl w:val="true"/>
        </w:rPr>
        <w:footnoteReference w:id="627"/>
      </w:r>
      <w:r>
        <w:rPr>
          <w:rFonts w:ascii="IRNazanin" w:hAnsi="IRNazanin" w:eastAsia="IRNazanin"/>
          <w:color w:val="111111"/>
          <w:sz w:val="28"/>
          <w:sz w:val="28"/>
          <w:szCs w:val="28"/>
          <w:rtl w:val="true"/>
          <w:lang w:bidi="fa-IR"/>
        </w:rPr>
        <w:t> کان</w:t>
      </w:r>
      <w:r>
        <w:rPr>
          <w:rStyle w:val="FootnoteAnchor"/>
          <w:rtl w:val="true"/>
        </w:rPr>
        <w:footnoteReference w:id="628"/>
      </w:r>
      <w:r>
        <w:rPr>
          <w:rFonts w:ascii="IRNazanin" w:hAnsi="IRNazanin" w:eastAsia="IRNazanin"/>
          <w:color w:val="111111"/>
          <w:sz w:val="28"/>
          <w:sz w:val="28"/>
          <w:szCs w:val="28"/>
          <w:rtl w:val="true"/>
          <w:lang w:bidi="fa-IR"/>
        </w:rPr>
        <w:t> من النوم الأول، لا الثانی</w:t>
      </w:r>
      <w:r>
        <w:rPr>
          <w:rFonts w:eastAsia="IRNazanin" w:cs="IRNazanin"/>
          <w:color w:val="111111"/>
          <w:sz w:val="28"/>
          <w:szCs w:val="28"/>
          <w:rtl w:val="true"/>
          <w:lang w:bidi="fa-IR"/>
        </w:rPr>
        <w:t>.</w:t>
      </w:r>
    </w:p>
    <w:p>
      <w:pPr>
        <w:pStyle w:val="Heading3"/>
        <w:numPr>
          <w:ilvl w:val="2"/>
          <w:numId w:val="1"/>
        </w:numPr>
        <w:rPr/>
      </w:pPr>
      <w:bookmarkStart w:id="228" w:name="__RefHeading___Toc1954976_2322387425"/>
      <w:bookmarkStart w:id="229" w:name="_Toc81"/>
      <w:bookmarkEnd w:id="228"/>
      <w:r>
        <w:rPr>
          <w:rtl w:val="true"/>
        </w:rPr>
        <w:t>حکم نوم الجنب فی صوم غیر شهر رمضان</w:t>
      </w:r>
      <w:bookmarkEnd w:id="2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629"/>
      </w:r>
      <w:r>
        <w:rPr>
          <w:rFonts w:ascii="IRNazanin" w:hAnsi="IRNazanin" w:eastAsia="IRNazanin"/>
          <w:color w:val="111111"/>
          <w:sz w:val="28"/>
          <w:sz w:val="28"/>
          <w:szCs w:val="28"/>
          <w:rtl w:val="true"/>
          <w:lang w:bidi="fa-IR"/>
        </w:rPr>
        <w:t> إلحاق</w:t>
      </w:r>
      <w:r>
        <w:rPr>
          <w:rStyle w:val="FootnoteAnchor"/>
          <w:rtl w:val="true"/>
        </w:rPr>
        <w:footnoteReference w:id="630"/>
      </w:r>
      <w:r>
        <w:rPr>
          <w:rFonts w:ascii="IRNazanin" w:hAnsi="IRNazanin" w:eastAsia="IRNazanin"/>
          <w:color w:val="111111"/>
          <w:sz w:val="28"/>
          <w:sz w:val="28"/>
          <w:szCs w:val="28"/>
          <w:rtl w:val="true"/>
          <w:lang w:bidi="fa-IR"/>
        </w:rPr>
        <w:t> غیر</w:t>
      </w:r>
      <w:r>
        <w:rPr>
          <w:rStyle w:val="FootnoteAnchor"/>
          <w:rtl w:val="true"/>
        </w:rPr>
        <w:footnoteReference w:id="631"/>
      </w:r>
      <w:r>
        <w:rPr>
          <w:rFonts w:ascii="IRNazanin" w:hAnsi="IRNazanin" w:eastAsia="IRNazanin"/>
          <w:color w:val="111111"/>
          <w:sz w:val="28"/>
          <w:sz w:val="28"/>
          <w:szCs w:val="28"/>
          <w:rtl w:val="true"/>
          <w:lang w:bidi="fa-IR"/>
        </w:rPr>
        <w:t> شهر رمضان</w:t>
      </w:r>
      <w:r>
        <w:rPr>
          <w:rStyle w:val="FootnoteAnchor"/>
          <w:rtl w:val="true"/>
        </w:rPr>
        <w:footnoteReference w:id="632"/>
      </w:r>
      <w:r>
        <w:rPr>
          <w:rFonts w:ascii="IRNazanin" w:hAnsi="IRNazanin" w:eastAsia="IRNazanin"/>
          <w:color w:val="111111"/>
          <w:sz w:val="28"/>
          <w:sz w:val="28"/>
          <w:szCs w:val="28"/>
          <w:rtl w:val="true"/>
          <w:lang w:bidi="fa-IR"/>
        </w:rPr>
        <w:t xml:space="preserve"> من الصوم </w:t>
      </w:r>
      <w:bookmarkStart w:id="230" w:name="pg13281_119799"/>
    </w:p>
    <w:p>
      <w:pPr>
        <w:pStyle w:val="BookText"/>
        <w:rPr/>
      </w:pPr>
      <w:bookmarkEnd w:id="230"/>
      <w:r>
        <w:rPr>
          <w:rFonts w:ascii="Amiri" w:hAnsi="Amiri" w:eastAsia="Amiri" w:cs="Amiri"/>
          <w:color w:val="111111"/>
          <w:sz w:val="28"/>
          <w:sz w:val="28"/>
          <w:szCs w:val="28"/>
          <w:rtl w:val="true"/>
          <w:lang w:bidi="ar-SA"/>
        </w:rPr>
        <w:t>المعیّن</w:t>
      </w:r>
      <w:r>
        <w:rPr>
          <w:rStyle w:val="FootnoteAnchor"/>
          <w:rtl w:val="true"/>
        </w:rPr>
        <w:footnoteReference w:id="633"/>
      </w:r>
      <w:r>
        <w:rPr>
          <w:rFonts w:ascii="IRNazanin" w:hAnsi="IRNazanin" w:eastAsia="IRNazanin"/>
          <w:color w:val="111111"/>
          <w:sz w:val="28"/>
          <w:sz w:val="28"/>
          <w:szCs w:val="28"/>
          <w:rtl w:val="true"/>
          <w:lang w:bidi="fa-IR"/>
        </w:rPr>
        <w:t> به</w:t>
      </w:r>
      <w:r>
        <w:rPr>
          <w:rStyle w:val="FootnoteAnchor"/>
          <w:rtl w:val="true"/>
        </w:rPr>
        <w:footnoteReference w:id="634"/>
      </w:r>
      <w:r>
        <w:rPr>
          <w:rFonts w:ascii="IRNazanin" w:hAnsi="IRNazanin" w:eastAsia="IRNazanin"/>
          <w:color w:val="111111"/>
          <w:sz w:val="28"/>
          <w:sz w:val="28"/>
          <w:szCs w:val="28"/>
          <w:rtl w:val="true"/>
          <w:lang w:bidi="fa-IR"/>
        </w:rPr>
        <w:t> فی حکم استمرار النوم الأول أو الثانی والثالث، حتّی فی الکفّارة فی الثانی والثالث إذا کان الصوم ممّا له کفّارة کالنذر ونحوه</w:t>
      </w:r>
      <w:r>
        <w:rPr>
          <w:rFonts w:eastAsia="IRNazanin" w:cs="IRNazanin"/>
          <w:color w:val="111111"/>
          <w:sz w:val="28"/>
          <w:szCs w:val="28"/>
          <w:rtl w:val="true"/>
          <w:lang w:bidi="fa-IR"/>
        </w:rPr>
        <w:t>.</w:t>
      </w:r>
    </w:p>
    <w:p>
      <w:pPr>
        <w:pStyle w:val="Heading3"/>
        <w:numPr>
          <w:ilvl w:val="2"/>
          <w:numId w:val="1"/>
        </w:numPr>
        <w:rPr/>
      </w:pPr>
      <w:bookmarkStart w:id="231" w:name="__RefHeading___Toc1954978_2322387425"/>
      <w:bookmarkStart w:id="232" w:name="_Toc82"/>
      <w:bookmarkEnd w:id="231"/>
      <w:r>
        <w:rPr>
          <w:rtl w:val="true"/>
        </w:rPr>
        <w:t>فروع فی النوم بعد الجنابة</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استمرّ النوم الرابع أو الخامس فالظاهر أنّ حکمه حکم النوم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الجنابة المستصحبة کالمعلومة فی الأحکام المذکورة</w:t>
      </w:r>
      <w:r>
        <w:rPr>
          <w:rFonts w:eastAsia="IRNazanin" w:cs="IRNazanin"/>
          <w:color w:val="111111"/>
          <w:sz w:val="28"/>
          <w:szCs w:val="28"/>
          <w:rtl w:val="true"/>
          <w:lang w:bidi="fa-IR"/>
        </w:rPr>
        <w:t>.</w:t>
      </w:r>
    </w:p>
    <w:p>
      <w:pPr>
        <w:pStyle w:val="Heading3"/>
        <w:numPr>
          <w:ilvl w:val="2"/>
          <w:numId w:val="1"/>
        </w:numPr>
        <w:rPr/>
      </w:pPr>
      <w:bookmarkStart w:id="233" w:name="__RefHeading___Toc1954980_2322387425"/>
      <w:bookmarkStart w:id="234" w:name="_Toc83"/>
      <w:bookmarkEnd w:id="233"/>
      <w:r>
        <w:rPr>
          <w:rtl w:val="true"/>
        </w:rPr>
        <w:t>حکم النوم مع حدث الحیض والنفاس لیل شهر رمضان</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أَلحَقَ بعضهم الحائض والنفساء بالجنب فی حکم النومات، والأقوی</w:t>
      </w:r>
      <w:r>
        <w:rPr>
          <w:rStyle w:val="FootnoteAnchor"/>
          <w:rtl w:val="true"/>
        </w:rPr>
        <w:footnoteReference w:id="635"/>
      </w:r>
      <w:r>
        <w:rPr>
          <w:rFonts w:ascii="IRNazanin" w:hAnsi="IRNazanin" w:eastAsia="IRNazanin"/>
          <w:color w:val="111111"/>
          <w:sz w:val="28"/>
          <w:sz w:val="28"/>
          <w:szCs w:val="28"/>
          <w:rtl w:val="true"/>
          <w:lang w:bidi="fa-IR"/>
        </w:rPr>
        <w:t> عدم الإلحاق</w:t>
      </w:r>
      <w:r>
        <w:rPr>
          <w:rStyle w:val="FootnoteAnchor"/>
          <w:rtl w:val="true"/>
        </w:rPr>
        <w:footnoteReference w:id="636"/>
      </w:r>
      <w:r>
        <w:rPr>
          <w:rFonts w:ascii="IRNazanin" w:hAnsi="IRNazanin" w:eastAsia="IRNazanin"/>
          <w:color w:val="111111"/>
          <w:sz w:val="28"/>
          <w:sz w:val="28"/>
          <w:szCs w:val="28"/>
          <w:rtl w:val="true"/>
          <w:lang w:bidi="fa-IR"/>
        </w:rPr>
        <w:t>، وکون المناط فیهما صدق التوانی فی الاغتسال فمعه یبطل</w:t>
      </w:r>
      <w:r>
        <w:rPr>
          <w:rStyle w:val="FootnoteAnchor"/>
          <w:rtl w:val="true"/>
        </w:rPr>
        <w:footnoteReference w:id="637"/>
      </w:r>
      <w:r>
        <w:rPr>
          <w:rFonts w:ascii="IRNazanin" w:hAnsi="IRNazanin" w:eastAsia="IRNazanin"/>
          <w:color w:val="111111"/>
          <w:sz w:val="28"/>
          <w:sz w:val="28"/>
          <w:szCs w:val="28"/>
          <w:rtl w:val="true"/>
          <w:lang w:bidi="fa-IR"/>
        </w:rPr>
        <w:t> وإن کان فی النوم الأول، ومع عدمه لا یبطل وإن کان فی النوم الثانی أو الثالث</w:t>
      </w:r>
      <w:r>
        <w:rPr>
          <w:rFonts w:eastAsia="IRNazanin" w:cs="IRNazanin"/>
          <w:color w:val="111111"/>
          <w:sz w:val="28"/>
          <w:szCs w:val="28"/>
          <w:rtl w:val="true"/>
          <w:lang w:bidi="fa-IR"/>
        </w:rPr>
        <w:t>.</w:t>
      </w:r>
    </w:p>
    <w:p>
      <w:pPr>
        <w:pStyle w:val="Heading3"/>
        <w:numPr>
          <w:ilvl w:val="2"/>
          <w:numId w:val="1"/>
        </w:numPr>
        <w:rPr/>
      </w:pPr>
      <w:bookmarkStart w:id="235" w:name="__RefHeading___Toc1954982_2322387425"/>
      <w:bookmarkStart w:id="236" w:name="_Toc84"/>
      <w:bookmarkEnd w:id="235"/>
      <w:r>
        <w:rPr>
          <w:rtl w:val="true"/>
        </w:rPr>
        <w:t>الشک فی عدد النومات</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النومات بنی علی الأقلّ</w:t>
      </w:r>
      <w:r>
        <w:rPr>
          <w:rFonts w:eastAsia="IRNazanin" w:cs="IRNazanin"/>
          <w:color w:val="111111"/>
          <w:sz w:val="28"/>
          <w:szCs w:val="28"/>
          <w:rtl w:val="true"/>
          <w:lang w:bidi="fa-IR"/>
        </w:rPr>
        <w:t>.</w:t>
      </w:r>
    </w:p>
    <w:p>
      <w:pPr>
        <w:pStyle w:val="Heading3"/>
        <w:numPr>
          <w:ilvl w:val="2"/>
          <w:numId w:val="1"/>
        </w:numPr>
        <w:rPr/>
      </w:pPr>
      <w:bookmarkStart w:id="237" w:name="__RefHeading___Toc1954984_2322387425"/>
      <w:bookmarkStart w:id="238" w:name="_Toc85"/>
      <w:bookmarkEnd w:id="237"/>
      <w:r>
        <w:rPr>
          <w:rtl w:val="true"/>
        </w:rPr>
        <w:t>من نسی الجنابة أیّاماً من شهر رمضان وشک فی عددها</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غسل الجنابة ومضی علیه أیّام وشکّ فی عددها یجوز له الاقتصار</w:t>
      </w:r>
      <w:r>
        <w:rPr>
          <w:rStyle w:val="FootnoteAnchor"/>
          <w:rtl w:val="true"/>
        </w:rPr>
        <w:footnoteReference w:id="638"/>
      </w:r>
      <w:r>
        <w:rPr>
          <w:rFonts w:ascii="IRNazanin" w:hAnsi="IRNazanin" w:eastAsia="IRNazanin"/>
          <w:color w:val="111111"/>
          <w:sz w:val="28"/>
          <w:sz w:val="28"/>
          <w:szCs w:val="28"/>
          <w:rtl w:val="true"/>
          <w:lang w:bidi="fa-IR"/>
        </w:rPr>
        <w:t> فی القضاء علی القدر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9" w:name="pg13281_119800"/>
    </w:p>
    <w:p>
      <w:pPr>
        <w:pStyle w:val="BookText"/>
        <w:rPr/>
      </w:pPr>
      <w:bookmarkEnd w:id="239"/>
      <w:r>
        <w:rPr>
          <w:rFonts w:ascii="Amiri" w:hAnsi="Amiri" w:eastAsia="Amiri" w:cs="Amiri"/>
          <w:color w:val="111111"/>
          <w:sz w:val="28"/>
          <w:sz w:val="28"/>
          <w:szCs w:val="28"/>
          <w:rtl w:val="true"/>
          <w:lang w:bidi="ar-SA"/>
        </w:rPr>
        <w:t>المتیقّن</w:t>
      </w:r>
      <w:r>
        <w:rPr>
          <w:rStyle w:val="FootnoteAnchor"/>
          <w:rtl w:val="true"/>
        </w:rPr>
        <w:footnoteReference w:id="639"/>
      </w:r>
      <w:r>
        <w:rPr>
          <w:rFonts w:ascii="IRNazanin" w:hAnsi="IRNazanin" w:eastAsia="IRNazanin"/>
          <w:color w:val="111111"/>
          <w:sz w:val="28"/>
          <w:sz w:val="28"/>
          <w:szCs w:val="28"/>
          <w:rtl w:val="true"/>
          <w:lang w:bidi="fa-IR"/>
        </w:rPr>
        <w:t>، وإن کان الأحوط تحصیل الیقین بالفراغ</w:t>
      </w:r>
      <w:r>
        <w:rPr>
          <w:rFonts w:eastAsia="IRNazanin" w:cs="IRNazanin"/>
          <w:color w:val="111111"/>
          <w:sz w:val="28"/>
          <w:szCs w:val="28"/>
          <w:rtl w:val="true"/>
          <w:lang w:bidi="fa-IR"/>
        </w:rPr>
        <w:t>.</w:t>
      </w:r>
    </w:p>
    <w:p>
      <w:pPr>
        <w:pStyle w:val="Heading3"/>
        <w:numPr>
          <w:ilvl w:val="2"/>
          <w:numId w:val="1"/>
        </w:numPr>
        <w:rPr/>
      </w:pPr>
      <w:bookmarkStart w:id="240" w:name="__RefHeading___Toc1954986_2322387425"/>
      <w:bookmarkStart w:id="241" w:name="_Toc86"/>
      <w:bookmarkEnd w:id="240"/>
      <w:r>
        <w:rPr>
          <w:rtl w:val="true"/>
        </w:rPr>
        <w:t>قصد الوجوب فی غسل الجنابة قبل الفجر</w:t>
      </w:r>
      <w:bookmarkEnd w:id="2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640"/>
      </w:r>
      <w:r>
        <w:rPr>
          <w:rFonts w:ascii="IRNazanin" w:hAnsi="IRNazanin" w:eastAsia="IRNazanin"/>
          <w:color w:val="111111"/>
          <w:sz w:val="28"/>
          <w:sz w:val="28"/>
          <w:szCs w:val="28"/>
          <w:rtl w:val="true"/>
          <w:lang w:bidi="fa-IR"/>
        </w:rPr>
        <w:t> قصد</w:t>
      </w:r>
      <w:r>
        <w:rPr>
          <w:rStyle w:val="FootnoteAnchor"/>
          <w:rtl w:val="true"/>
        </w:rPr>
        <w:footnoteReference w:id="641"/>
      </w:r>
      <w:r>
        <w:rPr>
          <w:rFonts w:ascii="IRNazanin" w:hAnsi="IRNazanin" w:eastAsia="IRNazanin"/>
          <w:color w:val="111111"/>
          <w:sz w:val="28"/>
          <w:sz w:val="28"/>
          <w:szCs w:val="28"/>
          <w:rtl w:val="true"/>
          <w:lang w:bidi="fa-IR"/>
        </w:rPr>
        <w:t> الوجوب</w:t>
      </w:r>
      <w:r>
        <w:rPr>
          <w:rStyle w:val="FootnoteAnchor"/>
          <w:rtl w:val="true"/>
        </w:rPr>
        <w:footnoteReference w:id="642"/>
      </w:r>
      <w:r>
        <w:rPr>
          <w:rFonts w:ascii="IRNazanin" w:hAnsi="IRNazanin" w:eastAsia="IRNazanin"/>
          <w:color w:val="111111"/>
          <w:sz w:val="28"/>
          <w:sz w:val="28"/>
          <w:szCs w:val="28"/>
          <w:rtl w:val="true"/>
          <w:lang w:bidi="fa-IR"/>
        </w:rPr>
        <w:t> فی الغسل</w:t>
      </w:r>
      <w:r>
        <w:rPr>
          <w:rStyle w:val="FootnoteAnchor"/>
          <w:rtl w:val="true"/>
        </w:rPr>
        <w:footnoteReference w:id="643"/>
      </w:r>
      <w:r>
        <w:rPr>
          <w:rFonts w:ascii="IRNazanin" w:hAnsi="IRNazanin" w:eastAsia="IRNazanin"/>
          <w:color w:val="111111"/>
          <w:sz w:val="28"/>
          <w:sz w:val="28"/>
          <w:szCs w:val="28"/>
          <w:rtl w:val="true"/>
          <w:lang w:bidi="fa-IR"/>
        </w:rPr>
        <w:t> وإن أتی به فی أوّل اللیل، لکنّ الأولی</w:t>
      </w:r>
      <w:r>
        <w:rPr>
          <w:rStyle w:val="FootnoteAnchor"/>
          <w:rtl w:val="true"/>
        </w:rPr>
        <w:footnoteReference w:id="644"/>
      </w:r>
      <w:r>
        <w:rPr>
          <w:rFonts w:ascii="IRNazanin" w:hAnsi="IRNazanin" w:eastAsia="IRNazanin"/>
          <w:color w:val="111111"/>
          <w:sz w:val="28"/>
          <w:sz w:val="28"/>
          <w:szCs w:val="28"/>
          <w:rtl w:val="true"/>
          <w:lang w:bidi="fa-IR"/>
        </w:rPr>
        <w:t xml:space="preserve"> مع الإتیان به قبل آخر الوقت أن لا یقصد </w:t>
      </w:r>
      <w:bookmarkStart w:id="242" w:name="pg13281_119801"/>
    </w:p>
    <w:p>
      <w:pPr>
        <w:pStyle w:val="BookText"/>
        <w:rPr/>
      </w:pPr>
      <w:bookmarkEnd w:id="242"/>
      <w:r>
        <w:rPr>
          <w:rFonts w:ascii="IRNazanin" w:hAnsi="IRNazanin" w:eastAsia="IRNazanin"/>
          <w:color w:val="111111"/>
          <w:sz w:val="28"/>
          <w:sz w:val="28"/>
          <w:szCs w:val="28"/>
          <w:rtl w:val="true"/>
          <w:lang w:bidi="fa-IR"/>
        </w:rPr>
        <w:t>الوجوب</w:t>
      </w:r>
      <w:r>
        <w:rPr>
          <w:rStyle w:val="FootnoteAnchor"/>
          <w:rtl w:val="true"/>
        </w:rPr>
        <w:footnoteReference w:id="645"/>
      </w:r>
      <w:r>
        <w:rPr>
          <w:rFonts w:ascii="IRNazanin" w:hAnsi="IRNazanin" w:eastAsia="IRNazanin"/>
          <w:color w:val="111111"/>
          <w:sz w:val="28"/>
          <w:sz w:val="28"/>
          <w:szCs w:val="28"/>
          <w:rtl w:val="true"/>
          <w:lang w:bidi="fa-IR"/>
        </w:rPr>
        <w:t>، بل یأتی به بقصد القربة</w:t>
      </w:r>
      <w:r>
        <w:rPr>
          <w:rFonts w:eastAsia="IRNazanin" w:cs="IRNazanin"/>
          <w:color w:val="111111"/>
          <w:sz w:val="28"/>
          <w:szCs w:val="28"/>
          <w:rtl w:val="true"/>
          <w:lang w:bidi="fa-IR"/>
        </w:rPr>
        <w:t>.</w:t>
      </w:r>
    </w:p>
    <w:p>
      <w:pPr>
        <w:pStyle w:val="Heading3"/>
        <w:numPr>
          <w:ilvl w:val="2"/>
          <w:numId w:val="1"/>
        </w:numPr>
        <w:rPr/>
      </w:pPr>
      <w:bookmarkStart w:id="243" w:name="__RefHeading___Toc1954988_2322387425"/>
      <w:bookmarkStart w:id="244" w:name="_Toc87"/>
      <w:bookmarkEnd w:id="243"/>
      <w:r>
        <w:rPr>
          <w:rtl w:val="true"/>
        </w:rPr>
        <w:t>إجزاء الصوم من فاقد الطهورین مع الحدث</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فاقد الطهورین یسقط عنه</w:t>
      </w:r>
      <w:r>
        <w:rPr>
          <w:rStyle w:val="FootnoteAnchor"/>
          <w:rtl w:val="true"/>
        </w:rPr>
        <w:footnoteReference w:id="646"/>
      </w:r>
      <w:r>
        <w:rPr>
          <w:rFonts w:ascii="IRNazanin" w:hAnsi="IRNazanin" w:eastAsia="IRNazanin"/>
          <w:color w:val="111111"/>
          <w:sz w:val="28"/>
          <w:sz w:val="28"/>
          <w:szCs w:val="28"/>
          <w:rtl w:val="true"/>
          <w:lang w:bidi="fa-IR"/>
        </w:rPr>
        <w:t>اشتراط رفع الحدث للصوم</w:t>
      </w:r>
      <w:r>
        <w:rPr>
          <w:rStyle w:val="FootnoteAnchor"/>
          <w:rtl w:val="true"/>
        </w:rPr>
        <w:footnoteReference w:id="647"/>
      </w:r>
      <w:r>
        <w:rPr>
          <w:rFonts w:ascii="Amiri" w:hAnsi="Amiri" w:eastAsia="Amiri" w:cs="Amiri"/>
          <w:color w:val="111111"/>
          <w:sz w:val="28"/>
          <w:sz w:val="28"/>
          <w:szCs w:val="28"/>
          <w:rtl w:val="true"/>
          <w:lang w:bidi="ar-SA"/>
        </w:rPr>
        <w:t>، فیصحّ</w:t>
      </w:r>
      <w:r>
        <w:rPr>
          <w:rStyle w:val="FootnoteAnchor"/>
          <w:rtl w:val="true"/>
        </w:rPr>
        <w:footnoteReference w:id="648"/>
      </w:r>
      <w:r>
        <w:rPr>
          <w:rFonts w:ascii="IRNazanin" w:hAnsi="IRNazanin" w:eastAsia="IRNazanin"/>
          <w:color w:val="111111"/>
          <w:sz w:val="28"/>
          <w:sz w:val="28"/>
          <w:szCs w:val="28"/>
          <w:rtl w:val="true"/>
          <w:lang w:bidi="fa-IR"/>
        </w:rPr>
        <w:t> صومه</w:t>
      </w:r>
      <w:r>
        <w:rPr>
          <w:rStyle w:val="FootnoteAnchor"/>
          <w:rtl w:val="true"/>
        </w:rPr>
        <w:footnoteReference w:id="64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5" w:name="pg13281_119802"/>
    </w:p>
    <w:p>
      <w:pPr>
        <w:pStyle w:val="BookText"/>
        <w:rPr/>
      </w:pPr>
      <w:bookmarkEnd w:id="245"/>
      <w:r>
        <w:rPr>
          <w:rFonts w:ascii="IRNazanin" w:hAnsi="IRNazanin" w:eastAsia="IRNazanin"/>
          <w:color w:val="111111"/>
          <w:sz w:val="28"/>
          <w:sz w:val="28"/>
          <w:szCs w:val="28"/>
          <w:rtl w:val="true"/>
          <w:lang w:bidi="fa-IR"/>
        </w:rPr>
        <w:t>مع</w:t>
      </w:r>
      <w:r>
        <w:rPr>
          <w:rStyle w:val="FootnoteAnchor"/>
          <w:rtl w:val="true"/>
        </w:rPr>
        <w:footnoteReference w:id="650"/>
      </w:r>
      <w:r>
        <w:rPr>
          <w:rFonts w:ascii="Amiri" w:hAnsi="Amiri" w:eastAsia="Amiri" w:cs="Amiri"/>
          <w:color w:val="111111"/>
          <w:sz w:val="28"/>
          <w:sz w:val="28"/>
          <w:szCs w:val="28"/>
          <w:rtl w:val="true"/>
          <w:lang w:bidi="ar-SA"/>
        </w:rPr>
        <w:t> الجنابة</w:t>
      </w:r>
      <w:r>
        <w:rPr>
          <w:rStyle w:val="FootnoteAnchor"/>
          <w:rtl w:val="true"/>
        </w:rPr>
        <w:footnoteReference w:id="651"/>
      </w:r>
      <w:r>
        <w:rPr>
          <w:rFonts w:ascii="IRNazanin" w:hAnsi="IRNazanin" w:eastAsia="IRNazanin"/>
          <w:color w:val="111111"/>
          <w:sz w:val="28"/>
          <w:sz w:val="28"/>
          <w:szCs w:val="28"/>
          <w:rtl w:val="true"/>
          <w:lang w:bidi="fa-IR"/>
        </w:rPr>
        <w:t>، أو</w:t>
      </w:r>
      <w:r>
        <w:rPr>
          <w:rStyle w:val="FootnoteAnchor"/>
          <w:rtl w:val="true"/>
        </w:rPr>
        <w:footnoteReference w:id="652"/>
      </w:r>
      <w:r>
        <w:rPr>
          <w:rFonts w:ascii="IRNazanin" w:hAnsi="IRNazanin" w:eastAsia="IRNazanin"/>
          <w:color w:val="111111"/>
          <w:sz w:val="28"/>
          <w:sz w:val="28"/>
          <w:szCs w:val="28"/>
          <w:rtl w:val="true"/>
          <w:lang w:bidi="fa-IR"/>
        </w:rPr>
        <w:t> مع حدث الحیض أو النفاس</w:t>
      </w:r>
      <w:r>
        <w:rPr>
          <w:rFonts w:eastAsia="IRNazanin" w:cs="IRNazanin"/>
          <w:color w:val="111111"/>
          <w:sz w:val="28"/>
          <w:szCs w:val="28"/>
          <w:rtl w:val="true"/>
          <w:lang w:bidi="fa-IR"/>
        </w:rPr>
        <w:t>.</w:t>
      </w:r>
    </w:p>
    <w:p>
      <w:pPr>
        <w:pStyle w:val="Heading3"/>
        <w:numPr>
          <w:ilvl w:val="2"/>
          <w:numId w:val="1"/>
        </w:numPr>
        <w:rPr/>
      </w:pPr>
      <w:bookmarkStart w:id="246" w:name="__RefHeading___Toc1954990_2322387425"/>
      <w:bookmarkStart w:id="247" w:name="_Toc88"/>
      <w:bookmarkEnd w:id="246"/>
      <w:r>
        <w:rPr>
          <w:rtl w:val="true"/>
        </w:rPr>
        <w:t>عدم مانعیّة حدث مسّ المیّت من الصوم حدوثاً وبقاء</w:t>
      </w:r>
      <w:bookmarkEnd w:id="24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یشترط فی صحّة الصوم الغسل لمسّ المیّت، کما لا </w:t>
      </w:r>
      <w:bookmarkStart w:id="248" w:name="pg13281_119803"/>
    </w:p>
    <w:p>
      <w:pPr>
        <w:pStyle w:val="BookText"/>
        <w:rPr/>
      </w:pPr>
      <w:bookmarkEnd w:id="248"/>
      <w:r>
        <w:rPr>
          <w:rFonts w:ascii="IRNazanin" w:hAnsi="IRNazanin" w:eastAsia="IRNazanin"/>
          <w:color w:val="111111"/>
          <w:sz w:val="28"/>
          <w:sz w:val="28"/>
          <w:szCs w:val="28"/>
          <w:rtl w:val="true"/>
          <w:lang w:bidi="fa-IR"/>
        </w:rPr>
        <w:t>یضرّ مسّه فی أثناء النهار</w:t>
      </w:r>
      <w:r>
        <w:rPr>
          <w:rFonts w:eastAsia="IRNazanin" w:cs="IRNazanin"/>
          <w:color w:val="111111"/>
          <w:sz w:val="28"/>
          <w:szCs w:val="28"/>
          <w:rtl w:val="true"/>
          <w:lang w:bidi="fa-IR"/>
        </w:rPr>
        <w:t>.</w:t>
      </w:r>
    </w:p>
    <w:p>
      <w:pPr>
        <w:pStyle w:val="Heading3"/>
        <w:numPr>
          <w:ilvl w:val="2"/>
          <w:numId w:val="1"/>
        </w:numPr>
        <w:rPr/>
      </w:pPr>
      <w:bookmarkStart w:id="249" w:name="__RefHeading___Toc1954992_2322387425"/>
      <w:bookmarkStart w:id="250" w:name="_Toc89"/>
      <w:bookmarkEnd w:id="249"/>
      <w:r>
        <w:rPr>
          <w:rtl w:val="true"/>
        </w:rPr>
        <w:t>إجناب الصائم نفسه مع ضیق الوقت وظنّ السعة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653"/>
      </w:r>
      <w:r>
        <w:rPr>
          <w:rFonts w:ascii="IRNazanin" w:hAnsi="IRNazanin" w:eastAsia="IRNazanin"/>
          <w:color w:val="111111"/>
          <w:sz w:val="28"/>
          <w:sz w:val="28"/>
          <w:szCs w:val="28"/>
          <w:rtl w:val="true"/>
          <w:lang w:bidi="fa-IR"/>
        </w:rPr>
        <w:t> إجناب نفسه</w:t>
      </w:r>
      <w:r>
        <w:rPr>
          <w:rStyle w:val="FootnoteAnchor"/>
          <w:rtl w:val="true"/>
        </w:rPr>
        <w:footnoteReference w:id="654"/>
      </w:r>
      <w:r>
        <w:rPr>
          <w:rFonts w:ascii="IRNazanin" w:hAnsi="IRNazanin" w:eastAsia="IRNazanin"/>
          <w:color w:val="111111"/>
          <w:sz w:val="28"/>
          <w:sz w:val="28"/>
          <w:szCs w:val="28"/>
          <w:rtl w:val="true"/>
          <w:lang w:bidi="fa-IR"/>
        </w:rPr>
        <w:t> فی شهر رمضان إذا ضاق الوقت عن الاغتسال أو التیمّم، بل إذا لم یسع</w:t>
      </w:r>
      <w:r>
        <w:rPr>
          <w:rStyle w:val="FootnoteAnchor"/>
          <w:rtl w:val="true"/>
        </w:rPr>
        <w:footnoteReference w:id="655"/>
      </w:r>
      <w:r>
        <w:rPr>
          <w:rFonts w:ascii="IRNazanin" w:hAnsi="IRNazanin" w:eastAsia="IRNazanin"/>
          <w:color w:val="111111"/>
          <w:sz w:val="28"/>
          <w:sz w:val="28"/>
          <w:szCs w:val="28"/>
          <w:rtl w:val="true"/>
          <w:lang w:bidi="fa-IR"/>
        </w:rPr>
        <w:t> للاغتسال</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ولکن</w:t>
      </w:r>
      <w:r>
        <w:rPr>
          <w:rStyle w:val="FootnoteAnchor"/>
          <w:rtl w:val="true"/>
        </w:rPr>
        <w:footnoteReference w:id="657"/>
      </w:r>
      <w:r>
        <w:rPr>
          <w:rFonts w:ascii="IRNazanin" w:hAnsi="IRNazanin" w:eastAsia="IRNazanin"/>
          <w:color w:val="111111"/>
          <w:sz w:val="28"/>
          <w:sz w:val="28"/>
          <w:szCs w:val="28"/>
          <w:rtl w:val="true"/>
          <w:lang w:bidi="fa-IR"/>
        </w:rPr>
        <w:t> وسع</w:t>
      </w:r>
      <w:r>
        <w:rPr>
          <w:rStyle w:val="FootnoteAnchor"/>
          <w:rtl w:val="true"/>
        </w:rPr>
        <w:footnoteReference w:id="658"/>
      </w:r>
      <w:r>
        <w:rPr>
          <w:rFonts w:ascii="Amiri" w:hAnsi="Amiri" w:eastAsia="Amiri" w:cs="Amiri"/>
          <w:color w:val="111111"/>
          <w:sz w:val="28"/>
          <w:sz w:val="28"/>
          <w:szCs w:val="28"/>
          <w:rtl w:val="true"/>
          <w:lang w:bidi="ar-SA"/>
        </w:rPr>
        <w:t> للتیمّم</w:t>
      </w:r>
      <w:r>
        <w:rPr>
          <w:rStyle w:val="FootnoteAnchor"/>
          <w:rtl w:val="true"/>
        </w:rPr>
        <w:footnoteReference w:id="659"/>
      </w:r>
      <w:r>
        <w:rPr>
          <w:rFonts w:ascii="IRNazanin" w:hAnsi="IRNazanin" w:eastAsia="IRNazanin"/>
          <w:color w:val="111111"/>
          <w:sz w:val="28"/>
          <w:sz w:val="28"/>
          <w:szCs w:val="28"/>
          <w:rtl w:val="true"/>
          <w:lang w:bidi="fa-IR"/>
        </w:rPr>
        <w:t>، ولو ظنّ سعة الوقت فتبیّن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ضیقه</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الفحص صحّ</w:t>
      </w:r>
      <w:r>
        <w:rPr>
          <w:rStyle w:val="FootnoteAnchor"/>
          <w:rtl w:val="true"/>
        </w:rPr>
        <w:footnoteReference w:id="661"/>
      </w:r>
      <w:r>
        <w:rPr>
          <w:rFonts w:ascii="IRNazanin" w:hAnsi="IRNazanin" w:eastAsia="IRNazanin"/>
          <w:color w:val="111111"/>
          <w:sz w:val="28"/>
          <w:sz w:val="28"/>
          <w:szCs w:val="28"/>
          <w:rtl w:val="true"/>
          <w:lang w:bidi="fa-IR"/>
        </w:rPr>
        <w:t> صومه، وإن کان مع ترک الفحص فعلیه القضاء</w:t>
      </w:r>
      <w:r>
        <w:rPr>
          <w:rStyle w:val="FootnoteAnchor"/>
          <w:rtl w:val="true"/>
        </w:rPr>
        <w:footnoteReference w:id="662"/>
      </w:r>
      <w:r>
        <w:rPr>
          <w:rFonts w:ascii="IRNazanin" w:hAnsi="IRNazanin" w:eastAsia="IRNazanin"/>
          <w:color w:val="111111"/>
          <w:sz w:val="28"/>
          <w:sz w:val="28"/>
          <w:szCs w:val="28"/>
          <w:rtl w:val="true"/>
          <w:lang w:bidi="fa-IR"/>
        </w:rPr>
        <w:t> علی الأحوط</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51" w:name="pg13281_119805"/>
    </w:p>
    <w:p>
      <w:pPr>
        <w:pStyle w:val="Heading3"/>
        <w:numPr>
          <w:ilvl w:val="2"/>
          <w:numId w:val="1"/>
        </w:numPr>
        <w:rPr/>
      </w:pPr>
      <w:bookmarkStart w:id="252" w:name="__RefHeading___Toc1954994_2322387425"/>
      <w:bookmarkStart w:id="253" w:name="_Toc90"/>
      <w:bookmarkEnd w:id="251"/>
      <w:bookmarkEnd w:id="252"/>
      <w:r>
        <w:rPr>
          <w:rtl w:val="true"/>
        </w:rPr>
        <w:t xml:space="preserve">التاسع </w:t>
      </w:r>
      <w:r>
        <w:rPr>
          <w:rtl w:val="true"/>
        </w:rPr>
        <w:t xml:space="preserve">: </w:t>
      </w:r>
      <w:r>
        <w:rPr>
          <w:rtl w:val="true"/>
        </w:rPr>
        <w:t>من المفطرات الاحتقان بالمایع ولو مع الاضطرار</w:t>
      </w:r>
      <w:bookmarkEnd w:id="253"/>
    </w:p>
    <w:p>
      <w:pPr>
        <w:pStyle w:val="BookText"/>
        <w:rPr/>
      </w:pPr>
      <w:r>
        <w:rPr>
          <w:rFonts w:ascii="Amiri" w:hAnsi="Amiri" w:eastAsia="Amiri" w:cs="Amiri"/>
          <w:color w:val="111111"/>
          <w:sz w:val="28"/>
          <w:sz w:val="28"/>
          <w:szCs w:val="28"/>
          <w:rtl w:val="true"/>
          <w:lang w:bidi="ar-SA"/>
        </w:rPr>
        <w:t xml:space="preserve">التاسع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بالمائع</w:t>
      </w:r>
      <w:r>
        <w:rPr>
          <w:rStyle w:val="FootnoteAnchor"/>
          <w:rtl w:val="true"/>
        </w:rPr>
        <w:footnoteReference w:id="664"/>
      </w:r>
      <w:r>
        <w:rPr>
          <w:rFonts w:ascii="IRNazanin" w:hAnsi="IRNazanin" w:eastAsia="IRNazanin"/>
          <w:color w:val="111111"/>
          <w:sz w:val="28"/>
          <w:sz w:val="28"/>
          <w:szCs w:val="28"/>
          <w:rtl w:val="true"/>
          <w:lang w:bidi="fa-IR"/>
        </w:rPr>
        <w:t> ولو مع الاضطرار إلیها لرفع</w:t>
      </w:r>
    </w:p>
    <w:p>
      <w:pPr>
        <w:pStyle w:val="BookText"/>
        <w:rPr/>
      </w:pPr>
      <w:r>
        <w:rPr>
          <w:rFonts w:ascii="IRNazanin" w:hAnsi="IRNazanin" w:eastAsia="IRNazanin"/>
          <w:color w:val="111111"/>
          <w:sz w:val="28"/>
          <w:sz w:val="28"/>
          <w:szCs w:val="28"/>
          <w:rtl w:val="true"/>
          <w:lang w:bidi="fa-IR"/>
        </w:rPr>
        <w:t>المرض، ولا بأس بالجامد</w:t>
      </w:r>
      <w:r>
        <w:rPr>
          <w:rStyle w:val="FootnoteAnchor"/>
          <w:rtl w:val="true"/>
        </w:rPr>
        <w:footnoteReference w:id="665"/>
      </w:r>
      <w:r>
        <w:rPr>
          <w:rFonts w:ascii="IRNazanin" w:hAnsi="IRNazanin" w:eastAsia="IRNazanin"/>
          <w:color w:val="111111"/>
          <w:sz w:val="28"/>
          <w:sz w:val="28"/>
          <w:szCs w:val="28"/>
          <w:rtl w:val="true"/>
          <w:lang w:bidi="fa-IR"/>
        </w:rPr>
        <w:t>، وإن کان الأحوط اجتنابه أیضاً</w:t>
      </w:r>
      <w:r>
        <w:rPr>
          <w:rFonts w:eastAsia="IRNazanin" w:cs="IRNazanin"/>
          <w:color w:val="111111"/>
          <w:sz w:val="28"/>
          <w:szCs w:val="28"/>
          <w:rtl w:val="true"/>
          <w:lang w:bidi="fa-IR"/>
        </w:rPr>
        <w:t>.</w:t>
      </w:r>
    </w:p>
    <w:p>
      <w:pPr>
        <w:pStyle w:val="Heading3"/>
        <w:numPr>
          <w:ilvl w:val="2"/>
          <w:numId w:val="1"/>
        </w:numPr>
        <w:rPr/>
      </w:pPr>
      <w:bookmarkStart w:id="254" w:name="__RefHeading___Toc1954996_2322387425"/>
      <w:bookmarkStart w:id="255" w:name="_Toc91"/>
      <w:bookmarkEnd w:id="254"/>
      <w:r>
        <w:rPr>
          <w:rtl w:val="true"/>
        </w:rPr>
        <w:t>الحقنة بالجامد والمائع غیر البالغ للجوف وما یشک فی کونه منها</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احتقن بالمائع لکن لم یصعد إلی الجوف بل کان بمجرّد الدخول فی الدبر فلا یبعد</w:t>
      </w:r>
      <w:r>
        <w:rPr>
          <w:rStyle w:val="FootnoteAnchor"/>
          <w:rtl w:val="true"/>
        </w:rPr>
        <w:footnoteReference w:id="666"/>
      </w:r>
      <w:r>
        <w:rPr>
          <w:rFonts w:ascii="IRNazanin" w:hAnsi="IRNazanin" w:eastAsia="IRNazanin"/>
          <w:color w:val="111111"/>
          <w:sz w:val="28"/>
          <w:sz w:val="28"/>
          <w:szCs w:val="28"/>
          <w:rtl w:val="true"/>
          <w:lang w:bidi="fa-IR"/>
        </w:rPr>
        <w:t> عدم</w:t>
      </w:r>
      <w:r>
        <w:rPr>
          <w:rStyle w:val="FootnoteAnchor"/>
          <w:rtl w:val="true"/>
        </w:rPr>
        <w:footnoteReference w:id="667"/>
      </w:r>
      <w:r>
        <w:rPr>
          <w:rFonts w:ascii="Amiri" w:hAnsi="Amiri" w:eastAsia="Amiri" w:cs="Amiri"/>
          <w:color w:val="111111"/>
          <w:sz w:val="28"/>
          <w:sz w:val="28"/>
          <w:szCs w:val="28"/>
          <w:rtl w:val="true"/>
          <w:lang w:bidi="ar-SA"/>
        </w:rPr>
        <w:t> کونه مفطِراً</w:t>
      </w:r>
      <w:r>
        <w:rPr>
          <w:rStyle w:val="FootnoteAnchor"/>
          <w:rtl w:val="true"/>
        </w:rPr>
        <w:footnoteReference w:id="668"/>
      </w: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669"/>
      </w:r>
      <w:r>
        <w:rPr>
          <w:rFonts w:ascii="IRNazanin" w:hAnsi="IRNazanin" w:eastAsia="IRNazanin"/>
          <w:color w:val="111111"/>
          <w:sz w:val="28"/>
          <w:sz w:val="28"/>
          <w:szCs w:val="28"/>
          <w:rtl w:val="true"/>
          <w:lang w:bidi="fa-IR"/>
        </w:rPr>
        <w:t> ترکه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الاحتقان</w:t>
      </w:r>
      <w:r>
        <w:rPr>
          <w:rStyle w:val="FootnoteAnchor"/>
          <w:rtl w:val="true"/>
        </w:rPr>
        <w:footnoteReference w:id="671"/>
      </w:r>
      <w:r>
        <w:rPr>
          <w:rFonts w:ascii="IRNazanin" w:hAnsi="IRNazanin" w:eastAsia="IRNazanin"/>
          <w:color w:val="111111"/>
          <w:sz w:val="28"/>
          <w:sz w:val="28"/>
          <w:szCs w:val="28"/>
          <w:rtl w:val="true"/>
          <w:lang w:bidi="fa-IR"/>
        </w:rPr>
        <w:t xml:space="preserve"> بما یشکّ فی کونه جامداً أو </w:t>
      </w:r>
      <w:bookmarkStart w:id="256" w:name="pg13281_119806"/>
    </w:p>
    <w:p>
      <w:pPr>
        <w:pStyle w:val="BookText"/>
        <w:rPr/>
      </w:pPr>
      <w:bookmarkEnd w:id="256"/>
      <w:r>
        <w:rPr>
          <w:rFonts w:ascii="IRNazanin" w:hAnsi="IRNazanin" w:eastAsia="IRNazanin"/>
          <w:color w:val="111111"/>
          <w:sz w:val="28"/>
          <w:sz w:val="28"/>
          <w:szCs w:val="28"/>
          <w:rtl w:val="true"/>
          <w:lang w:bidi="fa-IR"/>
        </w:rPr>
        <w:t>مائعاً، وإن کان الأحوط</w:t>
      </w:r>
      <w:r>
        <w:rPr>
          <w:rStyle w:val="FootnoteAnchor"/>
          <w:rtl w:val="true"/>
        </w:rPr>
        <w:footnoteReference w:id="672"/>
      </w:r>
      <w:r>
        <w:rPr>
          <w:rFonts w:ascii="IRNazanin" w:hAnsi="IRNazanin" w:eastAsia="IRNazanin"/>
          <w:color w:val="111111"/>
          <w:sz w:val="28"/>
          <w:sz w:val="28"/>
          <w:szCs w:val="28"/>
          <w:rtl w:val="true"/>
          <w:lang w:bidi="fa-IR"/>
        </w:rPr>
        <w:t> ترکه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954998_2322387425"/>
      <w:bookmarkStart w:id="258" w:name="_Toc92"/>
      <w:bookmarkEnd w:id="257"/>
      <w:r>
        <w:rPr>
          <w:rtl w:val="true"/>
        </w:rPr>
        <w:t xml:space="preserve">العاشر </w:t>
      </w:r>
      <w:r>
        <w:rPr>
          <w:rtl w:val="true"/>
        </w:rPr>
        <w:t xml:space="preserve">: </w:t>
      </w:r>
      <w:r>
        <w:rPr>
          <w:rtl w:val="true"/>
        </w:rPr>
        <w:t>تعمّد القیء</w:t>
      </w:r>
      <w:bookmarkEnd w:id="258"/>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القَیء</w:t>
      </w:r>
      <w:r>
        <w:rPr>
          <w:rStyle w:val="FootnoteAnchor"/>
          <w:rtl w:val="true"/>
        </w:rPr>
        <w:footnoteReference w:id="674"/>
      </w:r>
      <w:r>
        <w:rPr>
          <w:rFonts w:ascii="IRNazanin" w:hAnsi="IRNazanin" w:eastAsia="IRNazanin"/>
          <w:color w:val="111111"/>
          <w:sz w:val="28"/>
          <w:sz w:val="28"/>
          <w:szCs w:val="28"/>
          <w:rtl w:val="true"/>
          <w:lang w:bidi="fa-IR"/>
        </w:rPr>
        <w:t> وإن کان للضرورة من رفع مرض أو نحوه، ولا</w:t>
      </w:r>
    </w:p>
    <w:p>
      <w:pPr>
        <w:pStyle w:val="BookText"/>
        <w:rPr/>
      </w:pPr>
      <w:r>
        <w:rPr>
          <w:rFonts w:ascii="IRNazanin" w:hAnsi="IRNazanin" w:eastAsia="IRNazanin"/>
          <w:color w:val="111111"/>
          <w:sz w:val="28"/>
          <w:sz w:val="28"/>
          <w:szCs w:val="28"/>
          <w:rtl w:val="true"/>
          <w:lang w:bidi="fa-IR"/>
        </w:rPr>
        <w:t>بأس بما کان سهواً أو من غیر اختیار، والمدار علی الصدق العرفیّ، فخروج مثل النواة أو الدود لا یعدّ منه</w:t>
      </w:r>
      <w:r>
        <w:rPr>
          <w:rFonts w:eastAsia="IRNazanin" w:cs="IRNazanin"/>
          <w:color w:val="111111"/>
          <w:sz w:val="28"/>
          <w:szCs w:val="28"/>
          <w:rtl w:val="true"/>
          <w:lang w:bidi="fa-IR"/>
        </w:rPr>
        <w:t>.</w:t>
      </w:r>
    </w:p>
    <w:p>
      <w:pPr>
        <w:pStyle w:val="Heading3"/>
        <w:numPr>
          <w:ilvl w:val="2"/>
          <w:numId w:val="1"/>
        </w:numPr>
        <w:rPr/>
      </w:pPr>
      <w:bookmarkStart w:id="259" w:name="__RefHeading___Toc1955000_2322387425"/>
      <w:bookmarkStart w:id="260" w:name="_Toc93"/>
      <w:bookmarkEnd w:id="259"/>
      <w:r>
        <w:rPr>
          <w:rtl w:val="true"/>
        </w:rPr>
        <w:t>ابتلاع ما یخرج بالتجشّؤ</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خرج بالتجشّو شیء ثمّ نزل من غیر اختیار لم یکن مبطلاً، ولو وصل إلی فضاء الفم فبلعه اختیاراً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صومه</w:t>
      </w:r>
      <w:r>
        <w:rPr>
          <w:rStyle w:val="FootnoteAnchor"/>
          <w:rtl w:val="true"/>
        </w:rPr>
        <w:footnoteReference w:id="675"/>
      </w:r>
      <w:r>
        <w:rPr>
          <w:rFonts w:ascii="IRNazanin" w:hAnsi="IRNazanin" w:eastAsia="IRNazanin"/>
          <w:color w:val="111111"/>
          <w:sz w:val="28"/>
          <w:sz w:val="28"/>
          <w:szCs w:val="28"/>
          <w:rtl w:val="true"/>
          <w:lang w:bidi="fa-IR"/>
        </w:rPr>
        <w:t> وعلیه القضاء والکفّارة</w:t>
      </w:r>
      <w:r>
        <w:rPr>
          <w:rStyle w:val="FootnoteAnchor"/>
          <w:rtl w:val="true"/>
        </w:rPr>
        <w:footnoteReference w:id="676"/>
      </w:r>
      <w:r>
        <w:rPr>
          <w:rFonts w:ascii="IRNazanin" w:hAnsi="IRNazanin" w:eastAsia="IRNazanin"/>
          <w:color w:val="111111"/>
          <w:sz w:val="28"/>
          <w:sz w:val="28"/>
          <w:szCs w:val="28"/>
          <w:rtl w:val="true"/>
          <w:lang w:bidi="fa-IR"/>
        </w:rPr>
        <w:t>، بل تجب</w:t>
      </w:r>
      <w:r>
        <w:rPr>
          <w:rStyle w:val="FootnoteAnchor"/>
          <w:rtl w:val="true"/>
        </w:rPr>
        <w:footnoteReference w:id="677"/>
      </w:r>
      <w:r>
        <w:rPr>
          <w:rFonts w:ascii="Amiri" w:hAnsi="Amiri" w:eastAsia="Amiri" w:cs="Amiri"/>
          <w:color w:val="111111"/>
          <w:sz w:val="28"/>
          <w:sz w:val="28"/>
          <w:szCs w:val="28"/>
          <w:rtl w:val="true"/>
          <w:lang w:bidi="ar-SA"/>
        </w:rPr>
        <w:t xml:space="preserve"> کفّارة </w:t>
      </w:r>
      <w:bookmarkStart w:id="261" w:name="pg13281_119807"/>
    </w:p>
    <w:p>
      <w:pPr>
        <w:pStyle w:val="BookText"/>
        <w:rPr/>
      </w:pPr>
      <w:bookmarkEnd w:id="261"/>
      <w:r>
        <w:rPr>
          <w:rFonts w:ascii="IRNazanin" w:hAnsi="IRNazanin" w:eastAsia="IRNazanin"/>
          <w:color w:val="111111"/>
          <w:sz w:val="28"/>
          <w:sz w:val="28"/>
          <w:szCs w:val="28"/>
          <w:rtl w:val="true"/>
          <w:lang w:bidi="fa-IR"/>
        </w:rPr>
        <w:t>الجمع</w:t>
      </w:r>
      <w:r>
        <w:rPr>
          <w:rStyle w:val="FootnoteAnchor"/>
          <w:rtl w:val="true"/>
        </w:rPr>
        <w:footnoteReference w:id="678"/>
      </w:r>
      <w:r>
        <w:rPr>
          <w:rFonts w:ascii="IRNazanin" w:hAnsi="IRNazanin" w:eastAsia="IRNazanin"/>
          <w:color w:val="111111"/>
          <w:sz w:val="28"/>
          <w:sz w:val="28"/>
          <w:szCs w:val="28"/>
          <w:rtl w:val="true"/>
          <w:lang w:bidi="fa-IR"/>
        </w:rPr>
        <w:t> إذا کان حراماً من جهة خباثته أو غیرها</w:t>
      </w:r>
      <w:r>
        <w:rPr>
          <w:rFonts w:eastAsia="IRNazanin" w:cs="IRNazanin"/>
          <w:color w:val="111111"/>
          <w:sz w:val="28"/>
          <w:szCs w:val="28"/>
          <w:rtl w:val="true"/>
          <w:lang w:bidi="fa-IR"/>
        </w:rPr>
        <w:t>.</w:t>
      </w:r>
    </w:p>
    <w:p>
      <w:pPr>
        <w:pStyle w:val="Heading3"/>
        <w:numPr>
          <w:ilvl w:val="2"/>
          <w:numId w:val="1"/>
        </w:numPr>
        <w:rPr/>
      </w:pPr>
      <w:bookmarkStart w:id="262" w:name="__RefHeading___Toc1955002_2322387425"/>
      <w:bookmarkStart w:id="263" w:name="_Toc94"/>
      <w:bookmarkEnd w:id="262"/>
      <w:r>
        <w:rPr>
          <w:rtl w:val="true"/>
        </w:rPr>
        <w:t>مفطریة القیء وما یطّرد فیه من الفروع</w:t>
      </w:r>
      <w:bookmarkEnd w:id="2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ابتلع فی اللیل ما یجب علیه</w:t>
      </w:r>
      <w:r>
        <w:rPr>
          <w:rStyle w:val="FootnoteAnchor"/>
          <w:rtl w:val="true"/>
        </w:rPr>
        <w:footnoteReference w:id="679"/>
      </w:r>
      <w:r>
        <w:rPr>
          <w:rFonts w:ascii="IRNazanin" w:hAnsi="IRNazanin" w:eastAsia="IRNazanin"/>
          <w:color w:val="111111"/>
          <w:sz w:val="28"/>
          <w:sz w:val="28"/>
          <w:szCs w:val="28"/>
          <w:rtl w:val="true"/>
          <w:lang w:bidi="fa-IR"/>
        </w:rPr>
        <w:t> قیوه</w:t>
      </w:r>
      <w:r>
        <w:rPr>
          <w:rStyle w:val="FootnoteAnchor"/>
          <w:rtl w:val="true"/>
        </w:rPr>
        <w:footnoteReference w:id="680"/>
      </w:r>
      <w:r>
        <w:rPr>
          <w:rFonts w:ascii="IRNazanin" w:hAnsi="IRNazanin" w:eastAsia="IRNazanin"/>
          <w:color w:val="111111"/>
          <w:sz w:val="28"/>
          <w:sz w:val="28"/>
          <w:szCs w:val="28"/>
          <w:rtl w:val="true"/>
          <w:lang w:bidi="fa-IR"/>
        </w:rPr>
        <w:t>فی النهار</w:t>
      </w:r>
      <w:r>
        <w:rPr>
          <w:rStyle w:val="FootnoteAnchor"/>
          <w:rtl w:val="true"/>
        </w:rPr>
        <w:footnoteReference w:id="681"/>
      </w:r>
      <w:r>
        <w:rPr>
          <w:rFonts w:ascii="IRNazanin" w:hAnsi="IRNazanin" w:eastAsia="IRNazanin"/>
          <w:color w:val="111111"/>
          <w:sz w:val="28"/>
          <w:sz w:val="28"/>
          <w:szCs w:val="28"/>
          <w:rtl w:val="true"/>
          <w:lang w:bidi="fa-IR"/>
        </w:rPr>
        <w:t> فسد صومه</w:t>
      </w:r>
      <w:r>
        <w:rPr>
          <w:rStyle w:val="FootnoteAnchor"/>
          <w:rtl w:val="true"/>
        </w:rPr>
        <w:footnoteReference w:id="682"/>
      </w:r>
      <w:r>
        <w:rPr>
          <w:rFonts w:ascii="IRNazanin" w:hAnsi="IRNazanin" w:eastAsia="IRNazanin"/>
          <w:color w:val="111111"/>
          <w:sz w:val="28"/>
          <w:sz w:val="28"/>
          <w:szCs w:val="28"/>
          <w:rtl w:val="true"/>
          <w:lang w:bidi="fa-IR"/>
        </w:rPr>
        <w:t xml:space="preserve"> إن کان الإخراج منحصراً فی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القیء</w:t>
      </w:r>
      <w:r>
        <w:rPr>
          <w:rStyle w:val="FootnoteAnchor"/>
          <w:rtl w:val="true"/>
        </w:rPr>
        <w:footnoteReference w:id="683"/>
      </w:r>
      <w:r>
        <w:rPr>
          <w:rFonts w:ascii="IRNazanin" w:hAnsi="IRNazanin" w:eastAsia="IRNazanin"/>
          <w:color w:val="111111"/>
          <w:sz w:val="28"/>
          <w:sz w:val="28"/>
          <w:szCs w:val="28"/>
          <w:rtl w:val="true"/>
          <w:lang w:bidi="fa-IR"/>
        </w:rPr>
        <w:t>، وإن لم یکن منحصراً فیه لم یبطل، إلّا إذا اختار القیء مع</w:t>
      </w:r>
    </w:p>
    <w:p>
      <w:pPr>
        <w:pStyle w:val="BookText"/>
        <w:rPr/>
      </w:pPr>
      <w:r>
        <w:rPr>
          <w:rFonts w:ascii="IRNazanin" w:hAnsi="IRNazanin" w:eastAsia="IRNazanin"/>
          <w:color w:val="111111"/>
          <w:sz w:val="28"/>
          <w:sz w:val="28"/>
          <w:szCs w:val="28"/>
          <w:rtl w:val="true"/>
          <w:lang w:bidi="fa-IR"/>
        </w:rPr>
        <w:t>إمکان</w:t>
      </w:r>
      <w:r>
        <w:rPr>
          <w:rStyle w:val="FootnoteAnchor"/>
          <w:rtl w:val="true"/>
        </w:rPr>
        <w:footnoteReference w:id="684"/>
      </w:r>
      <w:r>
        <w:rPr>
          <w:rFonts w:ascii="IRNazanin" w:hAnsi="IRNazanin" w:eastAsia="IRNazanin"/>
          <w:color w:val="111111"/>
          <w:sz w:val="28"/>
          <w:sz w:val="28"/>
          <w:szCs w:val="28"/>
          <w:rtl w:val="true"/>
          <w:lang w:bidi="fa-IR"/>
        </w:rPr>
        <w:t> الإخراج</w:t>
      </w:r>
      <w:r>
        <w:rPr>
          <w:rStyle w:val="FootnoteAnchor"/>
          <w:rtl w:val="true"/>
        </w:rPr>
        <w:footnoteReference w:id="685"/>
      </w:r>
      <w:r>
        <w:rPr>
          <w:rFonts w:ascii="IRNazanin" w:hAnsi="IRNazanin" w:eastAsia="IRNazanin"/>
          <w:color w:val="111111"/>
          <w:sz w:val="28"/>
          <w:sz w:val="28"/>
          <w:szCs w:val="28"/>
          <w:rtl w:val="true"/>
          <w:lang w:bidi="fa-IR"/>
        </w:rPr>
        <w:t> بغیره، ویشترط أن یکون ممّا یصدق القیء علی إخراجه، وأمّا لو کان مثل دُرّة أو بندقة أو درهم أو نحوها ممّا لا یصدق معه القیء لم یکن مبطلاً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أکل فی اللیل ما یعلم أنّه یوجب القیء فی النهار من غیر اختیار فالأحوط</w:t>
      </w:r>
      <w:r>
        <w:rPr>
          <w:rStyle w:val="FootnoteAnchor"/>
          <w:rtl w:val="true"/>
        </w:rPr>
        <w:footnoteReference w:id="686"/>
      </w:r>
      <w:r>
        <w:rPr>
          <w:rFonts w:ascii="IRNazanin" w:hAnsi="IRNazanin" w:eastAsia="IRNazanin"/>
          <w:color w:val="111111"/>
          <w:sz w:val="28"/>
          <w:sz w:val="28"/>
          <w:szCs w:val="28"/>
          <w:rtl w:val="true"/>
          <w:lang w:bidi="fa-IR"/>
        </w:rPr>
        <w:t> القضاء</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أثر القیء وأمکنه الحبس والمنع وجب</w:t>
      </w:r>
      <w:r>
        <w:rPr>
          <w:rStyle w:val="FootnoteAnchor"/>
          <w:rtl w:val="true"/>
        </w:rPr>
        <w:footnoteReference w:id="688"/>
      </w:r>
      <w:r>
        <w:rPr>
          <w:rFonts w:ascii="IRNazanin" w:hAnsi="IRNazanin" w:eastAsia="IRNazanin"/>
          <w:color w:val="111111"/>
          <w:sz w:val="28"/>
          <w:sz w:val="28"/>
          <w:szCs w:val="28"/>
          <w:rtl w:val="true"/>
          <w:lang w:bidi="fa-IR"/>
        </w:rPr>
        <w:t xml:space="preserve"> إذا لم </w:t>
      </w:r>
    </w:p>
    <w:p>
      <w:pPr>
        <w:pStyle w:val="BookText"/>
        <w:rPr/>
      </w:pPr>
      <w:r>
        <w:rPr>
          <w:rFonts w:ascii="IRNazanin" w:hAnsi="IRNazanin" w:eastAsia="IRNazanin"/>
          <w:color w:val="111111"/>
          <w:sz w:val="28"/>
          <w:sz w:val="28"/>
          <w:szCs w:val="28"/>
          <w:rtl w:val="true"/>
          <w:lang w:bidi="fa-IR"/>
        </w:rPr>
        <w:t>یکن</w:t>
      </w:r>
      <w:r>
        <w:rPr>
          <w:rStyle w:val="FootnoteAnchor"/>
          <w:rtl w:val="true"/>
        </w:rPr>
        <w:footnoteReference w:id="689"/>
      </w:r>
      <w:r>
        <w:rPr>
          <w:rFonts w:ascii="IRNazanin" w:hAnsi="IRNazanin" w:eastAsia="IRNazanin"/>
          <w:color w:val="111111"/>
          <w:sz w:val="28"/>
          <w:sz w:val="28"/>
          <w:szCs w:val="28"/>
          <w:rtl w:val="true"/>
          <w:lang w:bidi="fa-IR"/>
        </w:rPr>
        <w:t> حرج</w:t>
      </w:r>
      <w:r>
        <w:rPr>
          <w:rStyle w:val="FootnoteAnchor"/>
          <w:rtl w:val="true"/>
        </w:rPr>
        <w:footnoteReference w:id="690"/>
      </w:r>
      <w:r>
        <w:rPr>
          <w:rFonts w:ascii="IRNazanin" w:hAnsi="IRNazanin" w:eastAsia="IRNazanin"/>
          <w:color w:val="111111"/>
          <w:sz w:val="28"/>
          <w:sz w:val="28"/>
          <w:szCs w:val="28"/>
          <w:rtl w:val="true"/>
          <w:lang w:bidi="fa-IR"/>
        </w:rPr>
        <w:t> وضرر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الذُباب فی حلقه</w:t>
      </w:r>
      <w:r>
        <w:rPr>
          <w:rStyle w:val="FootnoteAnchor"/>
          <w:rtl w:val="true"/>
        </w:rPr>
        <w:footnoteReference w:id="692"/>
      </w:r>
      <w:r>
        <w:rPr>
          <w:rFonts w:ascii="IRNazanin" w:hAnsi="IRNazanin" w:eastAsia="IRNazanin"/>
          <w:color w:val="111111"/>
          <w:sz w:val="28"/>
          <w:sz w:val="28"/>
          <w:szCs w:val="28"/>
          <w:rtl w:val="true"/>
          <w:lang w:bidi="fa-IR"/>
        </w:rPr>
        <w:t> وجب</w:t>
      </w:r>
      <w:r>
        <w:rPr>
          <w:rStyle w:val="FootnoteAnchor"/>
          <w:rtl w:val="true"/>
        </w:rPr>
        <w:footnoteReference w:id="693"/>
      </w:r>
      <w:r>
        <w:rPr>
          <w:rFonts w:ascii="IRNazanin" w:hAnsi="IRNazanin" w:eastAsia="IRNazanin"/>
          <w:color w:val="111111"/>
          <w:sz w:val="28"/>
          <w:sz w:val="28"/>
          <w:szCs w:val="28"/>
          <w:rtl w:val="true"/>
          <w:lang w:bidi="fa-IR"/>
        </w:rPr>
        <w:t> إخراجه</w:t>
      </w:r>
      <w:r>
        <w:rPr>
          <w:rStyle w:val="FootnoteAnchor"/>
          <w:rtl w:val="true"/>
        </w:rPr>
        <w:footnoteReference w:id="69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Style w:val="FootnoteAnchor"/>
          <w:rtl w:val="true"/>
        </w:rPr>
        <w:footnoteReference w:id="695"/>
      </w:r>
      <w:r>
        <w:rPr>
          <w:rFonts w:ascii="IRNazanin" w:hAnsi="IRNazanin" w:eastAsia="IRNazanin"/>
          <w:color w:val="111111"/>
          <w:sz w:val="28"/>
          <w:sz w:val="28"/>
          <w:szCs w:val="28"/>
          <w:rtl w:val="true"/>
          <w:lang w:bidi="fa-IR"/>
        </w:rPr>
        <w:t> إمکانه</w:t>
      </w:r>
      <w:r>
        <w:rPr>
          <w:rStyle w:val="FootnoteAnchor"/>
          <w:rtl w:val="true"/>
        </w:rPr>
        <w:footnoteReference w:id="696"/>
      </w:r>
      <w:r>
        <w:rPr>
          <w:rFonts w:ascii="IRNazanin" w:hAnsi="IRNazanin" w:eastAsia="IRNazanin"/>
          <w:color w:val="111111"/>
          <w:sz w:val="28"/>
          <w:sz w:val="28"/>
          <w:szCs w:val="28"/>
          <w:rtl w:val="true"/>
          <w:lang w:bidi="fa-IR"/>
        </w:rPr>
        <w:t>، ولا یکون من القیء</w:t>
      </w:r>
      <w:r>
        <w:rPr>
          <w:rStyle w:val="FootnoteAnchor"/>
          <w:rtl w:val="true"/>
        </w:rPr>
        <w:footnoteReference w:id="697"/>
      </w:r>
      <w:r>
        <w:rPr>
          <w:rFonts w:ascii="IRNazanin" w:hAnsi="IRNazanin" w:eastAsia="IRNazanin"/>
          <w:color w:val="111111"/>
          <w:sz w:val="28"/>
          <w:sz w:val="28"/>
          <w:szCs w:val="28"/>
          <w:rtl w:val="true"/>
          <w:lang w:bidi="fa-IR"/>
        </w:rPr>
        <w:t>، ولو توقّف إخراجه علی القیء</w:t>
      </w:r>
      <w:r>
        <w:rPr>
          <w:rStyle w:val="FootnoteAnchor"/>
          <w:rtl w:val="true"/>
        </w:rPr>
        <w:footnoteReference w:id="698"/>
      </w:r>
      <w:r>
        <w:rPr>
          <w:rFonts w:ascii="IRNazanin" w:hAnsi="IRNazanin" w:eastAsia="IRNazanin"/>
          <w:color w:val="111111"/>
          <w:sz w:val="28"/>
          <w:sz w:val="28"/>
          <w:szCs w:val="28"/>
          <w:rtl w:val="true"/>
          <w:lang w:bidi="fa-IR"/>
        </w:rPr>
        <w:t>سقط وجوبه</w:t>
      </w:r>
      <w:r>
        <w:rPr>
          <w:rStyle w:val="FootnoteAnchor"/>
          <w:rtl w:val="true"/>
        </w:rPr>
        <w:footnoteReference w:id="699"/>
      </w:r>
      <w:r>
        <w:rPr>
          <w:rFonts w:ascii="Amiri" w:hAnsi="Amiri" w:eastAsia="Amiri" w:cs="Amiri"/>
          <w:color w:val="111111"/>
          <w:sz w:val="28"/>
          <w:sz w:val="28"/>
          <w:szCs w:val="28"/>
          <w:rtl w:val="true"/>
          <w:lang w:bidi="ar-SA"/>
        </w:rPr>
        <w:t> وصحّ صومه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للصائم التجشّو اختیاراً وإن احتمل</w:t>
      </w:r>
      <w:r>
        <w:rPr>
          <w:rStyle w:val="FootnoteAnchor"/>
          <w:rtl w:val="true"/>
        </w:rPr>
        <w:footnoteReference w:id="701"/>
      </w:r>
      <w:r>
        <w:rPr>
          <w:rFonts w:ascii="IRNazanin" w:hAnsi="IRNazanin" w:eastAsia="IRNazanin"/>
          <w:color w:val="111111"/>
          <w:sz w:val="28"/>
          <w:sz w:val="28"/>
          <w:szCs w:val="28"/>
          <w:rtl w:val="true"/>
          <w:lang w:bidi="fa-IR"/>
        </w:rPr>
        <w:t> خروج شیء</w:t>
      </w:r>
    </w:p>
    <w:p>
      <w:pPr>
        <w:pStyle w:val="BookText"/>
        <w:rPr/>
      </w:pPr>
      <w:r>
        <w:rPr>
          <w:rFonts w:ascii="IRNazanin" w:hAnsi="IRNazanin" w:eastAsia="IRNazanin"/>
          <w:color w:val="111111"/>
          <w:sz w:val="28"/>
          <w:sz w:val="28"/>
          <w:szCs w:val="28"/>
          <w:rtl w:val="true"/>
          <w:lang w:bidi="fa-IR"/>
        </w:rPr>
        <w:t>من الطعام معه</w:t>
      </w:r>
      <w:r>
        <w:rPr>
          <w:rStyle w:val="FootnoteAnchor"/>
          <w:rtl w:val="true"/>
        </w:rPr>
        <w:footnoteReference w:id="702"/>
      </w:r>
      <w:r>
        <w:rPr>
          <w:rFonts w:ascii="IRNazanin" w:hAnsi="IRNazanin" w:eastAsia="IRNazanin"/>
          <w:color w:val="111111"/>
          <w:sz w:val="28"/>
          <w:sz w:val="28"/>
          <w:szCs w:val="28"/>
          <w:rtl w:val="true"/>
          <w:lang w:bidi="fa-IR"/>
        </w:rPr>
        <w:t>، وأمّا إذا علم بذلک فلا یجوز</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ابتلع شیئاً سهواً فتذکّر قبل أن یصل إلی الحلق</w:t>
      </w:r>
      <w:r>
        <w:rPr>
          <w:rStyle w:val="FootnoteAnchor"/>
          <w:rtl w:val="true"/>
        </w:rPr>
        <w:footnoteReference w:id="7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إخراجه</w:t>
      </w:r>
      <w:r>
        <w:rPr>
          <w:rStyle w:val="FootnoteAnchor"/>
          <w:rtl w:val="true"/>
        </w:rPr>
        <w:footnoteReference w:id="705"/>
      </w:r>
      <w:r>
        <w:rPr>
          <w:rFonts w:ascii="Amiri" w:hAnsi="Amiri" w:eastAsia="Amiri" w:cs="Amiri"/>
          <w:color w:val="111111"/>
          <w:sz w:val="28"/>
          <w:sz w:val="28"/>
          <w:szCs w:val="28"/>
          <w:rtl w:val="true"/>
          <w:lang w:bidi="ar-SA"/>
        </w:rPr>
        <w:t> وصحّ صومه، وأمّا إن تذکّر بعد الوصول</w:t>
      </w:r>
      <w:r>
        <w:rPr>
          <w:rStyle w:val="FootnoteAnchor"/>
          <w:rtl w:val="true"/>
        </w:rPr>
        <w:footnoteReference w:id="706"/>
      </w:r>
      <w:r>
        <w:rPr>
          <w:rFonts w:ascii="IRNazanin" w:hAnsi="IRNazanin" w:eastAsia="IRNazanin"/>
          <w:color w:val="111111"/>
          <w:sz w:val="28"/>
          <w:sz w:val="28"/>
          <w:szCs w:val="28"/>
          <w:rtl w:val="true"/>
          <w:lang w:bidi="fa-IR"/>
        </w:rPr>
        <w:t> إلیه</w:t>
      </w:r>
      <w:r>
        <w:rPr>
          <w:rStyle w:val="FootnoteAnchor"/>
          <w:rtl w:val="true"/>
        </w:rPr>
        <w:footnoteReference w:id="707"/>
      </w:r>
      <w:r>
        <w:rPr>
          <w:rFonts w:ascii="IRNazanin" w:hAnsi="IRNazanin" w:eastAsia="IRNazanin"/>
          <w:color w:val="111111"/>
          <w:sz w:val="28"/>
          <w:sz w:val="28"/>
          <w:szCs w:val="28"/>
          <w:rtl w:val="true"/>
          <w:lang w:bidi="fa-IR"/>
        </w:rPr>
        <w:t> فلا یجب</w:t>
      </w:r>
      <w:r>
        <w:rPr>
          <w:rStyle w:val="FootnoteAnchor"/>
          <w:rtl w:val="true"/>
        </w:rPr>
        <w:footnoteReference w:id="708"/>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709"/>
      </w:r>
      <w:r>
        <w:rPr>
          <w:rFonts w:ascii="IRNazanin" w:hAnsi="IRNazanin" w:eastAsia="IRNazanin"/>
          <w:color w:val="111111"/>
          <w:sz w:val="28"/>
          <w:sz w:val="28"/>
          <w:szCs w:val="28"/>
          <w:rtl w:val="true"/>
          <w:lang w:bidi="fa-IR"/>
        </w:rPr>
        <w:t> إذا صدق علیه القیء</w:t>
      </w:r>
      <w:r>
        <w:rPr>
          <w:rStyle w:val="FootnoteAnchor"/>
          <w:rtl w:val="true"/>
        </w:rPr>
        <w:footnoteReference w:id="710"/>
      </w:r>
      <w:r>
        <w:rPr>
          <w:rFonts w:ascii="IRNazanin" w:hAnsi="IRNazanin" w:eastAsia="IRNazanin"/>
          <w:color w:val="111111"/>
          <w:sz w:val="28"/>
          <w:sz w:val="28"/>
          <w:szCs w:val="28"/>
          <w:rtl w:val="true"/>
          <w:lang w:bidi="fa-IR"/>
        </w:rPr>
        <w:t>، وإن شکّ فی ذلک</w:t>
      </w:r>
      <w:r>
        <w:rPr>
          <w:rStyle w:val="FootnoteAnchor"/>
          <w:rtl w:val="true"/>
        </w:rPr>
        <w:footnoteReference w:id="711"/>
      </w:r>
      <w:r>
        <w:rPr>
          <w:rFonts w:ascii="IRNazanin" w:hAnsi="IRNazanin" w:eastAsia="IRNazanin"/>
          <w:color w:val="111111"/>
          <w:sz w:val="28"/>
          <w:sz w:val="28"/>
          <w:szCs w:val="28"/>
          <w:rtl w:val="true"/>
          <w:lang w:bidi="fa-IR"/>
        </w:rPr>
        <w:t> فالظاهر وجوب إخراجه</w:t>
      </w:r>
      <w:r>
        <w:rPr>
          <w:rStyle w:val="FootnoteAnchor"/>
          <w:rtl w:val="true"/>
        </w:rPr>
        <w:footnoteReference w:id="712"/>
      </w:r>
      <w:r>
        <w:rPr>
          <w:rFonts w:ascii="IRNazanin" w:hAnsi="IRNazanin" w:eastAsia="IRNazanin"/>
          <w:color w:val="111111"/>
          <w:sz w:val="28"/>
          <w:sz w:val="28"/>
          <w:szCs w:val="28"/>
          <w:rtl w:val="true"/>
          <w:lang w:bidi="fa-IR"/>
        </w:rPr>
        <w:t> أیضاً مع إمکانه، عملاً بأصالة</w:t>
      </w:r>
      <w:r>
        <w:rPr>
          <w:rStyle w:val="FootnoteAnchor"/>
          <w:rtl w:val="true"/>
        </w:rPr>
        <w:footnoteReference w:id="713"/>
      </w:r>
      <w:r>
        <w:rPr>
          <w:rFonts w:ascii="IRNazanin" w:hAnsi="IRNazanin" w:eastAsia="IRNazanin"/>
          <w:color w:val="111111"/>
          <w:sz w:val="28"/>
          <w:sz w:val="28"/>
          <w:szCs w:val="28"/>
          <w:rtl w:val="true"/>
          <w:lang w:bidi="fa-IR"/>
        </w:rPr>
        <w:t> عدم</w:t>
      </w:r>
      <w:r>
        <w:rPr>
          <w:rStyle w:val="FootnoteAnchor"/>
          <w:rtl w:val="true"/>
        </w:rPr>
        <w:footnoteReference w:id="714"/>
      </w:r>
      <w:r>
        <w:rPr>
          <w:rFonts w:ascii="IRNazanin" w:hAnsi="IRNazanin" w:eastAsia="IRNazanin"/>
          <w:color w:val="111111"/>
          <w:sz w:val="28"/>
          <w:sz w:val="28"/>
          <w:szCs w:val="28"/>
          <w:rtl w:val="true"/>
          <w:lang w:bidi="fa-IR"/>
        </w:rPr>
        <w:t> الدخول</w:t>
      </w:r>
      <w:r>
        <w:rPr>
          <w:rStyle w:val="FootnoteAnchor"/>
          <w:rtl w:val="true"/>
        </w:rPr>
        <w:footnoteReference w:id="715"/>
      </w:r>
      <w:r>
        <w:rPr>
          <w:rFonts w:ascii="IRNazanin" w:hAnsi="IRNazanin" w:eastAsia="IRNazanin"/>
          <w:color w:val="111111"/>
          <w:sz w:val="28"/>
          <w:sz w:val="28"/>
          <w:szCs w:val="28"/>
          <w:rtl w:val="true"/>
          <w:lang w:bidi="fa-IR"/>
        </w:rPr>
        <w:t> فی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الحلق</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الصائم</w:t>
      </w:r>
      <w:r>
        <w:rPr>
          <w:rStyle w:val="FootnoteAnchor"/>
          <w:rtl w:val="true"/>
        </w:rPr>
        <w:footnoteReference w:id="717"/>
      </w:r>
      <w:r>
        <w:rPr>
          <w:rFonts w:ascii="IRNazanin" w:hAnsi="IRNazanin" w:eastAsia="IRNazanin"/>
          <w:color w:val="111111"/>
          <w:sz w:val="28"/>
          <w:sz w:val="28"/>
          <w:szCs w:val="28"/>
          <w:rtl w:val="true"/>
          <w:lang w:bidi="fa-IR"/>
        </w:rPr>
        <w:t> بالواجب المعیّن مشتغلاً بالصلاة     </w:t>
      </w:r>
    </w:p>
    <w:p>
      <w:pPr>
        <w:pStyle w:val="BookText"/>
        <w:rPr/>
      </w:pPr>
      <w:r>
        <w:rPr>
          <w:rFonts w:ascii="IRNazanin" w:hAnsi="IRNazanin" w:eastAsia="IRNazanin"/>
          <w:color w:val="111111"/>
          <w:sz w:val="28"/>
          <w:sz w:val="28"/>
          <w:szCs w:val="28"/>
          <w:rtl w:val="true"/>
          <w:lang w:bidi="fa-IR"/>
        </w:rPr>
        <w:t>الواجبة فدخل فی حلقه ذُباب أو بَقّ أو نحوهما أو شیء من بقایا الطعام الّذی بین أسنانه وتوقّف إخراجه علی إبطال الصلاة بالتکلّم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ذلک، فإن أمکن التحفّظ والإمساک إلی الفراغ من الصلاة وجب</w:t>
      </w:r>
      <w:r>
        <w:rPr>
          <w:rStyle w:val="FootnoteAnchor"/>
          <w:rtl w:val="true"/>
        </w:rPr>
        <w:footnoteReference w:id="719"/>
      </w:r>
      <w:r>
        <w:rPr>
          <w:rFonts w:ascii="IRNazanin" w:hAnsi="IRNazanin" w:eastAsia="IRNazanin"/>
          <w:color w:val="111111"/>
          <w:sz w:val="28"/>
          <w:sz w:val="28"/>
          <w:szCs w:val="28"/>
          <w:rtl w:val="true"/>
          <w:lang w:bidi="fa-IR"/>
        </w:rPr>
        <w:t>، وإن لم یمکن ذلک ودار الأمر بین إبطال الصوم</w:t>
      </w:r>
      <w:r>
        <w:rPr>
          <w:rStyle w:val="FootnoteAnchor"/>
          <w:rtl w:val="true"/>
        </w:rPr>
        <w:footnoteReference w:id="720"/>
      </w:r>
      <w:r>
        <w:rPr>
          <w:rFonts w:ascii="IRNazanin" w:hAnsi="IRNazanin" w:eastAsia="IRNazanin"/>
          <w:color w:val="111111"/>
          <w:sz w:val="28"/>
          <w:sz w:val="28"/>
          <w:szCs w:val="28"/>
          <w:rtl w:val="true"/>
          <w:lang w:bidi="fa-IR"/>
        </w:rPr>
        <w:t xml:space="preserve"> بالبلع أو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721"/>
      </w:r>
      <w:r>
        <w:rPr>
          <w:rFonts w:ascii="IRNazanin" w:hAnsi="IRNazanin" w:eastAsia="IRNazanin"/>
          <w:color w:val="111111"/>
          <w:sz w:val="28"/>
          <w:sz w:val="28"/>
          <w:szCs w:val="28"/>
          <w:rtl w:val="true"/>
          <w:lang w:bidi="fa-IR"/>
        </w:rPr>
        <w:t> بالإخراج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یصل إلی الحدّ</w:t>
      </w:r>
      <w:r>
        <w:rPr>
          <w:rStyle w:val="FootnoteAnchor"/>
          <w:rtl w:val="true"/>
        </w:rPr>
        <w:footnoteReference w:id="722"/>
      </w:r>
      <w:r>
        <w:rPr>
          <w:rFonts w:ascii="IRNazanin" w:hAnsi="IRNazanin" w:eastAsia="IRNazanin"/>
          <w:color w:val="111111"/>
          <w:sz w:val="28"/>
          <w:sz w:val="28"/>
          <w:szCs w:val="28"/>
          <w:rtl w:val="true"/>
          <w:lang w:bidi="fa-IR"/>
        </w:rPr>
        <w:t> من الحلق</w:t>
      </w:r>
      <w:r>
        <w:rPr>
          <w:rStyle w:val="FootnoteAnchor"/>
          <w:rtl w:val="true"/>
        </w:rPr>
        <w:footnoteReference w:id="723"/>
      </w:r>
      <w:r>
        <w:rPr>
          <w:rFonts w:ascii="IRNazanin" w:hAnsi="IRNazanin" w:eastAsia="IRNazanin"/>
          <w:color w:val="111111"/>
          <w:sz w:val="28"/>
          <w:sz w:val="28"/>
          <w:szCs w:val="28"/>
          <w:rtl w:val="true"/>
          <w:lang w:bidi="fa-IR"/>
        </w:rPr>
        <w:t>کمخرج الخاء وکان ممّا یحرم بلعه فی حدّ نفسه کالذباب ونحوه وجب قطع</w:t>
      </w:r>
      <w:r>
        <w:rPr>
          <w:rStyle w:val="FootnoteAnchor"/>
          <w:rtl w:val="true"/>
        </w:rPr>
        <w:footnoteReference w:id="724"/>
      </w:r>
      <w:r>
        <w:rPr>
          <w:rFonts w:ascii="Amiri" w:hAnsi="Amiri" w:eastAsia="Amiri" w:cs="Amiri"/>
          <w:color w:val="111111"/>
          <w:sz w:val="28"/>
          <w:sz w:val="28"/>
          <w:szCs w:val="28"/>
          <w:rtl w:val="true"/>
          <w:lang w:bidi="ar-SA"/>
        </w:rPr>
        <w:t> الصلاة</w:t>
      </w:r>
      <w:r>
        <w:rPr>
          <w:rStyle w:val="FootnoteAnchor"/>
          <w:rtl w:val="true"/>
        </w:rPr>
        <w:footnoteReference w:id="725"/>
      </w:r>
      <w:r>
        <w:rPr>
          <w:rFonts w:ascii="IRNazanin" w:hAnsi="IRNazanin" w:eastAsia="IRNazanin"/>
          <w:color w:val="111111"/>
          <w:sz w:val="28"/>
          <w:sz w:val="28"/>
          <w:szCs w:val="28"/>
          <w:rtl w:val="true"/>
          <w:lang w:bidi="fa-IR"/>
        </w:rPr>
        <w:t> بإخراجه</w:t>
      </w:r>
      <w:r>
        <w:rPr>
          <w:rStyle w:val="FootnoteAnchor"/>
          <w:rtl w:val="true"/>
        </w:rPr>
        <w:footnoteReference w:id="726"/>
      </w:r>
      <w:r>
        <w:rPr>
          <w:rFonts w:ascii="IRNazanin" w:hAnsi="IRNazanin" w:eastAsia="IRNazanin"/>
          <w:color w:val="111111"/>
          <w:sz w:val="28"/>
          <w:sz w:val="28"/>
          <w:szCs w:val="28"/>
          <w:rtl w:val="true"/>
          <w:lang w:bidi="fa-IR"/>
        </w:rPr>
        <w:t> ولو فی ضیق</w:t>
      </w:r>
      <w:r>
        <w:rPr>
          <w:rStyle w:val="FootnoteAnchor"/>
          <w:rtl w:val="true"/>
        </w:rPr>
        <w:footnoteReference w:id="72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w:t>
      </w:r>
      <w:r>
        <w:rPr>
          <w:rStyle w:val="FootnoteAnchor"/>
          <w:rtl w:val="true"/>
        </w:rPr>
        <w:footnoteReference w:id="728"/>
      </w:r>
      <w:r>
        <w:rPr>
          <w:rFonts w:ascii="Amiri" w:hAnsi="Amiri" w:eastAsia="Amiri" w:cs="Amiri"/>
          <w:color w:val="111111"/>
          <w:sz w:val="28"/>
          <w:sz w:val="28"/>
          <w:szCs w:val="28"/>
          <w:rtl w:val="true"/>
          <w:lang w:bidi="ar-SA"/>
        </w:rPr>
        <w:t> الصلاة</w:t>
      </w:r>
      <w:r>
        <w:rPr>
          <w:rStyle w:val="FootnoteAnchor"/>
          <w:rtl w:val="true"/>
        </w:rPr>
        <w:footnoteReference w:id="729"/>
      </w:r>
      <w:r>
        <w:rPr>
          <w:rFonts w:ascii="IRNazanin" w:hAnsi="IRNazanin" w:eastAsia="IRNazanin"/>
          <w:color w:val="111111"/>
          <w:sz w:val="28"/>
          <w:sz w:val="28"/>
          <w:szCs w:val="28"/>
          <w:rtl w:val="true"/>
          <w:lang w:bidi="fa-IR"/>
        </w:rPr>
        <w:t>، وإن کان ممّا یحلّ بلعه فی ذاته کبقایا الطعام ففی سعة الوقت للصلاة</w:t>
      </w:r>
      <w:r>
        <w:rPr>
          <w:rStyle w:val="FootnoteAnchor"/>
          <w:rtl w:val="true"/>
        </w:rPr>
        <w:footnoteReference w:id="730"/>
      </w:r>
      <w:r>
        <w:rPr>
          <w:rFonts w:ascii="IRNazanin" w:hAnsi="IRNazanin" w:eastAsia="IRNazanin"/>
          <w:color w:val="111111"/>
          <w:sz w:val="28"/>
          <w:sz w:val="28"/>
          <w:szCs w:val="28"/>
          <w:rtl w:val="true"/>
          <w:lang w:bidi="fa-IR"/>
        </w:rPr>
        <w:t>، ولو بإدراک</w:t>
      </w:r>
      <w:r>
        <w:rPr>
          <w:rStyle w:val="FootnoteAnchor"/>
          <w:rtl w:val="true"/>
        </w:rPr>
        <w:footnoteReference w:id="731"/>
      </w:r>
      <w:r>
        <w:rPr>
          <w:rFonts w:ascii="IRNazanin" w:hAnsi="IRNazanin" w:eastAsia="IRNazanin"/>
          <w:color w:val="111111"/>
          <w:sz w:val="28"/>
          <w:sz w:val="28"/>
          <w:szCs w:val="28"/>
          <w:rtl w:val="true"/>
          <w:lang w:bidi="fa-IR"/>
        </w:rPr>
        <w:t> رکعة منه یجب القطع والإخراج، وفی الضیق یجب البلع</w:t>
      </w:r>
      <w:r>
        <w:rPr>
          <w:rStyle w:val="FootnoteAnchor"/>
          <w:rtl w:val="true"/>
        </w:rPr>
        <w:footnoteReference w:id="732"/>
      </w:r>
      <w:r>
        <w:rPr>
          <w:rFonts w:ascii="IRNazanin" w:hAnsi="IRNazanin" w:eastAsia="IRNazanin"/>
          <w:color w:val="111111"/>
          <w:sz w:val="28"/>
          <w:sz w:val="28"/>
          <w:szCs w:val="28"/>
          <w:rtl w:val="true"/>
          <w:lang w:bidi="fa-IR"/>
        </w:rPr>
        <w:t> وإبطال الصوم</w:t>
      </w:r>
      <w:r>
        <w:rPr>
          <w:rStyle w:val="FootnoteAnchor"/>
          <w:rtl w:val="true"/>
        </w:rPr>
        <w:footnoteReference w:id="733"/>
      </w:r>
      <w:r>
        <w:rPr>
          <w:rFonts w:ascii="IRNazanin" w:hAnsi="IRNazanin" w:eastAsia="IRNazanin"/>
          <w:color w:val="111111"/>
          <w:sz w:val="28"/>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تقدیماً لجانب</w:t>
      </w:r>
      <w:r>
        <w:rPr>
          <w:rStyle w:val="FootnoteAnchor"/>
          <w:rtl w:val="true"/>
        </w:rPr>
        <w:footnoteReference w:id="734"/>
      </w:r>
      <w:r>
        <w:rPr>
          <w:rFonts w:ascii="Amiri" w:hAnsi="Amiri" w:eastAsia="Amiri" w:cs="Amiri"/>
          <w:color w:val="111111"/>
          <w:sz w:val="28"/>
          <w:sz w:val="28"/>
          <w:szCs w:val="28"/>
          <w:rtl w:val="true"/>
          <w:lang w:bidi="ar-SA"/>
        </w:rPr>
        <w:t> الصلاة</w:t>
      </w:r>
      <w:r>
        <w:rPr>
          <w:rStyle w:val="FootnoteAnchor"/>
          <w:rtl w:val="true"/>
        </w:rPr>
        <w:footnoteReference w:id="735"/>
      </w:r>
      <w:r>
        <w:rPr>
          <w:rFonts w:ascii="Amiri" w:hAnsi="Amiri" w:eastAsia="Amiri" w:cs="Amiri"/>
          <w:color w:val="111111"/>
          <w:sz w:val="28"/>
          <w:sz w:val="28"/>
          <w:szCs w:val="28"/>
          <w:rtl w:val="true"/>
          <w:lang w:bidi="ar-SA"/>
        </w:rPr>
        <w:t> لأهمّیّتها</w:t>
      </w:r>
      <w:r>
        <w:rPr>
          <w:rStyle w:val="FootnoteAnchor"/>
          <w:rtl w:val="true"/>
        </w:rPr>
        <w:footnoteReference w:id="736"/>
      </w:r>
      <w:r>
        <w:rPr>
          <w:rFonts w:ascii="IRNazanin" w:hAnsi="IRNazanin" w:eastAsia="IRNazanin"/>
          <w:color w:val="111111"/>
          <w:sz w:val="28"/>
          <w:sz w:val="28"/>
          <w:szCs w:val="28"/>
          <w:rtl w:val="true"/>
          <w:lang w:bidi="fa-IR"/>
        </w:rPr>
        <w:t>، وإن وصل إلی الحدّ</w:t>
      </w:r>
      <w:r>
        <w:rPr>
          <w:rStyle w:val="FootnoteAnchor"/>
          <w:rtl w:val="true"/>
        </w:rPr>
        <w:footnoteReference w:id="737"/>
      </w:r>
      <w:r>
        <w:rPr>
          <w:rFonts w:ascii="IRNazanin" w:hAnsi="IRNazanin" w:eastAsia="IRNazanin"/>
          <w:color w:val="111111"/>
          <w:sz w:val="28"/>
          <w:sz w:val="28"/>
          <w:szCs w:val="28"/>
          <w:rtl w:val="true"/>
          <w:lang w:bidi="fa-IR"/>
        </w:rPr>
        <w:t xml:space="preserve"> فمع کونه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یحرم بلعه وجب إخراجه</w:t>
      </w:r>
      <w:r>
        <w:rPr>
          <w:rStyle w:val="FootnoteAnchor"/>
          <w:rtl w:val="true"/>
        </w:rPr>
        <w:footnoteReference w:id="738"/>
      </w:r>
      <w:r>
        <w:rPr>
          <w:rFonts w:ascii="Amiri" w:hAnsi="Amiri" w:eastAsia="Amiri" w:cs="Amiri"/>
          <w:color w:val="111111"/>
          <w:sz w:val="28"/>
          <w:sz w:val="28"/>
          <w:szCs w:val="28"/>
          <w:rtl w:val="true"/>
          <w:lang w:bidi="ar-SA"/>
        </w:rPr>
        <w:t> بقطع الصلاة وإبطالها</w:t>
      </w:r>
      <w:r>
        <w:rPr>
          <w:rStyle w:val="FootnoteAnchor"/>
          <w:rtl w:val="true"/>
        </w:rPr>
        <w:footnoteReference w:id="739"/>
      </w:r>
      <w:r>
        <w:rPr>
          <w:rFonts w:ascii="IRNazanin" w:hAnsi="IRNazanin" w:eastAsia="IRNazanin"/>
          <w:color w:val="111111"/>
          <w:sz w:val="28"/>
          <w:sz w:val="28"/>
          <w:szCs w:val="28"/>
          <w:rtl w:val="true"/>
          <w:lang w:bidi="fa-IR"/>
        </w:rPr>
        <w:t> علی إشکال</w:t>
      </w:r>
      <w:r>
        <w:rPr>
          <w:rStyle w:val="FootnoteAnchor"/>
          <w:rtl w:val="true"/>
        </w:rPr>
        <w:footnoteReference w:id="740"/>
      </w:r>
      <w:r>
        <w:rPr>
          <w:rFonts w:ascii="IRNazanin" w:hAnsi="IRNazanin" w:eastAsia="IRNazanin"/>
          <w:color w:val="111111"/>
          <w:sz w:val="28"/>
          <w:sz w:val="28"/>
          <w:szCs w:val="28"/>
          <w:rtl w:val="true"/>
          <w:lang w:bidi="fa-IR"/>
        </w:rPr>
        <w:t>، وإن کان مثل بقایا الطعام لم یجب</w:t>
      </w:r>
      <w:r>
        <w:rPr>
          <w:rStyle w:val="FootnoteAnchor"/>
          <w:rtl w:val="true"/>
        </w:rPr>
        <w:footnoteReference w:id="741"/>
      </w:r>
      <w:r>
        <w:rPr>
          <w:rFonts w:ascii="Amiri" w:hAnsi="Amiri" w:eastAsia="Amiri" w:cs="Amiri"/>
          <w:color w:val="111111"/>
          <w:sz w:val="28"/>
          <w:sz w:val="28"/>
          <w:szCs w:val="28"/>
          <w:rtl w:val="true"/>
          <w:lang w:bidi="ar-SA"/>
        </w:rPr>
        <w:t>، وصحّت</w:t>
      </w:r>
      <w:r>
        <w:rPr>
          <w:rStyle w:val="FootnoteAnchor"/>
          <w:rtl w:val="true"/>
        </w:rPr>
        <w:footnoteReference w:id="742"/>
      </w:r>
      <w:r>
        <w:rPr>
          <w:rFonts w:ascii="Amiri" w:hAnsi="Amiri" w:eastAsia="Amiri" w:cs="Amiri"/>
          <w:color w:val="111111"/>
          <w:sz w:val="28"/>
          <w:sz w:val="28"/>
          <w:szCs w:val="28"/>
          <w:rtl w:val="true"/>
          <w:lang w:bidi="ar-SA"/>
        </w:rPr>
        <w:t xml:space="preserve"> صلاته وصحّ   </w:t>
      </w:r>
    </w:p>
    <w:p>
      <w:pPr>
        <w:pStyle w:val="BookText"/>
        <w:rPr/>
      </w:pPr>
      <w:r>
        <w:rPr>
          <w:rFonts w:ascii="IRNazanin" w:hAnsi="IRNazanin" w:eastAsia="IRNazanin"/>
          <w:color w:val="111111"/>
          <w:sz w:val="28"/>
          <w:sz w:val="28"/>
          <w:szCs w:val="28"/>
          <w:rtl w:val="true"/>
          <w:lang w:bidi="fa-IR"/>
        </w:rPr>
        <w:t>صومه</w:t>
      </w:r>
      <w:r>
        <w:rPr>
          <w:rStyle w:val="FootnoteAnchor"/>
          <w:rtl w:val="true"/>
        </w:rPr>
        <w:footnoteReference w:id="743"/>
      </w:r>
      <w:r>
        <w:rPr>
          <w:rFonts w:ascii="IRNazanin" w:hAnsi="IRNazanin" w:eastAsia="IRNazanin"/>
          <w:color w:val="111111"/>
          <w:sz w:val="28"/>
          <w:sz w:val="28"/>
          <w:szCs w:val="28"/>
          <w:rtl w:val="true"/>
          <w:lang w:bidi="fa-IR"/>
        </w:rPr>
        <w:t> علی التقدیرین</w:t>
      </w:r>
      <w:r>
        <w:rPr>
          <w:rStyle w:val="FootnoteAnchor"/>
          <w:rtl w:val="true"/>
        </w:rPr>
        <w:footnoteReference w:id="744"/>
      </w:r>
      <w:r>
        <w:rPr>
          <w:rFonts w:ascii="Amiri" w:hAnsi="Amiri" w:eastAsia="Amiri" w:cs="Amiri"/>
          <w:color w:val="111111"/>
          <w:sz w:val="28"/>
          <w:sz w:val="28"/>
          <w:szCs w:val="28"/>
          <w:rtl w:val="true"/>
          <w:lang w:bidi="ar-SA"/>
        </w:rPr>
        <w:t>؛ لعدم عدِّ إخراج مثله</w:t>
      </w:r>
      <w:r>
        <w:rPr>
          <w:rStyle w:val="FootnoteAnchor"/>
          <w:rtl w:val="true"/>
        </w:rPr>
        <w:footnoteReference w:id="745"/>
      </w:r>
      <w:r>
        <w:rPr>
          <w:rFonts w:ascii="IRNazanin" w:hAnsi="IRNazanin" w:eastAsia="IRNazanin"/>
          <w:color w:val="111111"/>
          <w:sz w:val="28"/>
          <w:sz w:val="28"/>
          <w:szCs w:val="28"/>
          <w:rtl w:val="true"/>
          <w:lang w:bidi="fa-IR"/>
        </w:rPr>
        <w:t> قیئاً فی العرف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747"/>
      </w:r>
      <w:r>
        <w:rPr>
          <w:rFonts w:ascii="IRNazanin" w:hAnsi="IRNazanin" w:eastAsia="IRNazanin"/>
          <w:color w:val="111111"/>
          <w:sz w:val="28"/>
          <w:sz w:val="28"/>
          <w:szCs w:val="28"/>
          <w:rtl w:val="true"/>
          <w:lang w:bidi="fa-IR"/>
        </w:rPr>
        <w:t> للصائم</w:t>
      </w:r>
      <w:r>
        <w:rPr>
          <w:rStyle w:val="FootnoteAnchor"/>
          <w:rtl w:val="true"/>
        </w:rPr>
        <w:footnoteReference w:id="748"/>
      </w:r>
      <w:r>
        <w:rPr>
          <w:rFonts w:ascii="Amiri" w:hAnsi="Amiri" w:eastAsia="Amiri" w:cs="Amiri"/>
          <w:color w:val="111111"/>
          <w:sz w:val="28"/>
          <w:sz w:val="28"/>
          <w:szCs w:val="28"/>
          <w:rtl w:val="true"/>
          <w:lang w:bidi="ar-SA"/>
        </w:rPr>
        <w:t> أن یُدخِلَ إصبَعَه فی حلقه</w:t>
      </w:r>
      <w:r>
        <w:rPr>
          <w:rStyle w:val="FootnoteAnchor"/>
          <w:rtl w:val="true"/>
        </w:rPr>
        <w:footnoteReference w:id="749"/>
      </w:r>
      <w:r>
        <w:rPr>
          <w:rFonts w:ascii="IRNazanin" w:hAnsi="IRNazanin" w:eastAsia="IRNazanin"/>
          <w:color w:val="111111"/>
          <w:sz w:val="28"/>
          <w:sz w:val="28"/>
          <w:szCs w:val="28"/>
          <w:rtl w:val="true"/>
          <w:lang w:bidi="fa-IR"/>
        </w:rPr>
        <w:t>ویخرجه عمداً، وهو مشکل</w:t>
      </w:r>
      <w:r>
        <w:rPr>
          <w:rStyle w:val="FootnoteAnchor"/>
          <w:rtl w:val="true"/>
        </w:rPr>
        <w:footnoteReference w:id="750"/>
      </w:r>
      <w:r>
        <w:rPr>
          <w:rFonts w:ascii="Amiri" w:hAnsi="Amiri" w:eastAsia="Amiri" w:cs="Amiri"/>
          <w:color w:val="111111"/>
          <w:sz w:val="28"/>
          <w:sz w:val="28"/>
          <w:szCs w:val="28"/>
          <w:rtl w:val="true"/>
          <w:lang w:bidi="ar-SA"/>
        </w:rPr>
        <w:t xml:space="preserve"> مع الوصول إلی الحدِّ، </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751"/>
      </w:r>
      <w:r>
        <w:rPr>
          <w:rFonts w:ascii="IRNazanin" w:hAnsi="IRNazanin" w:eastAsia="IRNazanin"/>
          <w:color w:val="111111"/>
          <w:sz w:val="28"/>
          <w:sz w:val="28"/>
          <w:szCs w:val="28"/>
          <w:rtl w:val="true"/>
          <w:lang w:bidi="fa-IR"/>
        </w:rPr>
        <w:t> الترک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بالتجشّو القهریّ</w:t>
      </w:r>
      <w:r>
        <w:rPr>
          <w:rStyle w:val="FootnoteAnchor"/>
          <w:rtl w:val="true"/>
        </w:rPr>
        <w:footnoteReference w:id="753"/>
      </w:r>
      <w:r>
        <w:rPr>
          <w:rFonts w:ascii="IRNazanin" w:hAnsi="IRNazanin" w:eastAsia="IRNazanin"/>
          <w:color w:val="111111"/>
          <w:sz w:val="28"/>
          <w:sz w:val="28"/>
          <w:szCs w:val="28"/>
          <w:rtl w:val="true"/>
          <w:lang w:bidi="fa-IR"/>
        </w:rPr>
        <w:t xml:space="preserve"> وإن وصل معه الطعام إلی </w:t>
      </w:r>
    </w:p>
    <w:p>
      <w:pPr>
        <w:pStyle w:val="BookText"/>
        <w:rPr/>
      </w:pPr>
      <w:r>
        <w:rPr>
          <w:rFonts w:ascii="IRNazanin" w:hAnsi="IRNazanin" w:eastAsia="IRNazanin"/>
          <w:color w:val="111111"/>
          <w:sz w:val="28"/>
          <w:sz w:val="28"/>
          <w:szCs w:val="28"/>
          <w:rtl w:val="true"/>
          <w:lang w:bidi="fa-IR"/>
        </w:rPr>
        <w:t>فضاء الفم ورجع، بل لا بأس</w:t>
      </w:r>
      <w:r>
        <w:rPr>
          <w:rStyle w:val="FootnoteAnchor"/>
          <w:rtl w:val="true"/>
        </w:rPr>
        <w:footnoteReference w:id="754"/>
      </w:r>
      <w:r>
        <w:rPr>
          <w:rFonts w:ascii="Amiri" w:hAnsi="Amiri" w:eastAsia="Amiri" w:cs="Amiri"/>
          <w:color w:val="111111"/>
          <w:sz w:val="28"/>
          <w:sz w:val="28"/>
          <w:szCs w:val="28"/>
          <w:rtl w:val="true"/>
          <w:lang w:bidi="ar-SA"/>
        </w:rPr>
        <w:t> بتعمّد التجشّو ما</w:t>
      </w:r>
      <w:r>
        <w:rPr>
          <w:rStyle w:val="FootnoteAnchor"/>
          <w:rtl w:val="true"/>
        </w:rPr>
        <w:footnoteReference w:id="755"/>
      </w:r>
      <w:r>
        <w:rPr>
          <w:rFonts w:ascii="IRNazanin" w:hAnsi="IRNazanin" w:eastAsia="IRNazanin"/>
          <w:color w:val="111111"/>
          <w:sz w:val="28"/>
          <w:sz w:val="28"/>
          <w:szCs w:val="28"/>
          <w:rtl w:val="true"/>
          <w:lang w:bidi="fa-IR"/>
        </w:rPr>
        <w:t> لم یعلم</w:t>
      </w:r>
      <w:r>
        <w:rPr>
          <w:rStyle w:val="FootnoteAnchor"/>
          <w:rtl w:val="true"/>
        </w:rPr>
        <w:footnoteReference w:id="756"/>
      </w:r>
      <w:r>
        <w:rPr>
          <w:rFonts w:ascii="Amiri" w:hAnsi="Amiri" w:eastAsia="Amiri" w:cs="Amiri"/>
          <w:color w:val="111111"/>
          <w:sz w:val="28"/>
          <w:sz w:val="28"/>
          <w:szCs w:val="28"/>
          <w:rtl w:val="true"/>
          <w:lang w:bidi="ar-SA"/>
        </w:rPr>
        <w:t> أنّه یخرج</w:t>
      </w:r>
      <w:r>
        <w:rPr>
          <w:rStyle w:val="FootnoteAnchor"/>
          <w:rtl w:val="true"/>
        </w:rPr>
        <w:footnoteReference w:id="757"/>
      </w:r>
      <w:r>
        <w:rPr>
          <w:rFonts w:ascii="IRNazanin" w:hAnsi="IRNazanin" w:eastAsia="IRNazanin"/>
          <w:color w:val="111111"/>
          <w:sz w:val="28"/>
          <w:sz w:val="28"/>
          <w:szCs w:val="28"/>
          <w:rtl w:val="true"/>
          <w:lang w:bidi="fa-IR"/>
        </w:rPr>
        <w:t> معه شیء</w:t>
      </w:r>
      <w:r>
        <w:rPr>
          <w:rStyle w:val="FootnoteAnchor"/>
          <w:rtl w:val="true"/>
        </w:rPr>
        <w:footnoteReference w:id="758"/>
      </w:r>
      <w:r>
        <w:rPr>
          <w:rFonts w:ascii="IRNazanin" w:hAnsi="IRNazanin" w:eastAsia="IRNazanin"/>
          <w:color w:val="111111"/>
          <w:sz w:val="28"/>
          <w:sz w:val="28"/>
          <w:szCs w:val="28"/>
          <w:rtl w:val="true"/>
          <w:lang w:bidi="fa-IR"/>
        </w:rPr>
        <w:t> من الطعام</w:t>
      </w:r>
      <w:r>
        <w:rPr>
          <w:rStyle w:val="FootnoteAnchor"/>
          <w:rtl w:val="true"/>
        </w:rPr>
        <w:footnoteReference w:id="759"/>
      </w:r>
      <w:r>
        <w:rPr>
          <w:rFonts w:ascii="IRNazanin" w:hAnsi="IRNazanin" w:eastAsia="IRNazanin"/>
          <w:color w:val="111111"/>
          <w:sz w:val="28"/>
          <w:sz w:val="28"/>
          <w:szCs w:val="28"/>
          <w:rtl w:val="true"/>
          <w:lang w:bidi="fa-IR"/>
        </w:rPr>
        <w:t>، وإن خرج بعد ذلک وجب إلقاوه، ولو سبقه الرجوع إلی الحلق لم یبطل صومه، وإن کان الأحوط القضاء</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264" w:name="pg13281_119823"/>
    </w:p>
    <w:p>
      <w:pPr>
        <w:pStyle w:val="BookText"/>
        <w:rPr/>
      </w:pPr>
      <w:bookmarkEnd w:id="264"/>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المفطِرات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5" w:name="__RefHeading___Toc1955004_2322387425"/>
      <w:bookmarkStart w:id="266" w:name="_Toc95"/>
      <w:bookmarkEnd w:id="265"/>
      <w:r>
        <w:rPr>
          <w:rtl w:val="true"/>
        </w:rPr>
        <w:t>فصل</w:t>
      </w:r>
      <w:r>
        <w:rPr>
          <w:rtl w:val="true"/>
        </w:rPr>
        <w:t xml:space="preserve">: </w:t>
      </w:r>
      <w:r>
        <w:rPr>
          <w:rtl w:val="true"/>
        </w:rPr>
        <w:t>فی اعتبار العمد والاختیار فی الإفطار</w:t>
      </w:r>
      <w:bookmarkEnd w:id="266"/>
    </w:p>
    <w:p>
      <w:pPr>
        <w:pStyle w:val="Heading3"/>
        <w:numPr>
          <w:ilvl w:val="2"/>
          <w:numId w:val="1"/>
        </w:numPr>
        <w:rPr/>
      </w:pPr>
      <w:bookmarkStart w:id="267" w:name="__RefHeading___Toc1955006_2322387425"/>
      <w:bookmarkStart w:id="268" w:name="_Toc96"/>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یعتبر فیه العمد والاختیار من المفطرات</w:t>
      </w:r>
    </w:p>
    <w:p>
      <w:pPr>
        <w:pStyle w:val="Heading3"/>
        <w:numPr>
          <w:ilvl w:val="2"/>
          <w:numId w:val="1"/>
        </w:numPr>
        <w:rPr/>
      </w:pPr>
      <w:bookmarkStart w:id="269" w:name="__RefHeading___Toc1955008_2322387425"/>
      <w:bookmarkStart w:id="270" w:name="_Toc97"/>
      <w:bookmarkEnd w:id="269"/>
      <w:r>
        <w:rPr>
          <w:rtl w:val="true"/>
        </w:rPr>
        <w:t>فروع اعتبار العمد والاختیار فی فعل المفطر</w:t>
      </w:r>
      <w:bookmarkEnd w:id="2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المفطِرات المذکورة ما عدا البقاء علی الجنابة ـ الّذی مرّ الکلام فیه تفصیلاً ـ إنّما توجب بطلان الصوم إذا وقعت علی وجه العمد والاختیار، وأمّا مع السهو وعدم القصد فلا توجبه</w:t>
      </w:r>
      <w:r>
        <w:rPr>
          <w:rStyle w:val="FootnoteAnchor"/>
          <w:rtl w:val="true"/>
        </w:rPr>
        <w:footnoteReference w:id="761"/>
      </w:r>
      <w:r>
        <w:rPr>
          <w:rFonts w:ascii="IRNazanin" w:hAnsi="IRNazanin" w:eastAsia="IRNazanin"/>
          <w:color w:val="111111"/>
          <w:sz w:val="28"/>
          <w:sz w:val="28"/>
          <w:szCs w:val="28"/>
          <w:rtl w:val="true"/>
          <w:lang w:bidi="fa-IR"/>
        </w:rPr>
        <w:t>، من غیر فرقٍ بین أقسام الصوم من الواجب المعیّن والموسّع والمندوب، ولا فرق فی البطلان مع العمد</w:t>
      </w:r>
      <w:r>
        <w:rPr>
          <w:rStyle w:val="FootnoteAnchor"/>
          <w:rtl w:val="true"/>
        </w:rPr>
        <w:footnoteReference w:id="762"/>
      </w:r>
      <w:r>
        <w:rPr>
          <w:rFonts w:ascii="IRNazanin" w:hAnsi="IRNazanin" w:eastAsia="IRNazanin"/>
          <w:color w:val="111111"/>
          <w:sz w:val="28"/>
          <w:sz w:val="28"/>
          <w:szCs w:val="28"/>
          <w:rtl w:val="true"/>
          <w:lang w:bidi="fa-IR"/>
        </w:rPr>
        <w:t>بین الجاهل</w:t>
      </w:r>
      <w:r>
        <w:rPr>
          <w:rStyle w:val="FootnoteAnchor"/>
          <w:rtl w:val="true"/>
        </w:rPr>
        <w:footnoteReference w:id="763"/>
      </w:r>
      <w:r>
        <w:rPr>
          <w:rFonts w:ascii="IRNazanin" w:hAnsi="IRNazanin" w:eastAsia="IRNazanin"/>
          <w:color w:val="111111"/>
          <w:sz w:val="28"/>
          <w:sz w:val="28"/>
          <w:szCs w:val="28"/>
          <w:rtl w:val="true"/>
          <w:lang w:bidi="fa-IR"/>
        </w:rPr>
        <w:t> بقسمیه</w:t>
      </w:r>
      <w:r>
        <w:rPr>
          <w:rStyle w:val="FootnoteAnchor"/>
          <w:rtl w:val="true"/>
        </w:rPr>
        <w:footnoteReference w:id="764"/>
      </w:r>
      <w:r>
        <w:rPr>
          <w:rFonts w:ascii="IRNazanin" w:hAnsi="IRNazanin" w:eastAsia="IRNazanin"/>
          <w:color w:val="111111"/>
          <w:sz w:val="28"/>
          <w:sz w:val="28"/>
          <w:szCs w:val="28"/>
          <w:rtl w:val="true"/>
          <w:lang w:bidi="fa-IR"/>
        </w:rPr>
        <w:t xml:space="preserve"> والعالم، ولا بین المُکرَه وغیره، فلو اُکره علی   </w:t>
      </w:r>
      <w:bookmarkStart w:id="271" w:name="pg13281_119824"/>
    </w:p>
    <w:p>
      <w:pPr>
        <w:pStyle w:val="BookText"/>
        <w:rPr/>
      </w:pPr>
      <w:bookmarkEnd w:id="271"/>
      <w:r>
        <w:rPr>
          <w:rFonts w:ascii="IRNazanin" w:hAnsi="IRNazanin" w:eastAsia="IRNazanin"/>
          <w:color w:val="111111"/>
          <w:sz w:val="28"/>
          <w:sz w:val="28"/>
          <w:szCs w:val="28"/>
          <w:rtl w:val="true"/>
          <w:lang w:bidi="fa-IR"/>
        </w:rPr>
        <w:t>الإفطار فأفطر مباشرة فراراً من الضرر المترتّب علی ترکه بطل صومه علی الأقوی</w:t>
      </w:r>
      <w:r>
        <w:rPr>
          <w:rStyle w:val="FootnoteAnchor"/>
          <w:rtl w:val="true"/>
        </w:rPr>
        <w:footnoteReference w:id="765"/>
      </w:r>
      <w:r>
        <w:rPr>
          <w:rFonts w:ascii="IRNazanin" w:hAnsi="IRNazanin" w:eastAsia="IRNazanin"/>
          <w:color w:val="111111"/>
          <w:sz w:val="28"/>
          <w:sz w:val="28"/>
          <w:szCs w:val="28"/>
          <w:rtl w:val="true"/>
          <w:lang w:bidi="fa-IR"/>
        </w:rPr>
        <w:t>، نعم، لو وَجَر فی حلقه من غیر مباشرة منه لم یبطل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955010_2322387425"/>
      <w:bookmarkStart w:id="273" w:name="_Toc98"/>
      <w:bookmarkEnd w:id="272"/>
      <w:r>
        <w:rPr>
          <w:rtl w:val="true"/>
        </w:rPr>
        <w:t>الإفطار عمداً فی صورة الظنّ بفساد الصوم</w:t>
      </w:r>
      <w:bookmarkEnd w:id="27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أکل ناسیاً فظنّ فساد صومه فأفطر عامداً بطل صومه</w:t>
      </w:r>
      <w:r>
        <w:rPr>
          <w:rStyle w:val="FootnoteAnchor"/>
          <w:rtl w:val="true"/>
        </w:rPr>
        <w:footnoteReference w:id="767"/>
      </w:r>
      <w:r>
        <w:rPr>
          <w:rFonts w:ascii="IRNazanin" w:hAnsi="IRNazanin" w:eastAsia="IRNazanin"/>
          <w:color w:val="111111"/>
          <w:sz w:val="28"/>
          <w:sz w:val="28"/>
          <w:szCs w:val="28"/>
          <w:rtl w:val="true"/>
          <w:lang w:bidi="fa-IR"/>
        </w:rPr>
        <w:t xml:space="preserve">، وکذا لو أکل بتخیّل أنّ صومه مندوب یجوز إبطاله </w:t>
      </w:r>
      <w:bookmarkStart w:id="274" w:name="pg13281_119825"/>
    </w:p>
    <w:p>
      <w:pPr>
        <w:pStyle w:val="BookText"/>
        <w:rPr/>
      </w:pPr>
      <w:bookmarkEnd w:id="274"/>
      <w:r>
        <w:rPr>
          <w:rFonts w:ascii="IRNazanin" w:hAnsi="IRNazanin" w:eastAsia="IRNazanin"/>
          <w:color w:val="111111"/>
          <w:sz w:val="28"/>
          <w:sz w:val="28"/>
          <w:szCs w:val="28"/>
          <w:rtl w:val="true"/>
          <w:lang w:bidi="fa-IR"/>
        </w:rPr>
        <w:t>فذکر أنّه واجب</w:t>
      </w:r>
      <w:r>
        <w:rPr>
          <w:rFonts w:eastAsia="IRNazanin" w:cs="IRNazanin"/>
          <w:color w:val="111111"/>
          <w:sz w:val="28"/>
          <w:szCs w:val="28"/>
          <w:rtl w:val="true"/>
          <w:lang w:bidi="fa-IR"/>
        </w:rPr>
        <w:t>.</w:t>
      </w:r>
    </w:p>
    <w:p>
      <w:pPr>
        <w:pStyle w:val="Heading3"/>
        <w:numPr>
          <w:ilvl w:val="2"/>
          <w:numId w:val="1"/>
        </w:numPr>
        <w:rPr/>
      </w:pPr>
      <w:bookmarkStart w:id="275" w:name="__RefHeading___Toc1955012_2322387425"/>
      <w:bookmarkStart w:id="276" w:name="_Toc99"/>
      <w:bookmarkEnd w:id="275"/>
      <w:r>
        <w:rPr>
          <w:rtl w:val="true"/>
        </w:rPr>
        <w:t>الإفطار للتقیّة من الظالم</w:t>
      </w:r>
      <w:bookmarkEnd w:id="2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تقیّةً</w:t>
      </w:r>
      <w:r>
        <w:rPr>
          <w:rStyle w:val="FootnoteAnchor"/>
          <w:rtl w:val="true"/>
        </w:rPr>
        <w:footnoteReference w:id="768"/>
      </w:r>
      <w:r>
        <w:rPr>
          <w:rFonts w:ascii="IRNazanin" w:hAnsi="IRNazanin" w:eastAsia="IRNazanin"/>
          <w:color w:val="111111"/>
          <w:sz w:val="28"/>
          <w:sz w:val="28"/>
          <w:szCs w:val="28"/>
          <w:rtl w:val="true"/>
          <w:lang w:bidi="fa-IR"/>
        </w:rPr>
        <w:t> من ظالم</w:t>
      </w:r>
      <w:r>
        <w:rPr>
          <w:rStyle w:val="FootnoteAnchor"/>
          <w:rtl w:val="true"/>
        </w:rPr>
        <w:footnoteReference w:id="769"/>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w:t>
      </w:r>
      <w:r>
        <w:rPr>
          <w:rStyle w:val="FootnoteAnchor"/>
          <w:rtl w:val="true"/>
        </w:rPr>
        <w:footnoteReference w:id="770"/>
      </w:r>
      <w:r>
        <w:rPr>
          <w:rFonts w:ascii="IRNazanin" w:hAnsi="IRNazanin" w:eastAsia="IRNazanin"/>
          <w:color w:val="111111"/>
          <w:sz w:val="28"/>
          <w:sz w:val="28"/>
          <w:szCs w:val="28"/>
          <w:rtl w:val="true"/>
          <w:lang w:bidi="fa-IR"/>
        </w:rPr>
        <w:t> صومه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3281_119828"/>
      <w:bookmarkStart w:id="278" w:name="pg13281_119828"/>
      <w:bookmarkEnd w:id="278"/>
    </w:p>
    <w:p>
      <w:pPr>
        <w:pStyle w:val="Heading3"/>
        <w:numPr>
          <w:ilvl w:val="2"/>
          <w:numId w:val="1"/>
        </w:numPr>
        <w:rPr/>
      </w:pPr>
      <w:bookmarkStart w:id="279" w:name="pg13281_119828"/>
      <w:bookmarkStart w:id="280" w:name="__RefHeading___Toc1955014_2322387425"/>
      <w:bookmarkStart w:id="281" w:name="_Toc100"/>
      <w:bookmarkEnd w:id="279"/>
      <w:bookmarkEnd w:id="280"/>
      <w:r>
        <w:rPr>
          <w:rtl w:val="true"/>
        </w:rPr>
        <w:t>حکم ابتلاع اللّقمة وما یدخل فی الحلق من غیر اختیار</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اللقمة فی فمه وأراد بلعها لنسیان الصوم فتذکّر وجب إخراجها، وإن بلعها مع إمکان إلقائها بطل صومه، بل تجب الکفّارة أیضاً، وکذا لو کان مشغولاً بالأکل فتبیّن طلوع الفجر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الذُباب أو البقّ أو الدُخَان الغلیظ أو الغبار فی حلقه من غیر اختیاره</w:t>
      </w:r>
      <w:r>
        <w:rPr>
          <w:rStyle w:val="FootnoteAnchor"/>
          <w:rtl w:val="true"/>
        </w:rPr>
        <w:footnoteReference w:id="772"/>
      </w:r>
      <w:r>
        <w:rPr>
          <w:rFonts w:ascii="IRNazanin" w:hAnsi="IRNazanin" w:eastAsia="IRNazanin"/>
          <w:color w:val="111111"/>
          <w:sz w:val="28"/>
          <w:sz w:val="28"/>
          <w:szCs w:val="28"/>
          <w:rtl w:val="true"/>
          <w:lang w:bidi="fa-IR"/>
        </w:rPr>
        <w:t> لم یبطل صومه، وإن أمکن إخراجه وجب</w:t>
      </w:r>
      <w:r>
        <w:rPr>
          <w:rStyle w:val="FootnoteAnchor"/>
          <w:rtl w:val="true"/>
        </w:rPr>
        <w:footnoteReference w:id="773"/>
      </w:r>
      <w:r>
        <w:rPr>
          <w:rFonts w:ascii="IRNazanin" w:hAnsi="IRNazanin" w:eastAsia="IRNazanin"/>
          <w:color w:val="111111"/>
          <w:sz w:val="28"/>
          <w:sz w:val="28"/>
          <w:szCs w:val="28"/>
          <w:rtl w:val="true"/>
          <w:lang w:bidi="fa-IR"/>
        </w:rPr>
        <w:t> ولو وصل</w:t>
      </w:r>
      <w:r>
        <w:rPr>
          <w:rStyle w:val="FootnoteAnchor"/>
          <w:rtl w:val="true"/>
        </w:rPr>
        <w:footnoteReference w:id="774"/>
      </w:r>
      <w:r>
        <w:rPr>
          <w:rFonts w:ascii="IRNazanin" w:hAnsi="IRNazanin" w:eastAsia="IRNazanin"/>
          <w:color w:val="111111"/>
          <w:sz w:val="28"/>
          <w:sz w:val="28"/>
          <w:szCs w:val="28"/>
          <w:rtl w:val="true"/>
          <w:lang w:bidi="fa-IR"/>
        </w:rPr>
        <w:t> إلی</w:t>
      </w:r>
      <w:r>
        <w:rPr>
          <w:rStyle w:val="FootnoteAnchor"/>
          <w:rtl w:val="true"/>
        </w:rPr>
        <w:footnoteReference w:id="775"/>
      </w:r>
      <w:r>
        <w:rPr>
          <w:rFonts w:ascii="IRNazanin" w:hAnsi="IRNazanin" w:eastAsia="IRNazanin"/>
          <w:color w:val="111111"/>
          <w:sz w:val="28"/>
          <w:sz w:val="28"/>
          <w:szCs w:val="28"/>
          <w:rtl w:val="true"/>
          <w:lang w:bidi="fa-IR"/>
        </w:rPr>
        <w:t> مخرج الخاء</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282" w:name="pg13281_119829"/>
    </w:p>
    <w:p>
      <w:pPr>
        <w:pStyle w:val="Heading3"/>
        <w:numPr>
          <w:ilvl w:val="2"/>
          <w:numId w:val="1"/>
        </w:numPr>
        <w:rPr/>
      </w:pPr>
      <w:bookmarkStart w:id="283" w:name="__RefHeading___Toc1955016_2322387425"/>
      <w:bookmarkStart w:id="284" w:name="_Toc101"/>
      <w:bookmarkEnd w:id="282"/>
      <w:bookmarkEnd w:id="283"/>
      <w:r>
        <w:rPr>
          <w:rtl w:val="true"/>
        </w:rPr>
        <w:t>وظیفة من خاف علی نفسه الهلاک من غلبة العطش</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غلب علی الصائم العطش بحیث خاف من الهلاک</w:t>
      </w:r>
      <w:r>
        <w:rPr>
          <w:rStyle w:val="FootnoteAnchor"/>
          <w:rtl w:val="true"/>
        </w:rPr>
        <w:footnoteReference w:id="777"/>
      </w:r>
      <w:r>
        <w:rPr>
          <w:rFonts w:ascii="IRNazanin" w:hAnsi="IRNazanin" w:eastAsia="IRNazanin"/>
          <w:color w:val="111111"/>
          <w:sz w:val="28"/>
          <w:sz w:val="28"/>
          <w:szCs w:val="28"/>
          <w:rtl w:val="true"/>
          <w:lang w:bidi="fa-IR"/>
        </w:rPr>
        <w:t>یجوز له</w:t>
      </w:r>
      <w:r>
        <w:rPr>
          <w:rStyle w:val="FootnoteAnchor"/>
          <w:rtl w:val="true"/>
        </w:rPr>
        <w:footnoteReference w:id="778"/>
      </w:r>
      <w:r>
        <w:rPr>
          <w:rFonts w:ascii="IRNazanin" w:hAnsi="IRNazanin" w:eastAsia="IRNazanin"/>
          <w:color w:val="111111"/>
          <w:sz w:val="28"/>
          <w:sz w:val="28"/>
          <w:szCs w:val="28"/>
          <w:rtl w:val="true"/>
          <w:lang w:bidi="fa-IR"/>
        </w:rPr>
        <w:t> أن یشرب الماء مقتصراً</w:t>
      </w:r>
      <w:r>
        <w:rPr>
          <w:rStyle w:val="FootnoteAnchor"/>
          <w:rtl w:val="true"/>
        </w:rPr>
        <w:footnoteReference w:id="779"/>
      </w:r>
      <w:r>
        <w:rPr>
          <w:rFonts w:ascii="IRNazanin" w:hAnsi="IRNazanin" w:eastAsia="IRNazanin"/>
          <w:color w:val="111111"/>
          <w:sz w:val="28"/>
          <w:sz w:val="28"/>
          <w:szCs w:val="28"/>
          <w:rtl w:val="true"/>
          <w:lang w:bidi="fa-IR"/>
        </w:rPr>
        <w:t> علی مقدار الضرورة، ولکن یفسد صومه بذلک، ویجب علیه الإمساک</w:t>
      </w:r>
      <w:r>
        <w:rPr>
          <w:rStyle w:val="FootnoteAnchor"/>
          <w:rtl w:val="true"/>
        </w:rPr>
        <w:footnoteReference w:id="780"/>
      </w:r>
      <w:r>
        <w:rPr>
          <w:rFonts w:ascii="IRNazanin" w:hAnsi="IRNazanin" w:eastAsia="IRNazanin"/>
          <w:color w:val="111111"/>
          <w:sz w:val="28"/>
          <w:sz w:val="28"/>
          <w:szCs w:val="28"/>
          <w:rtl w:val="true"/>
          <w:lang w:bidi="fa-IR"/>
        </w:rPr>
        <w:t> بقیّة النهار إذا کان فی شهر رمضان، وأمّا فی غیره من الواجب الموسّع والمعیّن فلا یجب الإمساک، وإن کان أحوط فی الواجب المعیّن</w:t>
      </w:r>
      <w:r>
        <w:rPr>
          <w:rFonts w:eastAsia="IRNazanin" w:cs="IRNazanin"/>
          <w:color w:val="111111"/>
          <w:sz w:val="28"/>
          <w:szCs w:val="28"/>
          <w:rtl w:val="true"/>
          <w:lang w:bidi="fa-IR"/>
        </w:rPr>
        <w:t>.</w:t>
      </w:r>
    </w:p>
    <w:p>
      <w:pPr>
        <w:pStyle w:val="Heading3"/>
        <w:numPr>
          <w:ilvl w:val="2"/>
          <w:numId w:val="1"/>
        </w:numPr>
        <w:rPr/>
      </w:pPr>
      <w:bookmarkStart w:id="285" w:name="__RefHeading___Toc1955018_2322387425"/>
      <w:bookmarkStart w:id="286" w:name="_Toc102"/>
      <w:bookmarkEnd w:id="285"/>
      <w:r>
        <w:rPr>
          <w:rtl w:val="true"/>
        </w:rPr>
        <w:t>مبطلیة الذهاب إلی مکان یضطرّ فیه إلی الإفطار</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781"/>
      </w:r>
      <w:r>
        <w:rPr>
          <w:rFonts w:ascii="IRNazanin" w:hAnsi="IRNazanin" w:eastAsia="IRNazanin"/>
          <w:color w:val="111111"/>
          <w:sz w:val="28"/>
          <w:sz w:val="28"/>
          <w:szCs w:val="28"/>
          <w:rtl w:val="true"/>
          <w:lang w:bidi="fa-IR"/>
        </w:rPr>
        <w:t> للصائم أن یذهب إلی المکان الّذی یعلم اضطراره فیه إلی الإفطار بإکراه أو إیجار فی حلقه</w:t>
      </w:r>
      <w:r>
        <w:rPr>
          <w:rStyle w:val="FootnoteAnchor"/>
          <w:rtl w:val="true"/>
        </w:rPr>
        <w:footnoteReference w:id="782"/>
      </w:r>
      <w:r>
        <w:rPr>
          <w:rFonts w:ascii="IRNazanin" w:hAnsi="IRNazanin" w:eastAsia="IRNazanin"/>
          <w:color w:val="111111"/>
          <w:sz w:val="28"/>
          <w:sz w:val="28"/>
          <w:szCs w:val="28"/>
          <w:rtl w:val="true"/>
          <w:lang w:bidi="fa-IR"/>
        </w:rPr>
        <w:t> أو نحو ذلک،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ویبطل صومه</w:t>
      </w:r>
      <w:r>
        <w:rPr>
          <w:rStyle w:val="FootnoteAnchor"/>
          <w:rtl w:val="true"/>
        </w:rPr>
        <w:footnoteReference w:id="783"/>
      </w:r>
      <w:r>
        <w:rPr>
          <w:rFonts w:ascii="Amiri" w:hAnsi="Amiri" w:eastAsia="Amiri" w:cs="Amiri"/>
          <w:color w:val="111111"/>
          <w:sz w:val="28"/>
          <w:sz w:val="28"/>
          <w:szCs w:val="28"/>
          <w:rtl w:val="true"/>
          <w:lang w:bidi="ar-SA"/>
        </w:rPr>
        <w:t> لو ذهب وصار مضطرّاً</w:t>
      </w:r>
      <w:r>
        <w:rPr>
          <w:rStyle w:val="FootnoteAnchor"/>
          <w:rtl w:val="true"/>
        </w:rPr>
        <w:footnoteReference w:id="784"/>
      </w:r>
      <w:r>
        <w:rPr>
          <w:rFonts w:ascii="IRNazanin" w:hAnsi="IRNazanin" w:eastAsia="IRNazanin"/>
          <w:color w:val="111111"/>
          <w:sz w:val="28"/>
          <w:sz w:val="28"/>
          <w:szCs w:val="28"/>
          <w:rtl w:val="true"/>
          <w:lang w:bidi="fa-IR"/>
        </w:rPr>
        <w:t> ولو کان</w:t>
      </w:r>
      <w:r>
        <w:rPr>
          <w:rStyle w:val="FootnoteAnchor"/>
          <w:rtl w:val="true"/>
        </w:rPr>
        <w:footnoteReference w:id="785"/>
      </w:r>
      <w:r>
        <w:rPr>
          <w:rFonts w:ascii="IRNazanin" w:hAnsi="IRNazanin" w:eastAsia="IRNazanin"/>
          <w:color w:val="111111"/>
          <w:sz w:val="28"/>
          <w:sz w:val="28"/>
          <w:szCs w:val="28"/>
          <w:rtl w:val="true"/>
          <w:lang w:bidi="fa-IR"/>
        </w:rPr>
        <w:t> بنحو</w:t>
      </w:r>
      <w:r>
        <w:rPr>
          <w:rStyle w:val="FootnoteAnchor"/>
          <w:rtl w:val="true"/>
        </w:rPr>
        <w:footnoteReference w:id="786"/>
      </w:r>
      <w:r>
        <w:rPr>
          <w:rFonts w:ascii="IRNazanin" w:hAnsi="IRNazanin" w:eastAsia="IRNazanin"/>
          <w:color w:val="111111"/>
          <w:sz w:val="28"/>
          <w:sz w:val="28"/>
          <w:szCs w:val="28"/>
          <w:rtl w:val="true"/>
          <w:lang w:bidi="fa-IR"/>
        </w:rPr>
        <w:t>الإیجار</w:t>
      </w:r>
      <w:r>
        <w:rPr>
          <w:rStyle w:val="FootnoteAnchor"/>
          <w:rtl w:val="true"/>
        </w:rPr>
        <w:footnoteReference w:id="787"/>
      </w:r>
      <w:r>
        <w:rPr>
          <w:rFonts w:ascii="IRNazanin" w:hAnsi="IRNazanin" w:eastAsia="IRNazanin"/>
          <w:color w:val="111111"/>
          <w:sz w:val="28"/>
          <w:sz w:val="28"/>
          <w:szCs w:val="28"/>
          <w:rtl w:val="true"/>
          <w:lang w:bidi="fa-IR"/>
        </w:rPr>
        <w:t>، بل لا یبعد</w:t>
      </w:r>
      <w:r>
        <w:rPr>
          <w:rStyle w:val="FootnoteAnchor"/>
          <w:rtl w:val="true"/>
        </w:rPr>
        <w:footnoteReference w:id="788"/>
      </w:r>
      <w:r>
        <w:rPr>
          <w:rFonts w:ascii="IRNazanin" w:hAnsi="IRNazanin" w:eastAsia="IRNazanin"/>
          <w:color w:val="111111"/>
          <w:sz w:val="28"/>
          <w:sz w:val="28"/>
          <w:szCs w:val="28"/>
          <w:rtl w:val="true"/>
          <w:lang w:bidi="fa-IR"/>
        </w:rPr>
        <w:t> بطلانه</w:t>
      </w:r>
      <w:r>
        <w:rPr>
          <w:rStyle w:val="FootnoteAnchor"/>
          <w:rtl w:val="true"/>
        </w:rPr>
        <w:footnoteReference w:id="789"/>
      </w:r>
      <w:r>
        <w:rPr>
          <w:rFonts w:ascii="Amiri" w:hAnsi="Amiri" w:eastAsia="Amiri" w:cs="Amiri"/>
          <w:color w:val="111111"/>
          <w:sz w:val="28"/>
          <w:sz w:val="28"/>
          <w:szCs w:val="28"/>
          <w:rtl w:val="true"/>
          <w:lang w:bidi="ar-SA"/>
        </w:rPr>
        <w:t xml:space="preserve"> بمجرّد </w:t>
      </w:r>
      <w:bookmarkStart w:id="287" w:name="pg13281_119831"/>
    </w:p>
    <w:p>
      <w:pPr>
        <w:pStyle w:val="BookText"/>
        <w:rPr/>
      </w:pPr>
      <w:bookmarkEnd w:id="287"/>
      <w:r>
        <w:rPr>
          <w:rFonts w:ascii="IRNazanin" w:hAnsi="IRNazanin" w:eastAsia="IRNazanin"/>
          <w:color w:val="111111"/>
          <w:sz w:val="28"/>
          <w:sz w:val="28"/>
          <w:szCs w:val="28"/>
          <w:rtl w:val="true"/>
          <w:lang w:bidi="fa-IR"/>
        </w:rPr>
        <w:t>القصد</w:t>
      </w:r>
      <w:r>
        <w:rPr>
          <w:rStyle w:val="FootnoteAnchor"/>
          <w:rtl w:val="true"/>
        </w:rPr>
        <w:footnoteReference w:id="790"/>
      </w:r>
      <w:r>
        <w:rPr>
          <w:rFonts w:ascii="IRNazanin" w:hAnsi="IRNazanin" w:eastAsia="IRNazanin"/>
          <w:color w:val="111111"/>
          <w:sz w:val="28"/>
          <w:sz w:val="28"/>
          <w:szCs w:val="28"/>
          <w:rtl w:val="true"/>
          <w:lang w:bidi="fa-IR"/>
        </w:rPr>
        <w:t> إلی ذلک؛ فإنّه کالقصد</w:t>
      </w:r>
      <w:r>
        <w:rPr>
          <w:rStyle w:val="FootnoteAnchor"/>
          <w:rtl w:val="true"/>
        </w:rPr>
        <w:footnoteReference w:id="791"/>
      </w:r>
      <w:r>
        <w:rPr>
          <w:rFonts w:ascii="IRNazanin" w:hAnsi="IRNazanin" w:eastAsia="IRNazanin"/>
          <w:color w:val="111111"/>
          <w:sz w:val="28"/>
          <w:sz w:val="28"/>
          <w:szCs w:val="28"/>
          <w:rtl w:val="true"/>
          <w:lang w:bidi="fa-IR"/>
        </w:rPr>
        <w:t> للإفطار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955020_2322387425"/>
      <w:bookmarkStart w:id="289" w:name="_Toc103"/>
      <w:bookmarkEnd w:id="288"/>
      <w:r>
        <w:rPr>
          <w:rtl w:val="true"/>
        </w:rPr>
        <w:t>مبطلیة الجماع إذا تذکّر بعد النسیان ولم یترک</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فجامع لم یبطل صومه، وإن تذکّر فی الأثناء وجب المبادرة</w:t>
      </w:r>
      <w:r>
        <w:rPr>
          <w:rStyle w:val="FootnoteAnchor"/>
          <w:rtl w:val="true"/>
        </w:rPr>
        <w:footnoteReference w:id="793"/>
      </w:r>
      <w:r>
        <w:rPr>
          <w:rFonts w:ascii="IRNazanin" w:hAnsi="IRNazanin" w:eastAsia="IRNazanin"/>
          <w:color w:val="111111"/>
          <w:sz w:val="28"/>
          <w:sz w:val="28"/>
          <w:szCs w:val="28"/>
          <w:rtl w:val="true"/>
          <w:lang w:bidi="fa-IR"/>
        </w:rPr>
        <w:t> إلی الإخراج، وإلّا وجب علیه القضاء والکفّارة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290" w:name="pg13281_119832"/>
    </w:p>
    <w:p>
      <w:pPr>
        <w:pStyle w:val="BookText"/>
        <w:rPr/>
      </w:pPr>
      <w:bookmarkEnd w:id="290"/>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لا بأس بها للصائم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1" w:name="__RefHeading___Toc1955022_2322387425"/>
      <w:bookmarkStart w:id="292" w:name="_Toc104"/>
      <w:bookmarkEnd w:id="291"/>
      <w:r>
        <w:rPr>
          <w:rtl w:val="true"/>
        </w:rPr>
        <w:t>فصل</w:t>
      </w:r>
      <w:r>
        <w:rPr>
          <w:rtl w:val="true"/>
        </w:rPr>
        <w:t xml:space="preserve">: </w:t>
      </w:r>
      <w:r>
        <w:rPr>
          <w:rtl w:val="true"/>
        </w:rPr>
        <w:t>فی اُمورٍ لا بأس بها للصائم</w:t>
      </w:r>
      <w:bookmarkEnd w:id="292"/>
    </w:p>
    <w:p>
      <w:pPr>
        <w:pStyle w:val="Heading3"/>
        <w:numPr>
          <w:ilvl w:val="2"/>
          <w:numId w:val="1"/>
        </w:numPr>
        <w:rPr/>
      </w:pPr>
      <w:bookmarkStart w:id="293" w:name="__RefHeading___Toc1955024_2322387425"/>
      <w:bookmarkStart w:id="294" w:name="_Toc105"/>
      <w:bookmarkEnd w:id="293"/>
      <w:r>
        <w:rPr>
          <w:rtl w:val="true"/>
        </w:rPr>
        <w:t>المیزان فی ما یجوز للصائم ارتکابه من اُمور</w:t>
      </w:r>
      <w:bookmarkEnd w:id="294"/>
    </w:p>
    <w:p>
      <w:pPr>
        <w:pStyle w:val="BookText"/>
        <w:rPr/>
      </w:pPr>
      <w:r>
        <w:rPr>
          <w:rFonts w:ascii="IRNazanin" w:hAnsi="IRNazanin" w:eastAsia="IRNazanin"/>
          <w:color w:val="111111"/>
          <w:sz w:val="28"/>
          <w:sz w:val="28"/>
          <w:szCs w:val="28"/>
          <w:rtl w:val="true"/>
          <w:lang w:bidi="fa-IR"/>
        </w:rPr>
        <w:t>لا بأس للصائم بمصّ الخاتم</w:t>
      </w:r>
      <w:r>
        <w:rPr>
          <w:rStyle w:val="FootnoteAnchor"/>
          <w:rtl w:val="true"/>
        </w:rPr>
        <w:footnoteReference w:id="794"/>
      </w:r>
      <w:r>
        <w:rPr>
          <w:rFonts w:ascii="IRNazanin" w:hAnsi="IRNazanin" w:eastAsia="IRNazanin"/>
          <w:color w:val="111111"/>
          <w:sz w:val="28"/>
          <w:sz w:val="28"/>
          <w:szCs w:val="28"/>
          <w:rtl w:val="true"/>
          <w:lang w:bidi="fa-IR"/>
        </w:rPr>
        <w:t> أو الحصی، ولا بمضغ الطعام للصبیّ،  </w:t>
      </w:r>
    </w:p>
    <w:p>
      <w:pPr>
        <w:pStyle w:val="BookText"/>
        <w:rPr/>
      </w:pPr>
      <w:r>
        <w:rPr>
          <w:rFonts w:ascii="Amiri" w:hAnsi="Amiri" w:eastAsia="Amiri" w:cs="Amiri"/>
          <w:color w:val="111111"/>
          <w:sz w:val="28"/>
          <w:sz w:val="28"/>
          <w:szCs w:val="28"/>
          <w:rtl w:val="true"/>
          <w:lang w:bidi="ar-SA"/>
        </w:rPr>
        <w:t>ولا بِزَقِّ الطائر، ولا بذوق</w:t>
      </w:r>
      <w:r>
        <w:rPr>
          <w:rStyle w:val="FootnoteAnchor"/>
          <w:rtl w:val="true"/>
        </w:rPr>
        <w:footnoteReference w:id="795"/>
      </w:r>
      <w:r>
        <w:rPr>
          <w:rFonts w:ascii="IRNazanin" w:hAnsi="IRNazanin" w:eastAsia="IRNazanin"/>
          <w:color w:val="111111"/>
          <w:sz w:val="28"/>
          <w:sz w:val="28"/>
          <w:szCs w:val="28"/>
          <w:rtl w:val="true"/>
          <w:lang w:bidi="fa-IR"/>
        </w:rPr>
        <w:t> المَرَق ونحو ذلک ممّا لا یتعدّی إلی الحلق، ولا یبطل صومه إذا اتّفق التعدّی إذا کان من غیر</w:t>
      </w:r>
      <w:r>
        <w:rPr>
          <w:rStyle w:val="FootnoteAnchor"/>
          <w:rtl w:val="true"/>
        </w:rPr>
        <w:footnoteReference w:id="796"/>
      </w:r>
      <w:r>
        <w:rPr>
          <w:rFonts w:ascii="IRNazanin" w:hAnsi="IRNazanin" w:eastAsia="IRNazanin"/>
          <w:color w:val="111111"/>
          <w:sz w:val="28"/>
          <w:sz w:val="28"/>
          <w:szCs w:val="28"/>
          <w:rtl w:val="true"/>
          <w:lang w:bidi="fa-IR"/>
        </w:rPr>
        <w:t> قصد، ولا علم بأنّه یتعدّی قهراً أو نسیاناً، أمّا مع العلم بذلک من الأول فیدخل فی الإفطار العمدیّ، وکذا لا بأس بمضغ العِلْک</w:t>
      </w:r>
      <w:r>
        <w:rPr>
          <w:rStyle w:val="FootnoteAnchor"/>
          <w:rtl w:val="true"/>
        </w:rPr>
        <w:footnoteReference w:id="797"/>
      </w:r>
      <w:r>
        <w:rPr>
          <w:rFonts w:ascii="IRNazanin" w:hAnsi="IRNazanin" w:eastAsia="IRNazanin"/>
          <w:color w:val="111111"/>
          <w:sz w:val="28"/>
          <w:sz w:val="28"/>
          <w:szCs w:val="28"/>
          <w:rtl w:val="true"/>
          <w:lang w:bidi="fa-IR"/>
        </w:rPr>
        <w:t> ولا ببلع ریقه بعده وإن وُجِد له طعم فیه ما لم</w:t>
      </w:r>
      <w:r>
        <w:rPr>
          <w:rStyle w:val="FootnoteAnchor"/>
          <w:rtl w:val="true"/>
        </w:rPr>
        <w:footnoteReference w:id="798"/>
      </w:r>
      <w:r>
        <w:rPr>
          <w:rFonts w:ascii="IRNazanin" w:hAnsi="IRNazanin" w:eastAsia="IRNazanin"/>
          <w:color w:val="111111"/>
          <w:sz w:val="28"/>
          <w:sz w:val="28"/>
          <w:szCs w:val="28"/>
          <w:rtl w:val="true"/>
          <w:lang w:bidi="fa-IR"/>
        </w:rPr>
        <w:t> یکن ذلک بتفتّت أجزاء</w:t>
      </w:r>
      <w:r>
        <w:rPr>
          <w:rStyle w:val="FootnoteAnchor"/>
          <w:rtl w:val="true"/>
        </w:rPr>
        <w:footnoteReference w:id="799"/>
      </w:r>
      <w:r>
        <w:rPr>
          <w:rFonts w:ascii="IRNazanin" w:hAnsi="IRNazanin" w:eastAsia="IRNazanin"/>
          <w:color w:val="111111"/>
          <w:sz w:val="28"/>
          <w:sz w:val="28"/>
          <w:szCs w:val="28"/>
          <w:rtl w:val="true"/>
          <w:lang w:bidi="fa-IR"/>
        </w:rPr>
        <w:t> منه</w:t>
      </w:r>
      <w:r>
        <w:rPr>
          <w:rStyle w:val="FootnoteAnchor"/>
          <w:rtl w:val="true"/>
        </w:rPr>
        <w:footnoteReference w:id="800"/>
      </w:r>
      <w:r>
        <w:rPr>
          <w:rFonts w:ascii="IRNazanin" w:hAnsi="IRNazanin" w:eastAsia="IRNazanin"/>
          <w:color w:val="111111"/>
          <w:sz w:val="28"/>
          <w:sz w:val="28"/>
          <w:szCs w:val="28"/>
          <w:rtl w:val="true"/>
          <w:lang w:bidi="fa-IR"/>
        </w:rPr>
        <w:t>، بل کان لأجل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المجاورة</w:t>
      </w:r>
      <w:r>
        <w:rPr>
          <w:rStyle w:val="FootnoteAnchor"/>
          <w:rtl w:val="true"/>
        </w:rPr>
        <w:footnoteReference w:id="801"/>
      </w:r>
      <w:r>
        <w:rPr>
          <w:rFonts w:ascii="IRNazanin" w:hAnsi="IRNazanin" w:eastAsia="IRNazanin"/>
          <w:color w:val="111111"/>
          <w:sz w:val="28"/>
          <w:sz w:val="28"/>
          <w:szCs w:val="28"/>
          <w:rtl w:val="true"/>
          <w:lang w:bidi="fa-IR"/>
        </w:rPr>
        <w:t>، وکذا لا بأس بجلوسه فی الماء ما لم یرتمس، رجلاً کان أو امرأة</w:t>
      </w:r>
      <w:r>
        <w:rPr>
          <w:rStyle w:val="FootnoteAnchor"/>
          <w:rtl w:val="true"/>
        </w:rPr>
        <w:footnoteReference w:id="802"/>
      </w:r>
      <w:r>
        <w:rPr>
          <w:rFonts w:ascii="IRNazanin" w:hAnsi="IRNazanin" w:eastAsia="IRNazanin"/>
          <w:color w:val="111111"/>
          <w:sz w:val="28"/>
          <w:sz w:val="28"/>
          <w:szCs w:val="28"/>
          <w:rtl w:val="true"/>
          <w:lang w:bidi="fa-IR"/>
        </w:rPr>
        <w:t>، وإن کان یُکره لها ذلک، ولا ببلّ الثوب ووضعه علی الجسد، ولا بالسواک الیابس، بل بالرطب أیضاً، لکن إذا أخرج المسواک من فمه لا یردّه وعلیه رطوبة، وإلّا کانت کالرطوبة الخارجیّة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بلعها</w:t>
      </w:r>
      <w:r>
        <w:rPr>
          <w:rStyle w:val="FootnoteAnchor"/>
          <w:rtl w:val="true"/>
        </w:rPr>
        <w:footnoteReference w:id="803"/>
      </w:r>
      <w:r>
        <w:rPr>
          <w:rFonts w:ascii="Amiri" w:hAnsi="Amiri" w:eastAsia="Amiri" w:cs="Amiri"/>
          <w:color w:val="111111"/>
          <w:sz w:val="28"/>
          <w:sz w:val="28"/>
          <w:szCs w:val="28"/>
          <w:rtl w:val="true"/>
          <w:lang w:bidi="ar-SA"/>
        </w:rPr>
        <w:t> إلّا</w:t>
      </w:r>
      <w:r>
        <w:rPr>
          <w:rStyle w:val="FootnoteAnchor"/>
          <w:rtl w:val="true"/>
        </w:rPr>
        <w:footnoteReference w:id="804"/>
      </w:r>
      <w:r>
        <w:rPr>
          <w:rFonts w:ascii="IRNazanin" w:hAnsi="IRNazanin" w:eastAsia="IRNazanin"/>
          <w:color w:val="111111"/>
          <w:sz w:val="28"/>
          <w:sz w:val="28"/>
          <w:szCs w:val="28"/>
          <w:rtl w:val="true"/>
          <w:lang w:bidi="fa-IR"/>
        </w:rPr>
        <w:t> بعد الاستهلاک</w:t>
      </w:r>
      <w:r>
        <w:rPr>
          <w:rStyle w:val="FootnoteAnchor"/>
          <w:rtl w:val="true"/>
        </w:rPr>
        <w:footnoteReference w:id="805"/>
      </w:r>
      <w:r>
        <w:rPr>
          <w:rFonts w:ascii="IRNazanin" w:hAnsi="IRNazanin" w:eastAsia="IRNazanin"/>
          <w:color w:val="111111"/>
          <w:sz w:val="28"/>
          <w:sz w:val="28"/>
          <w:szCs w:val="28"/>
          <w:rtl w:val="true"/>
          <w:lang w:bidi="fa-IR"/>
        </w:rPr>
        <w:t> فی الریق، وکذا لا بأس بمصّ لسان الصبیّ أو الزوجة إذا لم یکن علیه رطوبة</w:t>
      </w:r>
      <w:r>
        <w:rPr>
          <w:rStyle w:val="FootnoteAnchor"/>
          <w:rtl w:val="true"/>
        </w:rPr>
        <w:footnoteReference w:id="806"/>
      </w:r>
      <w:r>
        <w:rPr>
          <w:rFonts w:ascii="IRNazanin" w:hAnsi="IRNazanin" w:eastAsia="IRNazanin"/>
          <w:color w:val="111111"/>
          <w:sz w:val="28"/>
          <w:sz w:val="28"/>
          <w:szCs w:val="28"/>
          <w:rtl w:val="true"/>
          <w:lang w:bidi="fa-IR"/>
        </w:rPr>
        <w:t xml:space="preserve">، </w:t>
      </w:r>
      <w:bookmarkStart w:id="295" w:name="pg13281_119834"/>
    </w:p>
    <w:p>
      <w:pPr>
        <w:pStyle w:val="BookText"/>
        <w:rPr/>
      </w:pPr>
      <w:bookmarkEnd w:id="295"/>
      <w:r>
        <w:rPr>
          <w:rFonts w:ascii="IRNazanin" w:hAnsi="IRNazanin" w:eastAsia="IRNazanin"/>
          <w:color w:val="111111"/>
          <w:sz w:val="28"/>
          <w:sz w:val="28"/>
          <w:szCs w:val="28"/>
          <w:rtl w:val="true"/>
          <w:lang w:bidi="fa-IR"/>
        </w:rPr>
        <w:t>ولا بتقبیلها</w:t>
      </w:r>
      <w:r>
        <w:rPr>
          <w:rStyle w:val="FootnoteAnchor"/>
          <w:rtl w:val="true"/>
        </w:rPr>
        <w:footnoteReference w:id="807"/>
      </w:r>
      <w:r>
        <w:rPr>
          <w:rFonts w:ascii="Amiri" w:hAnsi="Amiri" w:eastAsia="Amiri" w:cs="Amiri"/>
          <w:color w:val="111111"/>
          <w:sz w:val="28"/>
          <w:sz w:val="28"/>
          <w:szCs w:val="28"/>
          <w:rtl w:val="true"/>
          <w:lang w:bidi="ar-SA"/>
        </w:rPr>
        <w:t> أو ضمّها</w:t>
      </w:r>
      <w:r>
        <w:rPr>
          <w:rStyle w:val="FootnoteAnchor"/>
          <w:rtl w:val="true"/>
        </w:rPr>
        <w:footnoteReference w:id="808"/>
      </w:r>
      <w:r>
        <w:rPr>
          <w:rFonts w:ascii="IRNazanin" w:hAnsi="IRNazanin" w:eastAsia="IRNazanin"/>
          <w:color w:val="111111"/>
          <w:sz w:val="28"/>
          <w:sz w:val="28"/>
          <w:szCs w:val="28"/>
          <w:rtl w:val="true"/>
          <w:lang w:bidi="fa-IR"/>
        </w:rPr>
        <w:t> أو نحو ذلک</w:t>
      </w:r>
      <w:r>
        <w:rPr>
          <w:rFonts w:eastAsia="IRNazanin" w:cs="IRNazanin"/>
          <w:color w:val="111111"/>
          <w:sz w:val="28"/>
          <w:szCs w:val="28"/>
          <w:rtl w:val="true"/>
          <w:lang w:bidi="fa-IR"/>
        </w:rPr>
        <w:t>.</w:t>
      </w:r>
    </w:p>
    <w:p>
      <w:pPr>
        <w:pStyle w:val="Heading3"/>
        <w:numPr>
          <w:ilvl w:val="2"/>
          <w:numId w:val="1"/>
        </w:numPr>
        <w:rPr/>
      </w:pPr>
      <w:bookmarkStart w:id="296" w:name="__RefHeading___Toc1955026_2322387425"/>
      <w:bookmarkStart w:id="297" w:name="_Toc106"/>
      <w:bookmarkEnd w:id="296"/>
      <w:r>
        <w:rPr>
          <w:rtl w:val="true"/>
        </w:rPr>
        <w:t>الحکم فی ابتلاع الریق الممتزج بالدم ونحوه من المحرّمات</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امتزج بریقه دم واستهلک فیه یجوز</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بلعه</w:t>
      </w:r>
      <w:r>
        <w:rPr>
          <w:rStyle w:val="FootnoteAnchor"/>
          <w:rtl w:val="true"/>
        </w:rPr>
        <w:footnoteReference w:id="809"/>
      </w:r>
      <w:r>
        <w:rPr>
          <w:rFonts w:ascii="IRNazanin" w:hAnsi="IRNazanin" w:eastAsia="IRNazanin"/>
          <w:color w:val="111111"/>
          <w:sz w:val="28"/>
          <w:sz w:val="28"/>
          <w:szCs w:val="28"/>
          <w:rtl w:val="true"/>
          <w:lang w:bidi="fa-IR"/>
        </w:rPr>
        <w:t> علی الأقوی</w:t>
      </w:r>
      <w:r>
        <w:rPr>
          <w:rStyle w:val="FootnoteAnchor"/>
          <w:rtl w:val="true"/>
        </w:rPr>
        <w:footnoteReference w:id="810"/>
      </w:r>
      <w:r>
        <w:rPr>
          <w:rFonts w:ascii="IRNazanin" w:hAnsi="IRNazanin" w:eastAsia="IRNazanin"/>
          <w:color w:val="111111"/>
          <w:sz w:val="28"/>
          <w:sz w:val="28"/>
          <w:szCs w:val="28"/>
          <w:rtl w:val="true"/>
          <w:lang w:bidi="fa-IR"/>
        </w:rPr>
        <w:t>، وکذا غیر الدم من المحرّمات والمحلّلات، والظاهر</w:t>
      </w:r>
      <w:r>
        <w:rPr>
          <w:rStyle w:val="FootnoteAnchor"/>
          <w:rtl w:val="true"/>
        </w:rPr>
        <w:footnoteReference w:id="811"/>
      </w:r>
      <w:r>
        <w:rPr>
          <w:rFonts w:ascii="IRNazanin" w:hAnsi="IRNazanin" w:eastAsia="IRNazanin"/>
          <w:color w:val="111111"/>
          <w:sz w:val="28"/>
          <w:sz w:val="28"/>
          <w:szCs w:val="28"/>
          <w:rtl w:val="true"/>
          <w:lang w:bidi="fa-IR"/>
        </w:rPr>
        <w:t> عدم</w:t>
      </w:r>
      <w:r>
        <w:rPr>
          <w:rStyle w:val="FootnoteAnchor"/>
          <w:rtl w:val="true"/>
        </w:rPr>
        <w:footnoteReference w:id="812"/>
      </w:r>
      <w:r>
        <w:rPr>
          <w:rFonts w:ascii="IRNazanin" w:hAnsi="IRNazanin" w:eastAsia="IRNazanin"/>
          <w:color w:val="111111"/>
          <w:sz w:val="28"/>
          <w:sz w:val="28"/>
          <w:szCs w:val="28"/>
          <w:rtl w:val="true"/>
          <w:lang w:bidi="fa-IR"/>
        </w:rPr>
        <w:t> جواز</w:t>
      </w:r>
      <w:r>
        <w:rPr>
          <w:rStyle w:val="FootnoteAnchor"/>
          <w:rtl w:val="true"/>
        </w:rPr>
        <w:footnoteReference w:id="813"/>
      </w:r>
      <w:r>
        <w:rPr>
          <w:rFonts w:ascii="Amiri" w:hAnsi="Amiri" w:eastAsia="Amiri" w:cs="Amiri"/>
          <w:color w:val="111111"/>
          <w:sz w:val="28"/>
          <w:sz w:val="28"/>
          <w:szCs w:val="28"/>
          <w:rtl w:val="true"/>
          <w:lang w:bidi="ar-SA"/>
        </w:rPr>
        <w:t> تعمّد</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المزج</w:t>
      </w:r>
      <w:r>
        <w:rPr>
          <w:rStyle w:val="FootnoteAnchor"/>
          <w:rtl w:val="true"/>
        </w:rPr>
        <w:footnoteReference w:id="815"/>
      </w:r>
      <w:r>
        <w:rPr>
          <w:rFonts w:ascii="IRNazanin" w:hAnsi="IRNazanin" w:eastAsia="IRNazanin"/>
          <w:color w:val="111111"/>
          <w:sz w:val="28"/>
          <w:sz w:val="28"/>
          <w:szCs w:val="28"/>
          <w:rtl w:val="true"/>
          <w:lang w:bidi="fa-IR"/>
        </w:rPr>
        <w:t> والاستهلاک</w:t>
      </w:r>
      <w:r>
        <w:rPr>
          <w:rStyle w:val="FootnoteAnchor"/>
          <w:rtl w:val="true"/>
        </w:rPr>
        <w:footnoteReference w:id="816"/>
      </w:r>
      <w:r>
        <w:rPr>
          <w:rFonts w:ascii="IRNazanin" w:hAnsi="IRNazanin" w:eastAsia="IRNazanin"/>
          <w:color w:val="111111"/>
          <w:sz w:val="28"/>
          <w:sz w:val="28"/>
          <w:szCs w:val="28"/>
          <w:rtl w:val="true"/>
          <w:lang w:bidi="fa-IR"/>
        </w:rPr>
        <w:t> للبلع</w:t>
      </w:r>
      <w:r>
        <w:rPr>
          <w:rStyle w:val="FootnoteAnchor"/>
          <w:rtl w:val="true"/>
        </w:rPr>
        <w:footnoteReference w:id="817"/>
      </w:r>
      <w:r>
        <w:rPr>
          <w:rFonts w:ascii="IRNazanin" w:hAnsi="IRNazanin" w:eastAsia="IRNazanin"/>
          <w:color w:val="111111"/>
          <w:sz w:val="28"/>
          <w:sz w:val="28"/>
          <w:szCs w:val="28"/>
          <w:rtl w:val="true"/>
          <w:lang w:bidi="fa-IR"/>
        </w:rPr>
        <w:t>، سواء کان مثل الدم ونحوه من المحرّمات أم الماء ونحوه من المحلّلات، فما ذکرنا من الجواز إنّما هو إذا کان ذلک علی وجه الاتّفاق</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8" w:name="pg13281_119836"/>
    </w:p>
    <w:p>
      <w:pPr>
        <w:pStyle w:val="BookText"/>
        <w:rPr/>
      </w:pPr>
      <w:bookmarkEnd w:id="298"/>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یکره للصائم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9" w:name="__RefHeading___Toc1955028_2322387425"/>
      <w:bookmarkStart w:id="300" w:name="_Toc107"/>
      <w:bookmarkEnd w:id="299"/>
      <w:r>
        <w:rPr>
          <w:rtl w:val="true"/>
        </w:rPr>
        <w:t>فصل</w:t>
      </w:r>
      <w:r>
        <w:rPr>
          <w:rtl w:val="true"/>
        </w:rPr>
        <w:t xml:space="preserve">: </w:t>
      </w:r>
      <w:r>
        <w:rPr>
          <w:rtl w:val="true"/>
        </w:rPr>
        <w:t>فی ما یکره للصائم</w:t>
      </w:r>
      <w:bookmarkEnd w:id="300"/>
    </w:p>
    <w:p>
      <w:pPr>
        <w:pStyle w:val="Heading3"/>
        <w:numPr>
          <w:ilvl w:val="2"/>
          <w:numId w:val="1"/>
        </w:numPr>
        <w:rPr/>
      </w:pPr>
      <w:bookmarkStart w:id="301" w:name="__RefHeading___Toc1955030_2322387425"/>
      <w:bookmarkStart w:id="302" w:name="_Toc108"/>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یُکره للصائم</w:t>
      </w:r>
      <w:r>
        <w:rPr>
          <w:rStyle w:val="FootnoteAnchor"/>
          <w:rtl w:val="true"/>
        </w:rPr>
        <w:footnoteReference w:id="819"/>
      </w:r>
      <w:r>
        <w:rPr>
          <w:rFonts w:ascii="Amiri" w:hAnsi="Amiri" w:eastAsia="Amiri" w:cs="Amiri"/>
          <w:color w:val="111111"/>
          <w:sz w:val="28"/>
          <w:sz w:val="28"/>
          <w:szCs w:val="28"/>
          <w:rtl w:val="true"/>
          <w:lang w:bidi="ar-SA"/>
        </w:rPr>
        <w:t> اُمور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955032_2322387425"/>
      <w:bookmarkStart w:id="304" w:name="_Toc109"/>
      <w:bookmarkEnd w:id="303"/>
      <w:r>
        <w:rPr>
          <w:rtl w:val="true"/>
        </w:rPr>
        <w:t xml:space="preserve">الأول </w:t>
      </w:r>
      <w:r>
        <w:rPr>
          <w:rtl w:val="true"/>
        </w:rPr>
        <w:t xml:space="preserve">: </w:t>
      </w:r>
      <w:r>
        <w:rPr>
          <w:rtl w:val="true"/>
        </w:rPr>
        <w:t>مباشرة النساء بما لا یستوجب الجنابة </w:t>
      </w:r>
      <w:bookmarkEnd w:id="304"/>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 لمساً وتقبیلاً وملاعبة، خصوصاً</w:t>
      </w:r>
    </w:p>
    <w:p>
      <w:pPr>
        <w:pStyle w:val="BookText"/>
        <w:rPr/>
      </w:pPr>
      <w:r>
        <w:rPr>
          <w:rFonts w:ascii="IRNazanin" w:hAnsi="IRNazanin" w:eastAsia="IRNazanin"/>
          <w:color w:val="111111"/>
          <w:sz w:val="28"/>
          <w:sz w:val="28"/>
          <w:szCs w:val="28"/>
          <w:rtl w:val="true"/>
          <w:lang w:bidi="fa-IR"/>
        </w:rPr>
        <w:t>لمن تتحرّک شهوته</w:t>
      </w:r>
      <w:r>
        <w:rPr>
          <w:rStyle w:val="FootnoteAnchor"/>
          <w:rtl w:val="true"/>
        </w:rPr>
        <w:footnoteReference w:id="821"/>
      </w:r>
      <w:r>
        <w:rPr>
          <w:rFonts w:ascii="IRNazanin" w:hAnsi="IRNazanin" w:eastAsia="IRNazanin"/>
          <w:color w:val="111111"/>
          <w:sz w:val="28"/>
          <w:sz w:val="28"/>
          <w:szCs w:val="28"/>
          <w:rtl w:val="true"/>
          <w:lang w:bidi="fa-IR"/>
        </w:rPr>
        <w:t> بذلک، بشرط أن لا یقصد الإنزال،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کان من عادته</w:t>
      </w:r>
      <w:r>
        <w:rPr>
          <w:rStyle w:val="FootnoteAnchor"/>
          <w:rtl w:val="true"/>
        </w:rPr>
        <w:footnoteReference w:id="822"/>
      </w:r>
      <w:r>
        <w:rPr>
          <w:rFonts w:ascii="Amiri" w:hAnsi="Amiri" w:eastAsia="Amiri" w:cs="Amiri"/>
          <w:color w:val="111111"/>
          <w:sz w:val="28"/>
          <w:sz w:val="28"/>
          <w:szCs w:val="28"/>
          <w:rtl w:val="true"/>
          <w:lang w:bidi="ar-SA"/>
        </w:rPr>
        <w:t>، وإلّا حرم</w:t>
      </w:r>
      <w:r>
        <w:rPr>
          <w:rStyle w:val="FootnoteAnchor"/>
          <w:rtl w:val="true"/>
        </w:rPr>
        <w:footnoteReference w:id="823"/>
      </w:r>
      <w:r>
        <w:rPr>
          <w:rFonts w:ascii="IRNazanin" w:hAnsi="IRNazanin" w:eastAsia="IRNazanin"/>
          <w:color w:val="111111"/>
          <w:sz w:val="28"/>
          <w:sz w:val="28"/>
          <w:szCs w:val="28"/>
          <w:rtl w:val="true"/>
          <w:lang w:bidi="fa-IR"/>
        </w:rPr>
        <w:t xml:space="preserve"> إذا کان فی الصوم الواجب </w:t>
      </w:r>
      <w:bookmarkStart w:id="305" w:name="pg13281_119837"/>
    </w:p>
    <w:p>
      <w:pPr>
        <w:pStyle w:val="BookText"/>
        <w:rPr/>
      </w:pPr>
      <w:bookmarkEnd w:id="305"/>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المعیّن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955034_2322387425"/>
      <w:bookmarkStart w:id="307" w:name="_Toc110"/>
      <w:bookmarkEnd w:id="306"/>
      <w:r>
        <w:rPr>
          <w:rtl w:val="true"/>
        </w:rPr>
        <w:t xml:space="preserve">الثانی </w:t>
      </w:r>
      <w:r>
        <w:rPr>
          <w:rtl w:val="true"/>
        </w:rPr>
        <w:t xml:space="preserve">: </w:t>
      </w:r>
      <w:r>
        <w:rPr>
          <w:rtl w:val="true"/>
        </w:rPr>
        <w:t>الاکتحال بما یصل طعمه أو رائحته إلی الحلق</w:t>
      </w:r>
      <w:bookmarkEnd w:id="307"/>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 بما فیه صبر أو مِسک أو نحوهما ممّا یصل طعمه أو رائحته إلی الحلق</w:t>
      </w:r>
      <w:r>
        <w:rPr>
          <w:rStyle w:val="FootnoteAnchor"/>
          <w:rtl w:val="true"/>
        </w:rPr>
        <w:footnoteReference w:id="825"/>
      </w:r>
      <w:r>
        <w:rPr>
          <w:rFonts w:ascii="IRNazanin" w:hAnsi="IRNazanin" w:eastAsia="IRNazanin"/>
          <w:color w:val="111111"/>
          <w:sz w:val="28"/>
          <w:sz w:val="28"/>
          <w:szCs w:val="28"/>
          <w:rtl w:val="true"/>
          <w:lang w:bidi="fa-IR"/>
        </w:rPr>
        <w:t>، وکذا ذَرّ مثل ذلک فی العین</w:t>
      </w:r>
      <w:r>
        <w:rPr>
          <w:rFonts w:eastAsia="IRNazanin" w:cs="IRNazanin"/>
          <w:color w:val="111111"/>
          <w:sz w:val="28"/>
          <w:szCs w:val="28"/>
          <w:rtl w:val="true"/>
          <w:lang w:bidi="fa-IR"/>
        </w:rPr>
        <w:t>.</w:t>
      </w:r>
    </w:p>
    <w:p>
      <w:pPr>
        <w:pStyle w:val="Heading3"/>
        <w:numPr>
          <w:ilvl w:val="2"/>
          <w:numId w:val="1"/>
        </w:numPr>
        <w:rPr/>
      </w:pPr>
      <w:bookmarkStart w:id="308" w:name="__RefHeading___Toc1955036_2322387425"/>
      <w:bookmarkStart w:id="309" w:name="_Toc111"/>
      <w:bookmarkEnd w:id="308"/>
      <w:r>
        <w:rPr>
          <w:rtl w:val="true"/>
        </w:rPr>
        <w:t xml:space="preserve">الثالث </w:t>
      </w:r>
      <w:r>
        <w:rPr>
          <w:rtl w:val="true"/>
        </w:rPr>
        <w:t xml:space="preserve">: </w:t>
      </w:r>
      <w:r>
        <w:rPr>
          <w:rtl w:val="true"/>
        </w:rPr>
        <w:t>دخول الحمّام لمن یخشی الضعف</w:t>
      </w:r>
      <w:bookmarkEnd w:id="309"/>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إذا خشی منه الضعف</w:t>
      </w:r>
      <w:r>
        <w:rPr>
          <w:rFonts w:eastAsia="IRNazanin" w:cs="IRNazanin"/>
          <w:color w:val="111111"/>
          <w:sz w:val="28"/>
          <w:szCs w:val="28"/>
          <w:rtl w:val="true"/>
          <w:lang w:bidi="fa-IR"/>
        </w:rPr>
        <w:t>.</w:t>
      </w:r>
    </w:p>
    <w:p>
      <w:pPr>
        <w:pStyle w:val="Heading3"/>
        <w:numPr>
          <w:ilvl w:val="2"/>
          <w:numId w:val="1"/>
        </w:numPr>
        <w:rPr/>
      </w:pPr>
      <w:bookmarkStart w:id="310" w:name="__RefHeading___Toc1955038_2322387425"/>
      <w:bookmarkStart w:id="311" w:name="_Toc112"/>
      <w:bookmarkEnd w:id="310"/>
      <w:r>
        <w:rPr>
          <w:rtl w:val="true"/>
        </w:rPr>
        <w:t xml:space="preserve">الرابع </w:t>
      </w:r>
      <w:r>
        <w:rPr>
          <w:rtl w:val="true"/>
        </w:rPr>
        <w:t xml:space="preserve">: </w:t>
      </w:r>
      <w:r>
        <w:rPr>
          <w:rtl w:val="true"/>
        </w:rPr>
        <w:t>إخراج الدم المضعف بل کل فعل یورث الضعف</w:t>
      </w:r>
      <w:bookmarkEnd w:id="311"/>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المضعِف بحجامة أو غیرها، وإذا علم بأدائه إلی الإغماء المبطل</w:t>
      </w:r>
      <w:r>
        <w:rPr>
          <w:rStyle w:val="FootnoteAnchor"/>
          <w:rtl w:val="true"/>
        </w:rPr>
        <w:footnoteReference w:id="826"/>
      </w:r>
      <w:r>
        <w:rPr>
          <w:rFonts w:ascii="IRNazanin" w:hAnsi="IRNazanin" w:eastAsia="IRNazanin"/>
          <w:color w:val="111111"/>
          <w:sz w:val="28"/>
          <w:sz w:val="28"/>
          <w:szCs w:val="28"/>
          <w:rtl w:val="true"/>
          <w:lang w:bidi="fa-IR"/>
        </w:rPr>
        <w:t> للصوم حرم</w:t>
      </w:r>
      <w:r>
        <w:rPr>
          <w:rStyle w:val="FootnoteAnchor"/>
          <w:rtl w:val="true"/>
        </w:rPr>
        <w:footnoteReference w:id="827"/>
      </w:r>
      <w:r>
        <w:rPr>
          <w:rFonts w:ascii="Amiri" w:hAnsi="Amiri" w:eastAsia="Amiri" w:cs="Amiri"/>
          <w:color w:val="111111"/>
          <w:sz w:val="28"/>
          <w:sz w:val="28"/>
          <w:szCs w:val="28"/>
          <w:rtl w:val="true"/>
          <w:lang w:bidi="ar-SA"/>
        </w:rPr>
        <w:t>، بل لا یبعد کراهة کُلِّ فعل یورث الضعف أو هیجان المُرّة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955040_2322387425"/>
      <w:bookmarkStart w:id="313" w:name="_Toc113"/>
      <w:bookmarkEnd w:id="312"/>
      <w:r>
        <w:rPr>
          <w:rtl w:val="true"/>
        </w:rPr>
        <w:t xml:space="preserve">الخامس </w:t>
      </w:r>
      <w:r>
        <w:rPr>
          <w:rtl w:val="true"/>
        </w:rPr>
        <w:t xml:space="preserve">: </w:t>
      </w:r>
      <w:r>
        <w:rPr>
          <w:rtl w:val="true"/>
        </w:rPr>
        <w:t>السعوط مع عدم العلم بوصوله إلی الحلق</w:t>
      </w:r>
      <w:bookmarkEnd w:id="313"/>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w:t>
      </w:r>
      <w:r>
        <w:rPr>
          <w:rStyle w:val="FootnoteAnchor"/>
          <w:rtl w:val="true"/>
        </w:rPr>
        <w:footnoteReference w:id="828"/>
      </w:r>
      <w:r>
        <w:rPr>
          <w:rFonts w:ascii="IRNazanin" w:hAnsi="IRNazanin" w:eastAsia="IRNazanin"/>
          <w:color w:val="111111"/>
          <w:sz w:val="28"/>
          <w:sz w:val="28"/>
          <w:szCs w:val="28"/>
          <w:rtl w:val="true"/>
          <w:lang w:bidi="fa-IR"/>
        </w:rPr>
        <w:t> مع عدم العلم بوصوله إلی الحلق، وإلّا فلا یجوز</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314" w:name="pg13281_119838"/>
    </w:p>
    <w:p>
      <w:pPr>
        <w:pStyle w:val="Heading3"/>
        <w:numPr>
          <w:ilvl w:val="2"/>
          <w:numId w:val="1"/>
        </w:numPr>
        <w:rPr/>
      </w:pPr>
      <w:bookmarkStart w:id="315" w:name="__RefHeading___Toc1955042_2322387425"/>
      <w:bookmarkStart w:id="316" w:name="_Toc114"/>
      <w:bookmarkEnd w:id="314"/>
      <w:bookmarkEnd w:id="315"/>
      <w:r>
        <w:rPr>
          <w:rtl w:val="true"/>
        </w:rPr>
        <w:t xml:space="preserve">السادس </w:t>
      </w:r>
      <w:r>
        <w:rPr>
          <w:rtl w:val="true"/>
        </w:rPr>
        <w:t xml:space="preserve">: </w:t>
      </w:r>
      <w:r>
        <w:rPr>
          <w:rtl w:val="true"/>
        </w:rPr>
        <w:t>شمّ الریاحین</w:t>
      </w:r>
      <w:bookmarkEnd w:id="316"/>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الرَیاحِین</w:t>
      </w:r>
      <w:r>
        <w:rPr>
          <w:rStyle w:val="FootnoteAnchor"/>
          <w:rtl w:val="true"/>
        </w:rPr>
        <w:footnoteReference w:id="830"/>
      </w:r>
      <w:r>
        <w:rPr>
          <w:rFonts w:ascii="Amiri" w:hAnsi="Amiri" w:eastAsia="Amiri" w:cs="Amiri"/>
          <w:color w:val="111111"/>
          <w:sz w:val="28"/>
          <w:sz w:val="28"/>
          <w:szCs w:val="28"/>
          <w:rtl w:val="true"/>
          <w:lang w:bidi="ar-SA"/>
        </w:rPr>
        <w:t> خصوصاً</w:t>
      </w:r>
      <w:r>
        <w:rPr>
          <w:rStyle w:val="FootnoteAnchor"/>
          <w:rtl w:val="true"/>
        </w:rPr>
        <w:footnoteReference w:id="831"/>
      </w:r>
      <w:r>
        <w:rPr>
          <w:rFonts w:ascii="IRNazanin" w:hAnsi="IRNazanin" w:eastAsia="IRNazanin"/>
          <w:color w:val="111111"/>
          <w:sz w:val="28"/>
          <w:sz w:val="28"/>
          <w:szCs w:val="28"/>
          <w:rtl w:val="true"/>
          <w:lang w:bidi="fa-IR"/>
        </w:rPr>
        <w:t> النرجس</w:t>
      </w:r>
      <w:r>
        <w:rPr>
          <w:rStyle w:val="FootnoteAnchor"/>
          <w:rtl w:val="true"/>
        </w:rPr>
        <w:footnoteReference w:id="832"/>
      </w:r>
      <w:r>
        <w:rPr>
          <w:rFonts w:ascii="IRNazanin" w:hAnsi="IRNazanin" w:eastAsia="IRNazanin"/>
          <w:color w:val="111111"/>
          <w:sz w:val="28"/>
          <w:sz w:val="28"/>
          <w:szCs w:val="28"/>
          <w:rtl w:val="true"/>
          <w:lang w:bidi="fa-IR"/>
        </w:rPr>
        <w:t>، والمراد</w:t>
      </w:r>
      <w:r>
        <w:rPr>
          <w:rStyle w:val="FootnoteAnchor"/>
          <w:rtl w:val="true"/>
        </w:rPr>
        <w:footnoteReference w:id="833"/>
      </w:r>
      <w:r>
        <w:rPr>
          <w:rFonts w:ascii="IRNazanin" w:hAnsi="IRNazanin" w:eastAsia="IRNazanin"/>
          <w:color w:val="111111"/>
          <w:sz w:val="28"/>
          <w:sz w:val="28"/>
          <w:szCs w:val="28"/>
          <w:rtl w:val="true"/>
          <w:lang w:bidi="fa-IR"/>
        </w:rPr>
        <w:t> بها</w:t>
      </w:r>
      <w:r>
        <w:rPr>
          <w:rStyle w:val="FootnoteAnchor"/>
          <w:rtl w:val="true"/>
        </w:rPr>
        <w:footnoteReference w:id="834"/>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نبت طیّب الریح</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955044_2322387425"/>
      <w:bookmarkStart w:id="318" w:name="_Toc115"/>
      <w:bookmarkEnd w:id="317"/>
      <w:r>
        <w:rPr>
          <w:rtl w:val="true"/>
        </w:rPr>
        <w:t xml:space="preserve">السابع </w:t>
      </w:r>
      <w:r>
        <w:rPr>
          <w:rtl w:val="true"/>
        </w:rPr>
        <w:t xml:space="preserve">: </w:t>
      </w:r>
      <w:r>
        <w:rPr>
          <w:rtl w:val="true"/>
        </w:rPr>
        <w:t>بلّ الثوب علی الجسد</w:t>
      </w:r>
      <w:bookmarkEnd w:id="318"/>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الثوب علی الجسد</w:t>
      </w:r>
      <w:r>
        <w:rPr>
          <w:rFonts w:eastAsia="IRNazanin" w:cs="IRNazanin"/>
          <w:color w:val="111111"/>
          <w:sz w:val="28"/>
          <w:szCs w:val="28"/>
          <w:rtl w:val="true"/>
          <w:lang w:bidi="fa-IR"/>
        </w:rPr>
        <w:t>.</w:t>
      </w:r>
    </w:p>
    <w:p>
      <w:pPr>
        <w:pStyle w:val="Heading3"/>
        <w:numPr>
          <w:ilvl w:val="2"/>
          <w:numId w:val="1"/>
        </w:numPr>
        <w:rPr/>
      </w:pPr>
      <w:bookmarkStart w:id="319" w:name="__RefHeading___Toc1955046_2322387425"/>
      <w:bookmarkStart w:id="320" w:name="_Toc116"/>
      <w:bookmarkEnd w:id="319"/>
      <w:r>
        <w:rPr>
          <w:rtl w:val="true"/>
        </w:rPr>
        <w:t xml:space="preserve">الثامن </w:t>
      </w:r>
      <w:r>
        <w:rPr>
          <w:rtl w:val="true"/>
        </w:rPr>
        <w:t xml:space="preserve">: </w:t>
      </w:r>
      <w:r>
        <w:rPr>
          <w:rtl w:val="true"/>
        </w:rPr>
        <w:t>جلوس المرأة فی الماء</w:t>
      </w:r>
      <w:bookmarkEnd w:id="320"/>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المرأة فی الماء</w:t>
      </w:r>
      <w:r>
        <w:rPr>
          <w:rStyle w:val="FootnoteAnchor"/>
          <w:rtl w:val="true"/>
        </w:rPr>
        <w:footnoteReference w:id="835"/>
      </w:r>
      <w:r>
        <w:rPr>
          <w:rFonts w:ascii="IRNazanin" w:hAnsi="IRNazanin" w:eastAsia="IRNazanin"/>
          <w:color w:val="111111"/>
          <w:sz w:val="28"/>
          <w:sz w:val="28"/>
          <w:szCs w:val="28"/>
          <w:rtl w:val="true"/>
          <w:lang w:bidi="fa-IR"/>
        </w:rPr>
        <w:t>، بل الأحوط</w:t>
      </w:r>
      <w:r>
        <w:rPr>
          <w:rStyle w:val="FootnoteAnchor"/>
          <w:rtl w:val="true"/>
        </w:rPr>
        <w:footnoteReference w:id="836"/>
      </w:r>
      <w:r>
        <w:rPr>
          <w:rFonts w:ascii="IRNazanin" w:hAnsi="IRNazanin" w:eastAsia="IRNazanin"/>
          <w:color w:val="111111"/>
          <w:sz w:val="28"/>
          <w:sz w:val="28"/>
          <w:szCs w:val="28"/>
          <w:rtl w:val="true"/>
          <w:lang w:bidi="fa-IR"/>
        </w:rPr>
        <w:t> لها ترکه</w:t>
      </w:r>
      <w:r>
        <w:rPr>
          <w:rFonts w:eastAsia="IRNazanin" w:cs="IRNazanin"/>
          <w:color w:val="111111"/>
          <w:sz w:val="28"/>
          <w:szCs w:val="28"/>
          <w:rtl w:val="true"/>
          <w:lang w:bidi="fa-IR"/>
        </w:rPr>
        <w:t>.</w:t>
      </w:r>
    </w:p>
    <w:p>
      <w:pPr>
        <w:pStyle w:val="Heading3"/>
        <w:numPr>
          <w:ilvl w:val="2"/>
          <w:numId w:val="1"/>
        </w:numPr>
        <w:rPr/>
      </w:pPr>
      <w:bookmarkStart w:id="321" w:name="__RefHeading___Toc1955048_2322387425"/>
      <w:bookmarkStart w:id="322" w:name="_Toc117"/>
      <w:bookmarkEnd w:id="321"/>
      <w:r>
        <w:rPr>
          <w:rtl w:val="true"/>
        </w:rPr>
        <w:t xml:space="preserve">التاسع </w:t>
      </w:r>
      <w:r>
        <w:rPr>
          <w:rtl w:val="true"/>
        </w:rPr>
        <w:t xml:space="preserve">: </w:t>
      </w:r>
      <w:r>
        <w:rPr>
          <w:rtl w:val="true"/>
        </w:rPr>
        <w:t>الحقنة بالجامد</w:t>
      </w:r>
      <w:bookmarkEnd w:id="322"/>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بالجامد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955050_2322387425"/>
      <w:bookmarkStart w:id="324" w:name="_Toc118"/>
      <w:bookmarkEnd w:id="323"/>
      <w:r>
        <w:rPr>
          <w:rtl w:val="true"/>
        </w:rPr>
        <w:t xml:space="preserve">العاشر </w:t>
      </w:r>
      <w:r>
        <w:rPr>
          <w:rtl w:val="true"/>
        </w:rPr>
        <w:t xml:space="preserve">: </w:t>
      </w:r>
      <w:r>
        <w:rPr>
          <w:rtl w:val="true"/>
        </w:rPr>
        <w:t>قلع الضرس بل مطلق إدماء الفم</w:t>
      </w:r>
      <w:bookmarkEnd w:id="324"/>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 بل مطلق إدماء الفم</w:t>
      </w:r>
      <w:r>
        <w:rPr>
          <w:rFonts w:eastAsia="IRNazanin" w:cs="IRNazanin"/>
          <w:color w:val="111111"/>
          <w:sz w:val="28"/>
          <w:szCs w:val="28"/>
          <w:rtl w:val="true"/>
          <w:lang w:bidi="fa-IR"/>
        </w:rPr>
        <w:t>.</w:t>
      </w:r>
    </w:p>
    <w:p>
      <w:pPr>
        <w:pStyle w:val="Heading3"/>
        <w:numPr>
          <w:ilvl w:val="2"/>
          <w:numId w:val="1"/>
        </w:numPr>
        <w:rPr/>
      </w:pPr>
      <w:bookmarkStart w:id="325" w:name="__RefHeading___Toc1955052_2322387425"/>
      <w:bookmarkStart w:id="326" w:name="_Toc119"/>
      <w:bookmarkEnd w:id="325"/>
      <w:r>
        <w:rPr>
          <w:rtl w:val="true"/>
        </w:rPr>
        <w:t xml:space="preserve">الحادی عشر </w:t>
      </w:r>
      <w:r>
        <w:rPr>
          <w:rtl w:val="true"/>
        </w:rPr>
        <w:t xml:space="preserve">: </w:t>
      </w:r>
      <w:r>
        <w:rPr>
          <w:rtl w:val="true"/>
        </w:rPr>
        <w:t>السواک بالعود الرطب</w:t>
      </w:r>
      <w:bookmarkEnd w:id="3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w:t>
      </w:r>
      <w:r>
        <w:rPr>
          <w:rStyle w:val="FootnoteAnchor"/>
          <w:rtl w:val="true"/>
        </w:rPr>
        <w:footnoteReference w:id="838"/>
      </w:r>
      <w:r>
        <w:rPr>
          <w:rFonts w:ascii="IRNazanin" w:hAnsi="IRNazanin" w:eastAsia="IRNazanin"/>
          <w:color w:val="111111"/>
          <w:sz w:val="28"/>
          <w:sz w:val="28"/>
          <w:szCs w:val="28"/>
          <w:rtl w:val="true"/>
          <w:lang w:bidi="fa-IR"/>
        </w:rPr>
        <w:t> بالعود الرطب</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327" w:name="pg13281_119839"/>
    </w:p>
    <w:p>
      <w:pPr>
        <w:pStyle w:val="Heading3"/>
        <w:numPr>
          <w:ilvl w:val="2"/>
          <w:numId w:val="1"/>
        </w:numPr>
        <w:rPr/>
      </w:pPr>
      <w:bookmarkStart w:id="328" w:name="__RefHeading___Toc1955054_2322387425"/>
      <w:bookmarkStart w:id="329" w:name="_Toc120"/>
      <w:bookmarkEnd w:id="327"/>
      <w:bookmarkEnd w:id="328"/>
      <w:r>
        <w:rPr>
          <w:rtl w:val="true"/>
        </w:rPr>
        <w:t xml:space="preserve">الثانی عشر </w:t>
      </w:r>
      <w:r>
        <w:rPr>
          <w:rtl w:val="true"/>
        </w:rPr>
        <w:t xml:space="preserve">: </w:t>
      </w:r>
      <w:r>
        <w:rPr>
          <w:rtl w:val="true"/>
        </w:rPr>
        <w:t>المضمضة عبثاً</w:t>
      </w:r>
      <w:bookmarkEnd w:id="329"/>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w:t>
      </w:r>
      <w:r>
        <w:rPr>
          <w:rStyle w:val="FootnoteAnchor"/>
          <w:rtl w:val="true"/>
        </w:rPr>
        <w:footnoteReference w:id="840"/>
      </w:r>
      <w:r>
        <w:rPr>
          <w:rFonts w:ascii="Amiri" w:hAnsi="Amiri" w:eastAsia="Amiri" w:cs="Amiri"/>
          <w:color w:val="111111"/>
          <w:sz w:val="28"/>
          <w:sz w:val="28"/>
          <w:szCs w:val="28"/>
          <w:rtl w:val="true"/>
          <w:lang w:bidi="ar-SA"/>
        </w:rPr>
        <w:t> عبثاً</w:t>
      </w:r>
      <w:r>
        <w:rPr>
          <w:rStyle w:val="FootnoteAnchor"/>
          <w:rtl w:val="true"/>
        </w:rPr>
        <w:footnoteReference w:id="841"/>
      </w:r>
      <w:r>
        <w:rPr>
          <w:rFonts w:ascii="IRNazanin" w:hAnsi="IRNazanin" w:eastAsia="IRNazanin"/>
          <w:color w:val="111111"/>
          <w:sz w:val="28"/>
          <w:sz w:val="28"/>
          <w:szCs w:val="28"/>
          <w:rtl w:val="true"/>
          <w:lang w:bidi="fa-IR"/>
        </w:rPr>
        <w:t>، وکذا إدخال شیء</w:t>
      </w:r>
      <w:r>
        <w:rPr>
          <w:rStyle w:val="FootnoteAnchor"/>
          <w:rtl w:val="true"/>
        </w:rPr>
        <w:footnoteReference w:id="842"/>
      </w:r>
      <w:r>
        <w:rPr>
          <w:rFonts w:ascii="IRNazanin" w:hAnsi="IRNazanin" w:eastAsia="IRNazanin"/>
          <w:color w:val="111111"/>
          <w:sz w:val="28"/>
          <w:sz w:val="28"/>
          <w:szCs w:val="28"/>
          <w:rtl w:val="true"/>
          <w:lang w:bidi="fa-IR"/>
        </w:rPr>
        <w:t> آخر فی  </w:t>
      </w:r>
    </w:p>
    <w:p>
      <w:pPr>
        <w:pStyle w:val="BookText"/>
        <w:rPr/>
      </w:pPr>
      <w:r>
        <w:rPr>
          <w:rFonts w:ascii="IRNazanin" w:hAnsi="IRNazanin" w:eastAsia="IRNazanin"/>
          <w:color w:val="111111"/>
          <w:sz w:val="28"/>
          <w:sz w:val="28"/>
          <w:szCs w:val="28"/>
          <w:rtl w:val="true"/>
          <w:lang w:bidi="fa-IR"/>
        </w:rPr>
        <w:t>الفم</w:t>
      </w:r>
      <w:r>
        <w:rPr>
          <w:rStyle w:val="FootnoteAnchor"/>
          <w:rtl w:val="true"/>
        </w:rPr>
        <w:footnoteReference w:id="843"/>
      </w:r>
      <w:r>
        <w:rPr>
          <w:rFonts w:ascii="IRNazanin" w:hAnsi="IRNazanin" w:eastAsia="IRNazanin"/>
          <w:color w:val="111111"/>
          <w:sz w:val="28"/>
          <w:sz w:val="28"/>
          <w:szCs w:val="28"/>
          <w:rtl w:val="true"/>
          <w:lang w:bidi="fa-IR"/>
        </w:rPr>
        <w:t> لا لغرض صحیح</w:t>
      </w:r>
      <w:r>
        <w:rPr>
          <w:rFonts w:eastAsia="IRNazanin" w:cs="IRNazanin"/>
          <w:color w:val="111111"/>
          <w:sz w:val="28"/>
          <w:szCs w:val="28"/>
          <w:rtl w:val="true"/>
          <w:lang w:bidi="fa-IR"/>
        </w:rPr>
        <w:t>.</w:t>
      </w:r>
    </w:p>
    <w:p>
      <w:pPr>
        <w:pStyle w:val="Heading3"/>
        <w:numPr>
          <w:ilvl w:val="2"/>
          <w:numId w:val="1"/>
        </w:numPr>
        <w:rPr/>
      </w:pPr>
      <w:bookmarkStart w:id="330" w:name="__RefHeading___Toc1955056_2322387425"/>
      <w:bookmarkStart w:id="331" w:name="_Toc121"/>
      <w:bookmarkEnd w:id="330"/>
      <w:r>
        <w:rPr>
          <w:rtl w:val="true"/>
        </w:rPr>
        <w:t xml:space="preserve">الثالث عشر </w:t>
      </w:r>
      <w:r>
        <w:rPr>
          <w:rtl w:val="true"/>
        </w:rPr>
        <w:t xml:space="preserve">: </w:t>
      </w:r>
      <w:r>
        <w:rPr>
          <w:rtl w:val="true"/>
        </w:rPr>
        <w:t>إنشاد الشعر</w:t>
      </w:r>
      <w:bookmarkEnd w:id="331"/>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إنشاد الشعر</w:t>
      </w:r>
      <w:r>
        <w:rPr>
          <w:rStyle w:val="FootnoteAnchor"/>
          <w:rtl w:val="true"/>
        </w:rPr>
        <w:footnoteReference w:id="844"/>
      </w:r>
      <w:r>
        <w:rPr>
          <w:rFonts w:ascii="IRNazanin" w:hAnsi="IRNazanin" w:eastAsia="IRNazanin"/>
          <w:color w:val="111111"/>
          <w:sz w:val="28"/>
          <w:sz w:val="28"/>
          <w:szCs w:val="28"/>
          <w:rtl w:val="true"/>
          <w:lang w:bidi="fa-IR"/>
        </w:rPr>
        <w:t>، ولا یبعد</w:t>
      </w:r>
      <w:r>
        <w:rPr>
          <w:rStyle w:val="FootnoteAnchor"/>
          <w:rtl w:val="true"/>
        </w:rPr>
        <w:footnoteReference w:id="845"/>
      </w:r>
      <w:r>
        <w:rPr>
          <w:rFonts w:ascii="IRNazanin" w:hAnsi="IRNazanin" w:eastAsia="IRNazanin"/>
          <w:color w:val="111111"/>
          <w:sz w:val="28"/>
          <w:sz w:val="28"/>
          <w:szCs w:val="28"/>
          <w:rtl w:val="true"/>
          <w:lang w:bidi="fa-IR"/>
        </w:rPr>
        <w:t> اختصاصه بغیر المراثی، أو  </w:t>
      </w:r>
    </w:p>
    <w:p>
      <w:pPr>
        <w:pStyle w:val="BookText"/>
        <w:rPr/>
      </w:pPr>
      <w:r>
        <w:rPr>
          <w:rFonts w:ascii="IRNazanin" w:hAnsi="IRNazanin" w:eastAsia="IRNazanin"/>
          <w:color w:val="111111"/>
          <w:sz w:val="28"/>
          <w:sz w:val="28"/>
          <w:szCs w:val="28"/>
          <w:rtl w:val="true"/>
          <w:lang w:bidi="fa-IR"/>
        </w:rPr>
        <w:t>المشتمل علی المطالب الحقّة</w:t>
      </w:r>
      <w:r>
        <w:rPr>
          <w:rStyle w:val="FootnoteAnchor"/>
          <w:rtl w:val="true"/>
        </w:rPr>
        <w:footnoteReference w:id="846"/>
      </w:r>
      <w:r>
        <w:rPr>
          <w:rFonts w:ascii="Amiri" w:hAnsi="Amiri" w:eastAsia="Amiri" w:cs="Amiri"/>
          <w:color w:val="111111"/>
          <w:sz w:val="28"/>
          <w:sz w:val="28"/>
          <w:szCs w:val="28"/>
          <w:rtl w:val="true"/>
          <w:lang w:bidi="ar-SA"/>
        </w:rPr>
        <w:t> من دون إغراق، أو مدح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IRNazanin" w:hAnsi="IRNazanin" w:eastAsia="IRNazanin"/>
          <w:color w:val="111111"/>
          <w:sz w:val="28"/>
          <w:sz w:val="28"/>
          <w:szCs w:val="28"/>
          <w:rtl w:val="true"/>
          <w:lang w:bidi="fa-IR"/>
        </w:rPr>
        <w:t>کان یظهر من بعض الأخبار التعمیم</w:t>
      </w:r>
      <w:r>
        <w:rPr>
          <w:rFonts w:eastAsia="IRNazanin" w:cs="IRNazanin"/>
          <w:color w:val="111111"/>
          <w:sz w:val="28"/>
          <w:szCs w:val="28"/>
          <w:rtl w:val="true"/>
          <w:lang w:bidi="fa-IR"/>
        </w:rPr>
        <w:t>.</w:t>
      </w:r>
    </w:p>
    <w:p>
      <w:pPr>
        <w:pStyle w:val="Heading3"/>
        <w:numPr>
          <w:ilvl w:val="2"/>
          <w:numId w:val="1"/>
        </w:numPr>
        <w:rPr/>
      </w:pPr>
      <w:bookmarkStart w:id="332" w:name="__RefHeading___Toc1955058_2322387425"/>
      <w:bookmarkStart w:id="333" w:name="_Toc122"/>
      <w:bookmarkEnd w:id="332"/>
      <w:r>
        <w:rPr>
          <w:rtl w:val="true"/>
        </w:rPr>
        <w:t xml:space="preserve">الرابع عشر </w:t>
      </w:r>
      <w:r>
        <w:rPr>
          <w:rtl w:val="true"/>
        </w:rPr>
        <w:t xml:space="preserve">: </w:t>
      </w:r>
      <w:r>
        <w:rPr>
          <w:rtl w:val="true"/>
        </w:rPr>
        <w:t>الجدال والمراء وأذی الخادم والمسارعة إلی الحلف</w:t>
      </w:r>
      <w:bookmarkEnd w:id="333"/>
    </w:p>
    <w:p>
      <w:pPr>
        <w:pStyle w:val="BookText"/>
        <w:rPr/>
      </w:pPr>
      <w:r>
        <w:rPr>
          <w:rFonts w:ascii="IRNazanin" w:hAnsi="IRNazanin" w:eastAsia="IRNazanin"/>
          <w:color w:val="111111"/>
          <w:sz w:val="28"/>
          <w:sz w:val="28"/>
          <w:szCs w:val="28"/>
          <w:rtl w:val="true"/>
          <w:lang w:bidi="fa-IR"/>
        </w:rPr>
        <w:t>الرابع عشر</w:t>
      </w:r>
      <w:r>
        <w:rPr>
          <w:rStyle w:val="FootnoteAnchor"/>
          <w:rtl w:val="true"/>
        </w:rPr>
        <w:footnoteReference w:id="847"/>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والمِراء، وأذی الخادم، والمسارعة إلی الحلف</w:t>
      </w:r>
    </w:p>
    <w:p>
      <w:pPr>
        <w:pStyle w:val="BookText"/>
        <w:rPr/>
      </w:pPr>
      <w:r>
        <w:rPr>
          <w:rFonts w:ascii="IRNazanin" w:hAnsi="IRNazanin" w:eastAsia="IRNazanin"/>
          <w:color w:val="111111"/>
          <w:sz w:val="28"/>
          <w:sz w:val="28"/>
          <w:szCs w:val="28"/>
          <w:rtl w:val="true"/>
          <w:lang w:bidi="fa-IR"/>
        </w:rPr>
        <w:t>ونحو ذلک من المحرّمات والمکروهات فی غیر حال الصوم؛ فإنّه یشتدّ حرمتها أو کراهتها حاله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334" w:name="pg13281_119840"/>
    </w:p>
    <w:p>
      <w:pPr>
        <w:pStyle w:val="BookText"/>
        <w:rPr/>
      </w:pPr>
      <w:bookmarkEnd w:id="334"/>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القضاء والکفّارة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35" w:name="__RefHeading___Toc1955060_2322387425"/>
      <w:bookmarkStart w:id="336" w:name="_Toc123"/>
      <w:bookmarkEnd w:id="335"/>
      <w:r>
        <w:rPr>
          <w:rtl w:val="true"/>
        </w:rPr>
        <w:t>فصل</w:t>
      </w:r>
      <w:r>
        <w:rPr>
          <w:rtl w:val="true"/>
        </w:rPr>
        <w:t xml:space="preserve">: </w:t>
      </w:r>
      <w:r>
        <w:rPr>
          <w:rtl w:val="true"/>
        </w:rPr>
        <w:t>فی ما یوجب القضاء والکفّارة</w:t>
      </w:r>
      <w:bookmarkEnd w:id="336"/>
    </w:p>
    <w:p>
      <w:pPr>
        <w:pStyle w:val="Heading3"/>
        <w:numPr>
          <w:ilvl w:val="2"/>
          <w:numId w:val="1"/>
        </w:numPr>
        <w:rPr/>
      </w:pPr>
      <w:bookmarkStart w:id="337" w:name="__RefHeading___Toc1955062_2322387425"/>
      <w:bookmarkStart w:id="338" w:name="_Toc124"/>
      <w:bookmarkEnd w:id="337"/>
      <w:r>
        <w:rPr>
          <w:rtl w:val="true"/>
        </w:rPr>
        <w:t>لزوم الکفّارة بفعل المفطرات عمداً واختیاراً علی تفصیل</w:t>
      </w:r>
      <w:bookmarkEnd w:id="33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المفطِرات المذکورة کما أنّها موجبة للقضاء کذلک توجب الکفّارة</w:t>
      </w:r>
      <w:r>
        <w:rPr>
          <w:rStyle w:val="FootnoteAnchor"/>
          <w:rtl w:val="true"/>
        </w:rPr>
        <w:footnoteReference w:id="848"/>
      </w:r>
      <w:r>
        <w:rPr>
          <w:rFonts w:ascii="IRNazanin" w:hAnsi="IRNazanin" w:eastAsia="IRNazanin"/>
          <w:color w:val="111111"/>
          <w:sz w:val="28"/>
          <w:sz w:val="28"/>
          <w:szCs w:val="28"/>
          <w:rtl w:val="true"/>
          <w:lang w:bidi="fa-IR"/>
        </w:rPr>
        <w:t> إذا کانت مع العمد</w:t>
      </w:r>
      <w:r>
        <w:rPr>
          <w:rStyle w:val="FootnoteAnchor"/>
          <w:rtl w:val="true"/>
        </w:rPr>
        <w:footnoteReference w:id="849"/>
      </w:r>
      <w:r>
        <w:rPr>
          <w:rFonts w:ascii="IRNazanin" w:hAnsi="IRNazanin" w:eastAsia="IRNazanin"/>
          <w:color w:val="111111"/>
          <w:sz w:val="28"/>
          <w:sz w:val="28"/>
          <w:szCs w:val="28"/>
          <w:rtl w:val="true"/>
          <w:lang w:bidi="fa-IR"/>
        </w:rPr>
        <w:t> والاختیار من غیر کُرهٍ ولا إجبار، من غیر فرقٍ</w:t>
      </w:r>
      <w:r>
        <w:rPr>
          <w:rStyle w:val="FootnoteAnchor"/>
          <w:rtl w:val="true"/>
        </w:rPr>
        <w:footnoteReference w:id="850"/>
      </w:r>
      <w:r>
        <w:rPr>
          <w:rFonts w:ascii="IRNazanin" w:hAnsi="IRNazanin" w:eastAsia="IRNazanin"/>
          <w:color w:val="111111"/>
          <w:sz w:val="28"/>
          <w:sz w:val="28"/>
          <w:szCs w:val="28"/>
          <w:rtl w:val="true"/>
          <w:lang w:bidi="fa-IR"/>
        </w:rPr>
        <w:t> بین الجمیع</w:t>
      </w:r>
      <w:r>
        <w:rPr>
          <w:rStyle w:val="FootnoteAnchor"/>
          <w:rtl w:val="true"/>
        </w:rPr>
        <w:footnoteReference w:id="851"/>
      </w:r>
      <w:r>
        <w:rPr>
          <w:rFonts w:ascii="Amiri" w:hAnsi="Amiri" w:eastAsia="Amiri" w:cs="Amiri"/>
          <w:color w:val="111111"/>
          <w:sz w:val="28"/>
          <w:sz w:val="28"/>
          <w:szCs w:val="28"/>
          <w:rtl w:val="true"/>
          <w:lang w:bidi="ar-SA"/>
        </w:rPr>
        <w:t>، حتّی</w:t>
      </w:r>
      <w:r>
        <w:rPr>
          <w:rStyle w:val="FootnoteAnchor"/>
          <w:rtl w:val="true"/>
        </w:rPr>
        <w:footnoteReference w:id="852"/>
      </w:r>
      <w:r>
        <w:rPr>
          <w:rFonts w:ascii="IRNazanin" w:hAnsi="IRNazanin" w:eastAsia="IRNazanin"/>
          <w:color w:val="111111"/>
          <w:sz w:val="28"/>
          <w:sz w:val="28"/>
          <w:szCs w:val="28"/>
          <w:rtl w:val="true"/>
          <w:lang w:bidi="fa-IR"/>
        </w:rPr>
        <w:t> الارتماس</w:t>
      </w:r>
      <w:r>
        <w:rPr>
          <w:rStyle w:val="FootnoteAnchor"/>
          <w:rtl w:val="true"/>
        </w:rPr>
        <w:footnoteReference w:id="85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والکذب</w:t>
      </w:r>
      <w:r>
        <w:rPr>
          <w:rStyle w:val="FootnoteAnchor"/>
          <w:rtl w:val="true"/>
        </w:rPr>
        <w:footnoteReference w:id="854"/>
      </w:r>
      <w:r>
        <w:rPr>
          <w:rFonts w:ascii="IRNazanin" w:hAnsi="IRNazanin" w:eastAsia="IRNazanin"/>
          <w:color w:val="111111"/>
          <w:sz w:val="28"/>
          <w:sz w:val="28"/>
          <w:szCs w:val="28"/>
          <w:rtl w:val="true"/>
          <w:lang w:bidi="fa-IR"/>
        </w:rPr>
        <w:t> علی الله وعلی رسوله، بل والحُقنة</w:t>
      </w:r>
      <w:r>
        <w:rPr>
          <w:rStyle w:val="FootnoteAnchor"/>
          <w:rtl w:val="true"/>
        </w:rPr>
        <w:footnoteReference w:id="855"/>
      </w:r>
      <w:r>
        <w:rPr>
          <w:rFonts w:ascii="IRNazanin" w:hAnsi="IRNazanin" w:eastAsia="IRNazanin"/>
          <w:color w:val="111111"/>
          <w:sz w:val="28"/>
          <w:sz w:val="28"/>
          <w:szCs w:val="28"/>
          <w:rtl w:val="true"/>
          <w:lang w:bidi="fa-IR"/>
        </w:rPr>
        <w:t> والقیء</w:t>
      </w:r>
      <w:r>
        <w:rPr>
          <w:rStyle w:val="FootnoteAnchor"/>
          <w:rtl w:val="true"/>
        </w:rPr>
        <w:footnoteReference w:id="856"/>
      </w:r>
      <w:r>
        <w:rPr>
          <w:rFonts w:ascii="IRNazanin" w:hAnsi="IRNazanin" w:eastAsia="IRNazanin"/>
          <w:color w:val="111111"/>
          <w:sz w:val="28"/>
          <w:sz w:val="28"/>
          <w:szCs w:val="28"/>
          <w:rtl w:val="true"/>
          <w:lang w:bidi="fa-IR"/>
        </w:rPr>
        <w:t>علی الأقوی</w:t>
      </w:r>
      <w:r>
        <w:rPr>
          <w:rStyle w:val="FootnoteAnchor"/>
          <w:rtl w:val="true"/>
        </w:rPr>
        <w:footnoteReference w:id="8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الأقوی</w:t>
      </w:r>
      <w:r>
        <w:rPr>
          <w:rStyle w:val="FootnoteAnchor"/>
          <w:rtl w:val="true"/>
        </w:rPr>
        <w:footnoteReference w:id="858"/>
      </w:r>
      <w:r>
        <w:rPr>
          <w:rFonts w:ascii="IRNazanin" w:hAnsi="IRNazanin" w:eastAsia="IRNazanin"/>
          <w:color w:val="111111"/>
          <w:sz w:val="28"/>
          <w:sz w:val="28"/>
          <w:szCs w:val="28"/>
          <w:rtl w:val="true"/>
          <w:lang w:bidi="fa-IR"/>
        </w:rPr>
        <w:t> عدم وجوبها فی النوم الثانی</w:t>
      </w:r>
      <w:r>
        <w:rPr>
          <w:rStyle w:val="FootnoteAnchor"/>
          <w:rtl w:val="true"/>
        </w:rPr>
        <w:footnoteReference w:id="859"/>
      </w:r>
      <w:r>
        <w:rPr>
          <w:rFonts w:ascii="IRNazanin" w:hAnsi="IRNazanin" w:eastAsia="IRNazanin"/>
          <w:color w:val="111111"/>
          <w:sz w:val="28"/>
          <w:sz w:val="28"/>
          <w:szCs w:val="28"/>
          <w:rtl w:val="true"/>
          <w:lang w:bidi="fa-IR"/>
        </w:rPr>
        <w:t> من الجنب بعد الانتباه، بل والثالث</w:t>
      </w:r>
      <w:r>
        <w:rPr>
          <w:rStyle w:val="FootnoteAnchor"/>
          <w:rtl w:val="true"/>
        </w:rPr>
        <w:footnoteReference w:id="860"/>
      </w:r>
      <w:r>
        <w:rPr>
          <w:rFonts w:ascii="IRNazanin" w:hAnsi="IRNazanin" w:eastAsia="IRNazanin"/>
          <w:color w:val="111111"/>
          <w:sz w:val="28"/>
          <w:sz w:val="28"/>
          <w:szCs w:val="28"/>
          <w:rtl w:val="true"/>
          <w:lang w:bidi="fa-IR"/>
        </w:rPr>
        <w:t>، وإن کان الأحوط</w:t>
      </w:r>
      <w:r>
        <w:rPr>
          <w:rStyle w:val="FootnoteAnchor"/>
          <w:rtl w:val="true"/>
        </w:rPr>
        <w:footnoteReference w:id="861"/>
      </w:r>
      <w:r>
        <w:rPr>
          <w:rFonts w:ascii="Amiri" w:hAnsi="Amiri" w:eastAsia="Amiri" w:cs="Amiri"/>
          <w:color w:val="111111"/>
          <w:sz w:val="28"/>
          <w:sz w:val="28"/>
          <w:szCs w:val="28"/>
          <w:rtl w:val="true"/>
          <w:lang w:bidi="ar-SA"/>
        </w:rPr>
        <w:t> فیها أیضاً</w:t>
      </w:r>
      <w:r>
        <w:rPr>
          <w:rStyle w:val="FootnoteAnchor"/>
          <w:rtl w:val="true"/>
        </w:rPr>
        <w:footnoteReference w:id="862"/>
      </w:r>
      <w:r>
        <w:rPr>
          <w:rFonts w:ascii="IRNazanin" w:hAnsi="IRNazanin" w:eastAsia="IRNazanin"/>
          <w:color w:val="111111"/>
          <w:sz w:val="28"/>
          <w:sz w:val="28"/>
          <w:szCs w:val="28"/>
          <w:rtl w:val="true"/>
          <w:lang w:bidi="fa-IR"/>
        </w:rPr>
        <w:t> ذلک خصوصاً الثالث</w:t>
      </w:r>
      <w:r>
        <w:rPr>
          <w:rStyle w:val="FootnoteAnchor"/>
          <w:rtl w:val="true"/>
        </w:rPr>
        <w:footnoteReference w:id="863"/>
      </w:r>
      <w:r>
        <w:rPr>
          <w:rFonts w:ascii="IRNazanin" w:hAnsi="IRNazanin" w:eastAsia="IRNazanin"/>
          <w:color w:val="111111"/>
          <w:sz w:val="28"/>
          <w:sz w:val="28"/>
          <w:szCs w:val="28"/>
          <w:rtl w:val="true"/>
          <w:lang w:bidi="fa-IR"/>
        </w:rPr>
        <w:t xml:space="preserve">، ولا </w:t>
      </w:r>
      <w:bookmarkStart w:id="339" w:name="pg13281_119843"/>
    </w:p>
    <w:p>
      <w:pPr>
        <w:pStyle w:val="BookText"/>
        <w:rPr/>
      </w:pPr>
      <w:bookmarkEnd w:id="339"/>
      <w:r>
        <w:rPr>
          <w:rFonts w:ascii="IRNazanin" w:hAnsi="IRNazanin" w:eastAsia="IRNazanin"/>
          <w:color w:val="111111"/>
          <w:sz w:val="28"/>
          <w:sz w:val="28"/>
          <w:szCs w:val="28"/>
          <w:rtl w:val="true"/>
          <w:lang w:bidi="fa-IR"/>
        </w:rPr>
        <w:t>فرق فی وجوبها أیضاً بین العالم والجاهل</w:t>
      </w:r>
      <w:r>
        <w:rPr>
          <w:rStyle w:val="FootnoteAnchor"/>
          <w:rtl w:val="true"/>
        </w:rPr>
        <w:footnoteReference w:id="864"/>
      </w:r>
      <w:r>
        <w:rPr>
          <w:rFonts w:ascii="IRNazanin" w:hAnsi="IRNazanin" w:eastAsia="IRNazanin"/>
          <w:color w:val="111111"/>
          <w:sz w:val="28"/>
          <w:sz w:val="28"/>
          <w:szCs w:val="28"/>
          <w:rtl w:val="true"/>
          <w:lang w:bidi="fa-IR"/>
        </w:rPr>
        <w:t>، المقصّر والقاصِر علی الأحوط</w:t>
      </w:r>
      <w:r>
        <w:rPr>
          <w:rStyle w:val="FootnoteAnchor"/>
          <w:rtl w:val="true"/>
        </w:rPr>
        <w:footnoteReference w:id="865"/>
      </w:r>
      <w:r>
        <w:rPr>
          <w:rFonts w:ascii="IRNazanin" w:hAnsi="IRNazanin" w:eastAsia="IRNazanin"/>
          <w:color w:val="111111"/>
          <w:sz w:val="28"/>
          <w:sz w:val="28"/>
          <w:szCs w:val="28"/>
          <w:rtl w:val="true"/>
          <w:lang w:bidi="fa-IR"/>
        </w:rPr>
        <w:t>،</w:t>
      </w:r>
    </w:p>
    <w:p>
      <w:pPr>
        <w:pStyle w:val="Heading3"/>
        <w:numPr>
          <w:ilvl w:val="2"/>
          <w:numId w:val="1"/>
        </w:numPr>
        <w:rPr/>
      </w:pPr>
      <w:bookmarkStart w:id="340" w:name="__RefHeading___Toc1955064_2322387425"/>
      <w:bookmarkStart w:id="341" w:name="_Toc125"/>
      <w:bookmarkEnd w:id="340"/>
      <w:r>
        <w:rPr>
          <w:rtl w:val="true"/>
        </w:rPr>
        <w:t>لزوم الکفّارة علی الجاهل علی تفصیل</w:t>
      </w:r>
      <w:bookmarkEnd w:id="341"/>
    </w:p>
    <w:p>
      <w:pPr>
        <w:pStyle w:val="BookText"/>
        <w:rPr/>
      </w:pPr>
      <w:r>
        <w:rPr>
          <w:rFonts w:ascii="IRNazanin" w:hAnsi="IRNazanin" w:eastAsia="IRNazanin"/>
          <w:color w:val="111111"/>
          <w:sz w:val="28"/>
          <w:sz w:val="28"/>
          <w:szCs w:val="28"/>
          <w:rtl w:val="true"/>
          <w:lang w:bidi="fa-IR"/>
        </w:rPr>
        <w:t>وإن کان الأقوی</w:t>
      </w:r>
      <w:r>
        <w:rPr>
          <w:rStyle w:val="FootnoteAnchor"/>
          <w:rtl w:val="true"/>
        </w:rPr>
        <w:footnoteReference w:id="866"/>
      </w:r>
      <w:r>
        <w:rPr>
          <w:rFonts w:ascii="IRNazanin" w:hAnsi="IRNazanin" w:eastAsia="IRNazanin"/>
          <w:color w:val="111111"/>
          <w:sz w:val="28"/>
          <w:sz w:val="28"/>
          <w:szCs w:val="28"/>
          <w:rtl w:val="true"/>
          <w:lang w:bidi="fa-IR"/>
        </w:rPr>
        <w:t> عدم وجوبها</w:t>
      </w:r>
      <w:r>
        <w:rPr>
          <w:rStyle w:val="FootnoteAnchor"/>
          <w:rtl w:val="true"/>
        </w:rPr>
        <w:footnoteReference w:id="867"/>
      </w:r>
      <w:r>
        <w:rPr>
          <w:rFonts w:ascii="IRNazanin" w:hAnsi="IRNazanin" w:eastAsia="IRNazanin"/>
          <w:color w:val="111111"/>
          <w:sz w:val="28"/>
          <w:sz w:val="28"/>
          <w:szCs w:val="28"/>
          <w:rtl w:val="true"/>
          <w:lang w:bidi="fa-IR"/>
        </w:rPr>
        <w:t> علی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الجاهل</w:t>
      </w:r>
      <w:r>
        <w:rPr>
          <w:rStyle w:val="FootnoteAnchor"/>
          <w:rtl w:val="true"/>
        </w:rPr>
        <w:footnoteReference w:id="868"/>
      </w:r>
      <w:r>
        <w:rPr>
          <w:rFonts w:ascii="IRNazanin" w:hAnsi="IRNazanin" w:eastAsia="IRNazanin"/>
          <w:color w:val="111111"/>
          <w:sz w:val="28"/>
          <w:sz w:val="28"/>
          <w:szCs w:val="28"/>
          <w:rtl w:val="true"/>
          <w:lang w:bidi="fa-IR"/>
        </w:rPr>
        <w:t>، خصوصاً القاصر</w:t>
      </w:r>
      <w:r>
        <w:rPr>
          <w:rStyle w:val="FootnoteAnchor"/>
          <w:rtl w:val="true"/>
        </w:rPr>
        <w:footnoteReference w:id="869"/>
      </w:r>
      <w:r>
        <w:rPr>
          <w:rFonts w:ascii="Amiri" w:hAnsi="Amiri" w:eastAsia="Amiri" w:cs="Amiri"/>
          <w:color w:val="111111"/>
          <w:sz w:val="28"/>
          <w:sz w:val="28"/>
          <w:szCs w:val="28"/>
          <w:rtl w:val="true"/>
          <w:lang w:bidi="ar-SA"/>
        </w:rPr>
        <w:t> والمقصّر</w:t>
      </w:r>
      <w:r>
        <w:rPr>
          <w:rStyle w:val="FootnoteAnchor"/>
          <w:rtl w:val="true"/>
        </w:rPr>
        <w:footnoteReference w:id="870"/>
      </w:r>
      <w:r>
        <w:rPr>
          <w:rFonts w:ascii="IRNazanin" w:hAnsi="IRNazanin" w:eastAsia="IRNazanin"/>
          <w:color w:val="111111"/>
          <w:sz w:val="28"/>
          <w:sz w:val="28"/>
          <w:szCs w:val="28"/>
          <w:rtl w:val="true"/>
          <w:lang w:bidi="fa-IR"/>
        </w:rPr>
        <w:t> الغیر ملتفتٍ</w:t>
      </w:r>
      <w:r>
        <w:rPr>
          <w:rStyle w:val="FootnoteAnchor"/>
          <w:rtl w:val="true"/>
        </w:rPr>
        <w:footnoteReference w:id="871"/>
      </w:r>
      <w:r>
        <w:rPr>
          <w:rFonts w:ascii="IRNazanin" w:hAnsi="IRNazanin" w:eastAsia="IRNazanin"/>
          <w:color w:val="111111"/>
          <w:sz w:val="28"/>
          <w:sz w:val="28"/>
          <w:szCs w:val="28"/>
          <w:rtl w:val="true"/>
          <w:lang w:bidi="fa-IR"/>
        </w:rPr>
        <w:t xml:space="preserve"> حین          </w:t>
      </w:r>
    </w:p>
    <w:p>
      <w:pPr>
        <w:pStyle w:val="BookText"/>
        <w:rPr/>
      </w:pPr>
      <w:r>
        <w:rPr>
          <w:rFonts w:ascii="IRNazanin" w:hAnsi="IRNazanin" w:eastAsia="IRNazanin"/>
          <w:color w:val="111111"/>
          <w:sz w:val="28"/>
          <w:sz w:val="28"/>
          <w:szCs w:val="28"/>
          <w:rtl w:val="true"/>
          <w:lang w:bidi="fa-IR"/>
        </w:rPr>
        <w:t>الإفطار</w:t>
      </w:r>
      <w:r>
        <w:rPr>
          <w:rStyle w:val="FootnoteAnchor"/>
          <w:rtl w:val="true"/>
        </w:rPr>
        <w:footnoteReference w:id="872"/>
      </w:r>
      <w:r>
        <w:rPr>
          <w:rFonts w:ascii="IRNazanin" w:hAnsi="IRNazanin" w:eastAsia="IRNazanin"/>
          <w:color w:val="111111"/>
          <w:sz w:val="28"/>
          <w:sz w:val="28"/>
          <w:szCs w:val="28"/>
          <w:rtl w:val="true"/>
          <w:lang w:bidi="fa-IR"/>
        </w:rPr>
        <w:t>، نعم، إذا کان جاهلاً بکون الشیء مفطِراً مع علمه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بحرمته</w:t>
      </w:r>
      <w:r>
        <w:rPr>
          <w:rStyle w:val="FootnoteAnchor"/>
          <w:rtl w:val="true"/>
        </w:rPr>
        <w:footnoteReference w:id="873"/>
      </w:r>
      <w:r>
        <w:rPr>
          <w:rFonts w:ascii="IRNazanin" w:hAnsi="IRNazanin" w:eastAsia="IRNazanin"/>
          <w:color w:val="111111"/>
          <w:sz w:val="28"/>
          <w:sz w:val="28"/>
          <w:szCs w:val="28"/>
          <w:rtl w:val="true"/>
          <w:lang w:bidi="fa-IR"/>
        </w:rPr>
        <w:t> کما إذا لم یعلم أنّ الکذب علی الله ورسوله من المفطِرات فارتکبه حال الصوم فالظاهر</w:t>
      </w:r>
      <w:r>
        <w:rPr>
          <w:rStyle w:val="FootnoteAnchor"/>
          <w:rtl w:val="true"/>
        </w:rPr>
        <w:footnoteReference w:id="874"/>
      </w:r>
      <w:r>
        <w:rPr>
          <w:rFonts w:ascii="IRNazanin" w:hAnsi="IRNazanin" w:eastAsia="IRNazanin"/>
          <w:color w:val="111111"/>
          <w:sz w:val="28"/>
          <w:sz w:val="28"/>
          <w:szCs w:val="28"/>
          <w:rtl w:val="true"/>
          <w:lang w:bidi="fa-IR"/>
        </w:rPr>
        <w:t> لحوقه</w:t>
      </w:r>
      <w:r>
        <w:rPr>
          <w:rStyle w:val="FootnoteAnchor"/>
          <w:rtl w:val="true"/>
        </w:rPr>
        <w:footnoteReference w:id="875"/>
      </w:r>
      <w:bookmarkStart w:id="342" w:name="pg13281_119846"/>
    </w:p>
    <w:p>
      <w:pPr>
        <w:pStyle w:val="BookText"/>
        <w:rPr/>
      </w:pPr>
      <w:bookmarkEnd w:id="342"/>
      <w:r>
        <w:rPr>
          <w:rFonts w:ascii="IRNazanin" w:hAnsi="IRNazanin" w:eastAsia="IRNazanin"/>
          <w:color w:val="111111"/>
          <w:sz w:val="28"/>
          <w:sz w:val="28"/>
          <w:szCs w:val="28"/>
          <w:rtl w:val="true"/>
          <w:lang w:bidi="fa-IR"/>
        </w:rPr>
        <w:t>بالعالم</w:t>
      </w:r>
      <w:r>
        <w:rPr>
          <w:rStyle w:val="FootnoteAnchor"/>
          <w:rtl w:val="true"/>
        </w:rPr>
        <w:footnoteReference w:id="876"/>
      </w:r>
      <w:r>
        <w:rPr>
          <w:rFonts w:ascii="IRNazanin" w:hAnsi="IRNazanin" w:eastAsia="IRNazanin"/>
          <w:color w:val="111111"/>
          <w:sz w:val="28"/>
          <w:sz w:val="28"/>
          <w:szCs w:val="28"/>
          <w:rtl w:val="true"/>
          <w:lang w:bidi="fa-IR"/>
        </w:rPr>
        <w:t> فی وجوب الکفّارة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955066_2322387425"/>
      <w:bookmarkStart w:id="344" w:name="_Toc126"/>
      <w:bookmarkEnd w:id="343"/>
      <w:r>
        <w:rPr>
          <w:rtl w:val="true"/>
        </w:rPr>
        <w:t>أقسام وجوب الکفّارة </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الکفّارة فی أربعة أقسام من الصوم </w:t>
      </w:r>
      <w:r>
        <w:rPr>
          <w:rFonts w:eastAsia="IRNazanin" w:cs="IRNazanin"/>
          <w:color w:val="111111"/>
          <w:sz w:val="28"/>
          <w:szCs w:val="28"/>
          <w:rtl w:val="true"/>
          <w:lang w:bidi="fa-IR"/>
        </w:rPr>
        <w:t>:</w:t>
      </w:r>
    </w:p>
    <w:p>
      <w:pPr>
        <w:pStyle w:val="Heading3"/>
        <w:numPr>
          <w:ilvl w:val="2"/>
          <w:numId w:val="1"/>
        </w:numPr>
        <w:rPr/>
      </w:pPr>
      <w:bookmarkStart w:id="345" w:name="__RefHeading___Toc1955068_2322387425"/>
      <w:bookmarkStart w:id="346" w:name="_Toc127"/>
      <w:bookmarkEnd w:id="345"/>
      <w:r>
        <w:rPr>
          <w:rtl w:val="true"/>
        </w:rPr>
        <w:t xml:space="preserve">الأول </w:t>
      </w:r>
      <w:r>
        <w:rPr>
          <w:rtl w:val="true"/>
        </w:rPr>
        <w:t xml:space="preserve">: </w:t>
      </w:r>
      <w:r>
        <w:rPr>
          <w:rtl w:val="true"/>
        </w:rPr>
        <w:t>کفّارة صوم شهر رمضان</w:t>
      </w:r>
      <w:bookmarkEnd w:id="346"/>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وکفّارته مخیّرة</w:t>
      </w:r>
      <w:r>
        <w:rPr>
          <w:rStyle w:val="FootnoteAnchor"/>
          <w:rtl w:val="true"/>
        </w:rPr>
        <w:footnoteReference w:id="878"/>
      </w:r>
      <w:r>
        <w:rPr>
          <w:rFonts w:ascii="IRNazanin" w:hAnsi="IRNazanin" w:eastAsia="IRNazanin"/>
          <w:color w:val="111111"/>
          <w:sz w:val="28"/>
          <w:sz w:val="28"/>
          <w:szCs w:val="28"/>
          <w:rtl w:val="true"/>
          <w:lang w:bidi="fa-IR"/>
        </w:rPr>
        <w:t> بین العِتق وصیام شهرین  </w:t>
      </w:r>
    </w:p>
    <w:p>
      <w:pPr>
        <w:pStyle w:val="BookText"/>
        <w:rPr/>
      </w:pPr>
      <w:r>
        <w:rPr>
          <w:rFonts w:ascii="IRNazanin" w:hAnsi="IRNazanin" w:eastAsia="IRNazanin"/>
          <w:color w:val="111111"/>
          <w:sz w:val="28"/>
          <w:sz w:val="28"/>
          <w:szCs w:val="28"/>
          <w:rtl w:val="true"/>
          <w:lang w:bidi="fa-IR"/>
        </w:rPr>
        <w:t>متتابعین وإطعام ستّین مسکیناً علی الأقوی، وإن کان الأحوط</w:t>
      </w:r>
      <w:r>
        <w:rPr>
          <w:rStyle w:val="FootnoteAnchor"/>
          <w:rtl w:val="true"/>
        </w:rPr>
        <w:footnoteReference w:id="879"/>
      </w:r>
      <w:r>
        <w:rPr>
          <w:rFonts w:ascii="IRNazanin" w:hAnsi="IRNazanin" w:eastAsia="IRNazanin"/>
          <w:color w:val="111111"/>
          <w:sz w:val="28"/>
          <w:sz w:val="28"/>
          <w:szCs w:val="28"/>
          <w:rtl w:val="true"/>
          <w:lang w:bidi="fa-IR"/>
        </w:rPr>
        <w:t> الترتیب،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7" w:name="pg13281_119847"/>
    </w:p>
    <w:p>
      <w:pPr>
        <w:pStyle w:val="BookText"/>
        <w:rPr/>
      </w:pPr>
      <w:bookmarkEnd w:id="347"/>
      <w:r>
        <w:rPr>
          <w:rFonts w:ascii="IRNazanin" w:hAnsi="IRNazanin" w:eastAsia="IRNazanin"/>
          <w:color w:val="111111"/>
          <w:sz w:val="28"/>
          <w:sz w:val="28"/>
          <w:szCs w:val="28"/>
          <w:rtl w:val="true"/>
          <w:lang w:bidi="fa-IR"/>
        </w:rPr>
        <w:t>فیختار العتق مع الإمکان، ومع العجز عنه فالصیام، ومع العجز عنه فالإطعام</w:t>
      </w:r>
    </w:p>
    <w:p>
      <w:pPr>
        <w:pStyle w:val="Heading3"/>
        <w:numPr>
          <w:ilvl w:val="2"/>
          <w:numId w:val="1"/>
        </w:numPr>
        <w:rPr/>
      </w:pPr>
      <w:bookmarkStart w:id="348" w:name="__RefHeading___Toc1955070_2322387425"/>
      <w:bookmarkStart w:id="349" w:name="_Toc128"/>
      <w:bookmarkEnd w:id="348"/>
      <w:r>
        <w:rPr>
          <w:rtl w:val="true"/>
        </w:rPr>
        <w:t>کفّارة الإفطار علی محرّم</w:t>
      </w:r>
      <w:bookmarkEnd w:id="349"/>
    </w:p>
    <w:p>
      <w:pPr>
        <w:pStyle w:val="BookText"/>
        <w:rPr/>
      </w:pPr>
      <w:r>
        <w:rPr>
          <w:rFonts w:ascii="IRNazanin" w:hAnsi="IRNazanin" w:eastAsia="IRNazanin"/>
          <w:color w:val="111111"/>
          <w:sz w:val="28"/>
          <w:sz w:val="28"/>
          <w:szCs w:val="28"/>
          <w:rtl w:val="true"/>
          <w:lang w:bidi="fa-IR"/>
        </w:rPr>
        <w:t>، ویجب الجمع</w:t>
      </w:r>
      <w:r>
        <w:rPr>
          <w:rStyle w:val="FootnoteAnchor"/>
          <w:rtl w:val="true"/>
        </w:rPr>
        <w:footnoteReference w:id="880"/>
      </w:r>
      <w:r>
        <w:rPr>
          <w:rFonts w:ascii="IRNazanin" w:hAnsi="IRNazanin" w:eastAsia="IRNazanin"/>
          <w:color w:val="111111"/>
          <w:sz w:val="28"/>
          <w:sz w:val="28"/>
          <w:szCs w:val="28"/>
          <w:rtl w:val="true"/>
          <w:lang w:bidi="fa-IR"/>
        </w:rPr>
        <w:t> بین الخصال</w:t>
      </w:r>
      <w:r>
        <w:rPr>
          <w:rStyle w:val="FootnoteAnchor"/>
          <w:rtl w:val="true"/>
        </w:rPr>
        <w:footnoteReference w:id="881"/>
      </w:r>
      <w:r>
        <w:rPr>
          <w:rFonts w:ascii="IRNazanin" w:hAnsi="IRNazanin" w:eastAsia="IRNazanin"/>
          <w:color w:val="111111"/>
          <w:sz w:val="28"/>
          <w:sz w:val="28"/>
          <w:szCs w:val="28"/>
          <w:rtl w:val="true"/>
          <w:lang w:bidi="fa-IR"/>
        </w:rPr>
        <w:t> إن کان الإفطار علی محرّم، کأکل المغصوب</w:t>
      </w:r>
      <w:r>
        <w:rPr>
          <w:rStyle w:val="FootnoteAnchor"/>
          <w:rtl w:val="true"/>
        </w:rPr>
        <w:footnoteReference w:id="882"/>
      </w:r>
      <w:r>
        <w:rPr>
          <w:rFonts w:ascii="IRNazanin" w:hAnsi="IRNazanin" w:eastAsia="IRNazanin"/>
          <w:color w:val="111111"/>
          <w:sz w:val="28"/>
          <w:sz w:val="28"/>
          <w:szCs w:val="28"/>
          <w:rtl w:val="true"/>
          <w:lang w:bidi="fa-IR"/>
        </w:rPr>
        <w:t>، وشرب الخمر، والجماع المحرّم، ونحو ذلک</w:t>
      </w:r>
      <w:r>
        <w:rPr>
          <w:rFonts w:eastAsia="IRNazanin" w:cs="IRNazanin"/>
          <w:color w:val="111111"/>
          <w:sz w:val="28"/>
          <w:szCs w:val="28"/>
          <w:rtl w:val="true"/>
          <w:lang w:bidi="fa-IR"/>
        </w:rPr>
        <w:t>.</w:t>
      </w:r>
    </w:p>
    <w:p>
      <w:pPr>
        <w:pStyle w:val="Heading3"/>
        <w:numPr>
          <w:ilvl w:val="2"/>
          <w:numId w:val="1"/>
        </w:numPr>
        <w:rPr/>
      </w:pPr>
      <w:bookmarkStart w:id="350" w:name="__RefHeading___Toc1955072_2322387425"/>
      <w:bookmarkStart w:id="351" w:name="_Toc129"/>
      <w:bookmarkEnd w:id="350"/>
      <w:r>
        <w:rPr>
          <w:rtl w:val="true"/>
        </w:rPr>
        <w:t xml:space="preserve">الثانی </w:t>
      </w:r>
      <w:r>
        <w:rPr>
          <w:rtl w:val="true"/>
        </w:rPr>
        <w:t xml:space="preserve">: </w:t>
      </w:r>
      <w:r>
        <w:rPr>
          <w:rtl w:val="true"/>
        </w:rPr>
        <w:t>کفّارة قضاء شهر رمضان</w:t>
      </w:r>
      <w:bookmarkEnd w:id="351"/>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قضاء شهر رمضان إذا أفطر بعد الزوال، وکفّارته</w:t>
      </w:r>
      <w:r>
        <w:rPr>
          <w:rStyle w:val="FootnoteAnchor"/>
          <w:rtl w:val="true"/>
        </w:rPr>
        <w:footnoteReference w:id="88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إطعام عشرة مساکین، لکلّ مسکینٍ مُدّ</w:t>
      </w:r>
      <w:r>
        <w:rPr>
          <w:rStyle w:val="FootnoteAnchor"/>
          <w:rtl w:val="true"/>
        </w:rPr>
        <w:footnoteReference w:id="884"/>
      </w:r>
      <w:r>
        <w:rPr>
          <w:rFonts w:ascii="IRNazanin" w:hAnsi="IRNazanin" w:eastAsia="IRNazanin"/>
          <w:color w:val="111111"/>
          <w:sz w:val="28"/>
          <w:sz w:val="28"/>
          <w:szCs w:val="28"/>
          <w:rtl w:val="true"/>
          <w:lang w:bidi="fa-IR"/>
        </w:rPr>
        <w:t xml:space="preserve">، فإن لم یتمکّن فصوم ثلاثة    </w:t>
      </w:r>
      <w:bookmarkStart w:id="352" w:name="pg13281_119848"/>
    </w:p>
    <w:p>
      <w:pPr>
        <w:pStyle w:val="BookText"/>
        <w:rPr/>
      </w:pPr>
      <w:bookmarkEnd w:id="352"/>
      <w:r>
        <w:rPr>
          <w:rFonts w:ascii="Amiri" w:hAnsi="Amiri" w:eastAsia="Amiri" w:cs="Amiri"/>
          <w:color w:val="111111"/>
          <w:sz w:val="28"/>
          <w:sz w:val="28"/>
          <w:szCs w:val="28"/>
          <w:rtl w:val="true"/>
          <w:lang w:bidi="ar-SA"/>
        </w:rPr>
        <w:t>أیّام</w:t>
      </w:r>
      <w:r>
        <w:rPr>
          <w:rStyle w:val="FootnoteAnchor"/>
          <w:rtl w:val="true"/>
        </w:rPr>
        <w:footnoteReference w:id="885"/>
      </w:r>
      <w:r>
        <w:rPr>
          <w:rFonts w:ascii="IRNazanin" w:hAnsi="IRNazanin" w:eastAsia="IRNazanin"/>
          <w:color w:val="111111"/>
          <w:sz w:val="28"/>
          <w:sz w:val="28"/>
          <w:szCs w:val="28"/>
          <w:rtl w:val="true"/>
          <w:lang w:bidi="fa-IR"/>
        </w:rPr>
        <w:t>، والأحوط إطعام ستّین مسکیناً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955074_2322387425"/>
      <w:bookmarkStart w:id="354" w:name="_Toc130"/>
      <w:bookmarkEnd w:id="353"/>
      <w:r>
        <w:rPr>
          <w:rtl w:val="true"/>
        </w:rPr>
        <w:t xml:space="preserve">الثالث </w:t>
      </w:r>
      <w:r>
        <w:rPr>
          <w:rtl w:val="true"/>
        </w:rPr>
        <w:t xml:space="preserve">: </w:t>
      </w:r>
      <w:r>
        <w:rPr>
          <w:rtl w:val="true"/>
        </w:rPr>
        <w:t>کفارة صوم النذر المعیّن</w:t>
      </w:r>
      <w:bookmarkEnd w:id="354"/>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النذر المعیّن، وکفّارته کفّارة إفطار</w:t>
      </w:r>
      <w:r>
        <w:rPr>
          <w:rStyle w:val="FootnoteAnchor"/>
          <w:rtl w:val="true"/>
        </w:rPr>
        <w:footnoteReference w:id="888"/>
      </w:r>
      <w:r>
        <w:rPr>
          <w:rFonts w:ascii="IRNazanin" w:hAnsi="IRNazanin" w:eastAsia="IRNazanin"/>
          <w:color w:val="111111"/>
          <w:sz w:val="28"/>
          <w:sz w:val="28"/>
          <w:szCs w:val="28"/>
          <w:rtl w:val="true"/>
          <w:lang w:bidi="fa-IR"/>
        </w:rPr>
        <w:t> شهر رمضان</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955076_2322387425"/>
      <w:bookmarkStart w:id="356" w:name="_Toc131"/>
      <w:bookmarkEnd w:id="355"/>
      <w:r>
        <w:rPr>
          <w:rtl w:val="true"/>
        </w:rPr>
        <w:t xml:space="preserve">الرابع </w:t>
      </w:r>
      <w:r>
        <w:rPr>
          <w:rtl w:val="true"/>
        </w:rPr>
        <w:t xml:space="preserve">: </w:t>
      </w:r>
      <w:r>
        <w:rPr>
          <w:rtl w:val="true"/>
        </w:rPr>
        <w:t>کفّارة صوم الاعتکاف</w:t>
      </w:r>
      <w:bookmarkEnd w:id="356"/>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الاعتکاف</w:t>
      </w:r>
      <w:r>
        <w:rPr>
          <w:rStyle w:val="FootnoteAnchor"/>
          <w:rtl w:val="true"/>
        </w:rPr>
        <w:footnoteReference w:id="890"/>
      </w:r>
      <w:r>
        <w:rPr>
          <w:rFonts w:ascii="IRNazanin" w:hAnsi="IRNazanin" w:eastAsia="IRNazanin"/>
          <w:color w:val="111111"/>
          <w:sz w:val="28"/>
          <w:sz w:val="28"/>
          <w:szCs w:val="28"/>
          <w:rtl w:val="true"/>
          <w:lang w:bidi="fa-IR"/>
        </w:rPr>
        <w:t>، وکفّارته مثل کفّارة شهر رمضان مخیّرة   </w:t>
      </w:r>
    </w:p>
    <w:p>
      <w:pPr>
        <w:pStyle w:val="BookText"/>
        <w:rPr/>
      </w:pPr>
      <w:r>
        <w:rPr>
          <w:rFonts w:ascii="IRNazanin" w:hAnsi="IRNazanin" w:eastAsia="IRNazanin"/>
          <w:color w:val="111111"/>
          <w:sz w:val="28"/>
          <w:sz w:val="28"/>
          <w:szCs w:val="28"/>
          <w:rtl w:val="true"/>
          <w:lang w:bidi="fa-IR"/>
        </w:rPr>
        <w:t>بین الخصال، ولکنّ الأحوط</w:t>
      </w:r>
      <w:r>
        <w:rPr>
          <w:rStyle w:val="FootnoteAnchor"/>
          <w:rtl w:val="true"/>
        </w:rPr>
        <w:footnoteReference w:id="891"/>
      </w:r>
      <w:r>
        <w:rPr>
          <w:rFonts w:ascii="IRNazanin" w:hAnsi="IRNazanin" w:eastAsia="IRNazanin"/>
          <w:color w:val="111111"/>
          <w:sz w:val="28"/>
          <w:sz w:val="28"/>
          <w:szCs w:val="28"/>
          <w:rtl w:val="true"/>
          <w:lang w:bidi="fa-IR"/>
        </w:rPr>
        <w:t> الترتیب</w:t>
      </w:r>
      <w:r>
        <w:rPr>
          <w:rStyle w:val="FootnoteAnchor"/>
          <w:rtl w:val="true"/>
        </w:rPr>
        <w:footnoteReference w:id="892"/>
      </w:r>
      <w:r>
        <w:rPr>
          <w:rFonts w:ascii="IRNazanin" w:hAnsi="IRNazanin" w:eastAsia="IRNazanin"/>
          <w:color w:val="111111"/>
          <w:sz w:val="28"/>
          <w:sz w:val="28"/>
          <w:szCs w:val="28"/>
          <w:rtl w:val="true"/>
          <w:lang w:bidi="fa-IR"/>
        </w:rPr>
        <w:t> المذکور، هذا، وکفّارة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الاعتکاف مختصّة بالجماع فلا تعمّ سائر المفطِرات، والظاهر أنّها لأجل </w:t>
      </w:r>
      <w:bookmarkStart w:id="357" w:name="pg13281_119849"/>
    </w:p>
    <w:p>
      <w:pPr>
        <w:pStyle w:val="BookText"/>
        <w:rPr/>
      </w:pPr>
      <w:bookmarkEnd w:id="357"/>
      <w:r>
        <w:rPr>
          <w:rFonts w:ascii="IRNazanin" w:hAnsi="IRNazanin" w:eastAsia="IRNazanin"/>
          <w:color w:val="111111"/>
          <w:sz w:val="28"/>
          <w:sz w:val="28"/>
          <w:szCs w:val="28"/>
          <w:rtl w:val="true"/>
          <w:lang w:bidi="fa-IR"/>
        </w:rPr>
        <w:t>الاعتکاف</w:t>
      </w:r>
      <w:r>
        <w:rPr>
          <w:rStyle w:val="FootnoteAnchor"/>
          <w:rtl w:val="true"/>
        </w:rPr>
        <w:footnoteReference w:id="893"/>
      </w:r>
      <w:r>
        <w:rPr>
          <w:rFonts w:ascii="IRNazanin" w:hAnsi="IRNazanin" w:eastAsia="IRNazanin"/>
          <w:color w:val="111111"/>
          <w:sz w:val="28"/>
          <w:sz w:val="28"/>
          <w:szCs w:val="28"/>
          <w:rtl w:val="true"/>
          <w:lang w:bidi="fa-IR"/>
        </w:rPr>
        <w:t> لا للصوم</w:t>
      </w:r>
      <w:r>
        <w:rPr>
          <w:rStyle w:val="FootnoteAnchor"/>
          <w:rtl w:val="true"/>
        </w:rPr>
        <w:footnoteReference w:id="894"/>
      </w:r>
      <w:r>
        <w:rPr>
          <w:rFonts w:ascii="IRNazanin" w:hAnsi="IRNazanin" w:eastAsia="IRNazanin"/>
          <w:color w:val="111111"/>
          <w:sz w:val="28"/>
          <w:sz w:val="28"/>
          <w:szCs w:val="28"/>
          <w:rtl w:val="true"/>
          <w:lang w:bidi="fa-IR"/>
        </w:rPr>
        <w:t>؛ ولذا تجب فی الجماع لیلاً أیضاً</w:t>
      </w:r>
      <w:r>
        <w:rPr>
          <w:rStyle w:val="FootnoteAnchor"/>
          <w:rtl w:val="true"/>
        </w:rPr>
        <w:footnoteReference w:id="895"/>
      </w:r>
      <w:r>
        <w:rPr>
          <w:rFonts w:ascii="IRNazanin" w:hAnsi="IRNazanin" w:eastAsia="IRNazanin"/>
          <w:color w:val="111111"/>
          <w:sz w:val="28"/>
          <w:sz w:val="28"/>
          <w:szCs w:val="28"/>
          <w:rtl w:val="true"/>
          <w:lang w:bidi="fa-IR"/>
        </w:rPr>
        <w:t>، وأمّا ما عدا ذلک من أقسام الصوم فلا کفّارة فی إفطاره، واجباً کان کالنذر المطلق والکفّارة، أو مندوباً فإنّه لا کفّارة فیها وإن أفطر بعد الزوال</w:t>
      </w:r>
      <w:r>
        <w:rPr>
          <w:rFonts w:eastAsia="IRNazanin" w:cs="IRNazanin"/>
          <w:color w:val="111111"/>
          <w:sz w:val="28"/>
          <w:szCs w:val="28"/>
          <w:rtl w:val="true"/>
          <w:lang w:bidi="fa-IR"/>
        </w:rPr>
        <w:t>.</w:t>
      </w:r>
    </w:p>
    <w:p>
      <w:pPr>
        <w:pStyle w:val="Heading3"/>
        <w:numPr>
          <w:ilvl w:val="2"/>
          <w:numId w:val="1"/>
        </w:numPr>
        <w:rPr/>
      </w:pPr>
      <w:bookmarkStart w:id="358" w:name="__RefHeading___Toc1955078_2322387425"/>
      <w:bookmarkStart w:id="359" w:name="_Toc132"/>
      <w:bookmarkEnd w:id="358"/>
      <w:r>
        <w:rPr>
          <w:rtl w:val="true"/>
        </w:rPr>
        <w:t>تکرّر الکفّارة بتکرّر موجبها</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تتکرّر الکفّارة</w:t>
      </w:r>
      <w:r>
        <w:rPr>
          <w:rStyle w:val="FootnoteAnchor"/>
          <w:rtl w:val="true"/>
        </w:rPr>
        <w:footnoteReference w:id="896"/>
      </w:r>
      <w:r>
        <w:rPr>
          <w:rFonts w:ascii="IRNazanin" w:hAnsi="IRNazanin" w:eastAsia="IRNazanin"/>
          <w:color w:val="111111"/>
          <w:sz w:val="28"/>
          <w:sz w:val="28"/>
          <w:szCs w:val="28"/>
          <w:rtl w:val="true"/>
          <w:lang w:bidi="fa-IR"/>
        </w:rPr>
        <w:t> بتکرّر الموجب فی یومَین وأزید من</w:t>
      </w:r>
    </w:p>
    <w:p>
      <w:pPr>
        <w:pStyle w:val="BookText"/>
        <w:rPr/>
      </w:pPr>
      <w:r>
        <w:rPr>
          <w:rFonts w:ascii="IRNazanin" w:hAnsi="IRNazanin" w:eastAsia="IRNazanin"/>
          <w:color w:val="111111"/>
          <w:sz w:val="28"/>
          <w:sz w:val="28"/>
          <w:szCs w:val="28"/>
          <w:rtl w:val="true"/>
          <w:lang w:bidi="fa-IR"/>
        </w:rPr>
        <w:t>صوم له کفّارة، ولا تتکرّر بتکرّره فی یوم واحد فی غیر الجماع</w:t>
      </w:r>
      <w:r>
        <w:rPr>
          <w:rStyle w:val="FootnoteAnchor"/>
          <w:rtl w:val="true"/>
        </w:rPr>
        <w:footnoteReference w:id="897"/>
      </w:r>
      <w:r>
        <w:rPr>
          <w:rFonts w:ascii="IRNazanin" w:hAnsi="IRNazanin" w:eastAsia="IRNazanin"/>
          <w:color w:val="111111"/>
          <w:sz w:val="28"/>
          <w:sz w:val="28"/>
          <w:szCs w:val="28"/>
          <w:rtl w:val="true"/>
          <w:lang w:bidi="fa-IR"/>
        </w:rPr>
        <w:t>، وإن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تخلّل التکفیر بین الموجِبَین أو اختلف جنس الموجِب علی الأقوی، وإن کان الأحوط التکرار</w:t>
      </w:r>
      <w:r>
        <w:rPr>
          <w:rStyle w:val="FootnoteAnchor"/>
          <w:rtl w:val="true"/>
        </w:rPr>
        <w:footnoteReference w:id="898"/>
      </w:r>
      <w:r>
        <w:rPr>
          <w:rFonts w:ascii="IRNazanin" w:hAnsi="IRNazanin" w:eastAsia="IRNazanin"/>
          <w:color w:val="111111"/>
          <w:sz w:val="28"/>
          <w:sz w:val="28"/>
          <w:szCs w:val="28"/>
          <w:rtl w:val="true"/>
          <w:lang w:bidi="fa-IR"/>
        </w:rPr>
        <w:t> مع أحد الأمرین، بل الأحوط التکرار مطلقاً، وأمّا</w:t>
      </w:r>
    </w:p>
    <w:p>
      <w:pPr>
        <w:pStyle w:val="BookText"/>
        <w:rPr/>
      </w:pPr>
      <w:r>
        <w:rPr>
          <w:rFonts w:ascii="IRNazanin" w:hAnsi="IRNazanin" w:eastAsia="IRNazanin"/>
          <w:color w:val="111111"/>
          <w:sz w:val="28"/>
          <w:sz w:val="28"/>
          <w:szCs w:val="28"/>
          <w:rtl w:val="true"/>
          <w:lang w:bidi="fa-IR"/>
        </w:rPr>
        <w:t>الجماع</w:t>
      </w:r>
      <w:r>
        <w:rPr>
          <w:rStyle w:val="FootnoteAnchor"/>
          <w:rtl w:val="true"/>
        </w:rPr>
        <w:footnoteReference w:id="899"/>
      </w:r>
      <w:r>
        <w:rPr>
          <w:rFonts w:ascii="IRNazanin" w:hAnsi="IRNazanin" w:eastAsia="IRNazanin"/>
          <w:color w:val="111111"/>
          <w:sz w:val="28"/>
          <w:sz w:val="28"/>
          <w:szCs w:val="28"/>
          <w:rtl w:val="true"/>
          <w:lang w:bidi="fa-IR"/>
        </w:rPr>
        <w:t> فالأحوط</w:t>
      </w:r>
      <w:r>
        <w:rPr>
          <w:rStyle w:val="FootnoteAnchor"/>
          <w:rtl w:val="true"/>
        </w:rPr>
        <w:footnoteReference w:id="900"/>
      </w:r>
      <w:r>
        <w:rPr>
          <w:rFonts w:ascii="IRNazanin" w:hAnsi="IRNazanin" w:eastAsia="IRNazanin"/>
          <w:color w:val="111111"/>
          <w:sz w:val="28"/>
          <w:sz w:val="28"/>
          <w:szCs w:val="28"/>
          <w:rtl w:val="true"/>
          <w:lang w:bidi="fa-IR"/>
        </w:rPr>
        <w:t> بل الأقوی</w:t>
      </w:r>
      <w:r>
        <w:rPr>
          <w:rStyle w:val="FootnoteAnchor"/>
          <w:rtl w:val="true"/>
        </w:rPr>
        <w:footnoteReference w:id="901"/>
      </w:r>
      <w:r>
        <w:rPr>
          <w:rFonts w:ascii="IRNazanin" w:hAnsi="IRNazanin" w:eastAsia="IRNazanin"/>
          <w:color w:val="111111"/>
          <w:sz w:val="28"/>
          <w:sz w:val="28"/>
          <w:szCs w:val="28"/>
          <w:rtl w:val="true"/>
          <w:lang w:bidi="fa-IR"/>
        </w:rPr>
        <w:t> تکریرها</w:t>
      </w:r>
      <w:r>
        <w:rPr>
          <w:rStyle w:val="FootnoteAnchor"/>
          <w:rtl w:val="true"/>
        </w:rPr>
        <w:footnoteReference w:id="902"/>
      </w:r>
      <w:r>
        <w:rPr>
          <w:rFonts w:ascii="Amiri" w:hAnsi="Amiri" w:eastAsia="Amiri" w:cs="Amiri"/>
          <w:color w:val="111111"/>
          <w:sz w:val="28"/>
          <w:sz w:val="28"/>
          <w:szCs w:val="28"/>
          <w:rtl w:val="true"/>
          <w:lang w:bidi="ar-SA"/>
        </w:rPr>
        <w:t> بتکرّره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0" w:name="pg13281_119851"/>
    </w:p>
    <w:p>
      <w:pPr>
        <w:pStyle w:val="Heading3"/>
        <w:numPr>
          <w:ilvl w:val="2"/>
          <w:numId w:val="1"/>
        </w:numPr>
        <w:rPr/>
      </w:pPr>
      <w:bookmarkStart w:id="361" w:name="__RefHeading___Toc1955080_2322387425"/>
      <w:bookmarkStart w:id="362" w:name="_Toc133"/>
      <w:bookmarkEnd w:id="360"/>
      <w:bookmarkEnd w:id="361"/>
      <w:r>
        <w:rPr>
          <w:rtl w:val="true"/>
        </w:rPr>
        <w:t>لزوم کفارة الجمع بلا فرق بین الإفطار بالمحرم ذاتاً وبالعارض</w:t>
      </w:r>
      <w:bookmarkEnd w:id="3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w:t>
      </w:r>
      <w:r>
        <w:rPr>
          <w:rStyle w:val="FootnoteAnchor"/>
          <w:rtl w:val="true"/>
        </w:rPr>
        <w:footnoteReference w:id="904"/>
      </w:r>
      <w:r>
        <w:rPr>
          <w:rFonts w:ascii="IRNazanin" w:hAnsi="IRNazanin" w:eastAsia="IRNazanin"/>
          <w:color w:val="111111"/>
          <w:sz w:val="28"/>
          <w:sz w:val="28"/>
          <w:szCs w:val="28"/>
          <w:rtl w:val="true"/>
          <w:lang w:bidi="fa-IR"/>
        </w:rPr>
        <w:t> فی الإفطار بالمحرّم الموجب لکفّارة الجمع</w:t>
      </w:r>
      <w:r>
        <w:rPr>
          <w:rStyle w:val="FootnoteAnchor"/>
          <w:rtl w:val="true"/>
        </w:rPr>
        <w:footnoteReference w:id="905"/>
      </w:r>
      <w:r>
        <w:rPr>
          <w:rFonts w:ascii="IRNazanin" w:hAnsi="IRNazanin" w:eastAsia="IRNazanin"/>
          <w:color w:val="111111"/>
          <w:sz w:val="28"/>
          <w:sz w:val="28"/>
          <w:szCs w:val="28"/>
          <w:rtl w:val="true"/>
          <w:lang w:bidi="fa-IR"/>
        </w:rPr>
        <w:t>بین أن تکون الحرمة أصلیّة کالزنا وشرب الخمر، أو عارضیّة</w:t>
      </w:r>
      <w:r>
        <w:rPr>
          <w:rStyle w:val="FootnoteAnchor"/>
          <w:rtl w:val="true"/>
        </w:rPr>
        <w:footnoteReference w:id="906"/>
      </w:r>
      <w:r>
        <w:rPr>
          <w:rFonts w:ascii="IRNazanin" w:hAnsi="IRNazanin" w:eastAsia="IRNazanin"/>
          <w:color w:val="111111"/>
          <w:sz w:val="28"/>
          <w:sz w:val="28"/>
          <w:szCs w:val="28"/>
          <w:rtl w:val="true"/>
          <w:lang w:bidi="fa-IR"/>
        </w:rPr>
        <w:t> کالوطئ حال الحیض أو تناول</w:t>
      </w:r>
      <w:r>
        <w:rPr>
          <w:rStyle w:val="FootnoteAnchor"/>
          <w:rtl w:val="true"/>
        </w:rPr>
        <w:footnoteReference w:id="907"/>
      </w:r>
      <w:r>
        <w:rPr>
          <w:rFonts w:ascii="Amiri" w:hAnsi="Amiri" w:eastAsia="Amiri" w:cs="Amiri"/>
          <w:color w:val="111111"/>
          <w:sz w:val="28"/>
          <w:sz w:val="28"/>
          <w:szCs w:val="28"/>
          <w:rtl w:val="true"/>
          <w:lang w:bidi="ar-SA"/>
        </w:rPr>
        <w:t> ما یضرّه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363" w:name="pg13281_119852"/>
    </w:p>
    <w:p>
      <w:pPr>
        <w:pStyle w:val="Heading3"/>
        <w:numPr>
          <w:ilvl w:val="2"/>
          <w:numId w:val="1"/>
        </w:numPr>
        <w:rPr/>
      </w:pPr>
      <w:bookmarkStart w:id="364" w:name="__RefHeading___Toc1955082_2322387425"/>
      <w:bookmarkStart w:id="365" w:name="_Toc134"/>
      <w:bookmarkEnd w:id="363"/>
      <w:bookmarkEnd w:id="364"/>
      <w:r>
        <w:rPr>
          <w:rtl w:val="true"/>
        </w:rPr>
        <w:t>من الإفطار بالمحرّم الکذب علی الله ورسوله صلی الله علیه و آله و سلم</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الإفطار بالمحرّم</w:t>
      </w:r>
      <w:r>
        <w:rPr>
          <w:rStyle w:val="FootnoteAnchor"/>
          <w:rtl w:val="true"/>
        </w:rPr>
        <w:footnoteReference w:id="909"/>
      </w:r>
      <w:r>
        <w:rPr>
          <w:rFonts w:ascii="IRNazanin" w:hAnsi="IRNazanin" w:eastAsia="IRNazanin"/>
          <w:color w:val="111111"/>
          <w:sz w:val="28"/>
          <w:sz w:val="28"/>
          <w:szCs w:val="28"/>
          <w:rtl w:val="true"/>
          <w:lang w:bidi="fa-IR"/>
        </w:rPr>
        <w:t>؛ الکذب</w:t>
      </w:r>
      <w:r>
        <w:rPr>
          <w:rStyle w:val="FootnoteAnchor"/>
          <w:rtl w:val="true"/>
        </w:rPr>
        <w:footnoteReference w:id="910"/>
      </w:r>
      <w:r>
        <w:rPr>
          <w:rFonts w:ascii="IRNazanin" w:hAnsi="IRNazanin" w:eastAsia="IRNazanin"/>
          <w:color w:val="111111"/>
          <w:sz w:val="28"/>
          <w:sz w:val="28"/>
          <w:szCs w:val="28"/>
          <w:rtl w:val="true"/>
          <w:lang w:bidi="fa-IR"/>
        </w:rPr>
        <w:t> علی</w:t>
      </w:r>
      <w:r>
        <w:rPr>
          <w:rStyle w:val="FootnoteAnchor"/>
          <w:rtl w:val="true"/>
        </w:rPr>
        <w:footnoteReference w:id="911"/>
      </w:r>
      <w:r>
        <w:rPr>
          <w:rFonts w:ascii="IRNazanin" w:hAnsi="IRNazanin" w:eastAsia="IRNazanin"/>
          <w:color w:val="111111"/>
          <w:sz w:val="28"/>
          <w:sz w:val="28"/>
          <w:szCs w:val="28"/>
          <w:rtl w:val="true"/>
          <w:lang w:bidi="fa-IR"/>
        </w:rPr>
        <w:t>الله</w:t>
      </w:r>
      <w:r>
        <w:rPr>
          <w:rStyle w:val="FootnoteAnchor"/>
          <w:rtl w:val="true"/>
        </w:rPr>
        <w:footnoteReference w:id="912"/>
      </w:r>
      <w:r>
        <w:rPr>
          <w:rFonts w:ascii="IRNazanin" w:hAnsi="IRNazanin" w:eastAsia="IRNazanin"/>
          <w:color w:val="111111"/>
          <w:sz w:val="28"/>
          <w:sz w:val="28"/>
          <w:szCs w:val="28"/>
          <w:rtl w:val="true"/>
          <w:lang w:bidi="fa-IR"/>
        </w:rPr>
        <w:t xml:space="preserve"> وعلی رسوله </w:t>
      </w:r>
      <w:r>
        <w:rPr>
          <w:rFonts w:eastAsia="IRNazanin" w:cs="IRNazanin"/>
          <w:color w:val="111111"/>
          <w:sz w:val="28"/>
          <w:szCs w:val="28"/>
          <w:lang w:bidi="fa-IR"/>
        </w:rPr>
        <w:t>9</w:t>
      </w:r>
      <w:r>
        <w:rPr>
          <w:rStyle w:val="FootnoteAnchor"/>
          <w:rtl w:val="true"/>
        </w:rPr>
        <w:footnoteReference w:id="913"/>
      </w:r>
      <w:r>
        <w:rPr>
          <w:rFonts w:ascii="IRNazanin" w:hAnsi="IRNazanin" w:eastAsia="IRNazanin"/>
          <w:color w:val="111111"/>
          <w:sz w:val="28"/>
          <w:sz w:val="28"/>
          <w:szCs w:val="28"/>
          <w:rtl w:val="true"/>
          <w:lang w:bidi="fa-IR"/>
        </w:rPr>
        <w:t>،</w:t>
      </w:r>
    </w:p>
    <w:p>
      <w:pPr>
        <w:pStyle w:val="Heading3"/>
        <w:numPr>
          <w:ilvl w:val="2"/>
          <w:numId w:val="1"/>
        </w:numPr>
        <w:rPr/>
      </w:pPr>
      <w:bookmarkStart w:id="366" w:name="__RefHeading___Toc1955084_2322387425"/>
      <w:bookmarkStart w:id="367" w:name="_Toc135"/>
      <w:bookmarkEnd w:id="366"/>
      <w:r>
        <w:rPr>
          <w:rtl w:val="true"/>
        </w:rPr>
        <w:t>حکم ابتلاع النخامة</w:t>
      </w:r>
      <w:bookmarkEnd w:id="36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ابتلاع النخامة </w:t>
      </w:r>
      <w:bookmarkStart w:id="368" w:name="pg13281_119853"/>
    </w:p>
    <w:p>
      <w:pPr>
        <w:pStyle w:val="BookText"/>
        <w:rPr/>
      </w:pPr>
      <w:bookmarkEnd w:id="368"/>
      <w:r>
        <w:rPr>
          <w:rFonts w:ascii="IRNazanin" w:hAnsi="IRNazanin" w:eastAsia="IRNazanin"/>
          <w:color w:val="111111"/>
          <w:sz w:val="28"/>
          <w:sz w:val="28"/>
          <w:szCs w:val="28"/>
          <w:rtl w:val="true"/>
          <w:lang w:bidi="fa-IR"/>
        </w:rPr>
        <w:t>إذا قلنا</w:t>
      </w:r>
      <w:r>
        <w:rPr>
          <w:rStyle w:val="FootnoteAnchor"/>
          <w:rtl w:val="true"/>
        </w:rPr>
        <w:footnoteReference w:id="914"/>
      </w:r>
      <w:r>
        <w:rPr>
          <w:rFonts w:ascii="IRNazanin" w:hAnsi="IRNazanin" w:eastAsia="IRNazanin"/>
          <w:color w:val="111111"/>
          <w:sz w:val="28"/>
          <w:sz w:val="28"/>
          <w:szCs w:val="28"/>
          <w:rtl w:val="true"/>
          <w:lang w:bidi="fa-IR"/>
        </w:rPr>
        <w:t> بحرمتها</w:t>
      </w:r>
      <w:r>
        <w:rPr>
          <w:rStyle w:val="FootnoteAnchor"/>
          <w:rtl w:val="true"/>
        </w:rPr>
        <w:footnoteReference w:id="915"/>
      </w:r>
      <w:r>
        <w:rPr>
          <w:rFonts w:ascii="IRNazanin" w:hAnsi="IRNazanin" w:eastAsia="IRNazanin"/>
          <w:color w:val="111111"/>
          <w:sz w:val="28"/>
          <w:sz w:val="28"/>
          <w:szCs w:val="28"/>
          <w:rtl w:val="true"/>
          <w:lang w:bidi="fa-IR"/>
        </w:rPr>
        <w:t> من حیث</w:t>
      </w:r>
      <w:r>
        <w:rPr>
          <w:rStyle w:val="FootnoteAnchor"/>
          <w:rtl w:val="true"/>
        </w:rPr>
        <w:footnoteReference w:id="916"/>
      </w:r>
      <w:r>
        <w:rPr>
          <w:rFonts w:ascii="IRNazanin" w:hAnsi="IRNazanin" w:eastAsia="IRNazanin"/>
          <w:color w:val="111111"/>
          <w:sz w:val="28"/>
          <w:sz w:val="28"/>
          <w:szCs w:val="28"/>
          <w:rtl w:val="true"/>
          <w:lang w:bidi="fa-IR"/>
        </w:rPr>
        <w:t> دخولها فی الخبائث</w:t>
      </w:r>
      <w:r>
        <w:rPr>
          <w:rStyle w:val="FootnoteAnchor"/>
          <w:rtl w:val="true"/>
        </w:rPr>
        <w:footnoteReference w:id="917"/>
      </w:r>
      <w:r>
        <w:rPr>
          <w:rFonts w:ascii="Amiri" w:hAnsi="Amiri" w:eastAsia="Amiri" w:cs="Amiri"/>
          <w:color w:val="111111"/>
          <w:sz w:val="28"/>
          <w:sz w:val="28"/>
          <w:szCs w:val="28"/>
          <w:rtl w:val="true"/>
          <w:lang w:bidi="ar-SA"/>
        </w:rPr>
        <w:t>، لکنّه مشکل</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955086_2322387425"/>
      <w:bookmarkStart w:id="370" w:name="_Toc136"/>
      <w:bookmarkEnd w:id="369"/>
      <w:r>
        <w:rPr>
          <w:rtl w:val="true"/>
        </w:rPr>
        <w:t>تعذّر بعض الخصال فی کفّارة الجمع</w:t>
      </w:r>
      <w:bookmarkEnd w:id="37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بعض الخصال فی کفّارة الجمع وجب</w:t>
      </w:r>
      <w:r>
        <w:rPr>
          <w:rStyle w:val="FootnoteAnchor"/>
          <w:rtl w:val="true"/>
        </w:rPr>
        <w:footnoteReference w:id="919"/>
      </w:r>
      <w:r>
        <w:rPr>
          <w:rFonts w:ascii="IRNazanin" w:hAnsi="IRNazanin" w:eastAsia="IRNazanin"/>
          <w:color w:val="111111"/>
          <w:sz w:val="28"/>
          <w:sz w:val="28"/>
          <w:szCs w:val="28"/>
          <w:rtl w:val="true"/>
          <w:lang w:bidi="fa-IR"/>
        </w:rPr>
        <w:t> علیه</w:t>
      </w:r>
      <w:r>
        <w:rPr>
          <w:rStyle w:val="FootnoteAnchor"/>
          <w:rtl w:val="true"/>
        </w:rPr>
        <w:footnoteReference w:id="920"/>
      </w:r>
      <w:r>
        <w:rPr>
          <w:rFonts w:ascii="IRNazanin" w:hAnsi="IRNazanin" w:eastAsia="IRNazanin"/>
          <w:color w:val="111111"/>
          <w:sz w:val="28"/>
          <w:sz w:val="28"/>
          <w:szCs w:val="28"/>
          <w:rtl w:val="true"/>
          <w:lang w:bidi="fa-IR"/>
        </w:rPr>
        <w:t>الباقی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371" w:name="pg13281_119854"/>
    </w:p>
    <w:p>
      <w:pPr>
        <w:pStyle w:val="Heading3"/>
        <w:numPr>
          <w:ilvl w:val="2"/>
          <w:numId w:val="1"/>
        </w:numPr>
        <w:rPr/>
      </w:pPr>
      <w:bookmarkStart w:id="372" w:name="__RefHeading___Toc1955088_2322387425"/>
      <w:bookmarkStart w:id="373" w:name="_Toc137"/>
      <w:bookmarkEnd w:id="371"/>
      <w:bookmarkEnd w:id="372"/>
      <w:r>
        <w:rPr>
          <w:rtl w:val="true"/>
        </w:rPr>
        <w:t>حکم تکرّر الکفّارة بالجماع مراراً وکونه علی الوجه المحرّم</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w:t>
      </w:r>
      <w:r>
        <w:rPr>
          <w:rStyle w:val="FootnoteAnchor"/>
          <w:rtl w:val="true"/>
        </w:rPr>
        <w:footnoteReference w:id="922"/>
      </w:r>
      <w:r>
        <w:rPr>
          <w:rFonts w:ascii="IRNazanin" w:hAnsi="IRNazanin" w:eastAsia="IRNazanin"/>
          <w:color w:val="111111"/>
          <w:sz w:val="28"/>
          <w:sz w:val="28"/>
          <w:szCs w:val="28"/>
          <w:rtl w:val="true"/>
          <w:lang w:bidi="fa-IR"/>
        </w:rPr>
        <w:t> فی یوم واحد مرّات وجب</w:t>
      </w:r>
      <w:r>
        <w:rPr>
          <w:rStyle w:val="FootnoteAnchor"/>
          <w:rtl w:val="true"/>
        </w:rPr>
        <w:footnoteReference w:id="923"/>
      </w:r>
      <w:r>
        <w:rPr>
          <w:rFonts w:ascii="IRNazanin" w:hAnsi="IRNazanin" w:eastAsia="IRNazanin"/>
          <w:color w:val="111111"/>
          <w:sz w:val="28"/>
          <w:sz w:val="28"/>
          <w:szCs w:val="28"/>
          <w:rtl w:val="true"/>
          <w:lang w:bidi="fa-IR"/>
        </w:rPr>
        <w:t> علیه</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کفّارات</w:t>
      </w:r>
      <w:r>
        <w:rPr>
          <w:rStyle w:val="FootnoteAnchor"/>
          <w:rtl w:val="true"/>
        </w:rPr>
        <w:footnoteReference w:id="925"/>
      </w:r>
      <w:r>
        <w:rPr>
          <w:rFonts w:ascii="IRNazanin" w:hAnsi="IRNazanin" w:eastAsia="IRNazanin"/>
          <w:color w:val="111111"/>
          <w:sz w:val="28"/>
          <w:sz w:val="28"/>
          <w:szCs w:val="28"/>
          <w:rtl w:val="true"/>
          <w:lang w:bidi="fa-IR"/>
        </w:rPr>
        <w:t> بعددها</w:t>
      </w:r>
      <w:r>
        <w:rPr>
          <w:rStyle w:val="FootnoteAnchor"/>
          <w:rtl w:val="true"/>
        </w:rPr>
        <w:footnoteReference w:id="926"/>
      </w:r>
      <w:r>
        <w:rPr>
          <w:rFonts w:ascii="IRNazanin" w:hAnsi="IRNazanin" w:eastAsia="IRNazanin"/>
          <w:color w:val="111111"/>
          <w:sz w:val="28"/>
          <w:sz w:val="28"/>
          <w:szCs w:val="28"/>
          <w:rtl w:val="true"/>
          <w:lang w:bidi="fa-IR"/>
        </w:rPr>
        <w:t>، وإن کان علی الوجه المحرّم</w:t>
      </w:r>
      <w:r>
        <w:rPr>
          <w:rStyle w:val="FootnoteAnchor"/>
          <w:rtl w:val="true"/>
        </w:rPr>
        <w:footnoteReference w:id="927"/>
      </w:r>
      <w:r>
        <w:rPr>
          <w:rFonts w:ascii="Amiri" w:hAnsi="Amiri" w:eastAsia="Amiri" w:cs="Amiri"/>
          <w:color w:val="111111"/>
          <w:sz w:val="28"/>
          <w:sz w:val="28"/>
          <w:szCs w:val="28"/>
          <w:rtl w:val="true"/>
          <w:lang w:bidi="ar-SA"/>
        </w:rPr>
        <w:t> تعدّد کفّارة الجمع</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بعددها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955090_2322387425"/>
      <w:bookmarkStart w:id="375" w:name="_Toc138"/>
      <w:bookmarkEnd w:id="374"/>
      <w:r>
        <w:rPr>
          <w:rtl w:val="true"/>
        </w:rPr>
        <w:t>المدار فی تکرّر الکفّارة فی بعض الموارد</w:t>
      </w:r>
      <w:bookmarkEnd w:id="37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الأکل فی مجلس واحد یُعدّ إفطاراً واحداً وإن تعدّدت اللقم، فلو قلنا بالتکرار مع التکرّر فی یوم واحد لا تتکرّر </w:t>
      </w:r>
      <w:bookmarkStart w:id="376" w:name="pg13281_119855"/>
    </w:p>
    <w:p>
      <w:pPr>
        <w:pStyle w:val="BookText"/>
        <w:rPr/>
      </w:pPr>
      <w:bookmarkEnd w:id="376"/>
      <w:r>
        <w:rPr>
          <w:rFonts w:ascii="Amiri" w:hAnsi="Amiri" w:eastAsia="Amiri" w:cs="Amiri"/>
          <w:color w:val="111111"/>
          <w:sz w:val="28"/>
          <w:sz w:val="28"/>
          <w:szCs w:val="28"/>
          <w:rtl w:val="true"/>
          <w:lang w:bidi="ar-SA"/>
        </w:rPr>
        <w:t>بتعدّدها</w:t>
      </w:r>
      <w:r>
        <w:rPr>
          <w:rStyle w:val="FootnoteAnchor"/>
          <w:rtl w:val="true"/>
        </w:rPr>
        <w:footnoteReference w:id="930"/>
      </w:r>
      <w:r>
        <w:rPr>
          <w:rFonts w:ascii="IRNazanin" w:hAnsi="IRNazanin" w:eastAsia="IRNazanin"/>
          <w:color w:val="111111"/>
          <w:sz w:val="28"/>
          <w:sz w:val="28"/>
          <w:szCs w:val="28"/>
          <w:rtl w:val="true"/>
          <w:lang w:bidi="fa-IR"/>
        </w:rPr>
        <w:t>، وکذا الشرب إذا کان جرعة فجرعة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الجماع الواحد إذا أدخل وأخرج مرّات لا تتکرّر الکفّارة وإن کان أحوط</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955092_2322387425"/>
      <w:bookmarkStart w:id="378" w:name="_Toc139"/>
      <w:bookmarkEnd w:id="377"/>
      <w:r>
        <w:rPr>
          <w:rtl w:val="true"/>
        </w:rPr>
        <w:t>من أفطر بغیر الجماع إذا جامع بعد ذلک</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بغیر الجماع ثمّ جامع بعد ذلک یکفیه</w:t>
      </w:r>
      <w:r>
        <w:rPr>
          <w:rStyle w:val="FootnoteAnchor"/>
          <w:rtl w:val="true"/>
        </w:rPr>
        <w:footnoteReference w:id="932"/>
      </w:r>
      <w:r>
        <w:rPr>
          <w:rFonts w:ascii="IRNazanin" w:hAnsi="IRNazanin" w:eastAsia="IRNazanin"/>
          <w:color w:val="111111"/>
          <w:sz w:val="28"/>
          <w:sz w:val="28"/>
          <w:szCs w:val="28"/>
          <w:rtl w:val="true"/>
          <w:lang w:bidi="fa-IR"/>
        </w:rPr>
        <w:t> التکفیر</w:t>
      </w:r>
      <w:r>
        <w:rPr>
          <w:rStyle w:val="FootnoteAnchor"/>
          <w:rtl w:val="true"/>
        </w:rPr>
        <w:footnoteReference w:id="933"/>
      </w:r>
      <w:r>
        <w:rPr>
          <w:rFonts w:ascii="Amiri" w:hAnsi="Amiri" w:eastAsia="Amiri" w:cs="Amiri"/>
          <w:color w:val="111111"/>
          <w:sz w:val="28"/>
          <w:sz w:val="28"/>
          <w:szCs w:val="28"/>
          <w:rtl w:val="true"/>
          <w:lang w:bidi="ar-SA"/>
        </w:rPr>
        <w:t> مرّة</w:t>
      </w:r>
      <w:r>
        <w:rPr>
          <w:rStyle w:val="FootnoteAnchor"/>
          <w:rtl w:val="true"/>
        </w:rPr>
        <w:footnoteReference w:id="934"/>
      </w:r>
      <w:r>
        <w:rPr>
          <w:rFonts w:ascii="Times New Roman" w:hAnsi="Times New Roman" w:eastAsia="Times New Roman" w:cs="Times New Roman"/>
          <w:color w:val="111111"/>
          <w:sz w:val="28"/>
          <w:sz w:val="28"/>
          <w:szCs w:val="28"/>
          <w:rtl w:val="true"/>
          <w:lang w:val="en-US" w:bidi="en-US"/>
        </w:rPr>
        <w:t> </w:t>
      </w:r>
    </w:p>
    <w:p>
      <w:pPr>
        <w:pStyle w:val="Heading3"/>
        <w:numPr>
          <w:ilvl w:val="2"/>
          <w:numId w:val="1"/>
        </w:numPr>
        <w:rPr/>
      </w:pPr>
      <w:bookmarkStart w:id="379" w:name="__RefHeading___Toc1955094_2322387425"/>
      <w:bookmarkStart w:id="380" w:name="_Toc140"/>
      <w:bookmarkEnd w:id="379"/>
      <w:r>
        <w:rPr>
          <w:rtl w:val="true"/>
        </w:rPr>
        <w:t>الإفطار بالحلال ثمّ تناول الحرام</w:t>
      </w:r>
      <w:bookmarkEnd w:id="3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إذا أفطر أوّلاً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بالحلال</w:t>
      </w:r>
      <w:r>
        <w:rPr>
          <w:rStyle w:val="FootnoteAnchor"/>
          <w:rtl w:val="true"/>
        </w:rPr>
        <w:footnoteReference w:id="935"/>
      </w:r>
      <w:r>
        <w:rPr>
          <w:rFonts w:ascii="IRNazanin" w:hAnsi="IRNazanin" w:eastAsia="IRNazanin"/>
          <w:color w:val="111111"/>
          <w:sz w:val="28"/>
          <w:sz w:val="28"/>
          <w:szCs w:val="28"/>
          <w:rtl w:val="true"/>
          <w:lang w:bidi="fa-IR"/>
        </w:rPr>
        <w:t> ثمّ أفطر بالحرام تکفیه</w:t>
      </w:r>
      <w:r>
        <w:rPr>
          <w:rStyle w:val="FootnoteAnchor"/>
          <w:rtl w:val="true"/>
        </w:rPr>
        <w:footnoteReference w:id="936"/>
      </w:r>
      <w:r>
        <w:rPr>
          <w:rFonts w:ascii="Amiri" w:hAnsi="Amiri" w:eastAsia="Amiri" w:cs="Amiri"/>
          <w:color w:val="111111"/>
          <w:sz w:val="28"/>
          <w:sz w:val="28"/>
          <w:szCs w:val="28"/>
          <w:rtl w:val="true"/>
          <w:lang w:bidi="ar-SA"/>
        </w:rPr>
        <w:t> کفّارة</w:t>
      </w:r>
      <w:r>
        <w:rPr>
          <w:rStyle w:val="FootnoteAnchor"/>
          <w:rtl w:val="true"/>
        </w:rPr>
        <w:footnoteReference w:id="93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381" w:name="pg13281_119858"/>
    </w:p>
    <w:p>
      <w:pPr>
        <w:pStyle w:val="Heading3"/>
        <w:numPr>
          <w:ilvl w:val="2"/>
          <w:numId w:val="1"/>
        </w:numPr>
        <w:rPr/>
      </w:pPr>
      <w:bookmarkStart w:id="382" w:name="__RefHeading___Toc1955096_2322387425"/>
      <w:bookmarkStart w:id="383" w:name="_Toc141"/>
      <w:bookmarkEnd w:id="381"/>
      <w:bookmarkEnd w:id="382"/>
      <w:r>
        <w:rPr>
          <w:rtl w:val="true"/>
        </w:rPr>
        <w:t>العلم بفساد الصوم والشک فی وجوه</w:t>
      </w:r>
      <w:bookmarkEnd w:id="3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أنّه أتی بما یوجب فساد الصوم وتردّد بین ما یوجب القضاء فقط أو یوجب الکفّارة أیضاً لم تجب علیه</w:t>
      </w:r>
      <w:r>
        <w:rPr>
          <w:rStyle w:val="FootnoteAnchor"/>
          <w:rtl w:val="true"/>
        </w:rPr>
        <w:footnoteReference w:id="939"/>
      </w:r>
      <w:r>
        <w:rPr>
          <w:rFonts w:ascii="IRNazanin" w:hAnsi="IRNazanin" w:eastAsia="IRNazanin"/>
          <w:color w:val="111111"/>
          <w:sz w:val="28"/>
          <w:sz w:val="28"/>
          <w:szCs w:val="28"/>
          <w:rtl w:val="true"/>
          <w:lang w:bidi="fa-IR"/>
        </w:rPr>
        <w:t xml:space="preserve">، وإذا علم أنّه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أفطر أیّاماً ولم یدرِ عددها یجوز له الاقتصار</w:t>
      </w:r>
      <w:r>
        <w:rPr>
          <w:rStyle w:val="FootnoteAnchor"/>
          <w:rtl w:val="true"/>
        </w:rPr>
        <w:footnoteReference w:id="940"/>
      </w:r>
      <w:r>
        <w:rPr>
          <w:rFonts w:ascii="IRNazanin" w:hAnsi="IRNazanin" w:eastAsia="IRNazanin"/>
          <w:color w:val="111111"/>
          <w:sz w:val="28"/>
          <w:sz w:val="28"/>
          <w:szCs w:val="28"/>
          <w:rtl w:val="true"/>
          <w:lang w:bidi="fa-IR"/>
        </w:rPr>
        <w:t> علی</w:t>
      </w:r>
      <w:r>
        <w:rPr>
          <w:rStyle w:val="FootnoteAnchor"/>
          <w:rtl w:val="true"/>
        </w:rPr>
        <w:footnoteReference w:id="941"/>
      </w:r>
      <w:r>
        <w:rPr>
          <w:rFonts w:ascii="IRNazanin" w:hAnsi="IRNazanin" w:eastAsia="IRNazanin"/>
          <w:color w:val="111111"/>
          <w:sz w:val="28"/>
          <w:sz w:val="28"/>
          <w:szCs w:val="28"/>
          <w:rtl w:val="true"/>
          <w:lang w:bidi="fa-IR"/>
        </w:rPr>
        <w:t> القدر المعلوم</w:t>
      </w:r>
      <w:r>
        <w:rPr>
          <w:rStyle w:val="FootnoteAnchor"/>
          <w:rtl w:val="true"/>
        </w:rPr>
        <w:footnoteReference w:id="942"/>
      </w:r>
      <w:r>
        <w:rPr>
          <w:rFonts w:ascii="Amiri" w:hAnsi="Amiri" w:eastAsia="Amiri" w:cs="Amiri"/>
          <w:color w:val="111111"/>
          <w:sz w:val="28"/>
          <w:sz w:val="28"/>
          <w:szCs w:val="28"/>
          <w:rtl w:val="true"/>
          <w:lang w:bidi="ar-SA"/>
        </w:rPr>
        <w:t>، وإذا شکّ فی أنّه أفطر بالمحلّل أو المحرّم کفاه</w:t>
      </w:r>
      <w:r>
        <w:rPr>
          <w:rStyle w:val="FootnoteAnchor"/>
          <w:rtl w:val="true"/>
        </w:rPr>
        <w:footnoteReference w:id="943"/>
      </w:r>
      <w:r>
        <w:rPr>
          <w:rFonts w:ascii="IRNazanin" w:hAnsi="IRNazanin" w:eastAsia="IRNazanin"/>
          <w:color w:val="111111"/>
          <w:sz w:val="28"/>
          <w:sz w:val="28"/>
          <w:szCs w:val="28"/>
          <w:rtl w:val="true"/>
          <w:lang w:bidi="fa-IR"/>
        </w:rPr>
        <w:t> إحدی الخصال</w:t>
      </w:r>
      <w:r>
        <w:rPr>
          <w:rStyle w:val="FootnoteAnchor"/>
          <w:rtl w:val="true"/>
        </w:rPr>
        <w:footnoteReference w:id="944"/>
      </w:r>
      <w:r>
        <w:rPr>
          <w:rFonts w:ascii="IRNazanin" w:hAnsi="IRNazanin" w:eastAsia="IRNazanin"/>
          <w:color w:val="111111"/>
          <w:sz w:val="28"/>
          <w:sz w:val="28"/>
          <w:szCs w:val="28"/>
          <w:rtl w:val="true"/>
          <w:lang w:bidi="fa-IR"/>
        </w:rPr>
        <w:t xml:space="preserve">، وإذا شکّ فی أنّ الیوم الّذی أفطره کان من شهر رمضان أو کان من قضائه وقد أفطر قبل الزوال لم تجب علیه الکفّارة، وإن کان قد أفطر بعد الزوال کفاه </w:t>
      </w:r>
      <w:bookmarkStart w:id="384" w:name="pg13281_119860"/>
    </w:p>
    <w:p>
      <w:pPr>
        <w:pStyle w:val="BookText"/>
        <w:rPr/>
      </w:pPr>
      <w:bookmarkEnd w:id="384"/>
      <w:r>
        <w:rPr>
          <w:rFonts w:ascii="IRNazanin" w:hAnsi="IRNazanin" w:eastAsia="IRNazanin"/>
          <w:color w:val="111111"/>
          <w:sz w:val="28"/>
          <w:sz w:val="28"/>
          <w:szCs w:val="28"/>
          <w:rtl w:val="true"/>
          <w:lang w:bidi="fa-IR"/>
        </w:rPr>
        <w:t>إطعام ستّین مسکیناً، بل له الاکتفاء</w:t>
      </w:r>
      <w:r>
        <w:rPr>
          <w:rStyle w:val="FootnoteAnchor"/>
          <w:rtl w:val="true"/>
        </w:rPr>
        <w:footnoteReference w:id="945"/>
      </w:r>
      <w:r>
        <w:rPr>
          <w:rFonts w:ascii="Amiri" w:hAnsi="Amiri" w:eastAsia="Amiri" w:cs="Amiri"/>
          <w:color w:val="111111"/>
          <w:sz w:val="28"/>
          <w:sz w:val="28"/>
          <w:szCs w:val="28"/>
          <w:rtl w:val="true"/>
          <w:lang w:bidi="ar-SA"/>
        </w:rPr>
        <w:t> بعشرة</w:t>
      </w:r>
      <w:r>
        <w:rPr>
          <w:rStyle w:val="FootnoteAnchor"/>
          <w:rtl w:val="true"/>
        </w:rPr>
        <w:footnoteReference w:id="946"/>
      </w:r>
      <w:r>
        <w:rPr>
          <w:rFonts w:ascii="IRNazanin" w:hAnsi="IRNazanin" w:eastAsia="IRNazanin"/>
          <w:color w:val="111111"/>
          <w:sz w:val="28"/>
          <w:sz w:val="28"/>
          <w:szCs w:val="28"/>
          <w:rtl w:val="true"/>
          <w:lang w:bidi="fa-IR"/>
        </w:rPr>
        <w:t> مساکین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955098_2322387425"/>
      <w:bookmarkStart w:id="386" w:name="_Toc142"/>
      <w:bookmarkEnd w:id="385"/>
      <w:r>
        <w:rPr>
          <w:rtl w:val="true"/>
        </w:rPr>
        <w:t>من أفطر ثمّ سافر بعد الزوال أو قبله</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متعمّداً ثمّ سافر بعد الزوال لم تسقط عنه الکفّارة بلا إشکال، وکذا إذا سافر قبل الزوال</w:t>
      </w:r>
      <w:r>
        <w:rPr>
          <w:rStyle w:val="FootnoteAnchor"/>
          <w:rtl w:val="true"/>
        </w:rPr>
        <w:footnoteReference w:id="948"/>
      </w:r>
      <w:r>
        <w:rPr>
          <w:rFonts w:ascii="IRNazanin" w:hAnsi="IRNazanin" w:eastAsia="IRNazanin"/>
          <w:color w:val="111111"/>
          <w:sz w:val="28"/>
          <w:sz w:val="28"/>
          <w:szCs w:val="28"/>
          <w:rtl w:val="true"/>
          <w:lang w:bidi="fa-IR"/>
        </w:rPr>
        <w:t> للفِرار عنها</w:t>
      </w:r>
      <w:r>
        <w:rPr>
          <w:rStyle w:val="FootnoteAnchor"/>
          <w:rtl w:val="true"/>
        </w:rPr>
        <w:footnoteReference w:id="949"/>
      </w:r>
      <w:r>
        <w:rPr>
          <w:rFonts w:ascii="IRNazanin" w:hAnsi="IRNazanin" w:eastAsia="IRNazanin"/>
          <w:color w:val="111111"/>
          <w:sz w:val="28"/>
          <w:sz w:val="28"/>
          <w:szCs w:val="28"/>
          <w:rtl w:val="true"/>
          <w:lang w:bidi="fa-IR"/>
        </w:rPr>
        <w:t>، بل وکذا لو بدا له السفر</w:t>
      </w:r>
      <w:r>
        <w:rPr>
          <w:rStyle w:val="FootnoteAnchor"/>
          <w:rtl w:val="true"/>
        </w:rPr>
        <w:footnoteReference w:id="950"/>
      </w:r>
      <w:r>
        <w:rPr>
          <w:rFonts w:ascii="IRNazanin" w:hAnsi="IRNazanin" w:eastAsia="IRNazanin"/>
          <w:color w:val="111111"/>
          <w:sz w:val="28"/>
          <w:sz w:val="28"/>
          <w:szCs w:val="28"/>
          <w:rtl w:val="true"/>
          <w:lang w:bidi="fa-IR"/>
        </w:rPr>
        <w:t> لا بقصد الفِرار علی الأقوی</w:t>
      </w:r>
      <w:r>
        <w:rPr>
          <w:rStyle w:val="FootnoteAnchor"/>
          <w:rtl w:val="true"/>
        </w:rPr>
        <w:footnoteReference w:id="951"/>
      </w:r>
      <w:r>
        <w:rPr>
          <w:rFonts w:ascii="IRNazanin" w:hAnsi="IRNazanin" w:eastAsia="IRNazanin"/>
          <w:color w:val="111111"/>
          <w:sz w:val="28"/>
          <w:sz w:val="28"/>
          <w:szCs w:val="28"/>
          <w:rtl w:val="true"/>
          <w:lang w:bidi="fa-IR"/>
        </w:rPr>
        <w:t>، وکذا</w:t>
      </w:r>
      <w:r>
        <w:rPr>
          <w:rStyle w:val="FootnoteAnchor"/>
          <w:rtl w:val="true"/>
        </w:rPr>
        <w:footnoteReference w:id="952"/>
      </w:r>
      <w:r>
        <w:rPr>
          <w:rFonts w:ascii="IRNazanin" w:hAnsi="IRNazanin" w:eastAsia="IRNazanin"/>
          <w:color w:val="111111"/>
          <w:sz w:val="28"/>
          <w:sz w:val="28"/>
          <w:szCs w:val="28"/>
          <w:rtl w:val="true"/>
          <w:lang w:bidi="fa-IR"/>
        </w:rPr>
        <w:t> لو سافر فأفطر</w:t>
      </w:r>
      <w:r>
        <w:rPr>
          <w:rStyle w:val="FootnoteAnchor"/>
          <w:rtl w:val="true"/>
        </w:rPr>
        <w:footnoteReference w:id="953"/>
      </w:r>
      <w:r>
        <w:rPr>
          <w:rFonts w:ascii="IRNazanin" w:hAnsi="IRNazanin" w:eastAsia="IRNazanin"/>
          <w:color w:val="111111"/>
          <w:sz w:val="28"/>
          <w:sz w:val="28"/>
          <w:szCs w:val="28"/>
          <w:rtl w:val="true"/>
          <w:lang w:bidi="fa-IR"/>
        </w:rPr>
        <w:t> قبل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الوصول إلی حدِّ الترخّص، وأمّا لو أفطر متعمّداً ثمّ عرض له عارض قهریّ من حیض أو نفاس أو مرض أو جنون أو نحو ذلک من الأعذار ففی </w:t>
      </w:r>
      <w:bookmarkStart w:id="387" w:name="pg13281_119861"/>
    </w:p>
    <w:p>
      <w:pPr>
        <w:pStyle w:val="BookText"/>
        <w:rPr/>
      </w:pPr>
      <w:bookmarkEnd w:id="387"/>
      <w:r>
        <w:rPr>
          <w:rFonts w:ascii="IRNazanin" w:hAnsi="IRNazanin" w:eastAsia="IRNazanin"/>
          <w:color w:val="111111"/>
          <w:sz w:val="28"/>
          <w:sz w:val="28"/>
          <w:szCs w:val="28"/>
          <w:rtl w:val="true"/>
          <w:lang w:bidi="fa-IR"/>
        </w:rPr>
        <w:t>السقوط وعدمه وجهان، بل قولان، أحوطهما</w:t>
      </w:r>
      <w:r>
        <w:rPr>
          <w:rStyle w:val="FootnoteAnchor"/>
          <w:rtl w:val="true"/>
        </w:rPr>
        <w:footnoteReference w:id="954"/>
      </w:r>
      <w:r>
        <w:rPr>
          <w:rFonts w:ascii="IRNazanin" w:hAnsi="IRNazanin" w:eastAsia="IRNazanin"/>
          <w:color w:val="111111"/>
          <w:sz w:val="28"/>
          <w:sz w:val="28"/>
          <w:szCs w:val="28"/>
          <w:rtl w:val="true"/>
          <w:lang w:bidi="fa-IR"/>
        </w:rPr>
        <w:t> الثانی</w:t>
      </w:r>
      <w:r>
        <w:rPr>
          <w:rStyle w:val="FootnoteAnchor"/>
          <w:rtl w:val="true"/>
        </w:rPr>
        <w:footnoteReference w:id="955"/>
      </w:r>
      <w:r>
        <w:rPr>
          <w:rFonts w:ascii="IRNazanin" w:hAnsi="IRNazanin" w:eastAsia="IRNazanin"/>
          <w:color w:val="111111"/>
          <w:sz w:val="28"/>
          <w:sz w:val="28"/>
          <w:szCs w:val="28"/>
          <w:rtl w:val="true"/>
          <w:lang w:bidi="fa-IR"/>
        </w:rPr>
        <w:t>، وأقواهما</w:t>
      </w:r>
      <w:r>
        <w:rPr>
          <w:rStyle w:val="FootnoteAnchor"/>
          <w:rtl w:val="true"/>
        </w:rPr>
        <w:footnoteReference w:id="956"/>
      </w:r>
      <w:r>
        <w:rPr>
          <w:rFonts w:ascii="IRNazanin" w:hAnsi="IRNazanin" w:eastAsia="IRNazanin"/>
          <w:color w:val="111111"/>
          <w:sz w:val="28"/>
          <w:sz w:val="28"/>
          <w:szCs w:val="28"/>
          <w:rtl w:val="true"/>
          <w:lang w:bidi="fa-IR"/>
        </w:rPr>
        <w:t>الأول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955100_2322387425"/>
      <w:bookmarkStart w:id="389" w:name="_Toc143"/>
      <w:bookmarkEnd w:id="388"/>
      <w:r>
        <w:rPr>
          <w:rtl w:val="true"/>
        </w:rPr>
        <w:t>إفطار یوم الشک مع تحقق المخالفة</w:t>
      </w:r>
      <w:bookmarkEnd w:id="3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أفطر یوم الشکّ فی آخر الشهر ثمّ تبیّن أنّه من شوّال </w:t>
      </w:r>
      <w:bookmarkStart w:id="390" w:name="pg13281_119862"/>
    </w:p>
    <w:p>
      <w:pPr>
        <w:pStyle w:val="BookText"/>
        <w:rPr/>
      </w:pPr>
      <w:bookmarkEnd w:id="390"/>
      <w:r>
        <w:rPr>
          <w:rFonts w:ascii="IRNazanin" w:hAnsi="IRNazanin" w:eastAsia="IRNazanin"/>
          <w:color w:val="111111"/>
          <w:sz w:val="28"/>
          <w:sz w:val="28"/>
          <w:szCs w:val="28"/>
          <w:rtl w:val="true"/>
          <w:lang w:bidi="fa-IR"/>
        </w:rPr>
        <w:t>فالأقوی سقوط الکفّارة</w:t>
      </w:r>
      <w:r>
        <w:rPr>
          <w:rStyle w:val="FootnoteAnchor"/>
          <w:rtl w:val="true"/>
        </w:rPr>
        <w:footnoteReference w:id="958"/>
      </w:r>
      <w:r>
        <w:rPr>
          <w:rFonts w:ascii="IRNazanin" w:hAnsi="IRNazanin" w:eastAsia="IRNazanin"/>
          <w:color w:val="111111"/>
          <w:sz w:val="28"/>
          <w:sz w:val="28"/>
          <w:szCs w:val="28"/>
          <w:rtl w:val="true"/>
          <w:lang w:bidi="fa-IR"/>
        </w:rPr>
        <w:t>، وإن کان الأحوط</w:t>
      </w:r>
      <w:r>
        <w:rPr>
          <w:rStyle w:val="FootnoteAnchor"/>
          <w:rtl w:val="true"/>
        </w:rPr>
        <w:footnoteReference w:id="959"/>
      </w:r>
      <w:r>
        <w:rPr>
          <w:rFonts w:ascii="IRNazanin" w:hAnsi="IRNazanin" w:eastAsia="IRNazanin"/>
          <w:color w:val="111111"/>
          <w:sz w:val="28"/>
          <w:sz w:val="28"/>
          <w:szCs w:val="28"/>
          <w:rtl w:val="true"/>
          <w:lang w:bidi="fa-IR"/>
        </w:rPr>
        <w:t> عدمه</w:t>
      </w:r>
      <w:r>
        <w:rPr>
          <w:rStyle w:val="FootnoteAnchor"/>
          <w:rtl w:val="true"/>
        </w:rPr>
        <w:footnoteReference w:id="960"/>
      </w:r>
      <w:r>
        <w:rPr>
          <w:rFonts w:ascii="IRNazanin" w:hAnsi="IRNazanin" w:eastAsia="IRNazanin"/>
          <w:color w:val="111111"/>
          <w:sz w:val="28"/>
          <w:sz w:val="28"/>
          <w:szCs w:val="28"/>
          <w:rtl w:val="true"/>
          <w:lang w:bidi="fa-IR"/>
        </w:rPr>
        <w:t>، وکذا لو</w:t>
      </w:r>
    </w:p>
    <w:p>
      <w:pPr>
        <w:pStyle w:val="BookText"/>
        <w:rPr/>
      </w:pPr>
      <w:r>
        <w:rPr>
          <w:rFonts w:ascii="IRNazanin" w:hAnsi="IRNazanin" w:eastAsia="IRNazanin"/>
          <w:color w:val="111111"/>
          <w:sz w:val="28"/>
          <w:sz w:val="28"/>
          <w:szCs w:val="28"/>
          <w:rtl w:val="true"/>
          <w:lang w:bidi="fa-IR"/>
        </w:rPr>
        <w:t>اعتقد</w:t>
      </w:r>
      <w:r>
        <w:rPr>
          <w:rStyle w:val="FootnoteAnchor"/>
          <w:rtl w:val="true"/>
        </w:rPr>
        <w:footnoteReference w:id="961"/>
      </w:r>
      <w:r>
        <w:rPr>
          <w:rFonts w:ascii="Amiri" w:hAnsi="Amiri" w:eastAsia="Amiri" w:cs="Amiri"/>
          <w:color w:val="111111"/>
          <w:sz w:val="28"/>
          <w:sz w:val="28"/>
          <w:szCs w:val="28"/>
          <w:rtl w:val="true"/>
          <w:lang w:bidi="ar-SA"/>
        </w:rPr>
        <w:t> أنّه</w:t>
      </w:r>
      <w:r>
        <w:rPr>
          <w:rStyle w:val="FootnoteAnchor"/>
          <w:rtl w:val="true"/>
        </w:rPr>
        <w:footnoteReference w:id="962"/>
      </w:r>
      <w:r>
        <w:rPr>
          <w:rFonts w:ascii="Amiri" w:hAnsi="Amiri" w:eastAsia="Amiri" w:cs="Amiri"/>
          <w:color w:val="111111"/>
          <w:sz w:val="28"/>
          <w:sz w:val="28"/>
          <w:szCs w:val="28"/>
          <w:rtl w:val="true"/>
          <w:lang w:bidi="ar-SA"/>
        </w:rPr>
        <w:t> من رمضان ثمّ أفطر متعمّداً فبان أنّه من شوّال، أو اعتقد</w:t>
      </w:r>
    </w:p>
    <w:p>
      <w:pPr>
        <w:pStyle w:val="BookText"/>
        <w:rPr/>
      </w:pPr>
      <w:r>
        <w:rPr>
          <w:rFonts w:ascii="IRNazanin" w:hAnsi="IRNazanin" w:eastAsia="IRNazanin"/>
          <w:color w:val="111111"/>
          <w:sz w:val="28"/>
          <w:sz w:val="28"/>
          <w:szCs w:val="28"/>
          <w:rtl w:val="true"/>
          <w:lang w:bidi="fa-IR"/>
        </w:rPr>
        <w:t>فی یوم الشکّ فی أوّل الشهر أنّه من رمضان فبان أنّه من شعبان</w:t>
      </w:r>
      <w:r>
        <w:rPr>
          <w:rFonts w:eastAsia="IRNazanin" w:cs="IRNazanin"/>
          <w:color w:val="111111"/>
          <w:sz w:val="28"/>
          <w:szCs w:val="28"/>
          <w:rtl w:val="true"/>
          <w:lang w:bidi="fa-IR"/>
        </w:rPr>
        <w:t>.</w:t>
      </w:r>
    </w:p>
    <w:p>
      <w:pPr>
        <w:pStyle w:val="Heading3"/>
        <w:numPr>
          <w:ilvl w:val="2"/>
          <w:numId w:val="1"/>
        </w:numPr>
        <w:rPr/>
      </w:pPr>
      <w:bookmarkStart w:id="391" w:name="__RefHeading___Toc1955102_2322387425"/>
      <w:bookmarkStart w:id="392" w:name="_Toc144"/>
      <w:bookmarkEnd w:id="391"/>
      <w:r>
        <w:rPr>
          <w:rtl w:val="true"/>
        </w:rPr>
        <w:t>من استحلّ الإفطار فی شهر رمضان</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مرّ أنّ من أفطر فی شهر رمضان عالماً عامداً</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إن کان مستحلّاً فهو مرتدّ</w:t>
      </w:r>
      <w:r>
        <w:rPr>
          <w:rStyle w:val="FootnoteAnchor"/>
          <w:rtl w:val="true"/>
        </w:rPr>
        <w:footnoteReference w:id="964"/>
      </w:r>
      <w:r>
        <w:rPr>
          <w:rFonts w:ascii="IRNazanin" w:hAnsi="IRNazanin" w:eastAsia="IRNazanin"/>
          <w:color w:val="111111"/>
          <w:sz w:val="28"/>
          <w:sz w:val="28"/>
          <w:szCs w:val="28"/>
          <w:rtl w:val="true"/>
          <w:lang w:bidi="fa-IR"/>
        </w:rPr>
        <w:t>، بل وکذا</w:t>
      </w:r>
      <w:r>
        <w:rPr>
          <w:rStyle w:val="FootnoteAnchor"/>
          <w:rtl w:val="true"/>
        </w:rPr>
        <w:footnoteReference w:id="965"/>
      </w:r>
      <w:r>
        <w:rPr>
          <w:rFonts w:ascii="IRNazanin" w:hAnsi="IRNazanin" w:eastAsia="IRNazanin"/>
          <w:color w:val="111111"/>
          <w:sz w:val="28"/>
          <w:sz w:val="28"/>
          <w:szCs w:val="28"/>
          <w:rtl w:val="true"/>
          <w:lang w:bidi="fa-IR"/>
        </w:rPr>
        <w:t> إن لم یفطر ولکن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مستحلّاً له، وإن لم یکن مستحلّاً عُزِّر بخمسة وعشرین</w:t>
      </w:r>
      <w:r>
        <w:rPr>
          <w:rStyle w:val="FootnoteAnchor"/>
          <w:rtl w:val="true"/>
        </w:rPr>
        <w:footnoteReference w:id="966"/>
      </w:r>
      <w:bookmarkStart w:id="393" w:name="pg13281_119863"/>
    </w:p>
    <w:p>
      <w:pPr>
        <w:pStyle w:val="BookText"/>
        <w:rPr/>
      </w:pPr>
      <w:bookmarkEnd w:id="393"/>
      <w:r>
        <w:rPr>
          <w:rFonts w:ascii="Amiri" w:hAnsi="Amiri" w:eastAsia="Amiri" w:cs="Amiri"/>
          <w:color w:val="111111"/>
          <w:sz w:val="28"/>
          <w:sz w:val="28"/>
          <w:szCs w:val="28"/>
          <w:rtl w:val="true"/>
          <w:lang w:bidi="ar-SA"/>
        </w:rPr>
        <w:t>سوطاً</w:t>
      </w:r>
      <w:r>
        <w:rPr>
          <w:rStyle w:val="FootnoteAnchor"/>
          <w:rtl w:val="true"/>
        </w:rPr>
        <w:footnoteReference w:id="967"/>
      </w:r>
      <w:r>
        <w:rPr>
          <w:rFonts w:ascii="Amiri" w:hAnsi="Amiri" w:eastAsia="Amiri" w:cs="Amiri"/>
          <w:color w:val="111111"/>
          <w:sz w:val="28"/>
          <w:sz w:val="28"/>
          <w:szCs w:val="28"/>
          <w:rtl w:val="true"/>
          <w:lang w:bidi="ar-SA"/>
        </w:rPr>
        <w:t>، فإن عاد بعد التعزیر عُزِّر ثانیاً، فإن عاد کذلک قُتِل فی الثالثة</w:t>
      </w:r>
      <w:r>
        <w:rPr>
          <w:rStyle w:val="FootnoteAnchor"/>
          <w:rtl w:val="true"/>
        </w:rPr>
        <w:footnoteReference w:id="968"/>
      </w:r>
      <w:r>
        <w:rPr>
          <w:rFonts w:ascii="IRNazanin" w:hAnsi="IRNazanin" w:eastAsia="IRNazanin"/>
          <w:color w:val="111111"/>
          <w:sz w:val="28"/>
          <w:sz w:val="28"/>
          <w:szCs w:val="28"/>
          <w:rtl w:val="true"/>
          <w:lang w:bidi="fa-IR"/>
        </w:rPr>
        <w:t>، والأحوط</w:t>
      </w:r>
      <w:r>
        <w:rPr>
          <w:rStyle w:val="FootnoteAnchor"/>
          <w:rtl w:val="true"/>
        </w:rPr>
        <w:footnoteReference w:id="969"/>
      </w:r>
      <w:r>
        <w:rPr>
          <w:rFonts w:ascii="IRNazanin" w:hAnsi="IRNazanin" w:eastAsia="IRNazanin"/>
          <w:color w:val="111111"/>
          <w:sz w:val="28"/>
          <w:sz w:val="28"/>
          <w:szCs w:val="28"/>
          <w:rtl w:val="true"/>
          <w:lang w:bidi="fa-IR"/>
        </w:rPr>
        <w:t> قتله</w:t>
      </w:r>
      <w:r>
        <w:rPr>
          <w:rStyle w:val="FootnoteAnchor"/>
          <w:rtl w:val="true"/>
        </w:rPr>
        <w:footnoteReference w:id="970"/>
      </w:r>
      <w:r>
        <w:rPr>
          <w:rFonts w:ascii="IRNazanin" w:hAnsi="IRNazanin" w:eastAsia="IRNazanin"/>
          <w:color w:val="111111"/>
          <w:sz w:val="28"/>
          <w:sz w:val="28"/>
          <w:szCs w:val="28"/>
          <w:rtl w:val="true"/>
          <w:lang w:bidi="fa-IR"/>
        </w:rPr>
        <w:t> فی الرابعة</w:t>
      </w:r>
      <w:r>
        <w:rPr>
          <w:rFonts w:eastAsia="IRNazanin" w:cs="IRNazanin"/>
          <w:color w:val="111111"/>
          <w:sz w:val="28"/>
          <w:szCs w:val="28"/>
          <w:rtl w:val="true"/>
          <w:lang w:bidi="fa-IR"/>
        </w:rPr>
        <w:t>.</w:t>
      </w:r>
    </w:p>
    <w:p>
      <w:pPr>
        <w:pStyle w:val="Heading3"/>
        <w:numPr>
          <w:ilvl w:val="2"/>
          <w:numId w:val="1"/>
        </w:numPr>
        <w:rPr/>
      </w:pPr>
      <w:bookmarkStart w:id="394" w:name="__RefHeading___Toc1955104_2322387425"/>
      <w:bookmarkStart w:id="395" w:name="_Toc145"/>
      <w:bookmarkEnd w:id="394"/>
      <w:r>
        <w:rPr>
          <w:rtl w:val="true"/>
        </w:rPr>
        <w:t>من جامع زوجته الصائمة مکرهاً لها أو مطاوعةً له</w:t>
      </w:r>
      <w:bookmarkEnd w:id="39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جامع زوجته فی شهر رمضان وهما صائمان مکرهاً لها کان</w:t>
      </w:r>
      <w:r>
        <w:rPr>
          <w:rStyle w:val="FootnoteAnchor"/>
          <w:rtl w:val="true"/>
        </w:rPr>
        <w:footnoteReference w:id="971"/>
      </w:r>
      <w:r>
        <w:rPr>
          <w:rFonts w:ascii="IRNazanin" w:hAnsi="IRNazanin" w:eastAsia="IRNazanin"/>
          <w:color w:val="111111"/>
          <w:sz w:val="28"/>
          <w:sz w:val="28"/>
          <w:szCs w:val="28"/>
          <w:rtl w:val="true"/>
          <w:lang w:bidi="fa-IR"/>
        </w:rPr>
        <w:t> علیه کفّارتان</w:t>
      </w:r>
      <w:r>
        <w:rPr>
          <w:rStyle w:val="FootnoteAnchor"/>
          <w:rtl w:val="true"/>
        </w:rPr>
        <w:footnoteReference w:id="972"/>
      </w:r>
      <w:r>
        <w:rPr>
          <w:rFonts w:ascii="IRNazanin" w:hAnsi="IRNazanin" w:eastAsia="IRNazanin"/>
          <w:color w:val="111111"/>
          <w:sz w:val="28"/>
          <w:sz w:val="28"/>
          <w:szCs w:val="28"/>
          <w:rtl w:val="true"/>
          <w:lang w:bidi="fa-IR"/>
        </w:rPr>
        <w:t> وتعزیران</w:t>
      </w:r>
      <w:r>
        <w:rPr>
          <w:rStyle w:val="FootnoteAnchor"/>
          <w:rtl w:val="true"/>
        </w:rPr>
        <w:footnoteReference w:id="973"/>
      </w:r>
      <w:r>
        <w:rPr>
          <w:rFonts w:ascii="IRNazanin" w:hAnsi="IRNazanin" w:eastAsia="IRNazanin"/>
          <w:color w:val="111111"/>
          <w:sz w:val="28"/>
          <w:sz w:val="28"/>
          <w:szCs w:val="28"/>
          <w:rtl w:val="true"/>
          <w:lang w:bidi="fa-IR"/>
        </w:rPr>
        <w:t xml:space="preserve"> خمسون </w:t>
      </w:r>
    </w:p>
    <w:p>
      <w:pPr>
        <w:pStyle w:val="BookText"/>
        <w:rPr/>
      </w:pPr>
      <w:r>
        <w:rPr>
          <w:rFonts w:ascii="Amiri" w:hAnsi="Amiri" w:eastAsia="Amiri" w:cs="Amiri"/>
          <w:color w:val="111111"/>
          <w:sz w:val="28"/>
          <w:sz w:val="28"/>
          <w:szCs w:val="28"/>
          <w:rtl w:val="true"/>
          <w:lang w:bidi="ar-SA"/>
        </w:rPr>
        <w:t>سوطاً</w:t>
      </w:r>
      <w:r>
        <w:rPr>
          <w:rStyle w:val="FootnoteAnchor"/>
          <w:rtl w:val="true"/>
        </w:rPr>
        <w:footnoteReference w:id="974"/>
      </w:r>
      <w:r>
        <w:rPr>
          <w:rFonts w:ascii="Amiri" w:hAnsi="Amiri" w:eastAsia="Amiri" w:cs="Amiri"/>
          <w:color w:val="111111"/>
          <w:sz w:val="28"/>
          <w:sz w:val="28"/>
          <w:szCs w:val="28"/>
          <w:rtl w:val="true"/>
          <w:lang w:bidi="ar-SA"/>
        </w:rPr>
        <w:t>، فیتحمّل</w:t>
      </w:r>
      <w:r>
        <w:rPr>
          <w:rStyle w:val="FootnoteAnchor"/>
          <w:rtl w:val="true"/>
        </w:rPr>
        <w:footnoteReference w:id="975"/>
      </w:r>
      <w:r>
        <w:rPr>
          <w:rFonts w:ascii="IRNazanin" w:hAnsi="IRNazanin" w:eastAsia="IRNazanin"/>
          <w:color w:val="111111"/>
          <w:sz w:val="28"/>
          <w:sz w:val="28"/>
          <w:szCs w:val="28"/>
          <w:rtl w:val="true"/>
          <w:lang w:bidi="fa-IR"/>
        </w:rPr>
        <w:t> عنها الکفّارة والتعزیز، وأمّا إذا طاوعته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الابتداء فعلی کلٍّ منهما کفّارته وتعزیره، وإن أکرهها فی الابتداء ثمّ طاوعته فی الأثناء</w:t>
      </w:r>
      <w:r>
        <w:rPr>
          <w:rStyle w:val="FootnoteAnchor"/>
          <w:rtl w:val="true"/>
        </w:rPr>
        <w:footnoteReference w:id="976"/>
      </w:r>
      <w:r>
        <w:rPr>
          <w:rFonts w:ascii="IRNazanin" w:hAnsi="IRNazanin" w:eastAsia="IRNazanin"/>
          <w:color w:val="111111"/>
          <w:sz w:val="28"/>
          <w:sz w:val="28"/>
          <w:szCs w:val="28"/>
          <w:rtl w:val="true"/>
          <w:lang w:bidi="fa-IR"/>
        </w:rPr>
        <w:t> فکذلک</w:t>
      </w:r>
      <w:r>
        <w:rPr>
          <w:rStyle w:val="FootnoteAnchor"/>
          <w:rtl w:val="true"/>
        </w:rPr>
        <w:footnoteReference w:id="977"/>
      </w:r>
      <w:r>
        <w:rPr>
          <w:rFonts w:ascii="IRNazanin" w:hAnsi="IRNazanin" w:eastAsia="IRNazanin"/>
          <w:color w:val="111111"/>
          <w:sz w:val="28"/>
          <w:sz w:val="28"/>
          <w:szCs w:val="28"/>
          <w:rtl w:val="true"/>
          <w:lang w:bidi="fa-IR"/>
        </w:rPr>
        <w:t> علی الأقوی</w:t>
      </w:r>
      <w:r>
        <w:rPr>
          <w:rStyle w:val="FootnoteAnchor"/>
          <w:rtl w:val="true"/>
        </w:rPr>
        <w:footnoteReference w:id="978"/>
      </w:r>
      <w:r>
        <w:rPr>
          <w:rFonts w:ascii="IRNazanin" w:hAnsi="IRNazanin" w:eastAsia="IRNazanin"/>
          <w:color w:val="111111"/>
          <w:sz w:val="28"/>
          <w:sz w:val="28"/>
          <w:szCs w:val="28"/>
          <w:rtl w:val="true"/>
          <w:lang w:bidi="fa-IR"/>
        </w:rPr>
        <w:t xml:space="preserve">، وإن کان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979"/>
      </w:r>
      <w:r>
        <w:rPr>
          <w:rFonts w:ascii="Amiri" w:hAnsi="Amiri" w:eastAsia="Amiri" w:cs="Amiri"/>
          <w:color w:val="111111"/>
          <w:sz w:val="28"/>
          <w:sz w:val="28"/>
          <w:szCs w:val="28"/>
          <w:rtl w:val="true"/>
          <w:lang w:bidi="ar-SA"/>
        </w:rPr>
        <w:t> کفّارة</w:t>
      </w:r>
      <w:r>
        <w:rPr>
          <w:rStyle w:val="FootnoteAnchor"/>
          <w:rtl w:val="true"/>
        </w:rPr>
        <w:footnoteReference w:id="980"/>
      </w:r>
      <w:r>
        <w:rPr>
          <w:rFonts w:ascii="IRNazanin" w:hAnsi="IRNazanin" w:eastAsia="IRNazanin"/>
          <w:color w:val="111111"/>
          <w:sz w:val="28"/>
          <w:sz w:val="28"/>
          <w:szCs w:val="28"/>
          <w:rtl w:val="true"/>
          <w:lang w:bidi="fa-IR"/>
        </w:rPr>
        <w:t> منها</w:t>
      </w:r>
      <w:r>
        <w:rPr>
          <w:rStyle w:val="FootnoteAnchor"/>
          <w:rtl w:val="true"/>
        </w:rPr>
        <w:footnoteReference w:id="981"/>
      </w:r>
      <w:r>
        <w:rPr>
          <w:rFonts w:ascii="IRNazanin" w:hAnsi="IRNazanin" w:eastAsia="IRNazanin"/>
          <w:color w:val="111111"/>
          <w:sz w:val="28"/>
          <w:sz w:val="28"/>
          <w:szCs w:val="28"/>
          <w:rtl w:val="true"/>
          <w:lang w:bidi="fa-IR"/>
        </w:rPr>
        <w:t> و</w:t>
      </w:r>
      <w:r>
        <w:rPr>
          <w:rStyle w:val="FootnoteAnchor"/>
          <w:rtl w:val="true"/>
        </w:rPr>
        <w:footnoteReference w:id="982"/>
      </w:r>
      <w:r>
        <w:rPr>
          <w:rFonts w:ascii="Amiri" w:hAnsi="Amiri" w:eastAsia="Amiri" w:cs="Amiri"/>
          <w:color w:val="111111"/>
          <w:sz w:val="28"/>
          <w:sz w:val="28"/>
          <w:szCs w:val="28"/>
          <w:rtl w:val="true"/>
          <w:lang w:bidi="ar-SA"/>
        </w:rPr>
        <w:t>کفّارتین</w:t>
      </w:r>
      <w:r>
        <w:rPr>
          <w:rStyle w:val="FootnoteAnchor"/>
          <w:rtl w:val="true"/>
        </w:rPr>
        <w:footnoteReference w:id="983"/>
      </w:r>
      <w:r>
        <w:rPr>
          <w:rFonts w:ascii="IRNazanin" w:hAnsi="IRNazanin" w:eastAsia="IRNazanin"/>
          <w:color w:val="111111"/>
          <w:sz w:val="28"/>
          <w:sz w:val="28"/>
          <w:szCs w:val="28"/>
          <w:rtl w:val="true"/>
          <w:lang w:bidi="fa-IR"/>
        </w:rPr>
        <w:t> منه</w:t>
      </w:r>
      <w:r>
        <w:rPr>
          <w:rStyle w:val="FootnoteAnchor"/>
          <w:rtl w:val="true"/>
        </w:rPr>
        <w:footnoteReference w:id="984"/>
      </w:r>
      <w:r>
        <w:rPr>
          <w:rFonts w:ascii="IRNazanin" w:hAnsi="IRNazanin" w:eastAsia="IRNazanin"/>
          <w:color w:val="111111"/>
          <w:sz w:val="28"/>
          <w:sz w:val="28"/>
          <w:szCs w:val="28"/>
          <w:rtl w:val="true"/>
          <w:lang w:bidi="fa-IR"/>
        </w:rPr>
        <w:t>، ولا فرق فی الزوجة بین الدائمة والمنقطعة</w:t>
      </w:r>
      <w:r>
        <w:rPr>
          <w:rFonts w:eastAsia="IRNazanin" w:cs="IRNazanin"/>
          <w:color w:val="111111"/>
          <w:sz w:val="28"/>
          <w:szCs w:val="28"/>
          <w:rtl w:val="true"/>
          <w:lang w:bidi="fa-IR"/>
        </w:rPr>
        <w:t xml:space="preserve">. </w:t>
      </w:r>
      <w:bookmarkStart w:id="396" w:name="pg13281_119866"/>
    </w:p>
    <w:p>
      <w:pPr>
        <w:pStyle w:val="Heading3"/>
        <w:numPr>
          <w:ilvl w:val="2"/>
          <w:numId w:val="1"/>
        </w:numPr>
        <w:rPr/>
      </w:pPr>
      <w:bookmarkStart w:id="397" w:name="__RefHeading___Toc1955106_2322387425"/>
      <w:bookmarkStart w:id="398" w:name="_Toc146"/>
      <w:bookmarkEnd w:id="396"/>
      <w:bookmarkEnd w:id="397"/>
      <w:r>
        <w:rPr>
          <w:rtl w:val="true"/>
        </w:rPr>
        <w:t>من جامع زوجته الصائمة وهی نائمة ومن أکرهها علی غیر الجماع</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جامع زوجته الصائمة وهو صائم فی النوم لا یتحمّل عنها الکفّارة، ولا التعزیر، کما أنّه لیس علیها شیء، ولا یبطل صومها بذلک، وکذا لا یتحمّل عنها إذا أکرهها علی غیر الجماع من المفطِرات حتّی مقدّمات الجماع وإن أوجبت إنزالها</w:t>
      </w:r>
      <w:r>
        <w:rPr>
          <w:rFonts w:eastAsia="IRNazanin" w:cs="IRNazanin"/>
          <w:color w:val="111111"/>
          <w:sz w:val="28"/>
          <w:szCs w:val="28"/>
          <w:rtl w:val="true"/>
          <w:lang w:bidi="fa-IR"/>
        </w:rPr>
        <w:t>.</w:t>
      </w:r>
    </w:p>
    <w:p>
      <w:pPr>
        <w:pStyle w:val="Heading3"/>
        <w:numPr>
          <w:ilvl w:val="2"/>
          <w:numId w:val="1"/>
        </w:numPr>
        <w:rPr/>
      </w:pPr>
      <w:bookmarkStart w:id="399" w:name="__RefHeading___Toc1955108_2322387425"/>
      <w:bookmarkStart w:id="400" w:name="_Toc147"/>
      <w:bookmarkEnd w:id="399"/>
      <w:r>
        <w:rPr>
          <w:rtl w:val="true"/>
        </w:rPr>
        <w:t>حکم الإکراه من الزوجة لزوجها</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أکرهت الزوجة زوجَها لا تتحمّل عنه شیئاً</w:t>
      </w:r>
      <w:r>
        <w:rPr>
          <w:rFonts w:eastAsia="IRNazanin" w:cs="IRNazanin"/>
          <w:color w:val="111111"/>
          <w:sz w:val="28"/>
          <w:szCs w:val="28"/>
          <w:rtl w:val="true"/>
          <w:lang w:bidi="fa-IR"/>
        </w:rPr>
        <w:t>.</w:t>
      </w:r>
    </w:p>
    <w:p>
      <w:pPr>
        <w:pStyle w:val="Heading3"/>
        <w:numPr>
          <w:ilvl w:val="2"/>
          <w:numId w:val="1"/>
        </w:numPr>
        <w:rPr/>
      </w:pPr>
      <w:bookmarkStart w:id="401" w:name="__RefHeading___Toc1955110_2322387425"/>
      <w:bookmarkStart w:id="402" w:name="_Toc148"/>
      <w:bookmarkEnd w:id="401"/>
      <w:r>
        <w:rPr>
          <w:rtl w:val="true"/>
        </w:rPr>
        <w:t>الإکراه فی غیر الزوجة کالأمة والأجنبیّة</w:t>
      </w:r>
      <w:bookmarkEnd w:id="40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تُلحق</w:t>
      </w:r>
      <w:r>
        <w:rPr>
          <w:rStyle w:val="FootnoteAnchor"/>
          <w:rtl w:val="true"/>
        </w:rPr>
        <w:footnoteReference w:id="985"/>
      </w:r>
      <w:r>
        <w:rPr>
          <w:rFonts w:ascii="Amiri" w:hAnsi="Amiri" w:eastAsia="Amiri" w:cs="Amiri"/>
          <w:color w:val="111111"/>
          <w:sz w:val="28"/>
          <w:sz w:val="28"/>
          <w:szCs w:val="28"/>
          <w:rtl w:val="true"/>
          <w:lang w:bidi="ar-SA"/>
        </w:rPr>
        <w:t> بالزوجة</w:t>
      </w:r>
      <w:r>
        <w:rPr>
          <w:rStyle w:val="FootnoteAnchor"/>
          <w:rtl w:val="true"/>
        </w:rPr>
        <w:footnoteReference w:id="986"/>
      </w:r>
      <w:r>
        <w:rPr>
          <w:rFonts w:ascii="Amiri" w:hAnsi="Amiri" w:eastAsia="Amiri" w:cs="Amiri"/>
          <w:color w:val="111111"/>
          <w:sz w:val="28"/>
          <w:sz w:val="28"/>
          <w:szCs w:val="28"/>
          <w:rtl w:val="true"/>
          <w:lang w:bidi="ar-SA"/>
        </w:rPr>
        <w:t> الأمة</w:t>
      </w:r>
      <w:r>
        <w:rPr>
          <w:rStyle w:val="FootnoteAnchor"/>
          <w:rtl w:val="true"/>
        </w:rPr>
        <w:footnoteReference w:id="987"/>
      </w:r>
      <w:r>
        <w:rPr>
          <w:rFonts w:ascii="IRNazanin" w:hAnsi="IRNazanin" w:eastAsia="IRNazanin"/>
          <w:color w:val="111111"/>
          <w:sz w:val="28"/>
          <w:sz w:val="28"/>
          <w:szCs w:val="28"/>
          <w:rtl w:val="true"/>
          <w:lang w:bidi="fa-IR"/>
        </w:rPr>
        <w:t> إذا أکرهها</w:t>
      </w:r>
      <w:r>
        <w:rPr>
          <w:rStyle w:val="FootnoteAnchor"/>
          <w:rtl w:val="true"/>
        </w:rPr>
        <w:footnoteReference w:id="988"/>
      </w:r>
      <w:r>
        <w:rPr>
          <w:rFonts w:ascii="IRNazanin" w:hAnsi="IRNazanin" w:eastAsia="IRNazanin"/>
          <w:color w:val="111111"/>
          <w:sz w:val="28"/>
          <w:sz w:val="28"/>
          <w:szCs w:val="28"/>
          <w:rtl w:val="true"/>
          <w:lang w:bidi="fa-IR"/>
        </w:rPr>
        <w:t> علی الجماع</w:t>
      </w:r>
      <w:r>
        <w:rPr>
          <w:rStyle w:val="FootnoteAnchor"/>
          <w:rtl w:val="true"/>
        </w:rPr>
        <w:footnoteReference w:id="989"/>
      </w:r>
      <w:r>
        <w:rPr>
          <w:rFonts w:ascii="IRNazanin" w:hAnsi="IRNazanin" w:eastAsia="IRNazanin"/>
          <w:color w:val="111111"/>
          <w:sz w:val="28"/>
          <w:sz w:val="28"/>
          <w:szCs w:val="28"/>
          <w:rtl w:val="true"/>
          <w:lang w:bidi="fa-IR"/>
        </w:rPr>
        <w:t> وهما صائمان، فلیس علیه إلّا کفّارته وتعزیره، وکذا لا تلحق بها</w:t>
      </w:r>
      <w:r>
        <w:rPr>
          <w:rStyle w:val="FootnoteAnchor"/>
          <w:rtl w:val="true"/>
        </w:rPr>
        <w:footnoteReference w:id="990"/>
      </w:r>
      <w:r>
        <w:rPr>
          <w:rFonts w:ascii="IRNazanin" w:hAnsi="IRNazanin" w:eastAsia="IRNazanin"/>
          <w:color w:val="111111"/>
          <w:sz w:val="28"/>
          <w:sz w:val="28"/>
          <w:szCs w:val="28"/>
          <w:rtl w:val="true"/>
          <w:lang w:bidi="fa-IR"/>
        </w:rPr>
        <w:t> الأجنبیّة إذا أکرهها علیه</w:t>
      </w:r>
      <w:r>
        <w:rPr>
          <w:rStyle w:val="FootnoteAnchor"/>
          <w:rtl w:val="true"/>
        </w:rPr>
        <w:footnoteReference w:id="991"/>
      </w:r>
      <w:r>
        <w:rPr>
          <w:rFonts w:ascii="IRNazanin" w:hAnsi="IRNazanin" w:eastAsia="IRNazanin"/>
          <w:color w:val="111111"/>
          <w:sz w:val="28"/>
          <w:sz w:val="28"/>
          <w:szCs w:val="28"/>
          <w:rtl w:val="true"/>
          <w:lang w:bidi="fa-IR"/>
        </w:rPr>
        <w:t> علی الأقوی، وإن کان الأحوط</w:t>
      </w:r>
      <w:r>
        <w:rPr>
          <w:rStyle w:val="FootnoteAnchor"/>
          <w:rtl w:val="true"/>
        </w:rPr>
        <w:footnoteReference w:id="992"/>
      </w:r>
      <w:r>
        <w:rPr>
          <w:rFonts w:ascii="Amiri" w:hAnsi="Amiri" w:eastAsia="Amiri" w:cs="Amiri"/>
          <w:color w:val="111111"/>
          <w:sz w:val="28"/>
          <w:sz w:val="28"/>
          <w:szCs w:val="28"/>
          <w:rtl w:val="true"/>
          <w:lang w:bidi="ar-SA"/>
        </w:rPr>
        <w:t> التحمّل عنها، خصوصاً</w:t>
      </w:r>
      <w:r>
        <w:rPr>
          <w:rStyle w:val="FootnoteAnchor"/>
          <w:rtl w:val="true"/>
        </w:rPr>
        <w:footnoteReference w:id="993"/>
      </w:r>
      <w:bookmarkStart w:id="403" w:name="pg13281_119867"/>
    </w:p>
    <w:p>
      <w:pPr>
        <w:pStyle w:val="BookText"/>
        <w:rPr/>
      </w:pPr>
      <w:bookmarkEnd w:id="403"/>
      <w:r>
        <w:rPr>
          <w:rFonts w:ascii="Amiri" w:hAnsi="Amiri" w:eastAsia="Amiri" w:cs="Amiri"/>
          <w:color w:val="111111"/>
          <w:sz w:val="28"/>
          <w:sz w:val="28"/>
          <w:szCs w:val="28"/>
          <w:rtl w:val="true"/>
          <w:lang w:bidi="ar-SA"/>
        </w:rPr>
        <w:t>إذا تخیّل</w:t>
      </w:r>
      <w:r>
        <w:rPr>
          <w:rStyle w:val="FootnoteAnchor"/>
          <w:rtl w:val="true"/>
        </w:rPr>
        <w:footnoteReference w:id="994"/>
      </w:r>
      <w:r>
        <w:rPr>
          <w:rFonts w:ascii="IRNazanin" w:hAnsi="IRNazanin" w:eastAsia="IRNazanin"/>
          <w:color w:val="111111"/>
          <w:sz w:val="28"/>
          <w:sz w:val="28"/>
          <w:szCs w:val="28"/>
          <w:rtl w:val="true"/>
          <w:lang w:bidi="fa-IR"/>
        </w:rPr>
        <w:t> أنّها زوجته فأکرهها علیه</w:t>
      </w:r>
      <w:r>
        <w:rPr>
          <w:rFonts w:eastAsia="IRNazanin" w:cs="IRNazanin"/>
          <w:color w:val="111111"/>
          <w:sz w:val="28"/>
          <w:szCs w:val="28"/>
          <w:rtl w:val="true"/>
          <w:lang w:bidi="fa-IR"/>
        </w:rPr>
        <w:t>.</w:t>
      </w:r>
    </w:p>
    <w:p>
      <w:pPr>
        <w:pStyle w:val="Heading3"/>
        <w:numPr>
          <w:ilvl w:val="2"/>
          <w:numId w:val="1"/>
        </w:numPr>
        <w:rPr/>
      </w:pPr>
      <w:bookmarkStart w:id="404" w:name="__RefHeading___Toc1955112_2322387425"/>
      <w:bookmarkStart w:id="405" w:name="_Toc149"/>
      <w:bookmarkEnd w:id="404"/>
      <w:r>
        <w:rPr>
          <w:rtl w:val="true"/>
        </w:rPr>
        <w:t>إکراه الزوج المفطر لعذرٍ زوجته الصائمة علی الجماع</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الزوج مفطِراً بسبب کونه مسافراً أو مریضاً أو نحو ذلک وکانت زوجته صائمة لا یجوز له إکراهها علی الجماع، وإن فعل لا یتحمّل</w:t>
      </w:r>
      <w:r>
        <w:rPr>
          <w:rStyle w:val="FootnoteAnchor"/>
          <w:rtl w:val="true"/>
        </w:rPr>
        <w:footnoteReference w:id="995"/>
      </w:r>
      <w:r>
        <w:rPr>
          <w:rFonts w:ascii="IRNazanin" w:hAnsi="IRNazanin" w:eastAsia="IRNazanin"/>
          <w:color w:val="111111"/>
          <w:sz w:val="28"/>
          <w:sz w:val="28"/>
          <w:szCs w:val="28"/>
          <w:rtl w:val="true"/>
          <w:lang w:bidi="fa-IR"/>
        </w:rPr>
        <w:t> عنها الکفّارة ولا التعزیر، وهل یجوز له مقاربتها وهی نائمة؟</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955114_2322387425"/>
      <w:bookmarkStart w:id="407" w:name="_Toc150"/>
      <w:bookmarkEnd w:id="406"/>
      <w:r>
        <w:rPr>
          <w:rtl w:val="true"/>
        </w:rPr>
        <w:t>من عجز عن الخصال الثلاث فی کفارة شهر رمضان</w:t>
      </w:r>
      <w:bookmarkEnd w:id="4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عجز عن الخصال الثلاث فی کفّارة مثل شهر رمضان</w:t>
      </w:r>
      <w:r>
        <w:rPr>
          <w:rStyle w:val="FootnoteAnchor"/>
          <w:rtl w:val="true"/>
        </w:rPr>
        <w:footnoteReference w:id="997"/>
      </w:r>
      <w:r>
        <w:rPr>
          <w:rFonts w:ascii="Amiri" w:hAnsi="Amiri" w:eastAsia="Amiri" w:cs="Amiri"/>
          <w:color w:val="111111"/>
          <w:sz w:val="28"/>
          <w:sz w:val="28"/>
          <w:szCs w:val="28"/>
          <w:rtl w:val="true"/>
          <w:lang w:bidi="ar-SA"/>
        </w:rPr>
        <w:t> تخیّر</w:t>
      </w:r>
      <w:r>
        <w:rPr>
          <w:rStyle w:val="FootnoteAnchor"/>
          <w:rtl w:val="true"/>
        </w:rPr>
        <w:footnoteReference w:id="998"/>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w:t>
      </w:r>
      <w:r>
        <w:rPr>
          <w:rStyle w:val="FootnoteAnchor"/>
          <w:rtl w:val="true"/>
        </w:rPr>
        <w:footnoteReference w:id="999"/>
      </w:r>
      <w:r>
        <w:rPr>
          <w:rFonts w:ascii="IRNazanin" w:hAnsi="IRNazanin" w:eastAsia="IRNazanin"/>
          <w:color w:val="111111"/>
          <w:sz w:val="28"/>
          <w:sz w:val="28"/>
          <w:szCs w:val="28"/>
          <w:rtl w:val="true"/>
          <w:lang w:bidi="fa-IR"/>
        </w:rPr>
        <w:t> أن</w:t>
      </w:r>
      <w:r>
        <w:rPr>
          <w:rStyle w:val="FootnoteAnchor"/>
          <w:rtl w:val="true"/>
        </w:rPr>
        <w:footnoteReference w:id="1000"/>
      </w:r>
      <w:r>
        <w:rPr>
          <w:rFonts w:ascii="IRNazanin" w:hAnsi="IRNazanin" w:eastAsia="IRNazanin"/>
          <w:color w:val="111111"/>
          <w:sz w:val="28"/>
          <w:sz w:val="28"/>
          <w:szCs w:val="28"/>
          <w:rtl w:val="true"/>
          <w:lang w:bidi="fa-IR"/>
        </w:rPr>
        <w:t> یصوم</w:t>
      </w:r>
      <w:r>
        <w:rPr>
          <w:rStyle w:val="FootnoteAnchor"/>
          <w:rtl w:val="true"/>
        </w:rPr>
        <w:footnoteReference w:id="1001"/>
      </w:r>
      <w:r>
        <w:rPr>
          <w:rFonts w:ascii="IRNazanin" w:hAnsi="IRNazanin" w:eastAsia="IRNazanin"/>
          <w:color w:val="111111"/>
          <w:sz w:val="28"/>
          <w:sz w:val="28"/>
          <w:szCs w:val="28"/>
          <w:rtl w:val="true"/>
          <w:lang w:bidi="fa-IR"/>
        </w:rPr>
        <w:t> ثمانیة عشر یوماً</w:t>
      </w:r>
      <w:r>
        <w:rPr>
          <w:rStyle w:val="FootnoteAnchor"/>
          <w:rtl w:val="true"/>
        </w:rPr>
        <w:footnoteReference w:id="1002"/>
      </w:r>
      <w:r>
        <w:rPr>
          <w:rFonts w:ascii="Amiri" w:hAnsi="Amiri" w:eastAsia="Amiri" w:cs="Amiri"/>
          <w:color w:val="111111"/>
          <w:sz w:val="28"/>
          <w:sz w:val="28"/>
          <w:szCs w:val="28"/>
          <w:rtl w:val="true"/>
          <w:lang w:bidi="ar-SA"/>
        </w:rPr>
        <w:t>، أو یتصدّق</w:t>
      </w:r>
      <w:r>
        <w:rPr>
          <w:rStyle w:val="FootnoteAnchor"/>
          <w:rtl w:val="true"/>
        </w:rPr>
        <w:footnoteReference w:id="1003"/>
      </w:r>
      <w:r>
        <w:rPr>
          <w:rFonts w:ascii="IRNazanin" w:hAnsi="IRNazanin" w:eastAsia="IRNazanin"/>
          <w:color w:val="111111"/>
          <w:sz w:val="28"/>
          <w:sz w:val="28"/>
          <w:szCs w:val="28"/>
          <w:rtl w:val="true"/>
          <w:lang w:bidi="fa-IR"/>
        </w:rPr>
        <w:t> بما یطیق</w:t>
      </w:r>
      <w:r>
        <w:rPr>
          <w:rStyle w:val="FootnoteAnchor"/>
          <w:rtl w:val="true"/>
        </w:rPr>
        <w:footnoteReference w:id="1004"/>
      </w:r>
      <w:r>
        <w:rPr>
          <w:rFonts w:ascii="IRNazanin" w:hAnsi="IRNazanin" w:eastAsia="IRNazanin"/>
          <w:color w:val="111111"/>
          <w:sz w:val="28"/>
          <w:sz w:val="28"/>
          <w:szCs w:val="28"/>
          <w:rtl w:val="true"/>
          <w:lang w:bidi="fa-IR"/>
        </w:rPr>
        <w:t>، ولو عجز</w:t>
      </w:r>
      <w:r>
        <w:rPr>
          <w:rStyle w:val="FootnoteAnchor"/>
          <w:rtl w:val="true"/>
        </w:rPr>
        <w:footnoteReference w:id="1005"/>
      </w:r>
      <w:r>
        <w:rPr>
          <w:rFonts w:ascii="IRNazanin" w:hAnsi="IRNazanin" w:eastAsia="IRNazanin"/>
          <w:color w:val="111111"/>
          <w:sz w:val="28"/>
          <w:sz w:val="28"/>
          <w:szCs w:val="28"/>
          <w:rtl w:val="true"/>
          <w:lang w:bidi="fa-IR"/>
        </w:rPr>
        <w:t> أتی بالممکن منهما</w:t>
      </w:r>
      <w:r>
        <w:rPr>
          <w:rStyle w:val="FootnoteAnchor"/>
          <w:rtl w:val="true"/>
        </w:rPr>
        <w:footnoteReference w:id="1006"/>
      </w:r>
      <w:r>
        <w:rPr>
          <w:rFonts w:ascii="IRNazanin" w:hAnsi="IRNazanin" w:eastAsia="IRNazanin"/>
          <w:color w:val="111111"/>
          <w:sz w:val="28"/>
          <w:sz w:val="28"/>
          <w:szCs w:val="28"/>
          <w:rtl w:val="true"/>
          <w:lang w:bidi="fa-IR"/>
        </w:rPr>
        <w:t xml:space="preserve">، وإن لم یقدر علی شیء منهما استغفر الله </w:t>
      </w:r>
      <w:bookmarkStart w:id="408" w:name="pg13281_119869"/>
    </w:p>
    <w:p>
      <w:pPr>
        <w:pStyle w:val="BookText"/>
        <w:rPr/>
      </w:pPr>
      <w:bookmarkEnd w:id="408"/>
      <w:r>
        <w:rPr>
          <w:rFonts w:ascii="Amiri" w:hAnsi="Amiri" w:eastAsia="Amiri" w:cs="Amiri"/>
          <w:color w:val="111111"/>
          <w:sz w:val="28"/>
          <w:sz w:val="28"/>
          <w:szCs w:val="28"/>
          <w:rtl w:val="true"/>
          <w:lang w:bidi="ar-SA"/>
        </w:rPr>
        <w:t>ولو مرَّة بدلاً عن الکفّارة،</w:t>
      </w:r>
    </w:p>
    <w:p>
      <w:pPr>
        <w:pStyle w:val="Heading3"/>
        <w:numPr>
          <w:ilvl w:val="2"/>
          <w:numId w:val="1"/>
        </w:numPr>
        <w:rPr/>
      </w:pPr>
      <w:bookmarkStart w:id="409" w:name="__RefHeading___Toc1955116_2322387425"/>
      <w:bookmarkStart w:id="410" w:name="_Toc151"/>
      <w:bookmarkEnd w:id="409"/>
      <w:r>
        <w:rPr>
          <w:rtl w:val="true"/>
        </w:rPr>
        <w:t>من تمکن من الکفّارة بعد العجز عنها</w:t>
      </w:r>
      <w:bookmarkEnd w:id="4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تمکّن بعد ذلک منها أتی بها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411" w:name="pg13281_119870"/>
    </w:p>
    <w:p>
      <w:pPr>
        <w:pStyle w:val="Heading3"/>
        <w:numPr>
          <w:ilvl w:val="2"/>
          <w:numId w:val="1"/>
        </w:numPr>
        <w:rPr/>
      </w:pPr>
      <w:bookmarkStart w:id="412" w:name="__RefHeading___Toc1955118_2322387425"/>
      <w:bookmarkStart w:id="413" w:name="_Toc152"/>
      <w:bookmarkEnd w:id="411"/>
      <w:bookmarkEnd w:id="412"/>
      <w:r>
        <w:rPr>
          <w:rtl w:val="true"/>
        </w:rPr>
        <w:t>التبرع بالکفّارة عن الغیر</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التبرّع بالکفّارة عن المیّت، صوماً کانت أو غیره، وفی جواز التبرّع بها عن الحیِّ إشکال</w:t>
      </w:r>
      <w:r>
        <w:rPr>
          <w:rStyle w:val="FootnoteAnchor"/>
          <w:rtl w:val="true"/>
        </w:rPr>
        <w:footnoteReference w:id="1008"/>
      </w:r>
      <w:r>
        <w:rPr>
          <w:rFonts w:ascii="IRNazanin" w:hAnsi="IRNazanin" w:eastAsia="IRNazanin"/>
          <w:color w:val="111111"/>
          <w:sz w:val="28"/>
          <w:sz w:val="28"/>
          <w:szCs w:val="28"/>
          <w:rtl w:val="true"/>
          <w:lang w:bidi="fa-IR"/>
        </w:rPr>
        <w:t>، والأحوط العدم</w:t>
      </w:r>
      <w:r>
        <w:rPr>
          <w:rStyle w:val="FootnoteAnchor"/>
          <w:rtl w:val="true"/>
        </w:rPr>
        <w:footnoteReference w:id="1009"/>
      </w:r>
      <w:r>
        <w:rPr>
          <w:rFonts w:ascii="Amiri" w:hAnsi="Amiri" w:eastAsia="Amiri" w:cs="Amiri"/>
          <w:color w:val="111111"/>
          <w:sz w:val="28"/>
          <w:sz w:val="28"/>
          <w:szCs w:val="28"/>
          <w:rtl w:val="true"/>
          <w:lang w:bidi="ar-SA"/>
        </w:rPr>
        <w:t>، خصوصاً</w:t>
      </w:r>
      <w:r>
        <w:rPr>
          <w:rStyle w:val="FootnoteAnchor"/>
          <w:rtl w:val="true"/>
        </w:rPr>
        <w:footnoteReference w:id="1010"/>
      </w:r>
      <w:r>
        <w:rPr>
          <w:rFonts w:ascii="IRNazanin" w:hAnsi="IRNazanin" w:eastAsia="IRNazanin"/>
          <w:color w:val="111111"/>
          <w:sz w:val="28"/>
          <w:sz w:val="28"/>
          <w:szCs w:val="28"/>
          <w:rtl w:val="true"/>
          <w:lang w:bidi="fa-IR"/>
        </w:rPr>
        <w:t>فی الصوم</w:t>
      </w:r>
      <w:r>
        <w:rPr>
          <w:rFonts w:eastAsia="IRNazanin" w:cs="IRNazanin"/>
          <w:color w:val="111111"/>
          <w:sz w:val="28"/>
          <w:szCs w:val="28"/>
          <w:rtl w:val="true"/>
          <w:lang w:bidi="fa-IR"/>
        </w:rPr>
        <w:t>.</w:t>
      </w:r>
    </w:p>
    <w:p>
      <w:pPr>
        <w:pStyle w:val="Heading3"/>
        <w:numPr>
          <w:ilvl w:val="2"/>
          <w:numId w:val="1"/>
        </w:numPr>
        <w:rPr/>
      </w:pPr>
      <w:bookmarkStart w:id="414" w:name="__RefHeading___Toc1955120_2322387425"/>
      <w:bookmarkStart w:id="415" w:name="_Toc153"/>
      <w:bookmarkEnd w:id="414"/>
      <w:r>
        <w:rPr>
          <w:rtl w:val="true"/>
        </w:rPr>
        <w:t>التأخیر فی أداء الکفّارة وکونها غیر فوریّة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علیه الکفّارة إذا لم یودِّها حتّی مضت علیه سِنینٌ لم تتکرّر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وجوب الکفّارة موسّع فلا تجب المبادرة إلیها، نعم، لا یجوز التأخیر إلی حدِّ التهاون</w:t>
      </w:r>
      <w:r>
        <w:rPr>
          <w:rFonts w:eastAsia="IRNazanin" w:cs="IRNazanin"/>
          <w:color w:val="111111"/>
          <w:sz w:val="28"/>
          <w:szCs w:val="28"/>
          <w:rtl w:val="true"/>
          <w:lang w:bidi="fa-IR"/>
        </w:rPr>
        <w:t>.</w:t>
      </w:r>
    </w:p>
    <w:p>
      <w:pPr>
        <w:pStyle w:val="Heading3"/>
        <w:numPr>
          <w:ilvl w:val="2"/>
          <w:numId w:val="1"/>
        </w:numPr>
        <w:rPr/>
      </w:pPr>
      <w:bookmarkStart w:id="416" w:name="__RefHeading___Toc1955122_2322387425"/>
      <w:bookmarkStart w:id="417" w:name="_Toc154"/>
      <w:bookmarkEnd w:id="416"/>
      <w:r>
        <w:rPr>
          <w:rtl w:val="true"/>
        </w:rPr>
        <w:t>الإفطار علی الحرام بعد المغرب</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الصائم بعد المغرب علی حرامٍ من زنا أو شرب الخمر أو نحو ذلک لم یبطل صومه</w:t>
      </w:r>
      <w:r>
        <w:rPr>
          <w:rStyle w:val="FootnoteAnchor"/>
          <w:rtl w:val="true"/>
        </w:rPr>
        <w:footnoteReference w:id="1011"/>
      </w:r>
      <w:r>
        <w:rPr>
          <w:rFonts w:ascii="IRNazanin" w:hAnsi="IRNazanin" w:eastAsia="IRNazanin"/>
          <w:color w:val="111111"/>
          <w:sz w:val="28"/>
          <w:sz w:val="28"/>
          <w:szCs w:val="28"/>
          <w:rtl w:val="true"/>
          <w:lang w:bidi="fa-IR"/>
        </w:rPr>
        <w:t> وإن کان فی أثناء النهار قاصداً لذلک</w:t>
      </w:r>
      <w:r>
        <w:rPr>
          <w:rFonts w:eastAsia="IRNazanin" w:cs="IRNazanin"/>
          <w:color w:val="111111"/>
          <w:sz w:val="28"/>
          <w:szCs w:val="28"/>
          <w:rtl w:val="true"/>
          <w:lang w:bidi="fa-IR"/>
        </w:rPr>
        <w:t>.</w:t>
      </w:r>
    </w:p>
    <w:p>
      <w:pPr>
        <w:pStyle w:val="Heading3"/>
        <w:numPr>
          <w:ilvl w:val="2"/>
          <w:numId w:val="1"/>
        </w:numPr>
        <w:rPr/>
      </w:pPr>
      <w:bookmarkStart w:id="418" w:name="__RefHeading___Toc1955124_2322387425"/>
      <w:bookmarkStart w:id="419" w:name="_Toc155"/>
      <w:bookmarkEnd w:id="418"/>
      <w:r>
        <w:rPr>
          <w:rtl w:val="true"/>
        </w:rPr>
        <w:t>مصرف کفّارة الإطعام</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کفّارة 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بإشباعهم</w:t>
      </w:r>
      <w:r>
        <w:rPr>
          <w:rStyle w:val="FootnoteAnchor"/>
          <w:rtl w:val="true"/>
        </w:rPr>
        <w:footnoteReference w:id="1013"/>
      </w:r>
      <w:r>
        <w:rPr>
          <w:rFonts w:ascii="IRNazanin" w:hAnsi="IRNazanin" w:eastAsia="IRNazanin"/>
          <w:color w:val="111111"/>
          <w:sz w:val="28"/>
          <w:sz w:val="28"/>
          <w:szCs w:val="28"/>
          <w:rtl w:val="true"/>
          <w:lang w:bidi="fa-IR"/>
        </w:rPr>
        <w:t>،</w:t>
      </w:r>
    </w:p>
    <w:p>
      <w:pPr>
        <w:pStyle w:val="Heading3"/>
        <w:numPr>
          <w:ilvl w:val="2"/>
          <w:numId w:val="1"/>
        </w:numPr>
        <w:rPr/>
      </w:pPr>
      <w:bookmarkStart w:id="420" w:name="__RefHeading___Toc1955126_2322387425"/>
      <w:bookmarkStart w:id="421" w:name="_Toc156"/>
      <w:bookmarkEnd w:id="420"/>
      <w:r>
        <w:rPr>
          <w:rtl w:val="true"/>
        </w:rPr>
        <w:t>مقدار الطعام ونوعه فیالکفّارة</w:t>
      </w:r>
      <w:bookmarkEnd w:id="4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بالتسلیم</w:t>
      </w:r>
      <w:r>
        <w:rPr>
          <w:rStyle w:val="FootnoteAnchor"/>
          <w:rtl w:val="true"/>
        </w:rPr>
        <w:footnoteReference w:id="1014"/>
      </w:r>
      <w:r>
        <w:rPr>
          <w:rFonts w:ascii="IRNazanin" w:hAnsi="IRNazanin" w:eastAsia="IRNazanin"/>
          <w:color w:val="111111"/>
          <w:sz w:val="28"/>
          <w:sz w:val="28"/>
          <w:szCs w:val="28"/>
          <w:rtl w:val="true"/>
          <w:lang w:bidi="fa-IR"/>
        </w:rPr>
        <w:t> إلیهم</w:t>
      </w:r>
      <w:r>
        <w:rPr>
          <w:rStyle w:val="FootnoteAnchor"/>
          <w:rtl w:val="true"/>
        </w:rPr>
        <w:footnoteReference w:id="1015"/>
      </w:r>
      <w:r>
        <w:rPr>
          <w:rFonts w:ascii="Amiri" w:hAnsi="Amiri" w:eastAsia="Amiri" w:cs="Amiri"/>
          <w:color w:val="111111"/>
          <w:sz w:val="28"/>
          <w:sz w:val="28"/>
          <w:szCs w:val="28"/>
          <w:rtl w:val="true"/>
          <w:lang w:bidi="ar-SA"/>
        </w:rPr>
        <w:t> کلّ واحد مُدّاً، والأحوط</w:t>
      </w:r>
      <w:r>
        <w:rPr>
          <w:rStyle w:val="FootnoteAnchor"/>
          <w:rtl w:val="true"/>
        </w:rPr>
        <w:footnoteReference w:id="1016"/>
      </w:r>
      <w:r>
        <w:rPr>
          <w:rFonts w:ascii="Amiri" w:hAnsi="Amiri" w:eastAsia="Amiri" w:cs="Amiri"/>
          <w:color w:val="111111"/>
          <w:sz w:val="28"/>
          <w:sz w:val="28"/>
          <w:szCs w:val="28"/>
          <w:rtl w:val="true"/>
          <w:lang w:bidi="ar-SA"/>
        </w:rPr>
        <w:t> مُدّان</w:t>
      </w:r>
      <w:r>
        <w:rPr>
          <w:rStyle w:val="FootnoteAnchor"/>
          <w:rtl w:val="true"/>
        </w:rPr>
        <w:footnoteReference w:id="1017"/>
      </w:r>
      <w:r>
        <w:rPr>
          <w:rFonts w:ascii="Amiri" w:hAnsi="Amiri" w:eastAsia="Amiri" w:cs="Amiri"/>
          <w:color w:val="111111"/>
          <w:sz w:val="28"/>
          <w:sz w:val="28"/>
          <w:szCs w:val="28"/>
          <w:rtl w:val="true"/>
          <w:lang w:bidi="ar-SA"/>
        </w:rPr>
        <w:t>من حنطة</w:t>
      </w:r>
      <w:r>
        <w:rPr>
          <w:rStyle w:val="FootnoteAnchor"/>
          <w:rtl w:val="true"/>
        </w:rPr>
        <w:footnoteReference w:id="1018"/>
      </w:r>
      <w:r>
        <w:rPr>
          <w:rFonts w:ascii="Amiri" w:hAnsi="Amiri" w:eastAsia="Amiri" w:cs="Amiri"/>
          <w:color w:val="111111"/>
          <w:sz w:val="28"/>
          <w:sz w:val="28"/>
          <w:szCs w:val="28"/>
          <w:rtl w:val="true"/>
          <w:lang w:bidi="ar-SA"/>
        </w:rPr>
        <w:t> أو شعیر أو أرُزّ</w:t>
      </w:r>
      <w:r>
        <w:rPr>
          <w:rStyle w:val="FootnoteAnchor"/>
          <w:rtl w:val="true"/>
        </w:rPr>
        <w:footnoteReference w:id="1019"/>
      </w:r>
      <w:r>
        <w:rPr>
          <w:rFonts w:ascii="IRNazanin" w:hAnsi="IRNazanin" w:eastAsia="IRNazanin"/>
          <w:color w:val="111111"/>
          <w:sz w:val="28"/>
          <w:sz w:val="28"/>
          <w:szCs w:val="28"/>
          <w:rtl w:val="true"/>
          <w:lang w:bidi="fa-IR"/>
        </w:rPr>
        <w:t> أو خبز</w:t>
      </w:r>
      <w:r>
        <w:rPr>
          <w:rStyle w:val="FootnoteAnchor"/>
          <w:rtl w:val="true"/>
        </w:rPr>
        <w:footnoteReference w:id="1020"/>
      </w:r>
      <w:r>
        <w:rPr>
          <w:rFonts w:ascii="IRNazanin" w:hAnsi="IRNazanin" w:eastAsia="IRNazanin"/>
          <w:color w:val="111111"/>
          <w:sz w:val="28"/>
          <w:sz w:val="28"/>
          <w:szCs w:val="28"/>
          <w:rtl w:val="true"/>
          <w:lang w:bidi="fa-IR"/>
        </w:rPr>
        <w:t> أو نحو ذلک</w:t>
      </w:r>
      <w:r>
        <w:rPr>
          <w:rStyle w:val="FootnoteAnchor"/>
          <w:rtl w:val="true"/>
        </w:rPr>
        <w:footnoteReference w:id="1021"/>
      </w:r>
      <w:r>
        <w:rPr>
          <w:rFonts w:ascii="IRNazanin" w:hAnsi="IRNazanin" w:eastAsia="IRNazanin"/>
          <w:color w:val="111111"/>
          <w:sz w:val="28"/>
          <w:sz w:val="28"/>
          <w:szCs w:val="28"/>
          <w:rtl w:val="true"/>
          <w:lang w:bidi="fa-IR"/>
        </w:rPr>
        <w:t xml:space="preserve">، </w:t>
      </w:r>
      <w:bookmarkStart w:id="422" w:name="pg13281_119872"/>
    </w:p>
    <w:p>
      <w:pPr>
        <w:pStyle w:val="BookText"/>
        <w:rPr/>
      </w:pPr>
      <w:bookmarkEnd w:id="422"/>
      <w:r>
        <w:rPr>
          <w:rFonts w:ascii="IRNazanin" w:hAnsi="IRNazanin" w:eastAsia="IRNazanin"/>
          <w:color w:val="111111"/>
          <w:sz w:val="28"/>
          <w:sz w:val="28"/>
          <w:szCs w:val="28"/>
          <w:rtl w:val="true"/>
          <w:lang w:bidi="fa-IR"/>
        </w:rPr>
        <w:t>ولا یکفی</w:t>
      </w:r>
      <w:r>
        <w:rPr>
          <w:rStyle w:val="FootnoteAnchor"/>
          <w:rtl w:val="true"/>
        </w:rPr>
        <w:footnoteReference w:id="1022"/>
      </w:r>
      <w:r>
        <w:rPr>
          <w:rFonts w:ascii="IRNazanin" w:hAnsi="IRNazanin" w:eastAsia="IRNazanin"/>
          <w:color w:val="111111"/>
          <w:sz w:val="28"/>
          <w:sz w:val="28"/>
          <w:szCs w:val="28"/>
          <w:rtl w:val="true"/>
          <w:lang w:bidi="fa-IR"/>
        </w:rPr>
        <w:t> فی کفّارة واحدة</w:t>
      </w:r>
      <w:r>
        <w:rPr>
          <w:rStyle w:val="FootnoteAnchor"/>
          <w:rtl w:val="true"/>
        </w:rPr>
        <w:footnoteReference w:id="1023"/>
      </w:r>
      <w:r>
        <w:rPr>
          <w:rFonts w:ascii="Amiri" w:hAnsi="Amiri" w:eastAsia="Amiri" w:cs="Amiri"/>
          <w:color w:val="111111"/>
          <w:sz w:val="28"/>
          <w:sz w:val="28"/>
          <w:szCs w:val="28"/>
          <w:rtl w:val="true"/>
          <w:lang w:bidi="ar-SA"/>
        </w:rPr>
        <w:t> إشباع شخصٍ واحدٍ</w:t>
      </w:r>
      <w:r>
        <w:rPr>
          <w:rStyle w:val="FootnoteAnchor"/>
          <w:rtl w:val="true"/>
        </w:rPr>
        <w:footnoteReference w:id="1024"/>
      </w:r>
      <w:r>
        <w:rPr>
          <w:rFonts w:ascii="IRNazanin" w:hAnsi="IRNazanin" w:eastAsia="IRNazanin"/>
          <w:color w:val="111111"/>
          <w:sz w:val="28"/>
          <w:sz w:val="28"/>
          <w:szCs w:val="28"/>
          <w:rtl w:val="true"/>
          <w:lang w:bidi="fa-IR"/>
        </w:rPr>
        <w:t> مرّتین أو أزید</w:t>
      </w:r>
      <w:r>
        <w:rPr>
          <w:rStyle w:val="FootnoteAnchor"/>
          <w:rtl w:val="true"/>
        </w:rPr>
        <w:footnoteReference w:id="1025"/>
      </w:r>
      <w:r>
        <w:rPr>
          <w:rFonts w:ascii="IRNazanin" w:hAnsi="IRNazanin" w:eastAsia="IRNazanin"/>
          <w:color w:val="111111"/>
          <w:sz w:val="28"/>
          <w:sz w:val="28"/>
          <w:szCs w:val="28"/>
          <w:rtl w:val="true"/>
          <w:lang w:bidi="fa-IR"/>
        </w:rPr>
        <w:t>،</w:t>
      </w:r>
    </w:p>
    <w:p>
      <w:pPr>
        <w:pStyle w:val="Heading3"/>
        <w:numPr>
          <w:ilvl w:val="2"/>
          <w:numId w:val="1"/>
        </w:numPr>
        <w:rPr/>
      </w:pPr>
      <w:bookmarkStart w:id="423" w:name="__RefHeading___Toc1955128_2322387425"/>
      <w:bookmarkStart w:id="424" w:name="_Toc157"/>
      <w:bookmarkEnd w:id="423"/>
      <w:r>
        <w:rPr>
          <w:rtl w:val="true"/>
        </w:rPr>
        <w:t>لزوم مراعاة العدد وإطعام ستین نفساً ولو من الصغار والنساء</w:t>
      </w:r>
      <w:bookmarkEnd w:id="4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إعطاوه مُدّین أو أزید، بل لابدّ من ستّین نفساً</w:t>
      </w:r>
      <w:r>
        <w:rPr>
          <w:rStyle w:val="FootnoteAnchor"/>
          <w:rtl w:val="true"/>
        </w:rPr>
        <w:footnoteReference w:id="1026"/>
      </w:r>
      <w:r>
        <w:rPr>
          <w:rFonts w:ascii="IRNazanin" w:hAnsi="IRNazanin" w:eastAsia="IRNazanin"/>
          <w:color w:val="111111"/>
          <w:sz w:val="28"/>
          <w:sz w:val="28"/>
          <w:szCs w:val="28"/>
          <w:rtl w:val="true"/>
          <w:lang w:bidi="fa-IR"/>
        </w:rPr>
        <w:t>، نعم، إذا کان للفقیر عیال متعدِّدون</w:t>
      </w:r>
      <w:r>
        <w:rPr>
          <w:rStyle w:val="FootnoteAnchor"/>
          <w:rtl w:val="true"/>
        </w:rPr>
        <w:footnoteReference w:id="1027"/>
      </w:r>
      <w:r>
        <w:rPr>
          <w:rFonts w:ascii="IRNazanin" w:hAnsi="IRNazanin" w:eastAsia="IRNazanin"/>
          <w:color w:val="111111"/>
          <w:sz w:val="28"/>
          <w:sz w:val="28"/>
          <w:szCs w:val="28"/>
          <w:rtl w:val="true"/>
          <w:lang w:bidi="fa-IR"/>
        </w:rPr>
        <w:t> ولو کانوا أطفالاً صغاراً</w:t>
      </w:r>
      <w:r>
        <w:rPr>
          <w:rStyle w:val="FootnoteAnchor"/>
          <w:rtl w:val="true"/>
        </w:rPr>
        <w:footnoteReference w:id="1028"/>
      </w:r>
      <w:r>
        <w:rPr>
          <w:rFonts w:ascii="IRNazanin" w:hAnsi="IRNazanin" w:eastAsia="IRNazanin"/>
          <w:color w:val="111111"/>
          <w:sz w:val="28"/>
          <w:sz w:val="28"/>
          <w:szCs w:val="28"/>
          <w:rtl w:val="true"/>
          <w:lang w:bidi="fa-IR"/>
        </w:rPr>
        <w:t> یجوز</w:t>
      </w:r>
      <w:r>
        <w:rPr>
          <w:rStyle w:val="FootnoteAnchor"/>
          <w:rtl w:val="true"/>
        </w:rPr>
        <w:footnoteReference w:id="1029"/>
      </w:r>
      <w:r>
        <w:rPr>
          <w:rFonts w:ascii="IRNazanin" w:hAnsi="IRNazanin" w:eastAsia="IRNazanin"/>
          <w:color w:val="111111"/>
          <w:sz w:val="28"/>
          <w:sz w:val="28"/>
          <w:szCs w:val="28"/>
          <w:rtl w:val="true"/>
          <w:lang w:bidi="fa-IR"/>
        </w:rPr>
        <w:t> إعطاوه</w:t>
      </w:r>
      <w:r>
        <w:rPr>
          <w:rStyle w:val="FootnoteAnchor"/>
          <w:rtl w:val="true"/>
        </w:rPr>
        <w:footnoteReference w:id="1030"/>
      </w:r>
      <w:bookmarkStart w:id="425" w:name="pg13281_119873"/>
    </w:p>
    <w:p>
      <w:pPr>
        <w:pStyle w:val="BookText"/>
        <w:rPr/>
      </w:pPr>
      <w:bookmarkEnd w:id="425"/>
      <w:r>
        <w:rPr>
          <w:rFonts w:ascii="IRNazanin" w:hAnsi="IRNazanin" w:eastAsia="IRNazanin"/>
          <w:color w:val="111111"/>
          <w:sz w:val="28"/>
          <w:sz w:val="28"/>
          <w:szCs w:val="28"/>
          <w:rtl w:val="true"/>
          <w:lang w:bidi="fa-IR"/>
        </w:rPr>
        <w:t>بعدد</w:t>
      </w:r>
      <w:r>
        <w:rPr>
          <w:rStyle w:val="FootnoteAnchor"/>
          <w:rtl w:val="true"/>
        </w:rPr>
        <w:footnoteReference w:id="1031"/>
      </w:r>
      <w:r>
        <w:rPr>
          <w:rFonts w:ascii="IRNazanin" w:hAnsi="IRNazanin" w:eastAsia="IRNazanin"/>
          <w:color w:val="111111"/>
          <w:sz w:val="28"/>
          <w:sz w:val="28"/>
          <w:szCs w:val="28"/>
          <w:rtl w:val="true"/>
          <w:lang w:bidi="fa-IR"/>
        </w:rPr>
        <w:t> الجمیع</w:t>
      </w:r>
      <w:r>
        <w:rPr>
          <w:rStyle w:val="FootnoteAnchor"/>
          <w:rtl w:val="true"/>
        </w:rPr>
        <w:footnoteReference w:id="1032"/>
      </w:r>
      <w:r>
        <w:rPr>
          <w:rFonts w:ascii="Amiri" w:hAnsi="Amiri" w:eastAsia="Amiri" w:cs="Amiri"/>
          <w:color w:val="111111"/>
          <w:sz w:val="28"/>
          <w:sz w:val="28"/>
          <w:szCs w:val="28"/>
          <w:rtl w:val="true"/>
          <w:lang w:bidi="ar-SA"/>
        </w:rPr>
        <w:t> لکلّ واحدٍ مُدّاً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955130_2322387425"/>
      <w:bookmarkStart w:id="427" w:name="_Toc158"/>
      <w:bookmarkEnd w:id="426"/>
      <w:r>
        <w:rPr>
          <w:rtl w:val="true"/>
        </w:rPr>
        <w:t>جواز السفر فی شهر رمضان من غیر حاجة</w:t>
      </w:r>
      <w:bookmarkEnd w:id="4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السفر فی شهر رمضان لا لعذر وحاجة، بل ولو کان للفِرار من الصوم، لکنه مکروه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428" w:name="pg13281_119874"/>
    </w:p>
    <w:p>
      <w:pPr>
        <w:pStyle w:val="Heading3"/>
        <w:numPr>
          <w:ilvl w:val="2"/>
          <w:numId w:val="1"/>
        </w:numPr>
        <w:rPr/>
      </w:pPr>
      <w:bookmarkStart w:id="429" w:name="__RefHeading___Toc1955132_2322387425"/>
      <w:bookmarkStart w:id="430" w:name="_Toc159"/>
      <w:bookmarkEnd w:id="428"/>
      <w:bookmarkEnd w:id="429"/>
      <w:r>
        <w:rPr>
          <w:rtl w:val="true"/>
        </w:rPr>
        <w:t>مقدار المدّ</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 ربع الصاع</w:t>
      </w:r>
      <w:r>
        <w:rPr>
          <w:rStyle w:val="FootnoteAnchor"/>
          <w:rtl w:val="true"/>
        </w:rPr>
        <w:footnoteReference w:id="1035"/>
      </w:r>
      <w:r>
        <w:rPr>
          <w:rFonts w:ascii="Amiri" w:hAnsi="Amiri" w:eastAsia="Amiri" w:cs="Amiri"/>
          <w:color w:val="111111"/>
          <w:sz w:val="28"/>
          <w:sz w:val="28"/>
          <w:szCs w:val="28"/>
          <w:rtl w:val="true"/>
          <w:lang w:bidi="ar-SA"/>
        </w:rPr>
        <w:t>، وهو ستّمائة مثقال</w:t>
      </w:r>
      <w:r>
        <w:rPr>
          <w:rStyle w:val="FootnoteAnchor"/>
          <w:rtl w:val="true"/>
        </w:rPr>
        <w:footnoteReference w:id="1036"/>
      </w:r>
      <w:r>
        <w:rPr>
          <w:rFonts w:ascii="IRNazanin" w:hAnsi="IRNazanin" w:eastAsia="IRNazanin"/>
          <w:color w:val="111111"/>
          <w:sz w:val="28"/>
          <w:sz w:val="28"/>
          <w:szCs w:val="28"/>
          <w:rtl w:val="true"/>
          <w:lang w:bidi="fa-IR"/>
        </w:rPr>
        <w:t> وأربعة عشر مثقالاً وربع مثقال، وعلی هذا فالمدّ مائة</w:t>
      </w:r>
      <w:r>
        <w:rPr>
          <w:rStyle w:val="FootnoteAnchor"/>
          <w:rtl w:val="true"/>
        </w:rPr>
        <w:footnoteReference w:id="1037"/>
      </w:r>
      <w:r>
        <w:rPr>
          <w:rFonts w:ascii="IRNazanin" w:hAnsi="IRNazanin" w:eastAsia="IRNazanin"/>
          <w:color w:val="111111"/>
          <w:sz w:val="28"/>
          <w:sz w:val="28"/>
          <w:szCs w:val="28"/>
          <w:rtl w:val="true"/>
          <w:lang w:bidi="fa-IR"/>
        </w:rPr>
        <w:t> وخمسون</w:t>
      </w:r>
      <w:r>
        <w:rPr>
          <w:rStyle w:val="FootnoteAnchor"/>
          <w:rtl w:val="true"/>
        </w:rPr>
        <w:footnoteReference w:id="1038"/>
      </w:r>
      <w:r>
        <w:rPr>
          <w:rFonts w:ascii="Amiri" w:hAnsi="Amiri" w:eastAsia="Amiri" w:cs="Amiri"/>
          <w:color w:val="111111"/>
          <w:sz w:val="28"/>
          <w:sz w:val="28"/>
          <w:szCs w:val="28"/>
          <w:rtl w:val="true"/>
          <w:lang w:bidi="ar-SA"/>
        </w:rPr>
        <w:t> مثقالاً وثلاثة</w:t>
      </w:r>
    </w:p>
    <w:p>
      <w:pPr>
        <w:pStyle w:val="BookText"/>
        <w:rPr/>
      </w:pPr>
      <w:r>
        <w:rPr>
          <w:rFonts w:ascii="IRNazanin" w:hAnsi="IRNazanin" w:eastAsia="IRNazanin"/>
          <w:color w:val="111111"/>
          <w:sz w:val="28"/>
          <w:sz w:val="28"/>
          <w:szCs w:val="28"/>
          <w:rtl w:val="true"/>
          <w:lang w:bidi="fa-IR"/>
        </w:rPr>
        <w:t>مثاقیل ونصف مثقال وربع ربع المثقال، وإذا أعطی ثلاثة أرباع الاُوقیّة من حقّة النجف</w:t>
      </w:r>
      <w:r>
        <w:rPr>
          <w:rStyle w:val="FootnoteAnchor"/>
          <w:rtl w:val="true"/>
        </w:rPr>
        <w:footnoteReference w:id="1039"/>
      </w:r>
      <w:r>
        <w:rPr>
          <w:rFonts w:ascii="IRNazanin" w:hAnsi="IRNazanin" w:eastAsia="IRNazanin"/>
          <w:color w:val="111111"/>
          <w:sz w:val="28"/>
          <w:sz w:val="28"/>
          <w:szCs w:val="28"/>
          <w:rtl w:val="true"/>
          <w:lang w:bidi="fa-IR"/>
        </w:rPr>
        <w:t> فقد زاد أزید من واحد وعشرین مثقالاً؛ إذ ثلاثة أرباع الاُوقِیّة مائة وخمسة وسبعون مثقالاً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431" w:name="pg13281_119875"/>
    </w:p>
    <w:p>
      <w:pPr>
        <w:pStyle w:val="BookText"/>
        <w:rPr/>
      </w:pPr>
      <w:bookmarkEnd w:id="431"/>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القضاء دون الکفّارة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32" w:name="__RefHeading___Toc1955134_2322387425"/>
      <w:bookmarkStart w:id="433" w:name="_Toc160"/>
      <w:bookmarkEnd w:id="432"/>
      <w:r>
        <w:rPr>
          <w:rtl w:val="true"/>
        </w:rPr>
        <w:t>فصل</w:t>
      </w:r>
      <w:r>
        <w:rPr>
          <w:rtl w:val="true"/>
        </w:rPr>
        <w:t xml:space="preserve">: </w:t>
      </w:r>
      <w:r>
        <w:rPr>
          <w:rtl w:val="true"/>
        </w:rPr>
        <w:t>فی ما یوجب القضاء دون الکفّارة</w:t>
      </w:r>
      <w:bookmarkEnd w:id="433"/>
    </w:p>
    <w:p>
      <w:pPr>
        <w:pStyle w:val="Heading3"/>
        <w:numPr>
          <w:ilvl w:val="2"/>
          <w:numId w:val="1"/>
        </w:numPr>
        <w:rPr/>
      </w:pPr>
      <w:bookmarkStart w:id="434" w:name="__RefHeading___Toc1955136_2322387425"/>
      <w:bookmarkStart w:id="435" w:name="_Toc161"/>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یجب القضاء دون الکفّارة فی موارد</w:t>
      </w:r>
      <w:r>
        <w:rPr>
          <w:rStyle w:val="FootnoteAnchor"/>
          <w:rtl w:val="true"/>
        </w:rPr>
        <w:footnoteReference w:id="1040"/>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955138_2322387425"/>
      <w:bookmarkStart w:id="437" w:name="_Toc162"/>
      <w:bookmarkEnd w:id="436"/>
      <w:r>
        <w:rPr>
          <w:rtl w:val="true"/>
        </w:rPr>
        <w:t>الأول</w:t>
      </w:r>
      <w:r>
        <w:rPr>
          <w:rtl w:val="true"/>
        </w:rPr>
        <w:t xml:space="preserve">: </w:t>
      </w:r>
      <w:r>
        <w:rPr>
          <w:rtl w:val="true"/>
        </w:rPr>
        <w:t>النوم الثانی بل الثالث علی الجنابة</w:t>
      </w:r>
      <w:bookmarkEnd w:id="4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مامرّ من النوم</w:t>
      </w:r>
      <w:r>
        <w:rPr>
          <w:rStyle w:val="FootnoteAnchor"/>
          <w:rtl w:val="true"/>
        </w:rPr>
        <w:footnoteReference w:id="1041"/>
      </w:r>
      <w:r>
        <w:rPr>
          <w:rFonts w:ascii="IRNazanin" w:hAnsi="IRNazanin" w:eastAsia="IRNazanin"/>
          <w:color w:val="111111"/>
          <w:sz w:val="28"/>
          <w:sz w:val="28"/>
          <w:szCs w:val="28"/>
          <w:rtl w:val="true"/>
          <w:lang w:bidi="fa-IR"/>
        </w:rPr>
        <w:t>الثانی</w:t>
      </w:r>
      <w:r>
        <w:rPr>
          <w:rStyle w:val="FootnoteAnchor"/>
          <w:rtl w:val="true"/>
        </w:rPr>
        <w:footnoteReference w:id="1042"/>
      </w:r>
      <w:r>
        <w:rPr>
          <w:rFonts w:ascii="IRNazanin" w:hAnsi="IRNazanin" w:eastAsia="IRNazanin"/>
          <w:color w:val="111111"/>
          <w:sz w:val="28"/>
          <w:sz w:val="28"/>
          <w:szCs w:val="28"/>
          <w:rtl w:val="true"/>
          <w:lang w:bidi="fa-IR"/>
        </w:rPr>
        <w:t>، بل الثالث</w:t>
      </w:r>
      <w:r>
        <w:rPr>
          <w:rStyle w:val="FootnoteAnchor"/>
          <w:rtl w:val="true"/>
        </w:rPr>
        <w:footnoteReference w:id="1043"/>
      </w:r>
      <w:r>
        <w:rPr>
          <w:rFonts w:ascii="IRNazanin" w:hAnsi="IRNazanin" w:eastAsia="IRNazanin"/>
          <w:color w:val="111111"/>
          <w:sz w:val="28"/>
          <w:sz w:val="28"/>
          <w:szCs w:val="28"/>
          <w:rtl w:val="true"/>
          <w:lang w:bidi="fa-IR"/>
        </w:rPr>
        <w:t>، وإن کان الأحوط</w:t>
      </w:r>
      <w:r>
        <w:rPr>
          <w:rStyle w:val="FootnoteAnchor"/>
          <w:rtl w:val="true"/>
        </w:rPr>
        <w:footnoteReference w:id="1044"/>
      </w:r>
      <w:r>
        <w:rPr>
          <w:rFonts w:ascii="IRNazanin" w:hAnsi="IRNazanin" w:eastAsia="IRNazanin"/>
          <w:color w:val="111111"/>
          <w:sz w:val="28"/>
          <w:sz w:val="28"/>
          <w:szCs w:val="28"/>
          <w:rtl w:val="true"/>
          <w:lang w:bidi="fa-IR"/>
        </w:rPr>
        <w:t>فیهما</w:t>
      </w:r>
      <w:r>
        <w:rPr>
          <w:rStyle w:val="FootnoteAnchor"/>
          <w:rtl w:val="true"/>
        </w:rPr>
        <w:footnoteReference w:id="1045"/>
      </w:r>
      <w:r>
        <w:rPr>
          <w:rFonts w:ascii="Amiri" w:hAnsi="Amiri" w:eastAsia="Amiri" w:cs="Amiri"/>
          <w:color w:val="111111"/>
          <w:sz w:val="28"/>
          <w:sz w:val="28"/>
          <w:szCs w:val="28"/>
          <w:rtl w:val="true"/>
          <w:lang w:bidi="ar-SA"/>
        </w:rPr>
        <w:t> الکفّارة أیضاً</w:t>
      </w:r>
      <w:r>
        <w:rPr>
          <w:rStyle w:val="FootnoteAnchor"/>
          <w:rtl w:val="true"/>
        </w:rPr>
        <w:footnoteReference w:id="1046"/>
      </w:r>
      <w:r>
        <w:rPr>
          <w:rFonts w:ascii="IRNazanin" w:hAnsi="IRNazanin" w:eastAsia="IRNazanin"/>
          <w:color w:val="111111"/>
          <w:sz w:val="28"/>
          <w:sz w:val="28"/>
          <w:szCs w:val="28"/>
          <w:rtl w:val="true"/>
          <w:lang w:bidi="fa-IR"/>
        </w:rPr>
        <w:t>، خصوصاً الثالث</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438" w:name="pg13281_119876"/>
    </w:p>
    <w:p>
      <w:pPr>
        <w:pStyle w:val="Heading3"/>
        <w:numPr>
          <w:ilvl w:val="2"/>
          <w:numId w:val="1"/>
        </w:numPr>
        <w:rPr/>
      </w:pPr>
      <w:bookmarkStart w:id="439" w:name="__RefHeading___Toc1955140_2322387425"/>
      <w:bookmarkStart w:id="440" w:name="_Toc163"/>
      <w:bookmarkEnd w:id="438"/>
      <w:bookmarkEnd w:id="439"/>
      <w:r>
        <w:rPr>
          <w:rtl w:val="true"/>
        </w:rPr>
        <w:t xml:space="preserve">الثانی </w:t>
      </w:r>
      <w:r>
        <w:rPr>
          <w:rtl w:val="true"/>
        </w:rPr>
        <w:t xml:space="preserve">: </w:t>
      </w:r>
      <w:r>
        <w:rPr>
          <w:rtl w:val="true"/>
        </w:rPr>
        <w:t>إبطال الصوم بالإخلال بالنیّة</w:t>
      </w:r>
      <w:bookmarkEnd w:id="4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w:t>
      </w:r>
      <w:r>
        <w:rPr>
          <w:rStyle w:val="FootnoteAnchor"/>
          <w:rtl w:val="true"/>
        </w:rPr>
        <w:footnoteReference w:id="1048"/>
      </w:r>
      <w:r>
        <w:rPr>
          <w:rFonts w:ascii="IRNazanin" w:hAnsi="IRNazanin" w:eastAsia="IRNazanin"/>
          <w:color w:val="111111"/>
          <w:sz w:val="28"/>
          <w:sz w:val="28"/>
          <w:szCs w:val="28"/>
          <w:rtl w:val="true"/>
          <w:lang w:bidi="fa-IR"/>
        </w:rPr>
        <w:t> صومه</w:t>
      </w:r>
      <w:r>
        <w:rPr>
          <w:rStyle w:val="FootnoteAnchor"/>
          <w:rtl w:val="true"/>
        </w:rPr>
        <w:footnoteReference w:id="1049"/>
      </w:r>
      <w:r>
        <w:rPr>
          <w:rFonts w:ascii="IRNazanin" w:hAnsi="IRNazanin" w:eastAsia="IRNazanin"/>
          <w:color w:val="111111"/>
          <w:sz w:val="28"/>
          <w:sz w:val="28"/>
          <w:szCs w:val="28"/>
          <w:rtl w:val="true"/>
          <w:lang w:bidi="fa-IR"/>
        </w:rPr>
        <w:t> بالإخلال بالنیّة</w:t>
      </w:r>
      <w:r>
        <w:rPr>
          <w:rStyle w:val="FootnoteAnchor"/>
          <w:rtl w:val="true"/>
        </w:rPr>
        <w:footnoteReference w:id="1050"/>
      </w:r>
      <w:r>
        <w:rPr>
          <w:rFonts w:ascii="IRNazanin" w:hAnsi="IRNazanin" w:eastAsia="IRNazanin"/>
          <w:color w:val="111111"/>
          <w:sz w:val="28"/>
          <w:sz w:val="28"/>
          <w:szCs w:val="28"/>
          <w:rtl w:val="true"/>
          <w:lang w:bidi="fa-IR"/>
        </w:rPr>
        <w:t> مع عدم الإتیان</w:t>
      </w:r>
      <w:r>
        <w:rPr>
          <w:rStyle w:val="FootnoteAnchor"/>
          <w:rtl w:val="true"/>
        </w:rPr>
        <w:footnoteReference w:id="1051"/>
      </w:r>
      <w:r>
        <w:rPr>
          <w:rFonts w:ascii="IRNazanin" w:hAnsi="IRNazanin" w:eastAsia="IRNazanin"/>
          <w:color w:val="111111"/>
          <w:sz w:val="28"/>
          <w:sz w:val="28"/>
          <w:szCs w:val="28"/>
          <w:rtl w:val="true"/>
          <w:lang w:bidi="fa-IR"/>
        </w:rPr>
        <w:t>بشیء من المفطِرات أو بالریاء أو بنیّة القطع</w:t>
      </w:r>
      <w:r>
        <w:rPr>
          <w:rStyle w:val="FootnoteAnchor"/>
          <w:rtl w:val="true"/>
        </w:rPr>
        <w:footnoteReference w:id="1052"/>
      </w:r>
      <w:r>
        <w:rPr>
          <w:rFonts w:ascii="IRNazanin" w:hAnsi="IRNazanin" w:eastAsia="IRNazanin"/>
          <w:color w:val="111111"/>
          <w:sz w:val="28"/>
          <w:sz w:val="28"/>
          <w:szCs w:val="28"/>
          <w:rtl w:val="true"/>
          <w:lang w:bidi="fa-IR"/>
        </w:rPr>
        <w:t> أو القاطع</w:t>
      </w:r>
      <w:r>
        <w:rPr>
          <w:rStyle w:val="FootnoteAnchor"/>
          <w:rtl w:val="true"/>
        </w:rPr>
        <w:footnoteReference w:id="1053"/>
      </w:r>
      <w:r>
        <w:rPr>
          <w:rFonts w:ascii="IRNazanin" w:hAnsi="IRNazanin" w:eastAsia="IRNazanin"/>
          <w:color w:val="111111"/>
          <w:sz w:val="28"/>
          <w:sz w:val="28"/>
          <w:szCs w:val="28"/>
          <w:rtl w:val="true"/>
          <w:lang w:bidi="fa-IR"/>
        </w:rPr>
        <w:t> کذلک</w:t>
      </w:r>
      <w:r>
        <w:rPr>
          <w:rFonts w:eastAsia="IRNazanin" w:cs="IRNazanin"/>
          <w:color w:val="111111"/>
          <w:sz w:val="28"/>
          <w:szCs w:val="28"/>
          <w:rtl w:val="true"/>
          <w:lang w:bidi="fa-IR"/>
        </w:rPr>
        <w:t xml:space="preserve">. </w:t>
      </w:r>
      <w:bookmarkStart w:id="441" w:name="pg13281_119877"/>
    </w:p>
    <w:p>
      <w:pPr>
        <w:pStyle w:val="Heading3"/>
        <w:numPr>
          <w:ilvl w:val="2"/>
          <w:numId w:val="1"/>
        </w:numPr>
        <w:rPr/>
      </w:pPr>
      <w:bookmarkStart w:id="442" w:name="__RefHeading___Toc1955142_2322387425"/>
      <w:bookmarkStart w:id="443" w:name="_Toc164"/>
      <w:bookmarkEnd w:id="441"/>
      <w:bookmarkEnd w:id="442"/>
      <w:r>
        <w:rPr>
          <w:rtl w:val="true"/>
        </w:rPr>
        <w:t xml:space="preserve">الثالث </w:t>
      </w:r>
      <w:r>
        <w:rPr>
          <w:rtl w:val="true"/>
        </w:rPr>
        <w:t xml:space="preserve">: </w:t>
      </w:r>
      <w:r>
        <w:rPr>
          <w:rtl w:val="true"/>
        </w:rPr>
        <w:t>نسیان غسل الجنابة یوماً أو أیّاماً</w:t>
      </w:r>
      <w:bookmarkEnd w:id="443"/>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ومضی علیه یوم أو أیّام، کما مرّ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955144_2322387425"/>
      <w:bookmarkStart w:id="445" w:name="_Toc165"/>
      <w:bookmarkEnd w:id="444"/>
      <w:r>
        <w:rPr>
          <w:rtl w:val="true"/>
        </w:rPr>
        <w:t xml:space="preserve">الرابع </w:t>
      </w:r>
      <w:r>
        <w:rPr>
          <w:rtl w:val="true"/>
        </w:rPr>
        <w:t xml:space="preserve">: </w:t>
      </w:r>
      <w:r>
        <w:rPr>
          <w:rtl w:val="true"/>
        </w:rPr>
        <w:t>فعل المفطر بعد الفجر قبل المراعاة</w:t>
      </w:r>
      <w:bookmarkEnd w:id="445"/>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المفطِر قبل مراعاة الفجر ثمّ ظهر سبق طلوعه وأنّه کان فی النهار، سواء کان قادراً علی المراعاة أو عاجزاً</w:t>
      </w:r>
      <w:r>
        <w:rPr>
          <w:rStyle w:val="FootnoteAnchor"/>
          <w:rtl w:val="true"/>
        </w:rPr>
        <w:footnoteReference w:id="1055"/>
      </w:r>
      <w:r>
        <w:rPr>
          <w:rFonts w:ascii="IRNazanin" w:hAnsi="IRNazanin" w:eastAsia="IRNazanin"/>
          <w:color w:val="111111"/>
          <w:sz w:val="28"/>
          <w:sz w:val="28"/>
          <w:szCs w:val="28"/>
          <w:rtl w:val="true"/>
          <w:lang w:bidi="fa-IR"/>
        </w:rPr>
        <w:t> عنها</w:t>
      </w:r>
      <w:r>
        <w:rPr>
          <w:rStyle w:val="FootnoteAnchor"/>
          <w:rtl w:val="true"/>
        </w:rPr>
        <w:footnoteReference w:id="1056"/>
      </w:r>
      <w:r>
        <w:rPr>
          <w:rFonts w:ascii="IRNazanin" w:hAnsi="IRNazanin" w:eastAsia="IRNazanin"/>
          <w:color w:val="111111"/>
          <w:sz w:val="28"/>
          <w:sz w:val="28"/>
          <w:szCs w:val="28"/>
          <w:rtl w:val="true"/>
          <w:lang w:bidi="fa-IR"/>
        </w:rPr>
        <w:t> لِعَمیً أو حبس أو نحو ذلک، أو کان غیر عارف بالفجر، وکذا مع المراعاة</w:t>
      </w:r>
      <w:r>
        <w:rPr>
          <w:rStyle w:val="FootnoteAnchor"/>
          <w:rtl w:val="true"/>
        </w:rPr>
        <w:footnoteReference w:id="105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w:t>
      </w:r>
      <w:r>
        <w:rPr>
          <w:rStyle w:val="FootnoteAnchor"/>
          <w:rtl w:val="true"/>
        </w:rPr>
        <w:footnoteReference w:id="1058"/>
      </w:r>
      <w:r>
        <w:rPr>
          <w:rFonts w:ascii="IRNazanin" w:hAnsi="IRNazanin" w:eastAsia="IRNazanin"/>
          <w:color w:val="111111"/>
          <w:sz w:val="28"/>
          <w:sz w:val="28"/>
          <w:szCs w:val="28"/>
          <w:rtl w:val="true"/>
          <w:lang w:bidi="fa-IR"/>
        </w:rPr>
        <w:t> اعتقاد بقاء اللیل</w:t>
      </w:r>
      <w:r>
        <w:rPr>
          <w:rStyle w:val="FootnoteAnchor"/>
          <w:rtl w:val="true"/>
        </w:rPr>
        <w:footnoteReference w:id="1059"/>
      </w:r>
      <w:r>
        <w:rPr>
          <w:rFonts w:ascii="Amiri" w:hAnsi="Amiri" w:eastAsia="Amiri" w:cs="Amiri"/>
          <w:color w:val="111111"/>
          <w:sz w:val="28"/>
          <w:sz w:val="28"/>
          <w:szCs w:val="28"/>
          <w:rtl w:val="true"/>
          <w:lang w:bidi="ar-SA"/>
        </w:rPr>
        <w:t> بأن شکّ</w:t>
      </w:r>
      <w:r>
        <w:rPr>
          <w:rStyle w:val="FootnoteAnchor"/>
          <w:rtl w:val="true"/>
        </w:rPr>
        <w:footnoteReference w:id="1060"/>
      </w:r>
      <w:r>
        <w:rPr>
          <w:rFonts w:ascii="IRNazanin" w:hAnsi="IRNazanin" w:eastAsia="IRNazanin"/>
          <w:color w:val="111111"/>
          <w:sz w:val="28"/>
          <w:sz w:val="28"/>
          <w:szCs w:val="28"/>
          <w:rtl w:val="true"/>
          <w:lang w:bidi="fa-IR"/>
        </w:rPr>
        <w:t> فی الطلوع</w:t>
      </w:r>
      <w:r>
        <w:rPr>
          <w:rStyle w:val="FootnoteAnchor"/>
          <w:rtl w:val="true"/>
        </w:rPr>
        <w:footnoteReference w:id="1061"/>
      </w:r>
      <w:r>
        <w:rPr>
          <w:rFonts w:ascii="Amiri" w:hAnsi="Amiri" w:eastAsia="Amiri" w:cs="Amiri"/>
          <w:color w:val="111111"/>
          <w:sz w:val="28"/>
          <w:sz w:val="28"/>
          <w:szCs w:val="28"/>
          <w:rtl w:val="true"/>
          <w:lang w:bidi="ar-SA"/>
        </w:rPr>
        <w:t> أو ظنّ</w:t>
      </w:r>
      <w:r>
        <w:rPr>
          <w:rStyle w:val="FootnoteAnchor"/>
          <w:rtl w:val="true"/>
        </w:rPr>
        <w:footnoteReference w:id="10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فأکل ثمّ تبیّن سبقه، بل الأحوط</w:t>
      </w:r>
      <w:r>
        <w:rPr>
          <w:rStyle w:val="FootnoteAnchor"/>
          <w:rtl w:val="true"/>
        </w:rPr>
        <w:footnoteReference w:id="1063"/>
      </w:r>
      <w:r>
        <w:rPr>
          <w:rFonts w:ascii="IRNazanin" w:hAnsi="IRNazanin" w:eastAsia="IRNazanin"/>
          <w:color w:val="111111"/>
          <w:sz w:val="28"/>
          <w:sz w:val="28"/>
          <w:szCs w:val="28"/>
          <w:rtl w:val="true"/>
          <w:lang w:bidi="fa-IR"/>
        </w:rPr>
        <w:t> القضاء</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حتّی</w:t>
      </w:r>
      <w:r>
        <w:rPr>
          <w:rStyle w:val="FootnoteAnchor"/>
          <w:rtl w:val="true"/>
        </w:rPr>
        <w:footnoteReference w:id="1065"/>
      </w:r>
      <w:r>
        <w:rPr>
          <w:rFonts w:ascii="IRNazanin" w:hAnsi="IRNazanin" w:eastAsia="IRNazanin"/>
          <w:color w:val="111111"/>
          <w:sz w:val="28"/>
          <w:sz w:val="28"/>
          <w:szCs w:val="28"/>
          <w:rtl w:val="true"/>
          <w:lang w:bidi="fa-IR"/>
        </w:rPr>
        <w:t> مع</w:t>
      </w:r>
      <w:r>
        <w:rPr>
          <w:rStyle w:val="FootnoteAnchor"/>
          <w:rtl w:val="true"/>
        </w:rPr>
        <w:footnoteReference w:id="1066"/>
      </w:r>
      <w:r>
        <w:rPr>
          <w:rFonts w:ascii="IRNazanin" w:hAnsi="IRNazanin" w:eastAsia="IRNazanin"/>
          <w:color w:val="111111"/>
          <w:sz w:val="28"/>
          <w:sz w:val="28"/>
          <w:szCs w:val="28"/>
          <w:rtl w:val="true"/>
          <w:lang w:bidi="fa-IR"/>
        </w:rPr>
        <w:t> اعتقاد</w:t>
      </w:r>
      <w:r>
        <w:rPr>
          <w:rStyle w:val="FootnoteAnchor"/>
          <w:rtl w:val="true"/>
        </w:rPr>
        <w:footnoteReference w:id="1067"/>
      </w:r>
      <w:r>
        <w:rPr>
          <w:rFonts w:ascii="IRNazanin" w:hAnsi="IRNazanin" w:eastAsia="IRNazanin"/>
          <w:color w:val="111111"/>
          <w:sz w:val="28"/>
          <w:sz w:val="28"/>
          <w:szCs w:val="28"/>
          <w:rtl w:val="true"/>
          <w:lang w:bidi="fa-IR"/>
        </w:rPr>
        <w:t> بقاء اللیل</w:t>
      </w:r>
      <w:r>
        <w:rPr>
          <w:rStyle w:val="FootnoteAnchor"/>
          <w:rtl w:val="true"/>
        </w:rPr>
        <w:footnoteReference w:id="1068"/>
      </w:r>
      <w:r>
        <w:rPr>
          <w:rFonts w:ascii="IRNazanin" w:hAnsi="IRNazanin" w:eastAsia="IRNazanin"/>
          <w:color w:val="111111"/>
          <w:sz w:val="28"/>
          <w:sz w:val="28"/>
          <w:szCs w:val="28"/>
          <w:rtl w:val="true"/>
          <w:lang w:bidi="fa-IR"/>
        </w:rPr>
        <w:t>، ولا فرق فی بطلان الصوم بذلک بین صوم رمضان وغیره من الصوم الواجب والمندوب،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w:t>
      </w:r>
      <w:r>
        <w:rPr>
          <w:rStyle w:val="FootnoteAnchor"/>
          <w:rtl w:val="true"/>
        </w:rPr>
        <w:footnoteReference w:id="1069"/>
      </w:r>
      <w:r>
        <w:rPr>
          <w:rFonts w:ascii="IRNazanin" w:hAnsi="IRNazanin" w:eastAsia="IRNazanin"/>
          <w:color w:val="111111"/>
          <w:sz w:val="28"/>
          <w:sz w:val="28"/>
          <w:szCs w:val="28"/>
          <w:rtl w:val="true"/>
          <w:lang w:bidi="fa-IR"/>
        </w:rPr>
        <w:t> فیها ذلک</w:t>
      </w:r>
      <w:r>
        <w:rPr>
          <w:rStyle w:val="FootnoteAnchor"/>
          <w:rtl w:val="true"/>
        </w:rPr>
        <w:footnoteReference w:id="1070"/>
      </w:r>
      <w:r>
        <w:rPr>
          <w:rFonts w:ascii="IRNazanin" w:hAnsi="IRNazanin" w:eastAsia="IRNazanin"/>
          <w:color w:val="111111"/>
          <w:sz w:val="28"/>
          <w:sz w:val="28"/>
          <w:szCs w:val="28"/>
          <w:rtl w:val="true"/>
          <w:lang w:bidi="fa-IR"/>
        </w:rPr>
        <w:t> حتّی مع المراعاة</w:t>
      </w:r>
      <w:r>
        <w:rPr>
          <w:rStyle w:val="FootnoteAnchor"/>
          <w:rtl w:val="true"/>
        </w:rPr>
        <w:footnoteReference w:id="1071"/>
      </w:r>
      <w:bookmarkStart w:id="446" w:name="pg13281_119880"/>
    </w:p>
    <w:p>
      <w:pPr>
        <w:pStyle w:val="BookText"/>
        <w:rPr/>
      </w:pPr>
      <w:bookmarkEnd w:id="44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واعتقاد</w:t>
      </w:r>
      <w:r>
        <w:rPr>
          <w:rStyle w:val="FootnoteAnchor"/>
          <w:rtl w:val="true"/>
        </w:rPr>
        <w:footnoteReference w:id="1072"/>
      </w:r>
      <w:r>
        <w:rPr>
          <w:rFonts w:ascii="IRNazanin" w:hAnsi="IRNazanin" w:eastAsia="IRNazanin"/>
          <w:color w:val="111111"/>
          <w:sz w:val="28"/>
          <w:sz w:val="28"/>
          <w:szCs w:val="28"/>
          <w:rtl w:val="true"/>
          <w:lang w:bidi="fa-IR"/>
        </w:rPr>
        <w:t> بقاء اللیل</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955146_2322387425"/>
      <w:bookmarkStart w:id="448" w:name="_Toc166"/>
      <w:bookmarkEnd w:id="447"/>
      <w:r>
        <w:rPr>
          <w:rtl w:val="true"/>
        </w:rPr>
        <w:t xml:space="preserve">الخامس </w:t>
      </w:r>
      <w:r>
        <w:rPr>
          <w:rtl w:val="true"/>
        </w:rPr>
        <w:t xml:space="preserve">: </w:t>
      </w:r>
      <w:r>
        <w:rPr>
          <w:rtl w:val="true"/>
        </w:rPr>
        <w:t>الأکل تعویلاً علی من أخبر ببقاء اللیل</w:t>
      </w:r>
      <w:bookmarkEnd w:id="4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تعویلاً علی مَن أخبر</w:t>
      </w:r>
      <w:r>
        <w:rPr>
          <w:rStyle w:val="FootnoteAnchor"/>
          <w:rtl w:val="true"/>
        </w:rPr>
        <w:footnoteReference w:id="1074"/>
      </w:r>
      <w:r>
        <w:rPr>
          <w:rFonts w:ascii="IRNazanin" w:hAnsi="IRNazanin" w:eastAsia="IRNazanin"/>
          <w:color w:val="111111"/>
          <w:sz w:val="28"/>
          <w:sz w:val="28"/>
          <w:szCs w:val="28"/>
          <w:rtl w:val="true"/>
          <w:lang w:bidi="fa-IR"/>
        </w:rPr>
        <w:t xml:space="preserve"> ببقاء اللیل وعدم طلوع </w:t>
      </w:r>
      <w:bookmarkStart w:id="449" w:name="pg13281_119881"/>
    </w:p>
    <w:p>
      <w:pPr>
        <w:pStyle w:val="BookText"/>
        <w:rPr/>
      </w:pPr>
      <w:bookmarkEnd w:id="449"/>
      <w:r>
        <w:rPr>
          <w:rFonts w:ascii="IRNazanin" w:hAnsi="IRNazanin" w:eastAsia="IRNazanin"/>
          <w:color w:val="111111"/>
          <w:sz w:val="28"/>
          <w:sz w:val="28"/>
          <w:szCs w:val="28"/>
          <w:rtl w:val="true"/>
          <w:lang w:bidi="fa-IR"/>
        </w:rPr>
        <w:t>الفجر مع کونه طالعاً</w:t>
      </w:r>
      <w:r>
        <w:rPr>
          <w:rFonts w:eastAsia="IRNazanin" w:cs="IRNazanin"/>
          <w:color w:val="111111"/>
          <w:sz w:val="28"/>
          <w:szCs w:val="28"/>
          <w:rtl w:val="true"/>
          <w:lang w:bidi="fa-IR"/>
        </w:rPr>
        <w:t>.</w:t>
      </w:r>
    </w:p>
    <w:p>
      <w:pPr>
        <w:pStyle w:val="Heading3"/>
        <w:numPr>
          <w:ilvl w:val="2"/>
          <w:numId w:val="1"/>
        </w:numPr>
        <w:rPr/>
      </w:pPr>
      <w:bookmarkStart w:id="450" w:name="__RefHeading___Toc1955148_2322387425"/>
      <w:bookmarkStart w:id="451" w:name="_Toc167"/>
      <w:bookmarkEnd w:id="450"/>
      <w:r>
        <w:rPr>
          <w:rtl w:val="true"/>
        </w:rPr>
        <w:t xml:space="preserve">السادس </w:t>
      </w:r>
      <w:r>
        <w:rPr>
          <w:rtl w:val="true"/>
        </w:rPr>
        <w:t xml:space="preserve">: </w:t>
      </w:r>
      <w:r>
        <w:rPr>
          <w:rtl w:val="true"/>
        </w:rPr>
        <w:t>الأکل لزعمه سخریّة المخبر بطلوع الفجر</w:t>
      </w:r>
      <w:bookmarkEnd w:id="451"/>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إذا أخبره مخبر</w:t>
      </w:r>
      <w:r>
        <w:rPr>
          <w:rStyle w:val="FootnoteAnchor"/>
          <w:rtl w:val="true"/>
        </w:rPr>
        <w:footnoteReference w:id="1075"/>
      </w:r>
      <w:r>
        <w:rPr>
          <w:rFonts w:ascii="IRNazanin" w:hAnsi="IRNazanin" w:eastAsia="IRNazanin"/>
          <w:color w:val="111111"/>
          <w:sz w:val="28"/>
          <w:sz w:val="28"/>
          <w:szCs w:val="28"/>
          <w:rtl w:val="true"/>
          <w:lang w:bidi="fa-IR"/>
        </w:rPr>
        <w:t> بطلوع الفجر؛ لزعمه سخریّة المُخبِرُ أو لعدم العلم بصدقه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955150_2322387425"/>
      <w:bookmarkStart w:id="453" w:name="_Toc168"/>
      <w:bookmarkEnd w:id="452"/>
      <w:r>
        <w:rPr>
          <w:rtl w:val="true"/>
        </w:rPr>
        <w:t xml:space="preserve">السابع </w:t>
      </w:r>
      <w:r>
        <w:rPr>
          <w:rtl w:val="true"/>
        </w:rPr>
        <w:t xml:space="preserve">: </w:t>
      </w:r>
      <w:r>
        <w:rPr>
          <w:rtl w:val="true"/>
        </w:rPr>
        <w:t>الإفطار تقلیداً لمن أخبر بدخول اللیل</w:t>
      </w:r>
      <w:bookmarkEnd w:id="453"/>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الإفطار تقلیداً لمن أخبر بدخول اللیل وإن کان جائزاً </w:t>
      </w:r>
      <w:r>
        <w:rPr>
          <w:rStyle w:val="FootnoteAnchor"/>
          <w:rtl w:val="true"/>
        </w:rPr>
        <w:footnoteReference w:id="1077"/>
      </w: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لعمیً</w:t>
      </w:r>
      <w:r>
        <w:rPr>
          <w:rStyle w:val="FootnoteAnchor"/>
          <w:rtl w:val="true"/>
        </w:rPr>
        <w:footnoteReference w:id="1078"/>
      </w:r>
      <w:r>
        <w:rPr>
          <w:rFonts w:ascii="IRNazanin" w:hAnsi="IRNazanin" w:eastAsia="IRNazanin"/>
          <w:color w:val="111111"/>
          <w:sz w:val="28"/>
          <w:sz w:val="28"/>
          <w:szCs w:val="28"/>
          <w:rtl w:val="true"/>
          <w:lang w:bidi="fa-IR"/>
        </w:rPr>
        <w:t> أو نحوه</w:t>
      </w:r>
      <w:r>
        <w:rPr>
          <w:rStyle w:val="FootnoteAnchor"/>
          <w:rtl w:val="true"/>
        </w:rPr>
        <w:footnoteReference w:id="1079"/>
      </w:r>
      <w:r>
        <w:rPr>
          <w:rFonts w:ascii="IRNazanin" w:hAnsi="IRNazanin" w:eastAsia="IRNazanin"/>
          <w:color w:val="111111"/>
          <w:sz w:val="28"/>
          <w:sz w:val="28"/>
          <w:szCs w:val="28"/>
          <w:rtl w:val="true"/>
          <w:lang w:bidi="fa-IR"/>
        </w:rPr>
        <w:t>، وکذا إذا أخبره عدل</w:t>
      </w:r>
      <w:r>
        <w:rPr>
          <w:rStyle w:val="FootnoteAnchor"/>
          <w:rtl w:val="true"/>
        </w:rPr>
        <w:footnoteReference w:id="1080"/>
      </w:r>
      <w:r>
        <w:rPr>
          <w:rFonts w:ascii="IRNazanin" w:hAnsi="IRNazanin" w:eastAsia="IRNazanin"/>
          <w:color w:val="111111"/>
          <w:sz w:val="28"/>
          <w:sz w:val="28"/>
          <w:szCs w:val="28"/>
          <w:rtl w:val="true"/>
          <w:lang w:bidi="fa-IR"/>
        </w:rPr>
        <w:t>، بل عدلان</w:t>
      </w:r>
      <w:r>
        <w:rPr>
          <w:rStyle w:val="FootnoteAnchor"/>
          <w:rtl w:val="true"/>
        </w:rPr>
        <w:footnoteReference w:id="1081"/>
      </w:r>
      <w:r>
        <w:rPr>
          <w:rFonts w:ascii="IRNazanin" w:hAnsi="IRNazanin" w:eastAsia="IRNazanin"/>
          <w:color w:val="111111"/>
          <w:sz w:val="28"/>
          <w:sz w:val="28"/>
          <w:szCs w:val="28"/>
          <w:rtl w:val="true"/>
          <w:lang w:bidi="fa-IR"/>
        </w:rPr>
        <w:t>، بل الأقوی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4" w:name="pg13281_119882"/>
    </w:p>
    <w:p>
      <w:pPr>
        <w:pStyle w:val="BookText"/>
        <w:rPr/>
      </w:pPr>
      <w:bookmarkEnd w:id="454"/>
      <w:r>
        <w:rPr>
          <w:rFonts w:ascii="IRNazanin" w:hAnsi="IRNazanin" w:eastAsia="IRNazanin"/>
          <w:color w:val="111111"/>
          <w:sz w:val="28"/>
          <w:sz w:val="28"/>
          <w:szCs w:val="28"/>
          <w:rtl w:val="true"/>
          <w:lang w:bidi="fa-IR"/>
        </w:rPr>
        <w:t>وجوب</w:t>
      </w:r>
      <w:r>
        <w:rPr>
          <w:rStyle w:val="FootnoteAnchor"/>
          <w:rtl w:val="true"/>
        </w:rPr>
        <w:footnoteReference w:id="1082"/>
      </w:r>
      <w:r>
        <w:rPr>
          <w:rFonts w:ascii="IRNazanin" w:hAnsi="IRNazanin" w:eastAsia="IRNazanin"/>
          <w:color w:val="111111"/>
          <w:sz w:val="28"/>
          <w:sz w:val="28"/>
          <w:szCs w:val="28"/>
          <w:rtl w:val="true"/>
          <w:lang w:bidi="fa-IR"/>
        </w:rPr>
        <w:t> الکفّارة أیضاً إذا لم یجز له التقلید</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955152_2322387425"/>
      <w:bookmarkStart w:id="456" w:name="_Toc169"/>
      <w:bookmarkEnd w:id="455"/>
      <w:r>
        <w:rPr>
          <w:rtl w:val="true"/>
        </w:rPr>
        <w:t xml:space="preserve">الثامن </w:t>
      </w:r>
      <w:r>
        <w:rPr>
          <w:rtl w:val="true"/>
        </w:rPr>
        <w:t xml:space="preserve">: </w:t>
      </w:r>
      <w:r>
        <w:rPr>
          <w:rtl w:val="true"/>
        </w:rPr>
        <w:t>الإفطار لظلمةً أوجبت القطع فبان خطؤه</w:t>
      </w:r>
      <w:bookmarkEnd w:id="45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Style w:val="FootnoteAnchor"/>
          <w:rtl w:val="true"/>
        </w:rPr>
        <w:footnoteReference w:id="10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لظلمة قطعٍ</w:t>
      </w:r>
      <w:r>
        <w:rPr>
          <w:rStyle w:val="FootnoteAnchor"/>
          <w:rtl w:val="true"/>
        </w:rPr>
        <w:footnoteReference w:id="1085"/>
      </w:r>
      <w:r>
        <w:rPr>
          <w:rFonts w:ascii="IRNazanin" w:hAnsi="IRNazanin" w:eastAsia="IRNazanin"/>
          <w:color w:val="111111"/>
          <w:sz w:val="28"/>
          <w:sz w:val="28"/>
          <w:szCs w:val="28"/>
          <w:rtl w:val="true"/>
          <w:lang w:bidi="fa-IR"/>
        </w:rPr>
        <w:t> بحصول</w:t>
      </w:r>
      <w:r>
        <w:rPr>
          <w:rStyle w:val="FootnoteAnchor"/>
          <w:rtl w:val="true"/>
        </w:rPr>
        <w:footnoteReference w:id="1086"/>
      </w:r>
      <w:r>
        <w:rPr>
          <w:rFonts w:ascii="IRNazanin" w:hAnsi="IRNazanin" w:eastAsia="IRNazanin"/>
          <w:color w:val="111111"/>
          <w:sz w:val="28"/>
          <w:sz w:val="28"/>
          <w:szCs w:val="28"/>
          <w:rtl w:val="true"/>
          <w:lang w:bidi="fa-IR"/>
        </w:rPr>
        <w:t> اللیل منها</w:t>
      </w:r>
      <w:r>
        <w:rPr>
          <w:rStyle w:val="FootnoteAnchor"/>
          <w:rtl w:val="true"/>
        </w:rPr>
        <w:footnoteReference w:id="1087"/>
      </w:r>
      <w:r>
        <w:rPr>
          <w:rFonts w:ascii="IRNazanin" w:hAnsi="IRNazanin" w:eastAsia="IRNazanin"/>
          <w:color w:val="111111"/>
          <w:sz w:val="28"/>
          <w:sz w:val="28"/>
          <w:szCs w:val="28"/>
          <w:rtl w:val="true"/>
          <w:lang w:bidi="fa-IR"/>
        </w:rPr>
        <w:t>فبان خطؤه ولم یکن فی السماء علّة، وکذا لو شکَّ أو ظنّ بذلک منها، بل المتّجه</w:t>
      </w:r>
      <w:r>
        <w:rPr>
          <w:rStyle w:val="FootnoteAnchor"/>
          <w:rtl w:val="true"/>
        </w:rPr>
        <w:footnoteReference w:id="1088"/>
      </w:r>
      <w:r>
        <w:rPr>
          <w:rFonts w:ascii="IRNazanin" w:hAnsi="IRNazanin" w:eastAsia="IRNazanin"/>
          <w:color w:val="111111"/>
          <w:sz w:val="28"/>
          <w:sz w:val="28"/>
          <w:szCs w:val="28"/>
          <w:rtl w:val="true"/>
          <w:lang w:bidi="fa-IR"/>
        </w:rPr>
        <w:t> فی الأخیرین الکفّارة أیضاً</w:t>
      </w:r>
      <w:r>
        <w:rPr>
          <w:rStyle w:val="FootnoteAnchor"/>
          <w:rtl w:val="true"/>
        </w:rPr>
        <w:footnoteReference w:id="1089"/>
      </w:r>
      <w:r>
        <w:rPr>
          <w:rFonts w:ascii="IRNazanin" w:hAnsi="IRNazanin" w:eastAsia="IRNazanin"/>
          <w:color w:val="111111"/>
          <w:sz w:val="28"/>
          <w:sz w:val="28"/>
          <w:szCs w:val="28"/>
          <w:rtl w:val="true"/>
          <w:lang w:bidi="fa-IR"/>
        </w:rPr>
        <w:t>؛ لعدم جواز الإفطار حینئذٍ، ولو کان</w:t>
      </w:r>
      <w:r>
        <w:rPr>
          <w:rStyle w:val="FootnoteAnchor"/>
          <w:rtl w:val="true"/>
        </w:rPr>
        <w:footnoteReference w:id="1090"/>
      </w:r>
      <w:r>
        <w:rPr>
          <w:rFonts w:ascii="Amiri" w:hAnsi="Amiri" w:eastAsia="Amiri" w:cs="Amiri"/>
          <w:color w:val="111111"/>
          <w:sz w:val="28"/>
          <w:sz w:val="28"/>
          <w:szCs w:val="28"/>
          <w:rtl w:val="true"/>
          <w:lang w:bidi="ar-SA"/>
        </w:rPr>
        <w:t> جاهلاً</w:t>
      </w:r>
      <w:r>
        <w:rPr>
          <w:rStyle w:val="FootnoteAnchor"/>
          <w:rtl w:val="true"/>
        </w:rPr>
        <w:footnoteReference w:id="1091"/>
      </w:r>
      <w:r>
        <w:rPr>
          <w:rFonts w:ascii="IRNazanin" w:hAnsi="IRNazanin" w:eastAsia="IRNazanin"/>
          <w:color w:val="111111"/>
          <w:sz w:val="28"/>
          <w:sz w:val="28"/>
          <w:szCs w:val="28"/>
          <w:rtl w:val="true"/>
          <w:lang w:bidi="fa-IR"/>
        </w:rPr>
        <w:t> بعدم</w:t>
      </w:r>
      <w:r>
        <w:rPr>
          <w:rStyle w:val="FootnoteAnchor"/>
          <w:rtl w:val="true"/>
        </w:rPr>
        <w:footnoteReference w:id="1092"/>
      </w:r>
      <w:r>
        <w:rPr>
          <w:rFonts w:ascii="IRNazanin" w:hAnsi="IRNazanin" w:eastAsia="IRNazanin"/>
          <w:color w:val="111111"/>
          <w:sz w:val="28"/>
          <w:sz w:val="28"/>
          <w:szCs w:val="28"/>
          <w:rtl w:val="true"/>
          <w:lang w:bidi="fa-IR"/>
        </w:rPr>
        <w:t> جواز الإفطار</w:t>
      </w:r>
      <w:r>
        <w:rPr>
          <w:rStyle w:val="FootnoteAnchor"/>
          <w:rtl w:val="true"/>
        </w:rPr>
        <w:footnoteReference w:id="1093"/>
      </w:r>
      <w:r>
        <w:rPr>
          <w:rFonts w:ascii="IRNazanin" w:hAnsi="IRNazanin" w:eastAsia="IRNazanin"/>
          <w:color w:val="111111"/>
          <w:sz w:val="28"/>
          <w:sz w:val="28"/>
          <w:szCs w:val="28"/>
          <w:rtl w:val="true"/>
          <w:lang w:bidi="fa-IR"/>
        </w:rPr>
        <w:t> فالأقوی عدم الکفّارة وإن کان الأحوط</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إعطاوها</w:t>
      </w:r>
      <w:r>
        <w:rPr>
          <w:rStyle w:val="FootnoteAnchor"/>
          <w:rtl w:val="true"/>
        </w:rPr>
        <w:footnoteReference w:id="1095"/>
      </w:r>
      <w:r>
        <w:rPr>
          <w:rFonts w:ascii="IRNazanin" w:hAnsi="IRNazanin" w:eastAsia="IRNazanin"/>
          <w:color w:val="111111"/>
          <w:sz w:val="28"/>
          <w:sz w:val="28"/>
          <w:szCs w:val="28"/>
          <w:rtl w:val="true"/>
          <w:lang w:bidi="fa-IR"/>
        </w:rPr>
        <w:t>، نعم، لو کانت فی السماء علّة</w:t>
      </w:r>
      <w:r>
        <w:rPr>
          <w:rStyle w:val="FootnoteAnchor"/>
          <w:rtl w:val="true"/>
        </w:rPr>
        <w:footnoteReference w:id="1096"/>
      </w:r>
      <w:r>
        <w:rPr>
          <w:rFonts w:ascii="IRNazanin" w:hAnsi="IRNazanin" w:eastAsia="IRNazanin"/>
          <w:color w:val="111111"/>
          <w:sz w:val="28"/>
          <w:sz w:val="28"/>
          <w:szCs w:val="28"/>
          <w:rtl w:val="true"/>
          <w:lang w:bidi="fa-IR"/>
        </w:rPr>
        <w:t> فظنّ دخول اللیل</w:t>
      </w:r>
      <w:r>
        <w:rPr>
          <w:rStyle w:val="FootnoteAnchor"/>
          <w:rtl w:val="true"/>
        </w:rPr>
        <w:footnoteReference w:id="1097"/>
      </w:r>
      <w:r>
        <w:rPr>
          <w:rFonts w:ascii="IRNazanin" w:hAnsi="IRNazanin" w:eastAsia="IRNazanin"/>
          <w:color w:val="111111"/>
          <w:sz w:val="28"/>
          <w:sz w:val="28"/>
          <w:szCs w:val="28"/>
          <w:rtl w:val="true"/>
          <w:lang w:bidi="fa-IR"/>
        </w:rPr>
        <w:t> فأفطر ثمّ بان له الخطأ لم یکن علیه قضاء</w:t>
      </w:r>
      <w:r>
        <w:rPr>
          <w:rStyle w:val="FootnoteAnchor"/>
          <w:rtl w:val="true"/>
        </w:rPr>
        <w:footnoteReference w:id="1098"/>
      </w:r>
      <w:r>
        <w:rPr>
          <w:rFonts w:ascii="Amiri" w:hAnsi="Amiri" w:eastAsia="Amiri" w:cs="Amiri"/>
          <w:color w:val="111111"/>
          <w:sz w:val="28"/>
          <w:sz w:val="28"/>
          <w:szCs w:val="28"/>
          <w:rtl w:val="true"/>
          <w:lang w:bidi="ar-SA"/>
        </w:rPr>
        <w:t> فضلاً عن الکفّارة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فعل المفطِر بتخیّل عدم طلوع الفجرأو بتخیّل دخول اللیل</w:t>
      </w:r>
      <w:r>
        <w:rPr>
          <w:rStyle w:val="FootnoteAnchor"/>
          <w:rtl w:val="true"/>
        </w:rPr>
        <w:footnoteReference w:id="1099"/>
      </w:r>
      <w:r>
        <w:rPr>
          <w:rFonts w:ascii="IRNazanin" w:hAnsi="IRNazanin" w:eastAsia="IRNazanin"/>
          <w:color w:val="111111"/>
          <w:sz w:val="28"/>
          <w:sz w:val="28"/>
          <w:szCs w:val="28"/>
          <w:rtl w:val="true"/>
          <w:lang w:bidi="fa-IR"/>
        </w:rPr>
        <w:t> بطل صومه</w:t>
      </w:r>
      <w:r>
        <w:rPr>
          <w:rStyle w:val="FootnoteAnchor"/>
          <w:rtl w:val="true"/>
        </w:rPr>
        <w:footnoteReference w:id="1100"/>
      </w:r>
      <w:r>
        <w:rPr>
          <w:rFonts w:ascii="IRNazanin" w:hAnsi="IRNazanin" w:eastAsia="IRNazanin"/>
          <w:color w:val="111111"/>
          <w:sz w:val="28"/>
          <w:sz w:val="28"/>
          <w:szCs w:val="28"/>
          <w:rtl w:val="true"/>
          <w:lang w:bidi="fa-IR"/>
        </w:rPr>
        <w:t> فی جمیع</w:t>
      </w:r>
      <w:r>
        <w:rPr>
          <w:rStyle w:val="FootnoteAnchor"/>
          <w:rtl w:val="true"/>
        </w:rPr>
        <w:footnoteReference w:id="1101"/>
      </w:r>
      <w:r>
        <w:rPr>
          <w:rFonts w:ascii="IRNazanin" w:hAnsi="IRNazanin" w:eastAsia="IRNazanin"/>
          <w:color w:val="111111"/>
          <w:sz w:val="28"/>
          <w:sz w:val="28"/>
          <w:szCs w:val="28"/>
          <w:rtl w:val="true"/>
          <w:lang w:bidi="fa-IR"/>
        </w:rPr>
        <w:t> الصور</w:t>
      </w:r>
      <w:r>
        <w:rPr>
          <w:rStyle w:val="FootnoteAnchor"/>
          <w:rtl w:val="true"/>
        </w:rPr>
        <w:footnoteReference w:id="1102"/>
      </w:r>
      <w:r>
        <w:rPr>
          <w:rFonts w:ascii="IRNazanin" w:hAnsi="IRNazanin" w:eastAsia="IRNazanin"/>
          <w:color w:val="111111"/>
          <w:sz w:val="28"/>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فی      </w:t>
      </w:r>
      <w:r>
        <w:rPr>
          <w:rFonts w:eastAsia="Amiri" w:cs="Amiri" w:ascii="Amiri" w:hAnsi="Amiri"/>
          <w:color w:val="111111"/>
          <w:sz w:val="28"/>
          <w:szCs w:val="28"/>
          <w:rtl w:val="true"/>
          <w:lang w:bidi="ar-SA"/>
        </w:rPr>
        <w:t xml:space="preserve">.      .      .      .      .      .      .      .      .     .      .      .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r>
        <w:rPr>
          <w:rStyle w:val="FootnoteAnchor"/>
          <w:rtl w:val="true"/>
        </w:rPr>
        <w:footnoteReference w:id="1103"/>
      </w:r>
      <w:r>
        <w:rPr>
          <w:rFonts w:ascii="Amiri" w:hAnsi="Amiri" w:eastAsia="Amiri" w:cs="Amiri"/>
          <w:color w:val="111111"/>
          <w:sz w:val="28"/>
          <w:sz w:val="28"/>
          <w:szCs w:val="28"/>
          <w:rtl w:val="true"/>
          <w:lang w:bidi="ar-SA"/>
        </w:rPr>
        <w:t> ظنّ</w:t>
      </w:r>
      <w:r>
        <w:rPr>
          <w:rStyle w:val="FootnoteAnchor"/>
          <w:rtl w:val="true"/>
        </w:rPr>
        <w:footnoteReference w:id="1104"/>
      </w:r>
      <w:r>
        <w:rPr>
          <w:rFonts w:ascii="IRNazanin" w:hAnsi="IRNazanin" w:eastAsia="IRNazanin"/>
          <w:color w:val="111111"/>
          <w:sz w:val="28"/>
          <w:sz w:val="28"/>
          <w:szCs w:val="28"/>
          <w:rtl w:val="true"/>
          <w:lang w:bidi="fa-IR"/>
        </w:rPr>
        <w:t> دخول</w:t>
      </w:r>
      <w:r>
        <w:rPr>
          <w:rStyle w:val="FootnoteAnchor"/>
          <w:rtl w:val="true"/>
        </w:rPr>
        <w:footnoteReference w:id="1105"/>
      </w:r>
      <w:r>
        <w:rPr>
          <w:rFonts w:ascii="IRNazanin" w:hAnsi="IRNazanin" w:eastAsia="IRNazanin"/>
          <w:color w:val="111111"/>
          <w:sz w:val="28"/>
          <w:sz w:val="28"/>
          <w:szCs w:val="28"/>
          <w:rtl w:val="true"/>
          <w:lang w:bidi="fa-IR"/>
        </w:rPr>
        <w:t> اللیل</w:t>
      </w:r>
      <w:r>
        <w:rPr>
          <w:rStyle w:val="FootnoteAnchor"/>
          <w:rtl w:val="true"/>
        </w:rPr>
        <w:footnoteReference w:id="1106"/>
      </w:r>
      <w:r>
        <w:rPr>
          <w:rFonts w:ascii="Amiri" w:hAnsi="Amiri" w:eastAsia="Amiri" w:cs="Amiri"/>
          <w:color w:val="111111"/>
          <w:sz w:val="28"/>
          <w:sz w:val="28"/>
          <w:szCs w:val="28"/>
          <w:rtl w:val="true"/>
          <w:lang w:bidi="ar-SA"/>
        </w:rPr>
        <w:t> مع وجود علّة</w:t>
      </w:r>
      <w:r>
        <w:rPr>
          <w:rStyle w:val="FootnoteAnchor"/>
          <w:rtl w:val="true"/>
        </w:rPr>
        <w:footnoteReference w:id="1107"/>
      </w:r>
      <w:r>
        <w:rPr>
          <w:rFonts w:ascii="IRNazanin" w:hAnsi="IRNazanin" w:eastAsia="IRNazanin"/>
          <w:color w:val="111111"/>
          <w:sz w:val="28"/>
          <w:sz w:val="28"/>
          <w:szCs w:val="28"/>
          <w:rtl w:val="true"/>
          <w:lang w:bidi="fa-IR"/>
        </w:rPr>
        <w:t> فی السماء</w:t>
      </w:r>
      <w:r>
        <w:rPr>
          <w:rStyle w:val="FootnoteAnchor"/>
          <w:rtl w:val="true"/>
        </w:rPr>
        <w:footnoteReference w:id="1108"/>
      </w:r>
      <w:r>
        <w:rPr>
          <w:rFonts w:ascii="IRNazanin" w:hAnsi="IRNazanin" w:eastAsia="IRNazanin"/>
          <w:color w:val="111111"/>
          <w:sz w:val="28"/>
          <w:sz w:val="28"/>
          <w:szCs w:val="28"/>
          <w:rtl w:val="true"/>
          <w:lang w:bidi="fa-IR"/>
        </w:rPr>
        <w:t>من غیم</w:t>
      </w:r>
      <w:r>
        <w:rPr>
          <w:rStyle w:val="FootnoteAnchor"/>
          <w:rtl w:val="true"/>
        </w:rPr>
        <w:footnoteReference w:id="1109"/>
      </w:r>
      <w:r>
        <w:rPr>
          <w:rFonts w:ascii="IRNazanin" w:hAnsi="IRNazanin" w:eastAsia="IRNazanin"/>
          <w:color w:val="111111"/>
          <w:sz w:val="28"/>
          <w:sz w:val="28"/>
          <w:szCs w:val="28"/>
          <w:rtl w:val="true"/>
          <w:lang w:bidi="fa-IR"/>
        </w:rPr>
        <w:t> أو غبار</w:t>
      </w:r>
      <w:r>
        <w:rPr>
          <w:rStyle w:val="FootnoteAnchor"/>
          <w:rtl w:val="true"/>
        </w:rPr>
        <w:footnoteReference w:id="1110"/>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Style w:val="FootnoteAnchor"/>
          <w:rtl w:val="true"/>
        </w:rPr>
        <w:footnoteReference w:id="1111"/>
      </w:r>
      <w:r>
        <w:rPr>
          <w:rFonts w:ascii="IRNazanin" w:hAnsi="IRNazanin" w:eastAsia="IRNazanin"/>
          <w:color w:val="111111"/>
          <w:sz w:val="28"/>
          <w:sz w:val="28"/>
          <w:szCs w:val="28"/>
          <w:rtl w:val="true"/>
          <w:lang w:bidi="fa-IR"/>
        </w:rPr>
        <w:t> بخار</w:t>
      </w:r>
      <w:r>
        <w:rPr>
          <w:rStyle w:val="FootnoteAnchor"/>
          <w:rtl w:val="true"/>
        </w:rPr>
        <w:footnoteReference w:id="1112"/>
      </w:r>
      <w:r>
        <w:rPr>
          <w:rFonts w:ascii="IRNazanin" w:hAnsi="IRNazanin" w:eastAsia="IRNazanin"/>
          <w:color w:val="111111"/>
          <w:sz w:val="28"/>
          <w:sz w:val="28"/>
          <w:szCs w:val="28"/>
          <w:rtl w:val="true"/>
          <w:lang w:bidi="fa-IR"/>
        </w:rPr>
        <w:t> أو</w:t>
      </w:r>
      <w:r>
        <w:rPr>
          <w:rStyle w:val="FootnoteAnchor"/>
          <w:rtl w:val="true"/>
        </w:rPr>
        <w:footnoteReference w:id="1113"/>
      </w:r>
      <w:r>
        <w:rPr>
          <w:rFonts w:ascii="IRNazanin" w:hAnsi="IRNazanin" w:eastAsia="IRNazanin"/>
          <w:color w:val="111111"/>
          <w:sz w:val="28"/>
          <w:sz w:val="28"/>
          <w:szCs w:val="28"/>
          <w:rtl w:val="true"/>
          <w:lang w:bidi="fa-IR"/>
        </w:rPr>
        <w:t> نحو ذلک، من غیر</w:t>
      </w:r>
      <w:r>
        <w:rPr>
          <w:rStyle w:val="FootnoteAnchor"/>
          <w:rtl w:val="true"/>
        </w:rPr>
        <w:footnoteReference w:id="1114"/>
      </w:r>
      <w:r>
        <w:rPr>
          <w:rFonts w:ascii="IRNazanin" w:hAnsi="IRNazanin" w:eastAsia="IRNazanin"/>
          <w:color w:val="111111"/>
          <w:sz w:val="28"/>
          <w:sz w:val="28"/>
          <w:szCs w:val="28"/>
          <w:rtl w:val="true"/>
          <w:lang w:bidi="fa-IR"/>
        </w:rPr>
        <w:t> فرق بین شهر رمضان وغیره من الصوم الواجب</w:t>
      </w:r>
      <w:r>
        <w:rPr>
          <w:rStyle w:val="FootnoteAnchor"/>
          <w:rtl w:val="true"/>
        </w:rPr>
        <w:footnoteReference w:id="1115"/>
      </w:r>
      <w:r>
        <w:rPr>
          <w:rFonts w:ascii="IRNazanin" w:hAnsi="IRNazanin" w:eastAsia="IRNazanin"/>
          <w:color w:val="111111"/>
          <w:sz w:val="28"/>
          <w:sz w:val="28"/>
          <w:szCs w:val="28"/>
          <w:rtl w:val="true"/>
          <w:lang w:bidi="fa-IR"/>
        </w:rPr>
        <w:t> والمندوب، وفی الصور التی لیس معذوراً شرعاً فی الإفطار، کما إذا قامت البیّنة</w:t>
      </w:r>
      <w:r>
        <w:rPr>
          <w:rStyle w:val="FootnoteAnchor"/>
          <w:rtl w:val="true"/>
        </w:rPr>
        <w:footnoteReference w:id="1116"/>
      </w:r>
      <w:r>
        <w:rPr>
          <w:rFonts w:ascii="IRNazanin" w:hAnsi="IRNazanin" w:eastAsia="IRNazanin"/>
          <w:color w:val="111111"/>
          <w:sz w:val="28"/>
          <w:sz w:val="28"/>
          <w:szCs w:val="28"/>
          <w:rtl w:val="true"/>
          <w:lang w:bidi="fa-IR"/>
        </w:rPr>
        <w:t> علی أنّ الفجر قد طلع</w:t>
      </w:r>
      <w:r>
        <w:rPr>
          <w:rStyle w:val="FootnoteAnchor"/>
          <w:rtl w:val="true"/>
        </w:rPr>
        <w:footnoteReference w:id="1117"/>
      </w:r>
      <w:r>
        <w:rPr>
          <w:rFonts w:ascii="IRNazanin" w:hAnsi="IRNazanin" w:eastAsia="IRNazanin"/>
          <w:color w:val="111111"/>
          <w:sz w:val="28"/>
          <w:sz w:val="28"/>
          <w:szCs w:val="28"/>
          <w:rtl w:val="true"/>
          <w:lang w:bidi="fa-IR"/>
        </w:rPr>
        <w:t xml:space="preserve"> ومع ذلک أتی </w:t>
      </w:r>
      <w:bookmarkStart w:id="457" w:name="pg13281_119886"/>
    </w:p>
    <w:p>
      <w:pPr>
        <w:pStyle w:val="BookText"/>
        <w:rPr/>
      </w:pPr>
      <w:bookmarkEnd w:id="457"/>
      <w:r>
        <w:rPr>
          <w:rFonts w:ascii="Amiri" w:hAnsi="Amiri" w:eastAsia="Amiri" w:cs="Amiri"/>
          <w:color w:val="111111"/>
          <w:sz w:val="28"/>
          <w:sz w:val="28"/>
          <w:szCs w:val="28"/>
          <w:rtl w:val="true"/>
          <w:lang w:bidi="ar-SA"/>
        </w:rPr>
        <w:t>بالمفطِر</w:t>
      </w:r>
      <w:r>
        <w:rPr>
          <w:rStyle w:val="FootnoteAnchor"/>
          <w:rtl w:val="true"/>
        </w:rPr>
        <w:footnoteReference w:id="1118"/>
      </w:r>
      <w:r>
        <w:rPr>
          <w:rFonts w:ascii="IRNazanin" w:hAnsi="IRNazanin" w:eastAsia="IRNazanin"/>
          <w:color w:val="111111"/>
          <w:sz w:val="28"/>
          <w:sz w:val="28"/>
          <w:szCs w:val="28"/>
          <w:rtl w:val="true"/>
          <w:lang w:bidi="fa-IR"/>
        </w:rPr>
        <w:t>، أو شکّ فی دخول اللیل أو ظنّ ظنّاً غیر معتبر ومع ذلک أفطر تجب الکفّارة أیضاً فی ما فیه الکفّارة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955154_2322387425"/>
      <w:bookmarkStart w:id="459" w:name="_Toc170"/>
      <w:bookmarkEnd w:id="458"/>
      <w:r>
        <w:rPr>
          <w:rtl w:val="true"/>
        </w:rPr>
        <w:t>حکم تناول المفطر مع الشکّ فی طلوع الفجر</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أکل أو شرب مثلاً مع الشکّ فی طلوع الفجرولم یتبیّن أحد الأمرین لم یکن علیه شیء، نعم، لو شهد عدلان بالطلوع، ومع ذلک تناول المفطِر وجب علیه القضاء، بل الکفّارة أیضاً، وإن لم یتبیّن له ذلک بعد ذلک، ولو شهد عدل واحد</w:t>
      </w:r>
      <w:r>
        <w:rPr>
          <w:rStyle w:val="FootnoteAnchor"/>
          <w:rtl w:val="true"/>
        </w:rPr>
        <w:footnoteReference w:id="1120"/>
      </w:r>
      <w:r>
        <w:rPr>
          <w:rFonts w:ascii="IRNazanin" w:hAnsi="IRNazanin" w:eastAsia="IRNazanin"/>
          <w:color w:val="111111"/>
          <w:sz w:val="28"/>
          <w:sz w:val="28"/>
          <w:szCs w:val="28"/>
          <w:rtl w:val="true"/>
          <w:lang w:bidi="fa-IR"/>
        </w:rPr>
        <w:t> بذلک فکذلک علی الأحوط</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0" w:name="pg13281_119887"/>
    </w:p>
    <w:p>
      <w:pPr>
        <w:pStyle w:val="Heading3"/>
        <w:numPr>
          <w:ilvl w:val="2"/>
          <w:numId w:val="1"/>
        </w:numPr>
        <w:rPr/>
      </w:pPr>
      <w:bookmarkStart w:id="461" w:name="__RefHeading___Toc1955156_2322387425"/>
      <w:bookmarkStart w:id="462" w:name="_Toc171"/>
      <w:bookmarkEnd w:id="460"/>
      <w:bookmarkEnd w:id="461"/>
      <w:r>
        <w:rPr>
          <w:rtl w:val="true"/>
        </w:rPr>
        <w:t>فعل المفطر قبل الفحص</w:t>
      </w:r>
      <w:bookmarkEnd w:id="4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له فعل المفطِر ولو قبل الفحص</w:t>
      </w:r>
      <w:r>
        <w:rPr>
          <w:rStyle w:val="FootnoteAnchor"/>
          <w:rtl w:val="true"/>
        </w:rPr>
        <w:footnoteReference w:id="1122"/>
      </w:r>
      <w:r>
        <w:rPr>
          <w:rFonts w:ascii="IRNazanin" w:hAnsi="IRNazanin" w:eastAsia="IRNazanin"/>
          <w:color w:val="111111"/>
          <w:sz w:val="28"/>
          <w:sz w:val="28"/>
          <w:szCs w:val="28"/>
          <w:rtl w:val="true"/>
          <w:lang w:bidi="fa-IR"/>
        </w:rPr>
        <w:t> ما لم یعلم طلوع الفجر ولم یشهد به البیّنة، ولا یجوز له ذلک إذا شکّ فی الغروب عملاً بالاستصحاب فی الطرفین، ولو شهد عدل واحد بالطلوع أو الغروب فالأحوط</w:t>
      </w:r>
      <w:r>
        <w:rPr>
          <w:rStyle w:val="FootnoteAnchor"/>
          <w:rtl w:val="true"/>
        </w:rPr>
        <w:footnoteReference w:id="1123"/>
      </w:r>
      <w:r>
        <w:rPr>
          <w:rFonts w:ascii="Amiri" w:hAnsi="Amiri" w:eastAsia="Amiri" w:cs="Amiri"/>
          <w:color w:val="111111"/>
          <w:sz w:val="28"/>
          <w:sz w:val="28"/>
          <w:szCs w:val="28"/>
          <w:rtl w:val="true"/>
          <w:lang w:bidi="ar-SA"/>
        </w:rPr>
        <w:t> ترک المفطِر</w:t>
      </w:r>
      <w:r>
        <w:rPr>
          <w:rStyle w:val="FootnoteAnchor"/>
          <w:rtl w:val="true"/>
        </w:rPr>
        <w:footnoteReference w:id="1124"/>
      </w:r>
      <w:r>
        <w:rPr>
          <w:rFonts w:ascii="IRNazanin" w:hAnsi="IRNazanin" w:eastAsia="IRNazanin"/>
          <w:color w:val="111111"/>
          <w:sz w:val="28"/>
          <w:sz w:val="28"/>
          <w:szCs w:val="28"/>
          <w:rtl w:val="true"/>
          <w:lang w:bidi="fa-IR"/>
        </w:rPr>
        <w:t>عملاً بالاحتیاط؛ للإشکال فی حجّیة خبر العدل الواحد</w:t>
      </w:r>
      <w:r>
        <w:rPr>
          <w:rStyle w:val="FootnoteAnchor"/>
          <w:rtl w:val="true"/>
        </w:rPr>
        <w:footnoteReference w:id="1125"/>
      </w:r>
      <w:r>
        <w:rPr>
          <w:rFonts w:ascii="IRNazanin" w:hAnsi="IRNazanin" w:eastAsia="IRNazanin"/>
          <w:color w:val="111111"/>
          <w:sz w:val="28"/>
          <w:sz w:val="28"/>
          <w:szCs w:val="28"/>
          <w:rtl w:val="true"/>
          <w:lang w:bidi="fa-IR"/>
        </w:rPr>
        <w:t xml:space="preserve"> وعدم حجّیته، إلّا أنّ الاحتیاط فی الغروب إلزامیّ، وفی الطلوع </w:t>
      </w:r>
      <w:bookmarkStart w:id="463" w:name="pg13281_119888"/>
    </w:p>
    <w:p>
      <w:pPr>
        <w:pStyle w:val="BookText"/>
        <w:rPr/>
      </w:pPr>
      <w:bookmarkEnd w:id="463"/>
      <w:r>
        <w:rPr>
          <w:rFonts w:ascii="Amiri" w:hAnsi="Amiri" w:eastAsia="Amiri" w:cs="Amiri"/>
          <w:color w:val="111111"/>
          <w:sz w:val="28"/>
          <w:sz w:val="28"/>
          <w:szCs w:val="28"/>
          <w:rtl w:val="true"/>
          <w:lang w:bidi="ar-SA"/>
        </w:rPr>
        <w:t>استحبابیّ</w:t>
      </w:r>
      <w:r>
        <w:rPr>
          <w:rStyle w:val="FootnoteAnchor"/>
          <w:rtl w:val="true"/>
        </w:rPr>
        <w:footnoteReference w:id="1126"/>
      </w:r>
      <w:r>
        <w:rPr>
          <w:rFonts w:ascii="IRNazanin" w:hAnsi="IRNazanin" w:eastAsia="IRNazanin"/>
          <w:color w:val="111111"/>
          <w:sz w:val="28"/>
          <w:sz w:val="28"/>
          <w:szCs w:val="28"/>
          <w:rtl w:val="true"/>
          <w:lang w:bidi="fa-IR"/>
        </w:rPr>
        <w:t>؛ نظراً للاستصحاب</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955158_2322387425"/>
      <w:bookmarkStart w:id="465" w:name="_Toc172"/>
      <w:bookmarkEnd w:id="464"/>
      <w:r>
        <w:rPr>
          <w:rtl w:val="true"/>
        </w:rPr>
        <w:t xml:space="preserve">التاسع </w:t>
      </w:r>
      <w:r>
        <w:rPr>
          <w:rtl w:val="true"/>
        </w:rPr>
        <w:t xml:space="preserve">: </w:t>
      </w:r>
      <w:r>
        <w:rPr>
          <w:rtl w:val="true"/>
        </w:rPr>
        <w:t>إدخال الماء فی الفم للتبرّد فسبقه ودخل الجوف</w:t>
      </w:r>
      <w:bookmarkEnd w:id="465"/>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فی الفم للتبرّد</w:t>
      </w:r>
      <w:r>
        <w:rPr>
          <w:rStyle w:val="FootnoteAnchor"/>
          <w:rtl w:val="true"/>
        </w:rPr>
        <w:footnoteReference w:id="1128"/>
      </w:r>
      <w:r>
        <w:rPr>
          <w:rFonts w:ascii="IRNazanin" w:hAnsi="IRNazanin" w:eastAsia="IRNazanin"/>
          <w:color w:val="111111"/>
          <w:sz w:val="28"/>
          <w:sz w:val="28"/>
          <w:szCs w:val="28"/>
          <w:rtl w:val="true"/>
          <w:lang w:bidi="fa-IR"/>
        </w:rPr>
        <w:t> بمضمضة أو غیرها فسبقه ودخل الجوف فإنّه یقضی</w:t>
      </w:r>
      <w:r>
        <w:rPr>
          <w:rStyle w:val="FootnoteAnchor"/>
          <w:rtl w:val="true"/>
        </w:rPr>
        <w:footnoteReference w:id="1129"/>
      </w:r>
      <w:r>
        <w:rPr>
          <w:rFonts w:ascii="IRNazanin" w:hAnsi="IRNazanin" w:eastAsia="IRNazanin"/>
          <w:color w:val="111111"/>
          <w:sz w:val="28"/>
          <w:sz w:val="28"/>
          <w:szCs w:val="28"/>
          <w:rtl w:val="true"/>
          <w:lang w:bidi="fa-IR"/>
        </w:rPr>
        <w:t> ولا کفّارة علیه، وکذا لو أدخله عبثاً</w:t>
      </w:r>
      <w:r>
        <w:rPr>
          <w:rStyle w:val="FootnoteAnchor"/>
          <w:rtl w:val="true"/>
        </w:rPr>
        <w:footnoteReference w:id="113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فسبقه</w:t>
      </w:r>
      <w:r>
        <w:rPr>
          <w:rStyle w:val="FootnoteAnchor"/>
          <w:rtl w:val="true"/>
        </w:rPr>
        <w:footnoteReference w:id="1131"/>
      </w:r>
      <w:r>
        <w:rPr>
          <w:rFonts w:ascii="IRNazanin" w:hAnsi="IRNazanin" w:eastAsia="IRNazanin"/>
          <w:color w:val="111111"/>
          <w:sz w:val="28"/>
          <w:sz w:val="28"/>
          <w:szCs w:val="28"/>
          <w:rtl w:val="true"/>
          <w:lang w:bidi="fa-IR"/>
        </w:rPr>
        <w:t xml:space="preserve">، وأمّا لو نسی فابتلعه فلا قضاء علیه أیضاً وإن کان أحوط، ولا </w:t>
      </w:r>
      <w:bookmarkStart w:id="466" w:name="pg13281_119889"/>
    </w:p>
    <w:p>
      <w:pPr>
        <w:pStyle w:val="BookText"/>
        <w:rPr/>
      </w:pPr>
      <w:bookmarkEnd w:id="466"/>
      <w:r>
        <w:rPr>
          <w:rFonts w:ascii="IRNazanin" w:hAnsi="IRNazanin" w:eastAsia="IRNazanin"/>
          <w:color w:val="111111"/>
          <w:sz w:val="28"/>
          <w:sz w:val="28"/>
          <w:szCs w:val="28"/>
          <w:rtl w:val="true"/>
          <w:lang w:bidi="fa-IR"/>
        </w:rPr>
        <w:t>یلحق بالماء</w:t>
      </w:r>
      <w:r>
        <w:rPr>
          <w:rStyle w:val="FootnoteAnchor"/>
          <w:rtl w:val="true"/>
        </w:rPr>
        <w:footnoteReference w:id="1132"/>
      </w:r>
      <w:r>
        <w:rPr>
          <w:rFonts w:ascii="IRNazanin" w:hAnsi="IRNazanin" w:eastAsia="IRNazanin"/>
          <w:color w:val="111111"/>
          <w:sz w:val="28"/>
          <w:sz w:val="28"/>
          <w:szCs w:val="28"/>
          <w:rtl w:val="true"/>
          <w:lang w:bidi="fa-IR"/>
        </w:rPr>
        <w:t> غیره</w:t>
      </w:r>
      <w:r>
        <w:rPr>
          <w:rStyle w:val="FootnoteAnchor"/>
          <w:rtl w:val="true"/>
        </w:rPr>
        <w:footnoteReference w:id="1133"/>
      </w:r>
      <w:r>
        <w:rPr>
          <w:rFonts w:ascii="IRNazanin" w:hAnsi="IRNazanin" w:eastAsia="IRNazanin"/>
          <w:color w:val="111111"/>
          <w:sz w:val="28"/>
          <w:sz w:val="28"/>
          <w:szCs w:val="28"/>
          <w:rtl w:val="true"/>
          <w:lang w:bidi="fa-IR"/>
        </w:rPr>
        <w:t> علی الأقوی وإن کان عبثاً، کما لا یلحق بالإدخال فی الفم الإدخال فی الأنف للاستنشاق أو غیره وإن کان أحوط</w:t>
      </w:r>
      <w:r>
        <w:rPr>
          <w:rStyle w:val="FootnoteAnchor"/>
          <w:rtl w:val="true"/>
        </w:rPr>
        <w:footnoteReference w:id="1134"/>
      </w:r>
      <w:r>
        <w:rPr>
          <w:rFonts w:ascii="IRNazanin" w:hAnsi="IRNazanin" w:eastAsia="IRNazanin"/>
          <w:color w:val="111111"/>
          <w:sz w:val="28"/>
          <w:sz w:val="28"/>
          <w:szCs w:val="28"/>
          <w:rtl w:val="true"/>
          <w:lang w:bidi="fa-IR"/>
        </w:rPr>
        <w:t> فی الأمرین</w:t>
      </w:r>
      <w:r>
        <w:rPr>
          <w:rFonts w:eastAsia="IRNazanin" w:cs="IRNazanin"/>
          <w:color w:val="111111"/>
          <w:sz w:val="28"/>
          <w:szCs w:val="28"/>
          <w:rtl w:val="true"/>
          <w:lang w:bidi="fa-IR"/>
        </w:rPr>
        <w:t>.</w:t>
      </w:r>
    </w:p>
    <w:p>
      <w:pPr>
        <w:pStyle w:val="Heading3"/>
        <w:numPr>
          <w:ilvl w:val="2"/>
          <w:numId w:val="1"/>
        </w:numPr>
        <w:rPr/>
      </w:pPr>
      <w:bookmarkStart w:id="467" w:name="__RefHeading___Toc1955160_2322387425"/>
      <w:bookmarkStart w:id="468" w:name="_Toc173"/>
      <w:bookmarkEnd w:id="467"/>
      <w:r>
        <w:rPr>
          <w:rtl w:val="true"/>
        </w:rPr>
        <w:t>سبق الماء بالمضمضة لوضوء الصلاة </w:t>
      </w:r>
      <w:bookmarkEnd w:id="4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تمضمض لوضوء الصلاة فسبقه الماء لم یجب علیه القضاء</w:t>
      </w:r>
      <w:r>
        <w:rPr>
          <w:rStyle w:val="FootnoteAnchor"/>
          <w:rtl w:val="true"/>
        </w:rPr>
        <w:footnoteReference w:id="1135"/>
      </w:r>
      <w:r>
        <w:rPr>
          <w:rFonts w:ascii="IRNazanin" w:hAnsi="IRNazanin" w:eastAsia="IRNazanin"/>
          <w:color w:val="111111"/>
          <w:sz w:val="28"/>
          <w:sz w:val="28"/>
          <w:szCs w:val="28"/>
          <w:rtl w:val="true"/>
          <w:lang w:bidi="fa-IR"/>
        </w:rPr>
        <w:t>، سواء کانت الصلاة فریضة أم نافلة علی الأقوی</w:t>
      </w:r>
      <w:r>
        <w:rPr>
          <w:rStyle w:val="FootnoteAnchor"/>
          <w:rtl w:val="true"/>
        </w:rPr>
        <w:footnoteReference w:id="1136"/>
      </w:r>
      <w:r>
        <w:rPr>
          <w:rFonts w:ascii="IRNazanin" w:hAnsi="IRNazanin" w:eastAsia="IRNazanin"/>
          <w:color w:val="111111"/>
          <w:sz w:val="28"/>
          <w:sz w:val="28"/>
          <w:szCs w:val="28"/>
          <w:rtl w:val="true"/>
          <w:lang w:bidi="fa-IR"/>
        </w:rPr>
        <w:t>، بل لمطلق الطهارة وإن کانت لغیرها من الغایات، من غیر فرق بین الوضوء والغسل، وإن کان الأحوط</w:t>
      </w:r>
      <w:r>
        <w:rPr>
          <w:rStyle w:val="FootnoteAnchor"/>
          <w:rtl w:val="true"/>
        </w:rPr>
        <w:footnoteReference w:id="1137"/>
      </w:r>
      <w:bookmarkStart w:id="469" w:name="pg13281_119890"/>
    </w:p>
    <w:p>
      <w:pPr>
        <w:pStyle w:val="BookText"/>
        <w:rPr/>
      </w:pPr>
      <w:bookmarkEnd w:id="469"/>
      <w:r>
        <w:rPr>
          <w:rFonts w:ascii="IRNazanin" w:hAnsi="IRNazanin" w:eastAsia="IRNazanin"/>
          <w:color w:val="111111"/>
          <w:sz w:val="28"/>
          <w:sz w:val="28"/>
          <w:szCs w:val="28"/>
          <w:rtl w:val="true"/>
          <w:lang w:bidi="fa-IR"/>
        </w:rPr>
        <w:t>القضاء</w:t>
      </w:r>
      <w:r>
        <w:rPr>
          <w:rStyle w:val="FootnoteAnchor"/>
          <w:rtl w:val="true"/>
        </w:rPr>
        <w:footnoteReference w:id="1138"/>
      </w:r>
      <w:r>
        <w:rPr>
          <w:rFonts w:ascii="IRNazanin" w:hAnsi="IRNazanin" w:eastAsia="IRNazanin"/>
          <w:color w:val="111111"/>
          <w:sz w:val="28"/>
          <w:sz w:val="28"/>
          <w:szCs w:val="28"/>
          <w:rtl w:val="true"/>
          <w:lang w:bidi="fa-IR"/>
        </w:rPr>
        <w:t> فی ما عدا ما کان لصلاة الفریضة</w:t>
      </w:r>
      <w:r>
        <w:rPr>
          <w:rStyle w:val="FootnoteAnchor"/>
          <w:rtl w:val="true"/>
        </w:rPr>
        <w:footnoteReference w:id="1139"/>
      </w:r>
      <w:r>
        <w:rPr>
          <w:rFonts w:ascii="Amiri" w:hAnsi="Amiri" w:eastAsia="Amiri" w:cs="Amiri"/>
          <w:color w:val="111111"/>
          <w:sz w:val="28"/>
          <w:sz w:val="28"/>
          <w:szCs w:val="28"/>
          <w:rtl w:val="true"/>
          <w:lang w:bidi="ar-SA"/>
        </w:rPr>
        <w:t>، خصوصاً</w:t>
      </w:r>
      <w:r>
        <w:rPr>
          <w:rStyle w:val="FootnoteAnchor"/>
          <w:rtl w:val="true"/>
        </w:rPr>
        <w:footnoteReference w:id="1140"/>
      </w:r>
      <w:r>
        <w:rPr>
          <w:rFonts w:ascii="IRNazanin" w:hAnsi="IRNazanin" w:eastAsia="IRNazanin"/>
          <w:color w:val="111111"/>
          <w:sz w:val="28"/>
          <w:sz w:val="28"/>
          <w:szCs w:val="28"/>
          <w:rtl w:val="true"/>
          <w:lang w:bidi="fa-IR"/>
        </w:rPr>
        <w:t> فی ما</w:t>
      </w:r>
      <w:r>
        <w:rPr>
          <w:rStyle w:val="FootnoteAnchor"/>
          <w:rtl w:val="true"/>
        </w:rPr>
        <w:footnoteReference w:id="1141"/>
      </w:r>
      <w:r>
        <w:rPr>
          <w:rFonts w:ascii="IRNazanin" w:hAnsi="IRNazanin" w:eastAsia="IRNazanin"/>
          <w:color w:val="111111"/>
          <w:sz w:val="28"/>
          <w:sz w:val="28"/>
          <w:szCs w:val="28"/>
          <w:rtl w:val="true"/>
          <w:lang w:bidi="fa-IR"/>
        </w:rPr>
        <w:t> کان لغیر الصلاة من الغایات</w:t>
      </w:r>
      <w:r>
        <w:rPr>
          <w:rFonts w:eastAsia="IRNazanin" w:cs="IRNazanin"/>
          <w:color w:val="111111"/>
          <w:sz w:val="28"/>
          <w:szCs w:val="28"/>
          <w:rtl w:val="true"/>
          <w:lang w:bidi="fa-IR"/>
        </w:rPr>
        <w:t>.</w:t>
      </w:r>
    </w:p>
    <w:p>
      <w:pPr>
        <w:pStyle w:val="Heading3"/>
        <w:numPr>
          <w:ilvl w:val="2"/>
          <w:numId w:val="1"/>
        </w:numPr>
        <w:rPr/>
      </w:pPr>
      <w:bookmarkStart w:id="470" w:name="__RefHeading___Toc1955162_2322387425"/>
      <w:bookmarkStart w:id="471" w:name="_Toc174"/>
      <w:bookmarkEnd w:id="470"/>
      <w:r>
        <w:rPr>
          <w:rtl w:val="true"/>
        </w:rPr>
        <w:t>کراهة المبالغة فی المضمضة</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w:t>
      </w:r>
      <w:r>
        <w:rPr>
          <w:rStyle w:val="FootnoteAnchor"/>
          <w:rtl w:val="true"/>
        </w:rPr>
        <w:footnoteReference w:id="1142"/>
      </w:r>
      <w:r>
        <w:rPr>
          <w:rFonts w:ascii="IRNazanin" w:hAnsi="IRNazanin" w:eastAsia="IRNazanin"/>
          <w:color w:val="111111"/>
          <w:sz w:val="28"/>
          <w:sz w:val="28"/>
          <w:szCs w:val="28"/>
          <w:rtl w:val="true"/>
          <w:lang w:bidi="fa-IR"/>
        </w:rPr>
        <w:t> المبالغة فی المضمضة مطلقاً، وینبغی</w:t>
      </w:r>
      <w:r>
        <w:rPr>
          <w:rStyle w:val="FootnoteAnchor"/>
          <w:rtl w:val="true"/>
        </w:rPr>
        <w:footnoteReference w:id="1143"/>
      </w:r>
      <w:r>
        <w:rPr>
          <w:rFonts w:ascii="IRNazanin" w:hAnsi="IRNazanin" w:eastAsia="IRNazanin"/>
          <w:color w:val="111111"/>
          <w:sz w:val="28"/>
          <w:sz w:val="28"/>
          <w:szCs w:val="28"/>
          <w:rtl w:val="true"/>
          <w:lang w:bidi="fa-IR"/>
        </w:rPr>
        <w:t> له أن لا یبلع ریقه حتّی یبزق ثلاث مرّات</w:t>
      </w:r>
      <w:r>
        <w:rPr>
          <w:rFonts w:eastAsia="IRNazanin" w:cs="IRNazanin"/>
          <w:color w:val="111111"/>
          <w:sz w:val="28"/>
          <w:szCs w:val="28"/>
          <w:rtl w:val="true"/>
          <w:lang w:bidi="fa-IR"/>
        </w:rPr>
        <w:t>.</w:t>
      </w:r>
    </w:p>
    <w:p>
      <w:pPr>
        <w:pStyle w:val="Heading3"/>
        <w:numPr>
          <w:ilvl w:val="2"/>
          <w:numId w:val="1"/>
        </w:numPr>
        <w:rPr/>
      </w:pPr>
      <w:bookmarkStart w:id="472" w:name="__RefHeading___Toc1955164_2322387425"/>
      <w:bookmarkStart w:id="473" w:name="_Toc175"/>
      <w:bookmarkEnd w:id="472"/>
      <w:r>
        <w:rPr>
          <w:rtl w:val="true"/>
        </w:rPr>
        <w:t>عدم جواز التمضمض مطلقاً مع العلم بسبق الماء</w:t>
      </w:r>
      <w:bookmarkEnd w:id="47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التمضمض مطلقاً</w:t>
      </w:r>
      <w:r>
        <w:rPr>
          <w:rStyle w:val="FootnoteAnchor"/>
          <w:rtl w:val="true"/>
        </w:rPr>
        <w:footnoteReference w:id="1144"/>
      </w:r>
      <w:r>
        <w:rPr>
          <w:rFonts w:ascii="IRNazanin" w:hAnsi="IRNazanin" w:eastAsia="IRNazanin"/>
          <w:color w:val="111111"/>
          <w:sz w:val="28"/>
          <w:sz w:val="28"/>
          <w:szCs w:val="28"/>
          <w:rtl w:val="true"/>
          <w:lang w:bidi="fa-IR"/>
        </w:rPr>
        <w:t> مع</w:t>
      </w:r>
      <w:r>
        <w:rPr>
          <w:rStyle w:val="FootnoteAnchor"/>
          <w:rtl w:val="true"/>
        </w:rPr>
        <w:footnoteReference w:id="1145"/>
      </w:r>
      <w:r>
        <w:rPr>
          <w:rFonts w:ascii="IRNazanin" w:hAnsi="IRNazanin" w:eastAsia="IRNazanin"/>
          <w:color w:val="111111"/>
          <w:sz w:val="28"/>
          <w:sz w:val="28"/>
          <w:szCs w:val="28"/>
          <w:rtl w:val="true"/>
          <w:lang w:bidi="fa-IR"/>
        </w:rPr>
        <w:t> العلم بأنّه یسبقه</w:t>
      </w:r>
      <w:r>
        <w:rPr>
          <w:rStyle w:val="FootnoteAnchor"/>
          <w:rtl w:val="true"/>
        </w:rPr>
        <w:footnoteReference w:id="1146"/>
      </w:r>
      <w:bookmarkStart w:id="474" w:name="pg13281_119891"/>
    </w:p>
    <w:p>
      <w:pPr>
        <w:pStyle w:val="BookText"/>
        <w:rPr/>
      </w:pPr>
      <w:bookmarkEnd w:id="474"/>
      <w:r>
        <w:rPr>
          <w:rFonts w:ascii="IRNazanin" w:hAnsi="IRNazanin" w:eastAsia="IRNazanin"/>
          <w:color w:val="111111"/>
          <w:sz w:val="28"/>
          <w:sz w:val="28"/>
          <w:szCs w:val="28"/>
          <w:rtl w:val="true"/>
          <w:lang w:bidi="fa-IR"/>
        </w:rPr>
        <w:t>الماء إلی الحلق أو ینسی فیبلعه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955166_2322387425"/>
      <w:bookmarkStart w:id="476" w:name="_Toc176"/>
      <w:bookmarkEnd w:id="475"/>
      <w:r>
        <w:rPr>
          <w:rtl w:val="true"/>
        </w:rPr>
        <w:t xml:space="preserve">العاشر </w:t>
      </w:r>
      <w:r>
        <w:rPr>
          <w:rtl w:val="true"/>
        </w:rPr>
        <w:t xml:space="preserve">: </w:t>
      </w:r>
      <w:r>
        <w:rPr>
          <w:rtl w:val="true"/>
        </w:rPr>
        <w:t>سبق المنی بالملاعبة أو الملامسة</w:t>
      </w:r>
      <w:bookmarkEnd w:id="47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المنیِّ بالملاعبة أو بالملامسة إذا لم یکن ذلک من قصده ولا عادته</w:t>
      </w:r>
      <w:r>
        <w:rPr>
          <w:rStyle w:val="FootnoteAnchor"/>
          <w:rtl w:val="true"/>
        </w:rPr>
        <w:footnoteReference w:id="1148"/>
      </w:r>
      <w:r>
        <w:rPr>
          <w:rFonts w:ascii="IRNazanin" w:hAnsi="IRNazanin" w:eastAsia="IRNazanin"/>
          <w:color w:val="111111"/>
          <w:sz w:val="28"/>
          <w:sz w:val="28"/>
          <w:szCs w:val="28"/>
          <w:rtl w:val="true"/>
          <w:lang w:bidi="fa-IR"/>
        </w:rPr>
        <w:t> علی الأحوط</w:t>
      </w:r>
      <w:r>
        <w:rPr>
          <w:rStyle w:val="FootnoteAnchor"/>
          <w:rtl w:val="true"/>
        </w:rPr>
        <w:footnoteReference w:id="1149"/>
      </w:r>
      <w:r>
        <w:rPr>
          <w:rFonts w:ascii="IRNazanin" w:hAnsi="IRNazanin" w:eastAsia="IRNazanin"/>
          <w:color w:val="111111"/>
          <w:sz w:val="28"/>
          <w:sz w:val="28"/>
          <w:szCs w:val="28"/>
          <w:rtl w:val="true"/>
          <w:lang w:bidi="fa-IR"/>
        </w:rPr>
        <w:t>، وإن کان الأقوی</w:t>
      </w:r>
      <w:r>
        <w:rPr>
          <w:rStyle w:val="FootnoteAnchor"/>
          <w:rtl w:val="true"/>
        </w:rPr>
        <w:footnoteReference w:id="1150"/>
      </w:r>
      <w:r>
        <w:rPr>
          <w:rFonts w:ascii="IRNazanin" w:hAnsi="IRNazanin" w:eastAsia="IRNazanin"/>
          <w:color w:val="111111"/>
          <w:sz w:val="28"/>
          <w:sz w:val="28"/>
          <w:szCs w:val="28"/>
          <w:rtl w:val="true"/>
          <w:lang w:bidi="fa-IR"/>
        </w:rPr>
        <w:t xml:space="preserve"> عدم </w:t>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1151"/>
      </w:r>
      <w:r>
        <w:rPr>
          <w:rFonts w:ascii="IRNazanin" w:hAnsi="IRNazanin" w:eastAsia="IRNazanin"/>
          <w:color w:val="111111"/>
          <w:sz w:val="28"/>
          <w:sz w:val="28"/>
          <w:szCs w:val="28"/>
          <w:rtl w:val="true"/>
          <w:lang w:bidi="fa-IR"/>
        </w:rPr>
        <w:t> القضاء</w:t>
      </w:r>
      <w:r>
        <w:rPr>
          <w:rStyle w:val="FootnoteAnchor"/>
          <w:rtl w:val="true"/>
        </w:rPr>
        <w:footnoteReference w:id="1152"/>
      </w:r>
      <w:r>
        <w:rPr>
          <w:rFonts w:ascii="Amiri" w:hAnsi="Amiri" w:eastAsia="Amiri" w:cs="Amiri"/>
          <w:color w:val="111111"/>
          <w:sz w:val="28"/>
          <w:sz w:val="28"/>
          <w:szCs w:val="28"/>
          <w:rtl w:val="true"/>
          <w:lang w:bidi="ar-SA"/>
        </w:rPr>
        <w:t> أیضاً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477" w:name="pg13281_119893"/>
    </w:p>
    <w:p>
      <w:pPr>
        <w:pStyle w:val="BookText"/>
        <w:rPr/>
      </w:pPr>
      <w:bookmarkEnd w:id="477"/>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الّذی یصحّ فیه الصوم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8" w:name="__RefHeading___Toc1955168_2322387425"/>
      <w:bookmarkStart w:id="479" w:name="_Toc177"/>
      <w:bookmarkEnd w:id="478"/>
      <w:r>
        <w:rPr>
          <w:rtl w:val="true"/>
        </w:rPr>
        <w:t>فصل</w:t>
      </w:r>
      <w:r>
        <w:rPr>
          <w:rtl w:val="true"/>
        </w:rPr>
        <w:t xml:space="preserve">: </w:t>
      </w:r>
      <w:r>
        <w:rPr>
          <w:rtl w:val="true"/>
        </w:rPr>
        <w:t>فی الزمان الّذی یصحّ فیه الصوم</w:t>
      </w:r>
      <w:bookmarkEnd w:id="479"/>
    </w:p>
    <w:p>
      <w:pPr>
        <w:pStyle w:val="Heading3"/>
        <w:numPr>
          <w:ilvl w:val="2"/>
          <w:numId w:val="1"/>
        </w:numPr>
        <w:rPr/>
      </w:pPr>
      <w:bookmarkStart w:id="480" w:name="__RefHeading___Toc1955170_2322387425"/>
      <w:bookmarkStart w:id="481" w:name="_Toc178"/>
      <w:bookmarkEnd w:id="480"/>
      <w:r>
        <w:rPr>
          <w:rtl w:val="true"/>
        </w:rPr>
        <w:t>مبدأ  نهار الصوم ومنتهاه</w:t>
      </w:r>
      <w:bookmarkEnd w:id="481"/>
    </w:p>
    <w:p>
      <w:pPr>
        <w:pStyle w:val="BookText"/>
        <w:rPr/>
      </w:pPr>
      <w:r>
        <w:rPr>
          <w:rFonts w:ascii="IRNazanin" w:hAnsi="IRNazanin" w:eastAsia="IRNazanin"/>
          <w:color w:val="111111"/>
          <w:sz w:val="28"/>
          <w:sz w:val="28"/>
          <w:szCs w:val="28"/>
          <w:rtl w:val="true"/>
          <w:lang w:bidi="fa-IR"/>
        </w:rPr>
        <w:t>وهو النهار من غیر العیدین</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ومبدوه طلوع الفجر الثانی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ووقت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الحمرة</w:t>
      </w:r>
      <w:r>
        <w:rPr>
          <w:rStyle w:val="FootnoteAnchor"/>
          <w:rtl w:val="true"/>
        </w:rPr>
        <w:footnoteReference w:id="1155"/>
      </w:r>
      <w:r>
        <w:rPr>
          <w:rFonts w:ascii="IRNazanin" w:hAnsi="IRNazanin" w:eastAsia="IRNazanin"/>
          <w:color w:val="111111"/>
          <w:sz w:val="28"/>
          <w:sz w:val="28"/>
          <w:szCs w:val="28"/>
          <w:rtl w:val="true"/>
          <w:lang w:bidi="fa-IR"/>
        </w:rPr>
        <w:t> من المشرق</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w:t>
      </w:r>
      <w:r>
        <w:rPr>
          <w:rStyle w:val="FootnoteAnchor"/>
          <w:rtl w:val="true"/>
        </w:rPr>
        <w:footnoteReference w:id="1157"/>
      </w:r>
      <w:r>
        <w:rPr>
          <w:rFonts w:ascii="IRNazanin" w:hAnsi="IRNazanin" w:eastAsia="IRNazanin"/>
          <w:color w:val="111111"/>
          <w:sz w:val="28"/>
          <w:sz w:val="28"/>
          <w:szCs w:val="28"/>
          <w:rtl w:val="true"/>
          <w:lang w:bidi="fa-IR"/>
        </w:rPr>
        <w:t> الإمساک من باب المقدّمة</w:t>
      </w:r>
      <w:r>
        <w:rPr>
          <w:rStyle w:val="FootnoteAnchor"/>
          <w:rtl w:val="true"/>
        </w:rPr>
        <w:footnoteReference w:id="1158"/>
      </w:r>
      <w:r>
        <w:rPr>
          <w:rFonts w:ascii="Amiri" w:hAnsi="Amiri" w:eastAsia="Amiri" w:cs="Amiri"/>
          <w:color w:val="111111"/>
          <w:sz w:val="28"/>
          <w:sz w:val="28"/>
          <w:szCs w:val="28"/>
          <w:rtl w:val="true"/>
          <w:lang w:bidi="ar-SA"/>
        </w:rPr>
        <w:t> فی جزءٍ من اللیل فی کلٍّ من الطرفین</w:t>
      </w:r>
      <w:r>
        <w:rPr>
          <w:rStyle w:val="FootnoteAnchor"/>
          <w:rtl w:val="true"/>
        </w:rPr>
        <w:footnoteReference w:id="1159"/>
      </w:r>
      <w:r>
        <w:rPr>
          <w:rFonts w:ascii="IRNazanin" w:hAnsi="IRNazanin" w:eastAsia="IRNazanin"/>
          <w:color w:val="111111"/>
          <w:sz w:val="28"/>
          <w:sz w:val="28"/>
          <w:szCs w:val="28"/>
          <w:rtl w:val="true"/>
          <w:lang w:bidi="fa-IR"/>
        </w:rPr>
        <w:t xml:space="preserve">؛ لیحصل </w:t>
      </w:r>
      <w:bookmarkStart w:id="482" w:name="pg13281_119894"/>
    </w:p>
    <w:p>
      <w:pPr>
        <w:pStyle w:val="BookText"/>
        <w:rPr/>
      </w:pPr>
      <w:bookmarkEnd w:id="482"/>
      <w:r>
        <w:rPr>
          <w:rFonts w:ascii="IRNazanin" w:hAnsi="IRNazanin" w:eastAsia="IRNazanin"/>
          <w:color w:val="111111"/>
          <w:sz w:val="28"/>
          <w:sz w:val="28"/>
          <w:szCs w:val="28"/>
          <w:rtl w:val="true"/>
          <w:lang w:bidi="fa-IR"/>
        </w:rPr>
        <w:t>العلم بإمساک تمام النهار</w:t>
      </w:r>
      <w:r>
        <w:rPr>
          <w:rFonts w:eastAsia="IRNazanin" w:cs="IRNazanin"/>
          <w:color w:val="111111"/>
          <w:sz w:val="28"/>
          <w:szCs w:val="28"/>
          <w:rtl w:val="true"/>
          <w:lang w:bidi="fa-IR"/>
        </w:rPr>
        <w:t>.</w:t>
      </w:r>
    </w:p>
    <w:p>
      <w:pPr>
        <w:pStyle w:val="Heading3"/>
        <w:numPr>
          <w:ilvl w:val="2"/>
          <w:numId w:val="1"/>
        </w:numPr>
        <w:rPr/>
      </w:pPr>
      <w:bookmarkStart w:id="483" w:name="__RefHeading___Toc1955172_2322387425"/>
      <w:bookmarkStart w:id="484" w:name="_Toc179"/>
      <w:bookmarkEnd w:id="483"/>
      <w:r>
        <w:rPr>
          <w:rtl w:val="true"/>
        </w:rPr>
        <w:t>استصحاب الصلاة قبل الإفطار</w:t>
      </w:r>
      <w:bookmarkEnd w:id="484"/>
    </w:p>
    <w:p>
      <w:pPr>
        <w:pStyle w:val="BookText"/>
        <w:rPr/>
      </w:pPr>
      <w:r>
        <w:rPr>
          <w:rFonts w:ascii="IRNazanin" w:hAnsi="IRNazanin" w:eastAsia="IRNazanin"/>
          <w:color w:val="111111"/>
          <w:sz w:val="28"/>
          <w:sz w:val="28"/>
          <w:szCs w:val="28"/>
          <w:rtl w:val="true"/>
          <w:lang w:bidi="fa-IR"/>
        </w:rPr>
        <w:t>ویستحبّ تأخیر الإفطار حتّی یصلّی العشاءین</w:t>
      </w:r>
      <w:r>
        <w:rPr>
          <w:rStyle w:val="FootnoteAnchor"/>
          <w:rtl w:val="true"/>
        </w:rPr>
        <w:footnoteReference w:id="1160"/>
      </w:r>
      <w:r>
        <w:rPr>
          <w:rFonts w:ascii="IRNazanin" w:hAnsi="IRNazanin" w:eastAsia="IRNazanin"/>
          <w:color w:val="111111"/>
          <w:sz w:val="28"/>
          <w:sz w:val="28"/>
          <w:szCs w:val="28"/>
          <w:rtl w:val="true"/>
          <w:lang w:bidi="fa-IR"/>
        </w:rPr>
        <w:t>؛ لتکتب صلاته صلاة الصائم، إلّا أن یکون هناک من ینتظره للإفطار، أو تنازعه نفسه علی وجهٍ یسلبه الخضوع والإقبال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لأجل القهوة والتتن والتریاک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الأفیون، وهو عصارة الخشخاش تستخدم للتخدیر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ألفاظ الفقهالجعفری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فإنّ الأفضل حینئذٍ الإفطار ثمّ الصلاة مع المحافظة علی وقت الفضیلة بقدر الإمکان</w:t>
      </w:r>
      <w:r>
        <w:rPr>
          <w:rFonts w:eastAsia="IRNazanin" w:cs="IRNazanin"/>
          <w:color w:val="111111"/>
          <w:sz w:val="28"/>
          <w:szCs w:val="28"/>
          <w:rtl w:val="true"/>
          <w:lang w:bidi="fa-IR"/>
        </w:rPr>
        <w:t>.</w:t>
      </w:r>
    </w:p>
    <w:p>
      <w:pPr>
        <w:pStyle w:val="Heading3"/>
        <w:numPr>
          <w:ilvl w:val="2"/>
          <w:numId w:val="1"/>
        </w:numPr>
        <w:rPr/>
      </w:pPr>
      <w:bookmarkStart w:id="485" w:name="__RefHeading___Toc1955174_2322387425"/>
      <w:bookmarkStart w:id="486" w:name="_Toc180"/>
      <w:bookmarkEnd w:id="485"/>
      <w:r>
        <w:rPr>
          <w:rtl w:val="true"/>
        </w:rPr>
        <w:t>عدم مشروعیة الصوم فی اللیل</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یشرع الصوم</w:t>
      </w:r>
      <w:r>
        <w:rPr>
          <w:rStyle w:val="FootnoteAnchor"/>
          <w:rtl w:val="true"/>
        </w:rPr>
        <w:footnoteReference w:id="1162"/>
      </w:r>
      <w:r>
        <w:rPr>
          <w:rFonts w:ascii="IRNazanin" w:hAnsi="IRNazanin" w:eastAsia="IRNazanin"/>
          <w:color w:val="111111"/>
          <w:sz w:val="28"/>
          <w:sz w:val="28"/>
          <w:szCs w:val="28"/>
          <w:rtl w:val="true"/>
          <w:lang w:bidi="fa-IR"/>
        </w:rPr>
        <w:t> فی اللیل، ولا صوم مجموع اللیل والنهار، بل ولا إدخال جزءٍ من اللیل فیه إلّا بقصد المقدّمیة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487" w:name="pg13281_119895"/>
    </w:p>
    <w:p>
      <w:pPr>
        <w:pStyle w:val="BookText"/>
        <w:rPr/>
      </w:pPr>
      <w:bookmarkEnd w:id="487"/>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الصوم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88" w:name="__RefHeading___Toc1955176_2322387425"/>
      <w:bookmarkStart w:id="489" w:name="_Toc181"/>
      <w:bookmarkEnd w:id="488"/>
      <w:r>
        <w:rPr>
          <w:rtl w:val="true"/>
        </w:rPr>
        <w:t>فصل</w:t>
      </w:r>
      <w:r>
        <w:rPr>
          <w:rtl w:val="true"/>
        </w:rPr>
        <w:t xml:space="preserve">: </w:t>
      </w:r>
      <w:r>
        <w:rPr>
          <w:rtl w:val="true"/>
        </w:rPr>
        <w:t>فی شرائط صحّة الصوم</w:t>
      </w:r>
      <w:bookmarkEnd w:id="489"/>
    </w:p>
    <w:p>
      <w:pPr>
        <w:pStyle w:val="Heading3"/>
        <w:numPr>
          <w:ilvl w:val="2"/>
          <w:numId w:val="1"/>
        </w:numPr>
        <w:rPr/>
      </w:pPr>
      <w:bookmarkStart w:id="490" w:name="__RefHeading___Toc1955178_2322387425"/>
      <w:bookmarkStart w:id="491" w:name="_Toc182"/>
      <w:bookmarkEnd w:id="490"/>
      <w:r>
        <w:rPr>
          <w:rtl w:val="true"/>
        </w:rPr>
        <w:t>اشارة</w:t>
      </w:r>
      <w:bookmarkEnd w:id="491"/>
    </w:p>
    <w:p>
      <w:pPr>
        <w:pStyle w:val="BookText"/>
        <w:rPr/>
      </w:pP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اُمور </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955180_2322387425"/>
      <w:bookmarkStart w:id="493" w:name="_Toc183"/>
      <w:bookmarkEnd w:id="492"/>
      <w:r>
        <w:rPr>
          <w:rtl w:val="true"/>
        </w:rPr>
        <w:t xml:space="preserve">الأول </w:t>
      </w:r>
      <w:r>
        <w:rPr>
          <w:rtl w:val="true"/>
        </w:rPr>
        <w:t xml:space="preserve">: </w:t>
      </w:r>
      <w:r>
        <w:rPr>
          <w:rtl w:val="true"/>
        </w:rPr>
        <w:t>الإسلام والإیمان</w:t>
      </w:r>
      <w:bookmarkEnd w:id="49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والإیمان</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من غیر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المومن</w:t>
      </w:r>
      <w:r>
        <w:rPr>
          <w:rStyle w:val="FootnoteAnchor"/>
          <w:rtl w:val="true"/>
        </w:rPr>
        <w:footnoteReference w:id="1165"/>
      </w:r>
      <w:r>
        <w:rPr>
          <w:rFonts w:ascii="IRNazanin" w:hAnsi="IRNazanin" w:eastAsia="IRNazanin"/>
          <w:color w:val="111111"/>
          <w:sz w:val="28"/>
          <w:sz w:val="28"/>
          <w:szCs w:val="28"/>
          <w:rtl w:val="true"/>
          <w:lang w:bidi="fa-IR"/>
        </w:rPr>
        <w:t> ولو فی جزءٍ من النهار</w:t>
      </w:r>
      <w:r>
        <w:rPr>
          <w:rStyle w:val="FootnoteAnchor"/>
          <w:rtl w:val="true"/>
        </w:rPr>
        <w:footnoteReference w:id="1166"/>
      </w:r>
      <w:r>
        <w:rPr>
          <w:rFonts w:ascii="IRNazanin" w:hAnsi="IRNazanin" w:eastAsia="IRNazanin"/>
          <w:color w:val="111111"/>
          <w:sz w:val="28"/>
          <w:sz w:val="28"/>
          <w:szCs w:val="28"/>
          <w:rtl w:val="true"/>
          <w:lang w:bidi="fa-IR"/>
        </w:rPr>
        <w:t>، فلو أسلم الکافر فی أثناء النهار</w:t>
      </w:r>
      <w:r>
        <w:rPr>
          <w:rStyle w:val="FootnoteAnchor"/>
          <w:rtl w:val="true"/>
        </w:rPr>
        <w:footnoteReference w:id="1167"/>
      </w:r>
      <w:r>
        <w:rPr>
          <w:rFonts w:ascii="IRNazanin" w:hAnsi="IRNazanin" w:eastAsia="IRNazanin"/>
          <w:color w:val="111111"/>
          <w:sz w:val="28"/>
          <w:sz w:val="28"/>
          <w:szCs w:val="28"/>
          <w:rtl w:val="true"/>
          <w:lang w:bidi="fa-IR"/>
        </w:rPr>
        <w:t> ولو قبل الزوال</w:t>
      </w:r>
      <w:r>
        <w:rPr>
          <w:rStyle w:val="FootnoteAnchor"/>
          <w:rtl w:val="true"/>
        </w:rPr>
        <w:footnoteReference w:id="1168"/>
      </w:r>
      <w:r>
        <w:rPr>
          <w:rFonts w:ascii="Amiri" w:hAnsi="Amiri" w:eastAsia="Amiri" w:cs="Amiri"/>
          <w:color w:val="111111"/>
          <w:sz w:val="28"/>
          <w:sz w:val="28"/>
          <w:szCs w:val="28"/>
          <w:rtl w:val="true"/>
          <w:lang w:bidi="ar-SA"/>
        </w:rPr>
        <w:t> لم یصحَّ</w:t>
      </w:r>
      <w:r>
        <w:rPr>
          <w:rStyle w:val="FootnoteAnchor"/>
          <w:rtl w:val="true"/>
        </w:rPr>
        <w:footnoteReference w:id="1169"/>
      </w:r>
      <w:r>
        <w:rPr>
          <w:rFonts w:ascii="IRNazanin" w:hAnsi="IRNazanin" w:eastAsia="IRNazanin"/>
          <w:color w:val="111111"/>
          <w:sz w:val="28"/>
          <w:sz w:val="28"/>
          <w:szCs w:val="28"/>
          <w:rtl w:val="true"/>
          <w:lang w:bidi="fa-IR"/>
        </w:rPr>
        <w:t> صومه</w:t>
      </w:r>
      <w:r>
        <w:rPr>
          <w:rStyle w:val="FootnoteAnchor"/>
          <w:rtl w:val="true"/>
        </w:rPr>
        <w:footnoteReference w:id="1170"/>
      </w:r>
      <w:r>
        <w:rPr>
          <w:rFonts w:ascii="IRNazanin" w:hAnsi="IRNazanin" w:eastAsia="IRNazanin"/>
          <w:color w:val="111111"/>
          <w:sz w:val="28"/>
          <w:sz w:val="28"/>
          <w:szCs w:val="28"/>
          <w:rtl w:val="true"/>
          <w:lang w:bidi="fa-IR"/>
        </w:rPr>
        <w:t xml:space="preserve">، وکذا لو </w:t>
      </w:r>
      <w:bookmarkStart w:id="494" w:name="pg13281_119897"/>
    </w:p>
    <w:p>
      <w:pPr>
        <w:pStyle w:val="BookText"/>
        <w:rPr/>
      </w:pPr>
      <w:bookmarkEnd w:id="494"/>
      <w:r>
        <w:rPr>
          <w:rFonts w:ascii="Amiri" w:hAnsi="Amiri" w:eastAsia="Amiri" w:cs="Amiri"/>
          <w:color w:val="111111"/>
          <w:sz w:val="28"/>
          <w:sz w:val="28"/>
          <w:szCs w:val="28"/>
          <w:rtl w:val="true"/>
          <w:lang w:bidi="ar-SA"/>
        </w:rPr>
        <w:t>ارتدّ</w:t>
      </w:r>
      <w:r>
        <w:rPr>
          <w:rStyle w:val="FootnoteAnchor"/>
          <w:rtl w:val="true"/>
        </w:rPr>
        <w:footnoteReference w:id="1171"/>
      </w:r>
      <w:r>
        <w:rPr>
          <w:rFonts w:ascii="IRNazanin" w:hAnsi="IRNazanin" w:eastAsia="IRNazanin"/>
          <w:color w:val="111111"/>
          <w:sz w:val="28"/>
          <w:sz w:val="28"/>
          <w:szCs w:val="28"/>
          <w:rtl w:val="true"/>
          <w:lang w:bidi="fa-IR"/>
        </w:rPr>
        <w:t> ثمّ عاد إلی الإسلام بالتوبة، وإن کان الصوم معیّناً</w:t>
      </w:r>
      <w:r>
        <w:rPr>
          <w:rStyle w:val="FootnoteAnchor"/>
          <w:rtl w:val="true"/>
        </w:rPr>
        <w:footnoteReference w:id="1172"/>
      </w:r>
      <w:r>
        <w:rPr>
          <w:rFonts w:ascii="IRNazanin" w:hAnsi="IRNazanin" w:eastAsia="IRNazanin"/>
          <w:color w:val="111111"/>
          <w:sz w:val="28"/>
          <w:sz w:val="28"/>
          <w:szCs w:val="28"/>
          <w:rtl w:val="true"/>
          <w:lang w:bidi="fa-IR"/>
        </w:rPr>
        <w:t> وجدّد النیّة قبل الزوال علی الأقوی</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955182_2322387425"/>
      <w:bookmarkStart w:id="496" w:name="_Toc184"/>
      <w:bookmarkEnd w:id="495"/>
      <w:r>
        <w:rPr>
          <w:rtl w:val="true"/>
        </w:rPr>
        <w:t xml:space="preserve">الثانی </w:t>
      </w:r>
      <w:r>
        <w:rPr>
          <w:rtl w:val="true"/>
        </w:rPr>
        <w:t xml:space="preserve">: </w:t>
      </w:r>
      <w:r>
        <w:rPr>
          <w:rtl w:val="true"/>
        </w:rPr>
        <w:t>العقل</w:t>
      </w:r>
      <w:bookmarkEnd w:id="49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من المجنون ولو أدواراً وإن کان جنونه فی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من النهار، ولا من السکران</w:t>
      </w:r>
      <w:r>
        <w:rPr>
          <w:rStyle w:val="FootnoteAnchor"/>
          <w:rtl w:val="true"/>
        </w:rPr>
        <w:footnoteReference w:id="1175"/>
      </w:r>
      <w:r>
        <w:rPr>
          <w:rFonts w:ascii="IRNazanin" w:hAnsi="IRNazanin" w:eastAsia="IRNazanin"/>
          <w:color w:val="111111"/>
          <w:sz w:val="28"/>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w:t>
      </w:r>
      <w:r>
        <w:rPr>
          <w:rStyle w:val="FootnoteAnchor"/>
          <w:rtl w:val="true"/>
        </w:rPr>
        <w:footnoteReference w:id="1176"/>
      </w:r>
      <w:r>
        <w:rPr>
          <w:rFonts w:ascii="Amiri" w:hAnsi="Amiri" w:eastAsia="Amiri" w:cs="Amiri"/>
          <w:color w:val="111111"/>
          <w:sz w:val="28"/>
          <w:sz w:val="28"/>
          <w:szCs w:val="28"/>
          <w:rtl w:val="true"/>
          <w:lang w:bidi="ar-SA"/>
        </w:rPr>
        <w:t> المُغمَی علیه</w:t>
      </w:r>
      <w:r>
        <w:rPr>
          <w:rStyle w:val="FootnoteAnchor"/>
          <w:rtl w:val="true"/>
        </w:rPr>
        <w:footnoteReference w:id="1177"/>
      </w:r>
      <w:r>
        <w:rPr>
          <w:rFonts w:ascii="IRNazanin" w:hAnsi="IRNazanin" w:eastAsia="IRNazanin"/>
          <w:color w:val="111111"/>
          <w:sz w:val="28"/>
          <w:sz w:val="28"/>
          <w:szCs w:val="28"/>
          <w:rtl w:val="true"/>
          <w:lang w:bidi="fa-IR"/>
        </w:rPr>
        <w:t> ولو فی بعض النهار</w:t>
      </w:r>
      <w:r>
        <w:rPr>
          <w:rStyle w:val="FootnoteAnchor"/>
          <w:rtl w:val="true"/>
        </w:rPr>
        <w:footnoteReference w:id="1178"/>
      </w:r>
      <w:r>
        <w:rPr>
          <w:rFonts w:ascii="IRNazanin" w:hAnsi="IRNazanin" w:eastAsia="IRNazanin"/>
          <w:color w:val="111111"/>
          <w:sz w:val="28"/>
          <w:sz w:val="28"/>
          <w:szCs w:val="28"/>
          <w:rtl w:val="true"/>
          <w:lang w:bidi="fa-IR"/>
        </w:rPr>
        <w:t>، وإن سبقت منه</w:t>
      </w:r>
      <w:r>
        <w:rPr>
          <w:rStyle w:val="FootnoteAnchor"/>
          <w:rtl w:val="true"/>
        </w:rPr>
        <w:footnoteReference w:id="1179"/>
      </w:r>
      <w:r>
        <w:rPr>
          <w:rFonts w:ascii="Times New Roman" w:hAnsi="Times New Roman" w:eastAsia="Times New Roman" w:cs="Times New Roman"/>
          <w:color w:val="111111"/>
          <w:sz w:val="28"/>
          <w:sz w:val="28"/>
          <w:szCs w:val="28"/>
          <w:rtl w:val="true"/>
          <w:lang w:val="en-US" w:bidi="en-US"/>
        </w:rPr>
        <w:t xml:space="preserve">  </w:t>
      </w:r>
      <w:bookmarkStart w:id="497" w:name="pg13281_119900"/>
    </w:p>
    <w:p>
      <w:pPr>
        <w:pStyle w:val="BookText"/>
        <w:rPr/>
      </w:pPr>
      <w:bookmarkEnd w:id="497"/>
      <w:r>
        <w:rPr>
          <w:rFonts w:ascii="Amiri" w:hAnsi="Amiri" w:eastAsia="Amiri" w:cs="Amiri"/>
          <w:color w:val="111111"/>
          <w:sz w:val="28"/>
          <w:sz w:val="28"/>
          <w:szCs w:val="28"/>
          <w:rtl w:val="true"/>
          <w:lang w:bidi="ar-SA"/>
        </w:rPr>
        <w:t>النیّة</w:t>
      </w:r>
      <w:r>
        <w:rPr>
          <w:rStyle w:val="FootnoteAnchor"/>
          <w:rtl w:val="true"/>
        </w:rPr>
        <w:footnoteReference w:id="1180"/>
      </w:r>
      <w:r>
        <w:rPr>
          <w:rFonts w:ascii="Amiri" w:hAnsi="Amiri" w:eastAsia="Amiri" w:cs="Amiri"/>
          <w:color w:val="111111"/>
          <w:sz w:val="28"/>
          <w:sz w:val="28"/>
          <w:szCs w:val="28"/>
          <w:rtl w:val="true"/>
          <w:lang w:bidi="ar-SA"/>
        </w:rPr>
        <w:t> علی الأصحّ</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955184_2322387425"/>
      <w:bookmarkStart w:id="499" w:name="_Toc185"/>
      <w:bookmarkEnd w:id="498"/>
      <w:r>
        <w:rPr>
          <w:rtl w:val="true"/>
        </w:rPr>
        <w:t xml:space="preserve">الثالث </w:t>
      </w:r>
      <w:r>
        <w:rPr>
          <w:rtl w:val="true"/>
        </w:rPr>
        <w:t xml:space="preserve">: </w:t>
      </w:r>
      <w:r>
        <w:rPr>
          <w:rtl w:val="true"/>
        </w:rPr>
        <w:t>عدم الإصباح جنباً أو علی حدث الحیض والنفاس</w:t>
      </w:r>
      <w:bookmarkEnd w:id="499"/>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الإصباح</w:t>
      </w:r>
      <w:r>
        <w:rPr>
          <w:rStyle w:val="FootnoteAnchor"/>
          <w:rtl w:val="true"/>
        </w:rPr>
        <w:footnoteReference w:id="1182"/>
      </w:r>
      <w:r>
        <w:rPr>
          <w:rFonts w:ascii="IRNazanin" w:hAnsi="IRNazanin" w:eastAsia="IRNazanin"/>
          <w:color w:val="111111"/>
          <w:sz w:val="28"/>
          <w:sz w:val="28"/>
          <w:szCs w:val="28"/>
          <w:rtl w:val="true"/>
          <w:lang w:bidi="fa-IR"/>
        </w:rPr>
        <w:t> جنباً أو علی حدث الحیض والنفاس بعد النقاء من الدم، علی التفصیل المتقدّم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955186_2322387425"/>
      <w:bookmarkStart w:id="501" w:name="_Toc186"/>
      <w:bookmarkEnd w:id="500"/>
      <w:r>
        <w:rPr>
          <w:rtl w:val="true"/>
        </w:rPr>
        <w:t xml:space="preserve">الرابع </w:t>
      </w:r>
      <w:r>
        <w:rPr>
          <w:rtl w:val="true"/>
        </w:rPr>
        <w:t xml:space="preserve">: </w:t>
      </w:r>
      <w:r>
        <w:rPr>
          <w:rtl w:val="true"/>
        </w:rPr>
        <w:t>الخلوّ من الحیض والنفاس فی مجموع النهار</w:t>
      </w:r>
      <w:bookmarkEnd w:id="50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الحیض والنفاس فی مجموع النهار، فلا یصحّ من الحائض والنفساء إذا فاجأهما الدم ولو قبل الغروب بلحظة، أو انقطع عنهما بعد الفجر بلحظة، ویصحّ من المستحاضة</w:t>
      </w:r>
      <w:r>
        <w:rPr>
          <w:rStyle w:val="FootnoteAnchor"/>
          <w:rtl w:val="true"/>
        </w:rPr>
        <w:footnoteReference w:id="1184"/>
      </w:r>
      <w:r>
        <w:rPr>
          <w:rFonts w:ascii="IRNazanin" w:hAnsi="IRNazanin" w:eastAsia="IRNazanin"/>
          <w:color w:val="111111"/>
          <w:sz w:val="28"/>
          <w:sz w:val="28"/>
          <w:szCs w:val="28"/>
          <w:rtl w:val="true"/>
          <w:lang w:bidi="fa-IR"/>
        </w:rPr>
        <w:t> إذا أتت بما علیها من الأغسال النهاریة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502" w:name="pg13281_119901"/>
    </w:p>
    <w:p>
      <w:pPr>
        <w:pStyle w:val="Heading3"/>
        <w:numPr>
          <w:ilvl w:val="2"/>
          <w:numId w:val="1"/>
        </w:numPr>
        <w:rPr/>
      </w:pPr>
      <w:bookmarkStart w:id="503" w:name="__RefHeading___Toc1955188_2322387425"/>
      <w:bookmarkStart w:id="504" w:name="_Toc187"/>
      <w:bookmarkEnd w:id="502"/>
      <w:bookmarkEnd w:id="503"/>
      <w:r>
        <w:rPr>
          <w:rtl w:val="true"/>
        </w:rPr>
        <w:t xml:space="preserve">الخامس </w:t>
      </w:r>
      <w:r>
        <w:rPr>
          <w:rtl w:val="true"/>
        </w:rPr>
        <w:t xml:space="preserve">: </w:t>
      </w:r>
      <w:r>
        <w:rPr>
          <w:rtl w:val="true"/>
        </w:rPr>
        <w:t>أن لا یکون مسافراً </w:t>
      </w:r>
      <w:bookmarkEnd w:id="504"/>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مسافراً سفراً یوجب قصر الصلاة مع العلم بالحکم فی الصوم الواجب،</w:t>
      </w:r>
    </w:p>
    <w:p>
      <w:pPr>
        <w:pStyle w:val="Heading3"/>
        <w:numPr>
          <w:ilvl w:val="2"/>
          <w:numId w:val="1"/>
        </w:numPr>
        <w:rPr/>
      </w:pPr>
      <w:bookmarkStart w:id="505" w:name="__RefHeading___Toc1955190_2322387425"/>
      <w:bookmarkStart w:id="506" w:name="_Toc188"/>
      <w:bookmarkEnd w:id="505"/>
      <w:r>
        <w:rPr>
          <w:rtl w:val="true"/>
        </w:rPr>
        <w:t>مواضع استثنیت من الصوم فی السفر</w:t>
      </w:r>
      <w:bookmarkEnd w:id="506"/>
    </w:p>
    <w:p>
      <w:pPr>
        <w:pStyle w:val="BookText"/>
        <w:rPr/>
      </w:pPr>
      <w:r>
        <w:rPr>
          <w:rFonts w:ascii="IRNazanin" w:hAnsi="IRNazanin" w:eastAsia="IRNazanin"/>
          <w:color w:val="111111"/>
          <w:sz w:val="28"/>
          <w:sz w:val="28"/>
          <w:szCs w:val="28"/>
          <w:rtl w:val="true"/>
          <w:lang w:bidi="fa-IR"/>
        </w:rPr>
        <w:t xml:space="preserve">إلّا فی ثلاثة مواضع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أیّام بدل هَدیِ التمتّع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بدل البدنة ممّن أفاض من عرفات قبل الغروب عامداً، وهو ثمانیة عشر یوماً</w:t>
      </w:r>
      <w:r>
        <w:rPr>
          <w:rFonts w:eastAsia="IRNazanin" w:cs="IRNazanin"/>
          <w:color w:val="111111"/>
          <w:sz w:val="28"/>
          <w:szCs w:val="28"/>
          <w:rtl w:val="true"/>
          <w:lang w:bidi="fa-IR"/>
        </w:rPr>
        <w:t xml:space="preserve">. </w:t>
      </w:r>
      <w:bookmarkStart w:id="507" w:name="pg13281_119902"/>
    </w:p>
    <w:p>
      <w:pPr>
        <w:pStyle w:val="BookText"/>
        <w:rPr/>
      </w:pPr>
      <w:bookmarkEnd w:id="507"/>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النذر</w:t>
      </w:r>
      <w:r>
        <w:rPr>
          <w:rStyle w:val="FootnoteAnchor"/>
          <w:rtl w:val="true"/>
        </w:rPr>
        <w:footnoteReference w:id="1186"/>
      </w:r>
      <w:r>
        <w:rPr>
          <w:rFonts w:ascii="Amiri" w:hAnsi="Amiri" w:eastAsia="Amiri" w:cs="Amiri"/>
          <w:color w:val="111111"/>
          <w:sz w:val="28"/>
          <w:sz w:val="28"/>
          <w:szCs w:val="28"/>
          <w:rtl w:val="true"/>
          <w:lang w:bidi="ar-SA"/>
        </w:rPr>
        <w:t> المشترط فیه سفراً خاصّةً أو سفراً وحضراً دون النذر المطلق،</w:t>
      </w:r>
    </w:p>
    <w:p>
      <w:pPr>
        <w:pStyle w:val="Heading3"/>
        <w:numPr>
          <w:ilvl w:val="2"/>
          <w:numId w:val="1"/>
        </w:numPr>
        <w:rPr/>
      </w:pPr>
      <w:bookmarkStart w:id="508" w:name="__RefHeading___Toc1955192_2322387425"/>
      <w:bookmarkStart w:id="509" w:name="_Toc189"/>
      <w:bookmarkEnd w:id="508"/>
      <w:r>
        <w:rPr>
          <w:rtl w:val="true"/>
        </w:rPr>
        <w:t>الصوم المندوب فی السفر</w:t>
      </w:r>
      <w:bookmarkEnd w:id="50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عدم</w:t>
      </w:r>
      <w:r>
        <w:rPr>
          <w:rStyle w:val="FootnoteAnchor"/>
          <w:rtl w:val="true"/>
        </w:rPr>
        <w:footnoteReference w:id="1187"/>
      </w:r>
      <w:r>
        <w:rPr>
          <w:rFonts w:ascii="IRNazanin" w:hAnsi="IRNazanin" w:eastAsia="IRNazanin"/>
          <w:color w:val="111111"/>
          <w:sz w:val="28"/>
          <w:sz w:val="28"/>
          <w:szCs w:val="28"/>
          <w:rtl w:val="true"/>
          <w:lang w:bidi="fa-IR"/>
        </w:rPr>
        <w:t> جواز</w:t>
      </w:r>
      <w:r>
        <w:rPr>
          <w:rStyle w:val="FootnoteAnchor"/>
          <w:rtl w:val="true"/>
        </w:rPr>
        <w:footnoteReference w:id="1188"/>
      </w:r>
      <w:r>
        <w:rPr>
          <w:rFonts w:ascii="IRNazanin" w:hAnsi="IRNazanin" w:eastAsia="IRNazanin"/>
          <w:color w:val="111111"/>
          <w:sz w:val="28"/>
          <w:sz w:val="28"/>
          <w:szCs w:val="28"/>
          <w:rtl w:val="true"/>
          <w:lang w:bidi="fa-IR"/>
        </w:rPr>
        <w:t> الصوم المندوب</w:t>
      </w:r>
      <w:r>
        <w:rPr>
          <w:rStyle w:val="FootnoteAnchor"/>
          <w:rtl w:val="true"/>
        </w:rPr>
        <w:footnoteReference w:id="1189"/>
      </w:r>
      <w:r>
        <w:rPr>
          <w:rFonts w:ascii="IRNazanin" w:hAnsi="IRNazanin" w:eastAsia="IRNazanin"/>
          <w:color w:val="111111"/>
          <w:sz w:val="28"/>
          <w:sz w:val="28"/>
          <w:szCs w:val="28"/>
          <w:rtl w:val="true"/>
          <w:lang w:bidi="fa-IR"/>
        </w:rPr>
        <w:t> فی السفر أیضاًإلّا ثلاثة أیّام للحاجة فی المدینة، والأفضل</w:t>
      </w:r>
      <w:r>
        <w:rPr>
          <w:rStyle w:val="FootnoteAnchor"/>
          <w:rtl w:val="true"/>
        </w:rPr>
        <w:footnoteReference w:id="1190"/>
      </w:r>
      <w:r>
        <w:rPr>
          <w:rFonts w:ascii="IRNazanin" w:hAnsi="IRNazanin" w:eastAsia="IRNazanin"/>
          <w:color w:val="111111"/>
          <w:sz w:val="28"/>
          <w:sz w:val="28"/>
          <w:szCs w:val="28"/>
          <w:rtl w:val="true"/>
          <w:lang w:bidi="fa-IR"/>
        </w:rPr>
        <w:t> إتیانها</w:t>
      </w:r>
      <w:r>
        <w:rPr>
          <w:rStyle w:val="FootnoteAnchor"/>
          <w:rtl w:val="true"/>
        </w:rPr>
        <w:footnoteReference w:id="1191"/>
      </w:r>
      <w:r>
        <w:rPr>
          <w:rFonts w:ascii="IRNazanin" w:hAnsi="IRNazanin" w:eastAsia="IRNazanin"/>
          <w:color w:val="111111"/>
          <w:sz w:val="28"/>
          <w:sz w:val="28"/>
          <w:szCs w:val="28"/>
          <w:rtl w:val="true"/>
          <w:lang w:bidi="fa-IR"/>
        </w:rPr>
        <w:t xml:space="preserve"> فی الأربعاء </w:t>
      </w:r>
      <w:bookmarkStart w:id="510" w:name="pg13281_119903"/>
    </w:p>
    <w:p>
      <w:pPr>
        <w:pStyle w:val="BookText"/>
        <w:rPr/>
      </w:pPr>
      <w:bookmarkEnd w:id="510"/>
      <w:r>
        <w:rPr>
          <w:rFonts w:ascii="IRNazanin" w:hAnsi="IRNazanin" w:eastAsia="IRNazanin"/>
          <w:color w:val="111111"/>
          <w:sz w:val="28"/>
          <w:sz w:val="28"/>
          <w:szCs w:val="28"/>
          <w:rtl w:val="true"/>
          <w:lang w:bidi="fa-IR"/>
        </w:rPr>
        <w:t>و</w:t>
      </w:r>
      <w:r>
        <w:rPr>
          <w:rStyle w:val="FootnoteAnchor"/>
          <w:rtl w:val="true"/>
        </w:rPr>
        <w:footnoteReference w:id="1192"/>
      </w:r>
      <w:r>
        <w:rPr>
          <w:rFonts w:ascii="IRNazanin" w:hAnsi="IRNazanin" w:eastAsia="IRNazanin"/>
          <w:color w:val="111111"/>
          <w:sz w:val="28"/>
          <w:sz w:val="28"/>
          <w:szCs w:val="28"/>
          <w:rtl w:val="true"/>
          <w:lang w:bidi="fa-IR"/>
        </w:rPr>
        <w:t>الخمیس والجمعة</w:t>
      </w:r>
      <w:r>
        <w:rPr>
          <w:rFonts w:eastAsia="IRNazanin" w:cs="IRNazanin"/>
          <w:color w:val="111111"/>
          <w:sz w:val="28"/>
          <w:szCs w:val="28"/>
          <w:rtl w:val="true"/>
          <w:lang w:bidi="fa-IR"/>
        </w:rPr>
        <w:t>.</w:t>
      </w:r>
    </w:p>
    <w:p>
      <w:pPr>
        <w:pStyle w:val="Heading3"/>
        <w:numPr>
          <w:ilvl w:val="2"/>
          <w:numId w:val="1"/>
        </w:numPr>
        <w:rPr/>
      </w:pPr>
      <w:bookmarkStart w:id="511" w:name="__RefHeading___Toc1955194_2322387425"/>
      <w:bookmarkStart w:id="512" w:name="_Toc190"/>
      <w:bookmarkEnd w:id="511"/>
      <w:r>
        <w:rPr>
          <w:rtl w:val="true"/>
        </w:rPr>
        <w:t>صحة صوم المسافر الجاهل بالحکم دون الناسی</w:t>
      </w:r>
      <w:bookmarkEnd w:id="512"/>
    </w:p>
    <w:p>
      <w:pPr>
        <w:pStyle w:val="BookText"/>
        <w:rPr/>
      </w:pPr>
      <w:r>
        <w:rPr>
          <w:rFonts w:ascii="IRNazanin" w:hAnsi="IRNazanin" w:eastAsia="IRNazanin"/>
          <w:color w:val="111111"/>
          <w:sz w:val="28"/>
          <w:sz w:val="28"/>
          <w:szCs w:val="28"/>
          <w:rtl w:val="true"/>
          <w:lang w:bidi="fa-IR"/>
        </w:rPr>
        <w:t>وأمّا المسافر الجاهل بالحکم لو صام فیصحّ صومه ویجزیه، علی حسبما عرفته فی جاهل حکم الصلاة؛ إذ الإفطار کالقصر، والصیام کالتمام فی الصلاة، لکن یشترط أن یبقی علی جهله إلی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علم بالحکم فی الأثناء فلا یصحّ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الناسی فلا یلحق</w:t>
      </w:r>
      <w:r>
        <w:rPr>
          <w:rStyle w:val="FootnoteAnchor"/>
          <w:rtl w:val="true"/>
        </w:rPr>
        <w:footnoteReference w:id="1193"/>
      </w:r>
      <w:r>
        <w:rPr>
          <w:rFonts w:ascii="IRNazanin" w:hAnsi="IRNazanin" w:eastAsia="IRNazanin"/>
          <w:color w:val="111111"/>
          <w:sz w:val="28"/>
          <w:sz w:val="28"/>
          <w:szCs w:val="28"/>
          <w:rtl w:val="true"/>
          <w:lang w:bidi="fa-IR"/>
        </w:rPr>
        <w:t> بالجاهل فی</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955196_2322387425"/>
      <w:bookmarkStart w:id="514" w:name="_Toc191"/>
      <w:bookmarkEnd w:id="513"/>
      <w:r>
        <w:rPr>
          <w:rtl w:val="true"/>
        </w:rPr>
        <w:t>صحة الصوم من المسافر بعد الزوال وکذا من لم یقصّر فی صلاته</w:t>
      </w:r>
      <w:bookmarkEnd w:id="514"/>
    </w:p>
    <w:p>
      <w:pPr>
        <w:pStyle w:val="BookText"/>
        <w:rPr/>
      </w:pPr>
      <w:r>
        <w:rPr>
          <w:rFonts w:ascii="IRNazanin" w:hAnsi="IRNazanin" w:eastAsia="IRNazanin"/>
          <w:color w:val="111111"/>
          <w:sz w:val="28"/>
          <w:sz w:val="28"/>
          <w:szCs w:val="28"/>
          <w:rtl w:val="true"/>
          <w:lang w:bidi="fa-IR"/>
        </w:rPr>
        <w:t>وکذا یصحّ الصوم من المسافر إذا سافر بعد الزوال</w:t>
      </w:r>
      <w:r>
        <w:rPr>
          <w:rStyle w:val="FootnoteAnchor"/>
          <w:rtl w:val="true"/>
        </w:rPr>
        <w:footnoteReference w:id="1194"/>
      </w:r>
      <w:r>
        <w:rPr>
          <w:rFonts w:ascii="Amiri" w:hAnsi="Amiri" w:eastAsia="Amiri" w:cs="Amiri"/>
          <w:color w:val="111111"/>
          <w:sz w:val="28"/>
          <w:sz w:val="28"/>
          <w:szCs w:val="28"/>
          <w:rtl w:val="true"/>
          <w:lang w:bidi="ar-SA"/>
        </w:rPr>
        <w:t>، کما أنّه یصحّ صومه إذا لم یقصّر فی صلاته، کَنَاوی الإقامة عشرة أیّام، والمتردِّد ثلاثین یوماً</w:t>
      </w:r>
      <w:r>
        <w:rPr>
          <w:rStyle w:val="FootnoteAnchor"/>
          <w:rtl w:val="true"/>
        </w:rPr>
        <w:footnoteReference w:id="1195"/>
      </w:r>
      <w:r>
        <w:rPr>
          <w:rFonts w:ascii="IRNazanin" w:hAnsi="IRNazanin" w:eastAsia="IRNazanin"/>
          <w:color w:val="111111"/>
          <w:sz w:val="28"/>
          <w:sz w:val="28"/>
          <w:szCs w:val="28"/>
          <w:rtl w:val="true"/>
          <w:lang w:bidi="fa-IR"/>
        </w:rPr>
        <w:t>، وکثیر السفر</w:t>
      </w:r>
      <w:r>
        <w:rPr>
          <w:rStyle w:val="FootnoteAnchor"/>
          <w:rtl w:val="true"/>
        </w:rPr>
        <w:footnoteReference w:id="1196"/>
      </w:r>
      <w:r>
        <w:rPr>
          <w:rFonts w:ascii="IRNazanin" w:hAnsi="IRNazanin" w:eastAsia="IRNazanin"/>
          <w:color w:val="111111"/>
          <w:sz w:val="28"/>
          <w:sz w:val="28"/>
          <w:szCs w:val="28"/>
          <w:rtl w:val="true"/>
          <w:lang w:bidi="fa-IR"/>
        </w:rPr>
        <w:t>، والعاصی</w:t>
      </w:r>
      <w:r>
        <w:rPr>
          <w:rStyle w:val="FootnoteAnchor"/>
          <w:rtl w:val="true"/>
        </w:rPr>
        <w:footnoteReference w:id="1197"/>
      </w:r>
      <w:r>
        <w:rPr>
          <w:rFonts w:ascii="Amiri" w:hAnsi="Amiri" w:eastAsia="Amiri" w:cs="Amiri"/>
          <w:color w:val="111111"/>
          <w:sz w:val="28"/>
          <w:sz w:val="28"/>
          <w:szCs w:val="28"/>
          <w:rtl w:val="true"/>
          <w:lang w:bidi="ar-SA"/>
        </w:rPr>
        <w:t> بسفره، وغیرهم ممّن تقدّم تفصیلاً</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فی کتاب الصلاة</w:t>
      </w:r>
      <w:r>
        <w:rPr>
          <w:rFonts w:eastAsia="IRNazanin" w:cs="IRNazanin"/>
          <w:color w:val="111111"/>
          <w:sz w:val="28"/>
          <w:szCs w:val="28"/>
          <w:rtl w:val="true"/>
          <w:lang w:bidi="fa-IR"/>
        </w:rPr>
        <w:t>.</w:t>
      </w:r>
    </w:p>
    <w:p>
      <w:pPr>
        <w:pStyle w:val="Heading3"/>
        <w:numPr>
          <w:ilvl w:val="2"/>
          <w:numId w:val="1"/>
        </w:numPr>
        <w:rPr/>
      </w:pPr>
      <w:bookmarkStart w:id="515" w:name="__RefHeading___Toc1955198_2322387425"/>
      <w:bookmarkStart w:id="516" w:name="_Toc192"/>
      <w:bookmarkEnd w:id="515"/>
      <w:r>
        <w:rPr>
          <w:rtl w:val="true"/>
        </w:rPr>
        <w:t xml:space="preserve">السادس </w:t>
      </w:r>
      <w:r>
        <w:rPr>
          <w:rtl w:val="true"/>
        </w:rPr>
        <w:t xml:space="preserve">: </w:t>
      </w:r>
      <w:r>
        <w:rPr>
          <w:rtl w:val="true"/>
        </w:rPr>
        <w:t>عدم المرض أو الرمد الذی یضرّه الصوم</w:t>
      </w:r>
      <w:bookmarkEnd w:id="51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المرض أو الرمد الّذی یضرُّه الصوم؛ لإیجابه شدّته أو طول بُرئه أو شدّة ألمه</w:t>
      </w:r>
      <w:r>
        <w:rPr>
          <w:rStyle w:val="FootnoteAnchor"/>
          <w:rtl w:val="true"/>
        </w:rPr>
        <w:footnoteReference w:id="1199"/>
      </w:r>
      <w:r>
        <w:rPr>
          <w:rFonts w:ascii="IRNazanin" w:hAnsi="IRNazanin" w:eastAsia="IRNazanin"/>
          <w:color w:val="111111"/>
          <w:sz w:val="28"/>
          <w:sz w:val="28"/>
          <w:szCs w:val="28"/>
          <w:rtl w:val="true"/>
          <w:lang w:bidi="fa-IR"/>
        </w:rPr>
        <w:t xml:space="preserve"> أو نحو ذلک سواء حصل الیقین بذلک، أم الظنّ أم </w:t>
      </w:r>
    </w:p>
    <w:p>
      <w:pPr>
        <w:pStyle w:val="BookText"/>
        <w:rPr/>
      </w:pPr>
      <w:r>
        <w:rPr>
          <w:rFonts w:ascii="IRNazanin" w:hAnsi="IRNazanin" w:eastAsia="IRNazanin"/>
          <w:color w:val="111111"/>
          <w:sz w:val="28"/>
          <w:sz w:val="28"/>
          <w:szCs w:val="28"/>
          <w:rtl w:val="true"/>
          <w:lang w:bidi="fa-IR"/>
        </w:rPr>
        <w:t>الاحتمال</w:t>
      </w:r>
      <w:r>
        <w:rPr>
          <w:rStyle w:val="FootnoteAnchor"/>
          <w:rtl w:val="true"/>
        </w:rPr>
        <w:footnoteReference w:id="1200"/>
      </w:r>
      <w:r>
        <w:rPr>
          <w:rFonts w:ascii="IRNazanin" w:hAnsi="IRNazanin" w:eastAsia="IRNazanin"/>
          <w:color w:val="111111"/>
          <w:sz w:val="28"/>
          <w:sz w:val="28"/>
          <w:szCs w:val="28"/>
          <w:rtl w:val="true"/>
          <w:lang w:bidi="fa-IR"/>
        </w:rPr>
        <w:t> الموجب للخوف</w:t>
      </w:r>
      <w:r>
        <w:rPr>
          <w:rStyle w:val="FootnoteAnchor"/>
          <w:rtl w:val="true"/>
        </w:rPr>
        <w:footnoteReference w:id="1201"/>
      </w:r>
      <w:r>
        <w:rPr>
          <w:rFonts w:ascii="IRNazanin" w:hAnsi="IRNazanin" w:eastAsia="IRNazanin"/>
          <w:color w:val="111111"/>
          <w:sz w:val="28"/>
          <w:sz w:val="28"/>
          <w:szCs w:val="28"/>
          <w:rtl w:val="true"/>
          <w:lang w:bidi="fa-IR"/>
        </w:rPr>
        <w:t>، بل لو خاف</w:t>
      </w:r>
      <w:r>
        <w:rPr>
          <w:rStyle w:val="FootnoteAnchor"/>
          <w:rtl w:val="true"/>
        </w:rPr>
        <w:footnoteReference w:id="1202"/>
      </w:r>
      <w:r>
        <w:rPr>
          <w:rFonts w:ascii="IRNazanin" w:hAnsi="IRNazanin" w:eastAsia="IRNazanin"/>
          <w:color w:val="111111"/>
          <w:sz w:val="28"/>
          <w:sz w:val="28"/>
          <w:szCs w:val="28"/>
          <w:rtl w:val="true"/>
          <w:lang w:bidi="fa-IR"/>
        </w:rPr>
        <w:t> الصحیح</w:t>
      </w:r>
      <w:r>
        <w:rPr>
          <w:rStyle w:val="FootnoteAnchor"/>
          <w:rtl w:val="true"/>
        </w:rPr>
        <w:footnoteReference w:id="1203"/>
      </w:r>
      <w:r>
        <w:rPr>
          <w:rFonts w:ascii="IRNazanin" w:hAnsi="IRNazanin" w:eastAsia="IRNazanin"/>
          <w:color w:val="111111"/>
          <w:sz w:val="28"/>
          <w:sz w:val="28"/>
          <w:szCs w:val="28"/>
          <w:rtl w:val="true"/>
          <w:lang w:bidi="fa-IR"/>
        </w:rPr>
        <w:t> من حدوث</w:t>
      </w:r>
      <w:r>
        <w:rPr>
          <w:rStyle w:val="FootnoteAnchor"/>
          <w:rtl w:val="true"/>
        </w:rPr>
        <w:footnoteReference w:id="1204"/>
      </w:r>
      <w:r>
        <w:rPr>
          <w:rFonts w:ascii="Amiri" w:hAnsi="Amiri" w:eastAsia="Amiri" w:cs="Amiri"/>
          <w:color w:val="111111"/>
          <w:sz w:val="28"/>
          <w:sz w:val="28"/>
          <w:szCs w:val="28"/>
          <w:rtl w:val="true"/>
          <w:lang w:bidi="ar-SA"/>
        </w:rPr>
        <w:t> المرض لم یصحَّ منه</w:t>
      </w:r>
      <w:r>
        <w:rPr>
          <w:rStyle w:val="FootnoteAnchor"/>
          <w:rtl w:val="true"/>
        </w:rPr>
        <w:footnoteReference w:id="1205"/>
      </w:r>
      <w:r>
        <w:rPr>
          <w:rFonts w:ascii="IRNazanin" w:hAnsi="IRNazanin" w:eastAsia="IRNazanin"/>
          <w:color w:val="111111"/>
          <w:sz w:val="28"/>
          <w:sz w:val="28"/>
          <w:szCs w:val="28"/>
          <w:rtl w:val="true"/>
          <w:lang w:bidi="fa-IR"/>
        </w:rPr>
        <w:t>، وکذا إذا خاف من الضرر</w:t>
      </w:r>
      <w:r>
        <w:rPr>
          <w:rStyle w:val="FootnoteAnchor"/>
          <w:rtl w:val="true"/>
        </w:rPr>
        <w:footnoteReference w:id="1206"/>
      </w:r>
      <w:r>
        <w:rPr>
          <w:rFonts w:ascii="IRNazanin" w:hAnsi="IRNazanin" w:eastAsia="IRNazanin"/>
          <w:color w:val="111111"/>
          <w:sz w:val="28"/>
          <w:sz w:val="28"/>
          <w:szCs w:val="28"/>
          <w:rtl w:val="true"/>
          <w:lang w:bidi="fa-IR"/>
        </w:rPr>
        <w:t> فی نفسه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7" w:name="pg13281_119905"/>
    </w:p>
    <w:p>
      <w:pPr>
        <w:pStyle w:val="BookText"/>
        <w:rPr/>
      </w:pPr>
      <w:bookmarkEnd w:id="517"/>
      <w:r>
        <w:rPr>
          <w:rFonts w:ascii="IRNazanin" w:hAnsi="IRNazanin" w:eastAsia="IRNazanin"/>
          <w:color w:val="111111"/>
          <w:sz w:val="28"/>
          <w:sz w:val="28"/>
          <w:szCs w:val="28"/>
          <w:rtl w:val="true"/>
          <w:lang w:bidi="fa-IR"/>
        </w:rPr>
        <w:t>أو غیره أو عرضه أو عرض غیره، أو فی مال یجب حفظه</w:t>
      </w:r>
      <w:r>
        <w:rPr>
          <w:rStyle w:val="FootnoteAnchor"/>
          <w:rtl w:val="true"/>
        </w:rPr>
        <w:footnoteReference w:id="1207"/>
      </w:r>
      <w:r>
        <w:rPr>
          <w:rFonts w:ascii="IRNazanin" w:hAnsi="IRNazanin" w:eastAsia="IRNazanin"/>
          <w:color w:val="111111"/>
          <w:sz w:val="28"/>
          <w:sz w:val="28"/>
          <w:szCs w:val="28"/>
          <w:rtl w:val="true"/>
          <w:lang w:bidi="fa-IR"/>
        </w:rPr>
        <w:t> وکان وجوبه أهمّ</w:t>
      </w:r>
      <w:r>
        <w:rPr>
          <w:rStyle w:val="FootnoteAnchor"/>
          <w:rtl w:val="true"/>
        </w:rPr>
        <w:footnoteReference w:id="1208"/>
      </w:r>
      <w:r>
        <w:rPr>
          <w:rFonts w:ascii="IRNazanin" w:hAnsi="IRNazanin" w:eastAsia="IRNazanin"/>
          <w:color w:val="111111"/>
          <w:sz w:val="28"/>
          <w:sz w:val="28"/>
          <w:szCs w:val="28"/>
          <w:rtl w:val="true"/>
          <w:lang w:bidi="fa-IR"/>
        </w:rPr>
        <w:t> فی نظر الشارع من وجوب الصوم،</w:t>
      </w:r>
    </w:p>
    <w:p>
      <w:pPr>
        <w:pStyle w:val="Heading3"/>
        <w:numPr>
          <w:ilvl w:val="2"/>
          <w:numId w:val="1"/>
        </w:numPr>
        <w:rPr/>
      </w:pPr>
      <w:bookmarkStart w:id="518" w:name="__RefHeading___Toc1955200_2322387425"/>
      <w:bookmarkStart w:id="519" w:name="_Toc193"/>
      <w:bookmarkEnd w:id="518"/>
      <w:r>
        <w:rPr>
          <w:rtl w:val="true"/>
        </w:rPr>
        <w:t>عدم الابتلاء بالمزاحم الأهمّ</w:t>
      </w:r>
      <w:bookmarkEnd w:id="519"/>
    </w:p>
    <w:p>
      <w:pPr>
        <w:pStyle w:val="BookText"/>
        <w:rPr/>
      </w:pPr>
      <w:r>
        <w:rPr>
          <w:rFonts w:ascii="IRNazanin" w:hAnsi="IRNazanin" w:eastAsia="IRNazanin"/>
          <w:color w:val="111111"/>
          <w:sz w:val="28"/>
          <w:sz w:val="28"/>
          <w:szCs w:val="28"/>
          <w:rtl w:val="true"/>
          <w:lang w:bidi="fa-IR"/>
        </w:rPr>
        <w:t>وکذا إذا زاحمه</w:t>
      </w:r>
      <w:r>
        <w:rPr>
          <w:rStyle w:val="FootnoteAnchor"/>
          <w:rtl w:val="true"/>
        </w:rPr>
        <w:footnoteReference w:id="1209"/>
      </w:r>
      <w:r>
        <w:rPr>
          <w:rFonts w:ascii="IRNazanin" w:hAnsi="IRNazanin" w:eastAsia="IRNazanin"/>
          <w:color w:val="111111"/>
          <w:sz w:val="28"/>
          <w:sz w:val="28"/>
          <w:szCs w:val="28"/>
          <w:rtl w:val="true"/>
          <w:lang w:bidi="fa-IR"/>
        </w:rPr>
        <w:t> واجب آخر أهمّ</w:t>
      </w:r>
      <w:r>
        <w:rPr>
          <w:rStyle w:val="FootnoteAnchor"/>
          <w:rtl w:val="true"/>
        </w:rPr>
        <w:footnoteReference w:id="1210"/>
      </w:r>
      <w:r>
        <w:rPr>
          <w:rFonts w:ascii="IRNazanin" w:hAnsi="IRNazanin" w:eastAsia="IRNazanin"/>
          <w:color w:val="111111"/>
          <w:sz w:val="28"/>
          <w:sz w:val="28"/>
          <w:szCs w:val="28"/>
          <w:rtl w:val="true"/>
          <w:lang w:bidi="fa-IR"/>
        </w:rPr>
        <w:t> منه</w:t>
      </w:r>
      <w:r>
        <w:rPr>
          <w:rStyle w:val="FootnoteAnchor"/>
          <w:rtl w:val="true"/>
        </w:rPr>
        <w:footnoteReference w:id="1211"/>
      </w:r>
      <w:r>
        <w:rPr>
          <w:rFonts w:ascii="IRNazanin" w:hAnsi="IRNazanin" w:eastAsia="IRNazanin"/>
          <w:color w:val="111111"/>
          <w:sz w:val="28"/>
          <w:sz w:val="28"/>
          <w:szCs w:val="28"/>
          <w:rtl w:val="true"/>
          <w:lang w:bidi="fa-IR"/>
        </w:rPr>
        <w:t>،</w:t>
      </w:r>
    </w:p>
    <w:p>
      <w:pPr>
        <w:pStyle w:val="Heading3"/>
        <w:numPr>
          <w:ilvl w:val="2"/>
          <w:numId w:val="1"/>
        </w:numPr>
        <w:rPr/>
      </w:pPr>
      <w:bookmarkStart w:id="520" w:name="__RefHeading___Toc1955202_2322387425"/>
      <w:bookmarkStart w:id="521" w:name="_Toc194"/>
      <w:bookmarkEnd w:id="520"/>
      <w:r>
        <w:rPr>
          <w:rtl w:val="true"/>
        </w:rPr>
        <w:t>عدم کفایة الضعف فی سقوط الصوم </w:t>
      </w:r>
      <w:bookmarkEnd w:id="52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یکفی الضعف وإن کان مفرطاً ما دام یتحمّل عادةً، نعم، لو کان ممّا لا یتحمّل </w:t>
      </w:r>
      <w:bookmarkStart w:id="522" w:name="pg13281_119906"/>
    </w:p>
    <w:p>
      <w:pPr>
        <w:pStyle w:val="BookText"/>
        <w:rPr/>
      </w:pPr>
      <w:bookmarkEnd w:id="522"/>
      <w:r>
        <w:rPr>
          <w:rFonts w:ascii="Amiri" w:hAnsi="Amiri" w:eastAsia="Amiri" w:cs="Amiri"/>
          <w:color w:val="111111"/>
          <w:sz w:val="28"/>
          <w:sz w:val="28"/>
          <w:szCs w:val="28"/>
          <w:rtl w:val="true"/>
          <w:lang w:bidi="ar-SA"/>
        </w:rPr>
        <w:t>عادةً جاز الإفطار</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955204_2322387425"/>
      <w:bookmarkStart w:id="524" w:name="_Toc195"/>
      <w:bookmarkEnd w:id="523"/>
      <w:r>
        <w:rPr>
          <w:rtl w:val="true"/>
        </w:rPr>
        <w:t>الصوم بزعم عدم الضرر مع انکشاف الخلاف</w:t>
      </w:r>
      <w:bookmarkEnd w:id="524"/>
    </w:p>
    <w:p>
      <w:pPr>
        <w:pStyle w:val="BookText"/>
        <w:rPr/>
      </w:pPr>
      <w:r>
        <w:rPr>
          <w:rFonts w:ascii="IRNazanin" w:hAnsi="IRNazanin" w:eastAsia="IRNazanin"/>
          <w:color w:val="111111"/>
          <w:sz w:val="28"/>
          <w:sz w:val="28"/>
          <w:szCs w:val="28"/>
          <w:rtl w:val="true"/>
          <w:lang w:bidi="fa-IR"/>
        </w:rPr>
        <w:t>ولو صام بزعم عدم الضرر فبان الخلاف بعد الفراغ من الصوم ففی الصحّة إشکال</w:t>
      </w:r>
      <w:r>
        <w:rPr>
          <w:rStyle w:val="FootnoteAnchor"/>
          <w:rtl w:val="true"/>
        </w:rPr>
        <w:footnoteReference w:id="1212"/>
      </w:r>
      <w:r>
        <w:rPr>
          <w:rFonts w:ascii="Amiri" w:hAnsi="Amiri" w:eastAsia="Amiri" w:cs="Amiri"/>
          <w:color w:val="111111"/>
          <w:sz w:val="28"/>
          <w:sz w:val="28"/>
          <w:szCs w:val="28"/>
          <w:rtl w:val="true"/>
          <w:lang w:bidi="ar-SA"/>
        </w:rPr>
        <w:t>، فلا یُترک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5" w:name="pg13281_119907"/>
    </w:p>
    <w:p>
      <w:pPr>
        <w:pStyle w:val="BookText"/>
        <w:rPr/>
      </w:pPr>
      <w:bookmarkEnd w:id="52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1213"/>
      </w:r>
      <w:r>
        <w:rPr>
          <w:rFonts w:ascii="IRNazanin" w:hAnsi="IRNazanin" w:eastAsia="IRNazanin"/>
          <w:color w:val="111111"/>
          <w:sz w:val="28"/>
          <w:sz w:val="28"/>
          <w:szCs w:val="28"/>
          <w:rtl w:val="true"/>
          <w:lang w:bidi="fa-IR"/>
        </w:rPr>
        <w:t> بالقضاء</w:t>
      </w:r>
      <w:r>
        <w:rPr>
          <w:rFonts w:eastAsia="IRNazanin" w:cs="IRNazanin"/>
          <w:color w:val="111111"/>
          <w:sz w:val="28"/>
          <w:szCs w:val="28"/>
          <w:rtl w:val="true"/>
          <w:lang w:bidi="fa-IR"/>
        </w:rPr>
        <w:t>.</w:t>
      </w:r>
    </w:p>
    <w:p>
      <w:pPr>
        <w:pStyle w:val="Heading3"/>
        <w:numPr>
          <w:ilvl w:val="2"/>
          <w:numId w:val="1"/>
        </w:numPr>
        <w:rPr/>
      </w:pPr>
      <w:bookmarkStart w:id="526" w:name="__RefHeading___Toc1955206_2322387425"/>
      <w:bookmarkStart w:id="527" w:name="_Toc196"/>
      <w:bookmarkEnd w:id="526"/>
      <w:r>
        <w:rPr>
          <w:rtl w:val="true"/>
        </w:rPr>
        <w:t>علم المکلف من نفسه خلاف حکم الطبیب</w:t>
      </w:r>
      <w:bookmarkEnd w:id="527"/>
    </w:p>
    <w:p>
      <w:pPr>
        <w:pStyle w:val="BookText"/>
        <w:rPr/>
      </w:pPr>
      <w:r>
        <w:rPr>
          <w:rFonts w:ascii="IRNazanin" w:hAnsi="IRNazanin" w:eastAsia="IRNazanin"/>
          <w:color w:val="111111"/>
          <w:sz w:val="28"/>
          <w:sz w:val="28"/>
          <w:szCs w:val="28"/>
          <w:rtl w:val="true"/>
          <w:lang w:bidi="fa-IR"/>
        </w:rPr>
        <w:t>وإذا حکم الطبیب بأنّ الصوم مضرّ وعلم المکلّف من نفسه عدم الضرر یصحّ صومه</w:t>
      </w:r>
      <w:r>
        <w:rPr>
          <w:rStyle w:val="FootnoteAnchor"/>
          <w:rtl w:val="true"/>
        </w:rPr>
        <w:footnoteReference w:id="1214"/>
      </w:r>
      <w:r>
        <w:rPr>
          <w:rFonts w:ascii="IRNazanin" w:hAnsi="IRNazanin" w:eastAsia="IRNazanin"/>
          <w:color w:val="111111"/>
          <w:sz w:val="28"/>
          <w:sz w:val="28"/>
          <w:szCs w:val="28"/>
          <w:rtl w:val="true"/>
          <w:lang w:bidi="fa-IR"/>
        </w:rPr>
        <w:t>، وإذا حکم بعدم ضرره وعلم المکلّف أو ظنّ کونه</w:t>
      </w:r>
      <w:r>
        <w:rPr>
          <w:rStyle w:val="FootnoteAnchor"/>
          <w:rtl w:val="true"/>
        </w:rPr>
        <w:footnoteReference w:id="1215"/>
      </w:r>
      <w:r>
        <w:rPr>
          <w:rFonts w:ascii="Amiri" w:hAnsi="Amiri" w:eastAsia="Amiri" w:cs="Amiri"/>
          <w:color w:val="111111"/>
          <w:sz w:val="28"/>
          <w:sz w:val="28"/>
          <w:szCs w:val="28"/>
          <w:rtl w:val="true"/>
          <w:lang w:bidi="ar-SA"/>
        </w:rPr>
        <w:t> مضرّاً</w:t>
      </w:r>
      <w:r>
        <w:rPr>
          <w:rStyle w:val="FootnoteAnchor"/>
          <w:rtl w:val="true"/>
        </w:rPr>
        <w:footnoteReference w:id="1216"/>
      </w:r>
      <w:r>
        <w:rPr>
          <w:rFonts w:ascii="IRNazanin" w:hAnsi="IRNazanin" w:eastAsia="IRNazanin"/>
          <w:color w:val="111111"/>
          <w:sz w:val="28"/>
          <w:sz w:val="28"/>
          <w:szCs w:val="28"/>
          <w:rtl w:val="true"/>
          <w:lang w:bidi="fa-IR"/>
        </w:rPr>
        <w:t> وجب علیه ترکه</w:t>
      </w:r>
      <w:r>
        <w:rPr>
          <w:rStyle w:val="FootnoteAnchor"/>
          <w:rtl w:val="true"/>
        </w:rPr>
        <w:footnoteReference w:id="1217"/>
      </w:r>
      <w:r>
        <w:rPr>
          <w:rFonts w:ascii="Amiri" w:hAnsi="Amiri" w:eastAsia="Amiri" w:cs="Amiri"/>
          <w:color w:val="111111"/>
          <w:sz w:val="28"/>
          <w:sz w:val="28"/>
          <w:szCs w:val="28"/>
          <w:rtl w:val="true"/>
          <w:lang w:bidi="ar-SA"/>
        </w:rPr>
        <w:t> ولا یصحّ منه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955208_2322387425"/>
      <w:bookmarkStart w:id="529" w:name="_Toc197"/>
      <w:bookmarkEnd w:id="528"/>
      <w:r>
        <w:rPr>
          <w:rtl w:val="true"/>
        </w:rPr>
        <w:t>صحة الصوم من النائم تمام النهار مع سبق النیة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الصوم من النائم ولو فی تمام النهار إذا سبقت منه النیّة فی اللیل، وأمّا إذا لم تسبق منه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استمرَّ نومه إلی الزوال‌بطل صومه</w:t>
      </w:r>
      <w:r>
        <w:rPr>
          <w:rStyle w:val="FootnoteAnchor"/>
          <w:rtl w:val="true"/>
        </w:rPr>
        <w:footnoteReference w:id="1219"/>
      </w:r>
      <w:r>
        <w:rPr>
          <w:rFonts w:ascii="IRNazanin" w:hAnsi="IRNazanin" w:eastAsia="IRNazanin"/>
          <w:color w:val="111111"/>
          <w:sz w:val="28"/>
          <w:sz w:val="28"/>
          <w:szCs w:val="28"/>
          <w:rtl w:val="true"/>
          <w:lang w:bidi="fa-IR"/>
        </w:rPr>
        <w:t> ووجب علیه القضاء إذا کان واجباً، وإن استیقظ قبله نوی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w:t>
      </w:r>
      <w:r>
        <w:rPr>
          <w:rStyle w:val="FootnoteAnchor"/>
          <w:rtl w:val="true"/>
        </w:rPr>
        <w:footnoteReference w:id="1220"/>
      </w:r>
      <w:r>
        <w:rPr>
          <w:rFonts w:ascii="IRNazanin" w:hAnsi="IRNazanin" w:eastAsia="IRNazanin"/>
          <w:color w:val="111111"/>
          <w:sz w:val="28"/>
          <w:sz w:val="28"/>
          <w:szCs w:val="28"/>
          <w:rtl w:val="true"/>
          <w:lang w:bidi="fa-IR"/>
        </w:rPr>
        <w:t>، کما أنّه لو کان مندوباً واستیقظ قبل الغروب یصحّ إذا نوی</w:t>
      </w:r>
      <w:r>
        <w:rPr>
          <w:rFonts w:eastAsia="IRNazanin" w:cs="IRNazanin"/>
          <w:color w:val="111111"/>
          <w:sz w:val="28"/>
          <w:szCs w:val="28"/>
          <w:rtl w:val="true"/>
          <w:lang w:bidi="fa-IR"/>
        </w:rPr>
        <w:t xml:space="preserve">. </w:t>
      </w:r>
      <w:bookmarkStart w:id="530" w:name="pg13281_119908"/>
    </w:p>
    <w:p>
      <w:pPr>
        <w:pStyle w:val="Heading3"/>
        <w:numPr>
          <w:ilvl w:val="2"/>
          <w:numId w:val="1"/>
        </w:numPr>
        <w:rPr/>
      </w:pPr>
      <w:bookmarkStart w:id="531" w:name="__RefHeading___Toc1955210_2322387425"/>
      <w:bookmarkStart w:id="532" w:name="_Toc198"/>
      <w:bookmarkEnd w:id="530"/>
      <w:bookmarkEnd w:id="531"/>
      <w:r>
        <w:rPr>
          <w:rtl w:val="true"/>
        </w:rPr>
        <w:t>صحة صوم الصبی الممیز</w:t>
      </w:r>
      <w:bookmarkEnd w:id="53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الصوم وسائر</w:t>
      </w:r>
      <w:r>
        <w:rPr>
          <w:rStyle w:val="FootnoteAnchor"/>
          <w:rtl w:val="true"/>
        </w:rPr>
        <w:footnoteReference w:id="1221"/>
      </w:r>
      <w:r>
        <w:rPr>
          <w:rFonts w:ascii="Amiri" w:hAnsi="Amiri" w:eastAsia="Amiri" w:cs="Amiri"/>
          <w:color w:val="111111"/>
          <w:sz w:val="28"/>
          <w:sz w:val="28"/>
          <w:szCs w:val="28"/>
          <w:rtl w:val="true"/>
          <w:lang w:bidi="ar-SA"/>
        </w:rPr>
        <w:t> العبادات من الصبیِّ  الممیِّز علی الأقوی من شرعیّة عباداته</w:t>
      </w:r>
      <w:r>
        <w:rPr>
          <w:rStyle w:val="FootnoteAnchor"/>
          <w:rtl w:val="true"/>
        </w:rPr>
        <w:footnoteReference w:id="1222"/>
      </w:r>
      <w:r>
        <w:rPr>
          <w:rFonts w:ascii="IRNazanin" w:hAnsi="IRNazanin" w:eastAsia="IRNazanin"/>
          <w:color w:val="111111"/>
          <w:sz w:val="28"/>
          <w:sz w:val="28"/>
          <w:szCs w:val="28"/>
          <w:rtl w:val="true"/>
          <w:lang w:bidi="fa-IR"/>
        </w:rPr>
        <w:t>، ویستحبّ تمرینه علیها</w:t>
      </w:r>
      <w:r>
        <w:rPr>
          <w:rStyle w:val="FootnoteAnchor"/>
          <w:rtl w:val="true"/>
        </w:rPr>
        <w:footnoteReference w:id="1223"/>
      </w:r>
      <w:r>
        <w:rPr>
          <w:rFonts w:ascii="IRNazanin" w:hAnsi="IRNazanin" w:eastAsia="IRNazanin"/>
          <w:color w:val="111111"/>
          <w:sz w:val="28"/>
          <w:sz w:val="28"/>
          <w:szCs w:val="28"/>
          <w:rtl w:val="true"/>
          <w:lang w:bidi="fa-IR"/>
        </w:rPr>
        <w:t>، بل التشدید علیه لسبعٍ</w:t>
      </w:r>
      <w:r>
        <w:rPr>
          <w:rStyle w:val="FootnoteAnchor"/>
          <w:rtl w:val="true"/>
        </w:rPr>
        <w:footnoteReference w:id="1224"/>
      </w:r>
      <w:r>
        <w:rPr>
          <w:rFonts w:ascii="IRNazanin" w:hAnsi="IRNazanin" w:eastAsia="IRNazanin"/>
          <w:color w:val="111111"/>
          <w:sz w:val="28"/>
          <w:sz w:val="28"/>
          <w:szCs w:val="28"/>
          <w:rtl w:val="true"/>
          <w:lang w:bidi="fa-IR"/>
        </w:rPr>
        <w:t xml:space="preserve">، </w:t>
      </w:r>
      <w:bookmarkStart w:id="533" w:name="pg13281_119909"/>
    </w:p>
    <w:p>
      <w:pPr>
        <w:pStyle w:val="BookText"/>
        <w:rPr/>
      </w:pPr>
      <w:bookmarkEnd w:id="533"/>
      <w:r>
        <w:rPr>
          <w:rFonts w:ascii="IRNazanin" w:hAnsi="IRNazanin" w:eastAsia="IRNazanin"/>
          <w:color w:val="111111"/>
          <w:sz w:val="28"/>
          <w:sz w:val="28"/>
          <w:szCs w:val="28"/>
          <w:rtl w:val="true"/>
          <w:lang w:bidi="fa-IR"/>
        </w:rPr>
        <w:t>من غیر</w:t>
      </w:r>
      <w:r>
        <w:rPr>
          <w:rStyle w:val="FootnoteAnchor"/>
          <w:rtl w:val="true"/>
        </w:rPr>
        <w:footnoteReference w:id="1225"/>
      </w:r>
      <w:r>
        <w:rPr>
          <w:rFonts w:ascii="Amiri" w:hAnsi="Amiri" w:eastAsia="Amiri" w:cs="Amiri"/>
          <w:color w:val="111111"/>
          <w:sz w:val="28"/>
          <w:sz w:val="28"/>
          <w:szCs w:val="28"/>
          <w:rtl w:val="true"/>
          <w:lang w:bidi="ar-SA"/>
        </w:rPr>
        <w:t> فرقٍ بین الذکر والاُنثی فی ذلک کلّه</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955212_2322387425"/>
      <w:bookmarkStart w:id="535" w:name="_Toc199"/>
      <w:bookmarkEnd w:id="534"/>
      <w:r>
        <w:rPr>
          <w:rtl w:val="true"/>
        </w:rPr>
        <w:t>عدم جواز الصوم المندوب وعلیه صوم واجب</w:t>
      </w:r>
      <w:bookmarkEnd w:id="5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الصوم المندوب 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علیه صوم واجب</w:t>
      </w:r>
      <w:r>
        <w:rPr>
          <w:rStyle w:val="FootnoteAnchor"/>
          <w:rtl w:val="true"/>
        </w:rPr>
        <w:footnoteReference w:id="1226"/>
      </w:r>
      <w:r>
        <w:rPr>
          <w:rFonts w:ascii="IRNazanin" w:hAnsi="IRNazanin" w:eastAsia="IRNazanin"/>
          <w:color w:val="111111"/>
          <w:sz w:val="28"/>
          <w:sz w:val="28"/>
          <w:szCs w:val="28"/>
          <w:rtl w:val="true"/>
          <w:lang w:bidi="fa-IR"/>
        </w:rPr>
        <w:t> من قضاء</w:t>
      </w:r>
      <w:r>
        <w:rPr>
          <w:rStyle w:val="FootnoteAnchor"/>
          <w:rtl w:val="true"/>
        </w:rPr>
        <w:footnoteReference w:id="1227"/>
      </w:r>
      <w:bookmarkStart w:id="536" w:name="pg13281_119910"/>
    </w:p>
    <w:p>
      <w:pPr>
        <w:pStyle w:val="BookText"/>
        <w:rPr/>
      </w:pPr>
      <w:bookmarkEnd w:id="536"/>
      <w:r>
        <w:rPr>
          <w:rFonts w:ascii="IRNazanin" w:hAnsi="IRNazanin" w:eastAsia="IRNazanin"/>
          <w:color w:val="111111"/>
          <w:sz w:val="28"/>
          <w:sz w:val="28"/>
          <w:szCs w:val="28"/>
          <w:rtl w:val="true"/>
          <w:lang w:bidi="fa-IR"/>
        </w:rPr>
        <w:t>أو نذر</w:t>
      </w:r>
      <w:r>
        <w:rPr>
          <w:rStyle w:val="FootnoteAnchor"/>
          <w:rtl w:val="true"/>
        </w:rPr>
        <w:footnoteReference w:id="1228"/>
      </w:r>
      <w:r>
        <w:rPr>
          <w:rFonts w:ascii="Amiri" w:hAnsi="Amiri" w:eastAsia="Amiri" w:cs="Amiri"/>
          <w:color w:val="111111"/>
          <w:sz w:val="28"/>
          <w:sz w:val="28"/>
          <w:szCs w:val="28"/>
          <w:rtl w:val="true"/>
          <w:lang w:bidi="ar-SA"/>
        </w:rPr>
        <w:t> أو کفّارة</w:t>
      </w:r>
      <w:r>
        <w:rPr>
          <w:rStyle w:val="FootnoteAnchor"/>
          <w:rtl w:val="true"/>
        </w:rPr>
        <w:footnoteReference w:id="1229"/>
      </w:r>
      <w:r>
        <w:rPr>
          <w:rFonts w:ascii="IRNazanin" w:hAnsi="IRNazanin" w:eastAsia="IRNazanin"/>
          <w:color w:val="111111"/>
          <w:sz w:val="28"/>
          <w:sz w:val="28"/>
          <w:szCs w:val="28"/>
          <w:rtl w:val="true"/>
          <w:lang w:bidi="fa-IR"/>
        </w:rPr>
        <w:t> أو نحوها مع</w:t>
      </w:r>
      <w:r>
        <w:rPr>
          <w:rStyle w:val="FootnoteAnchor"/>
          <w:rtl w:val="true"/>
        </w:rPr>
        <w:footnoteReference w:id="1230"/>
      </w:r>
      <w:r>
        <w:rPr>
          <w:rFonts w:ascii="IRNazanin" w:hAnsi="IRNazanin" w:eastAsia="IRNazanin"/>
          <w:color w:val="111111"/>
          <w:sz w:val="28"/>
          <w:sz w:val="28"/>
          <w:szCs w:val="28"/>
          <w:rtl w:val="true"/>
          <w:lang w:bidi="fa-IR"/>
        </w:rPr>
        <w:t> التمکّن من أدائه</w:t>
      </w:r>
      <w:r>
        <w:rPr>
          <w:rStyle w:val="FootnoteAnchor"/>
          <w:rtl w:val="true"/>
        </w:rPr>
        <w:footnoteReference w:id="1231"/>
      </w:r>
      <w:r>
        <w:rPr>
          <w:rFonts w:ascii="IRNazanin" w:hAnsi="IRNazanin" w:eastAsia="IRNazanin"/>
          <w:color w:val="111111"/>
          <w:sz w:val="28"/>
          <w:sz w:val="28"/>
          <w:szCs w:val="28"/>
          <w:rtl w:val="true"/>
          <w:lang w:bidi="fa-IR"/>
        </w:rPr>
        <w:t>،</w:t>
      </w:r>
    </w:p>
    <w:p>
      <w:pPr>
        <w:pStyle w:val="Heading3"/>
        <w:numPr>
          <w:ilvl w:val="2"/>
          <w:numId w:val="1"/>
        </w:numPr>
        <w:rPr/>
      </w:pPr>
      <w:bookmarkStart w:id="537" w:name="__RefHeading___Toc1955214_2322387425"/>
      <w:bookmarkStart w:id="538" w:name="_Toc200"/>
      <w:bookmarkEnd w:id="537"/>
      <w:r>
        <w:rPr>
          <w:rtl w:val="true"/>
        </w:rPr>
        <w:t>استثناء العجز والنسیان من عدم الجواز</w:t>
      </w:r>
      <w:bookmarkEnd w:id="53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عدم التمکّن منه ـ کما إذا کان مسافراً</w:t>
      </w:r>
      <w:r>
        <w:rPr>
          <w:rStyle w:val="FootnoteAnchor"/>
          <w:rtl w:val="true"/>
        </w:rPr>
        <w:footnoteReference w:id="1232"/>
      </w:r>
      <w:r>
        <w:rPr>
          <w:rFonts w:ascii="IRNazanin" w:hAnsi="IRNazanin" w:eastAsia="IRNazanin"/>
          <w:color w:val="111111"/>
          <w:sz w:val="28"/>
          <w:sz w:val="28"/>
          <w:szCs w:val="28"/>
          <w:rtl w:val="true"/>
          <w:lang w:bidi="fa-IR"/>
        </w:rPr>
        <w:t> وقلنا</w:t>
      </w:r>
      <w:r>
        <w:rPr>
          <w:rStyle w:val="FootnoteAnchor"/>
          <w:rtl w:val="true"/>
        </w:rPr>
        <w:footnoteReference w:id="1233"/>
      </w:r>
      <w:r>
        <w:rPr>
          <w:rFonts w:ascii="IRNazanin" w:hAnsi="IRNazanin" w:eastAsia="IRNazanin"/>
          <w:color w:val="111111"/>
          <w:sz w:val="28"/>
          <w:sz w:val="28"/>
          <w:szCs w:val="28"/>
          <w:rtl w:val="true"/>
          <w:lang w:bidi="fa-IR"/>
        </w:rPr>
        <w:t xml:space="preserve"> بجواز الصوم المندوب فی السفر، أو کان فی المدینة وأراد صیام ثلاثة أیّام للحاجة ـ فالأقوی </w:t>
      </w:r>
      <w:bookmarkStart w:id="539" w:name="pg13281_119911"/>
    </w:p>
    <w:p>
      <w:pPr>
        <w:pStyle w:val="BookText"/>
        <w:rPr/>
      </w:pPr>
      <w:bookmarkEnd w:id="539"/>
      <w:r>
        <w:rPr>
          <w:rFonts w:ascii="Amiri" w:hAnsi="Amiri" w:eastAsia="Amiri" w:cs="Amiri"/>
          <w:color w:val="111111"/>
          <w:sz w:val="28"/>
          <w:sz w:val="28"/>
          <w:szCs w:val="28"/>
          <w:rtl w:val="true"/>
          <w:lang w:bidi="ar-SA"/>
        </w:rPr>
        <w:t>صحّته</w:t>
      </w:r>
      <w:r>
        <w:rPr>
          <w:rStyle w:val="FootnoteAnchor"/>
          <w:rtl w:val="true"/>
        </w:rPr>
        <w:footnoteReference w:id="1234"/>
      </w:r>
      <w:r>
        <w:rPr>
          <w:rFonts w:ascii="IRNazanin" w:hAnsi="IRNazanin" w:eastAsia="IRNazanin"/>
          <w:color w:val="111111"/>
          <w:sz w:val="28"/>
          <w:sz w:val="28"/>
          <w:szCs w:val="28"/>
          <w:rtl w:val="true"/>
          <w:lang w:bidi="fa-IR"/>
        </w:rPr>
        <w:t>، وکذا</w:t>
      </w:r>
      <w:r>
        <w:rPr>
          <w:rStyle w:val="FootnoteAnchor"/>
          <w:rtl w:val="true"/>
        </w:rPr>
        <w:footnoteReference w:id="1235"/>
      </w:r>
      <w:r>
        <w:rPr>
          <w:rFonts w:ascii="IRNazanin" w:hAnsi="IRNazanin" w:eastAsia="IRNazanin"/>
          <w:color w:val="111111"/>
          <w:sz w:val="28"/>
          <w:sz w:val="28"/>
          <w:szCs w:val="28"/>
          <w:rtl w:val="true"/>
          <w:lang w:bidi="fa-IR"/>
        </w:rPr>
        <w:t> إذا نسی</w:t>
      </w:r>
      <w:r>
        <w:rPr>
          <w:rStyle w:val="FootnoteAnchor"/>
          <w:rtl w:val="true"/>
        </w:rPr>
        <w:footnoteReference w:id="1236"/>
      </w:r>
      <w:r>
        <w:rPr>
          <w:rFonts w:ascii="IRNazanin" w:hAnsi="IRNazanin" w:eastAsia="IRNazanin"/>
          <w:color w:val="111111"/>
          <w:sz w:val="28"/>
          <w:sz w:val="28"/>
          <w:szCs w:val="28"/>
          <w:rtl w:val="true"/>
          <w:lang w:bidi="fa-IR"/>
        </w:rPr>
        <w:t> الواجب</w:t>
      </w:r>
      <w:r>
        <w:rPr>
          <w:rStyle w:val="FootnoteAnchor"/>
          <w:rtl w:val="true"/>
        </w:rPr>
        <w:footnoteReference w:id="1237"/>
      </w:r>
      <w:r>
        <w:rPr>
          <w:rFonts w:ascii="IRNazanin" w:hAnsi="IRNazanin" w:eastAsia="IRNazanin"/>
          <w:color w:val="111111"/>
          <w:sz w:val="28"/>
          <w:sz w:val="28"/>
          <w:szCs w:val="28"/>
          <w:rtl w:val="true"/>
          <w:lang w:bidi="fa-IR"/>
        </w:rPr>
        <w:t> وأتی بالمندوب فإنّ الأقوی صحّته</w:t>
      </w:r>
      <w:r>
        <w:rPr>
          <w:rStyle w:val="FootnoteAnchor"/>
          <w:rtl w:val="true"/>
        </w:rPr>
        <w:footnoteReference w:id="1238"/>
      </w:r>
      <w:r>
        <w:rPr>
          <w:rFonts w:ascii="IRNazanin" w:hAnsi="IRNazanin" w:eastAsia="IRNazanin"/>
          <w:color w:val="111111"/>
          <w:sz w:val="28"/>
          <w:sz w:val="28"/>
          <w:szCs w:val="28"/>
          <w:rtl w:val="true"/>
          <w:lang w:bidi="fa-IR"/>
        </w:rPr>
        <w:t> إذا تذکّر بعد الفراغ، وأمّا إذا تذکّر فی الأثناء قطع</w:t>
      </w:r>
      <w:r>
        <w:rPr>
          <w:rStyle w:val="FootnoteAnchor"/>
          <w:rtl w:val="true"/>
        </w:rPr>
        <w:footnoteReference w:id="1239"/>
      </w:r>
      <w:r>
        <w:rPr>
          <w:rFonts w:ascii="IRNazanin" w:hAnsi="IRNazanin" w:eastAsia="IRNazanin"/>
          <w:color w:val="111111"/>
          <w:sz w:val="28"/>
          <w:sz w:val="28"/>
          <w:szCs w:val="28"/>
          <w:rtl w:val="true"/>
          <w:lang w:bidi="fa-IR"/>
        </w:rPr>
        <w:t>، ویجوز تجدید النیّة حینئذٍ للواجب مع بقاء محلّها، کما إذا کان قبل الزوال</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955216_2322387425"/>
      <w:bookmarkStart w:id="541" w:name="_Toc201"/>
      <w:bookmarkEnd w:id="540"/>
      <w:r>
        <w:rPr>
          <w:rtl w:val="true"/>
        </w:rPr>
        <w:t>حکم نذر صوم التطوّع ممّن علیه الفرض</w:t>
      </w:r>
      <w:bookmarkEnd w:id="5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نذر التطوّع</w:t>
      </w:r>
      <w:r>
        <w:rPr>
          <w:rStyle w:val="FootnoteAnchor"/>
          <w:rtl w:val="true"/>
        </w:rPr>
        <w:footnoteReference w:id="1241"/>
      </w:r>
      <w:r>
        <w:rPr>
          <w:rFonts w:ascii="IRNazanin" w:hAnsi="IRNazanin" w:eastAsia="IRNazanin"/>
          <w:color w:val="111111"/>
          <w:sz w:val="28"/>
          <w:sz w:val="28"/>
          <w:szCs w:val="28"/>
          <w:rtl w:val="true"/>
          <w:lang w:bidi="fa-IR"/>
        </w:rPr>
        <w:t> علی الإطلاق صحّ</w:t>
      </w:r>
      <w:r>
        <w:rPr>
          <w:rStyle w:val="FootnoteAnchor"/>
          <w:rtl w:val="true"/>
        </w:rPr>
        <w:footnoteReference w:id="1242"/>
      </w:r>
      <w:r>
        <w:rPr>
          <w:rFonts w:ascii="IRNazanin" w:hAnsi="IRNazanin" w:eastAsia="IRNazanin"/>
          <w:color w:val="111111"/>
          <w:sz w:val="28"/>
          <w:sz w:val="28"/>
          <w:szCs w:val="28"/>
          <w:rtl w:val="true"/>
          <w:lang w:bidi="fa-IR"/>
        </w:rPr>
        <w:t xml:space="preserve">، وإن کان علیه واجب فیجوز أن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یأتی</w:t>
      </w:r>
      <w:r>
        <w:rPr>
          <w:rStyle w:val="FootnoteAnchor"/>
          <w:rtl w:val="true"/>
        </w:rPr>
        <w:footnoteReference w:id="1243"/>
      </w:r>
      <w:r>
        <w:rPr>
          <w:rFonts w:ascii="IRNazanin" w:hAnsi="IRNazanin" w:eastAsia="IRNazanin"/>
          <w:color w:val="111111"/>
          <w:sz w:val="28"/>
          <w:sz w:val="28"/>
          <w:szCs w:val="28"/>
          <w:rtl w:val="true"/>
          <w:lang w:bidi="fa-IR"/>
        </w:rPr>
        <w:t> بالمنذور قبله</w:t>
      </w:r>
      <w:r>
        <w:rPr>
          <w:rStyle w:val="FootnoteAnchor"/>
          <w:rtl w:val="true"/>
        </w:rPr>
        <w:footnoteReference w:id="1244"/>
      </w:r>
      <w:r>
        <w:rPr>
          <w:rFonts w:ascii="IRNazanin" w:hAnsi="IRNazanin" w:eastAsia="IRNazanin"/>
          <w:color w:val="111111"/>
          <w:sz w:val="28"/>
          <w:sz w:val="28"/>
          <w:szCs w:val="28"/>
          <w:rtl w:val="true"/>
          <w:lang w:bidi="fa-IR"/>
        </w:rPr>
        <w:t> بعد ما صار واجباً</w:t>
      </w:r>
      <w:r>
        <w:rPr>
          <w:rStyle w:val="FootnoteAnchor"/>
          <w:rtl w:val="true"/>
        </w:rPr>
        <w:footnoteReference w:id="1245"/>
      </w:r>
      <w:r>
        <w:rPr>
          <w:rFonts w:ascii="Amiri" w:hAnsi="Amiri" w:eastAsia="Amiri" w:cs="Amiri"/>
          <w:color w:val="111111"/>
          <w:sz w:val="28"/>
          <w:sz w:val="28"/>
          <w:szCs w:val="28"/>
          <w:rtl w:val="true"/>
          <w:lang w:bidi="ar-SA"/>
        </w:rPr>
        <w:t>، وکذا لو نذر أیّاماً</w:t>
      </w:r>
      <w:r>
        <w:rPr>
          <w:rStyle w:val="FootnoteAnchor"/>
          <w:rtl w:val="true"/>
        </w:rPr>
        <w:footnoteReference w:id="1246"/>
      </w:r>
      <w:r>
        <w:rPr>
          <w:rFonts w:ascii="IRNazanin" w:hAnsi="IRNazanin" w:eastAsia="IRNazanin"/>
          <w:color w:val="111111"/>
          <w:sz w:val="28"/>
          <w:sz w:val="28"/>
          <w:szCs w:val="28"/>
          <w:rtl w:val="true"/>
          <w:lang w:bidi="fa-IR"/>
        </w:rPr>
        <w:t> معیّنة یمکن إتیان الواجب قبلها، وأمّا لو نذر أیّاماً معیّنة لا یمکن إتیان الواجب قبلها ففی صحّته إشکال</w:t>
      </w:r>
      <w:r>
        <w:rPr>
          <w:rStyle w:val="FootnoteAnchor"/>
          <w:rtl w:val="true"/>
        </w:rPr>
        <w:footnoteReference w:id="1247"/>
      </w:r>
      <w:r>
        <w:rPr>
          <w:rFonts w:ascii="Amiri" w:hAnsi="Amiri" w:eastAsia="Amiri" w:cs="Amiri"/>
          <w:color w:val="111111"/>
          <w:sz w:val="28"/>
          <w:sz w:val="28"/>
          <w:szCs w:val="28"/>
          <w:rtl w:val="true"/>
          <w:lang w:bidi="ar-SA"/>
        </w:rPr>
        <w:t>؛ من أنّه بعد النذر یصیر واجباً، ومن أنّ التطوّع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الفریضة غیر جائزٍ فلا یصحّ نذره، ولا یبعد</w:t>
      </w:r>
      <w:r>
        <w:rPr>
          <w:rStyle w:val="FootnoteAnchor"/>
          <w:rtl w:val="true"/>
        </w:rPr>
        <w:footnoteReference w:id="1248"/>
      </w:r>
      <w:r>
        <w:rPr>
          <w:rFonts w:ascii="IRNazanin" w:hAnsi="IRNazanin" w:eastAsia="IRNazanin"/>
          <w:color w:val="111111"/>
          <w:sz w:val="28"/>
          <w:sz w:val="28"/>
          <w:szCs w:val="28"/>
          <w:rtl w:val="true"/>
          <w:lang w:bidi="fa-IR"/>
        </w:rPr>
        <w:t> أن یقال</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بوصف التطوّع</w:t>
      </w:r>
      <w:r>
        <w:rPr>
          <w:rStyle w:val="FootnoteAnchor"/>
          <w:rtl w:val="true"/>
        </w:rPr>
        <w:footnoteReference w:id="1250"/>
      </w:r>
      <w:r>
        <w:rPr>
          <w:rFonts w:ascii="IRNazanin" w:hAnsi="IRNazanin" w:eastAsia="IRNazanin"/>
          <w:color w:val="111111"/>
          <w:sz w:val="28"/>
          <w:sz w:val="28"/>
          <w:szCs w:val="28"/>
          <w:rtl w:val="true"/>
          <w:lang w:bidi="fa-IR"/>
        </w:rPr>
        <w:t>، وبالنذر یخرج</w:t>
      </w:r>
      <w:r>
        <w:rPr>
          <w:rStyle w:val="FootnoteAnchor"/>
          <w:rtl w:val="true"/>
        </w:rPr>
        <w:footnoteReference w:id="1251"/>
      </w:r>
      <w:r>
        <w:rPr>
          <w:rFonts w:ascii="IRNazanin" w:hAnsi="IRNazanin" w:eastAsia="IRNazanin"/>
          <w:color w:val="111111"/>
          <w:sz w:val="28"/>
          <w:sz w:val="28"/>
          <w:szCs w:val="28"/>
          <w:rtl w:val="true"/>
          <w:lang w:bidi="fa-IR"/>
        </w:rPr>
        <w:t> عن الوصف</w:t>
      </w:r>
      <w:r>
        <w:rPr>
          <w:rStyle w:val="FootnoteAnchor"/>
          <w:rtl w:val="true"/>
        </w:rPr>
        <w:footnoteReference w:id="1252"/>
      </w:r>
      <w:r>
        <w:rPr>
          <w:rFonts w:ascii="IRNazanin" w:hAnsi="IRNazanin" w:eastAsia="IRNazanin"/>
          <w:color w:val="111111"/>
          <w:sz w:val="28"/>
          <w:sz w:val="28"/>
          <w:szCs w:val="28"/>
          <w:rtl w:val="true"/>
          <w:lang w:bidi="fa-IR"/>
        </w:rPr>
        <w:t xml:space="preserve">، ویکفی فی رجحان </w:t>
      </w:r>
      <w:bookmarkStart w:id="542" w:name="pg13281_119914"/>
    </w:p>
    <w:p>
      <w:pPr>
        <w:pStyle w:val="BookText"/>
        <w:rPr/>
      </w:pPr>
      <w:bookmarkEnd w:id="542"/>
      <w:r>
        <w:rPr>
          <w:rFonts w:ascii="IRNazanin" w:hAnsi="IRNazanin" w:eastAsia="IRNazanin"/>
          <w:color w:val="111111"/>
          <w:sz w:val="28"/>
          <w:sz w:val="28"/>
          <w:szCs w:val="28"/>
          <w:rtl w:val="true"/>
          <w:lang w:bidi="fa-IR"/>
        </w:rPr>
        <w:t>متعلّق النذر رجحانه</w:t>
      </w:r>
      <w:r>
        <w:rPr>
          <w:rStyle w:val="FootnoteAnchor"/>
          <w:rtl w:val="true"/>
        </w:rPr>
        <w:footnoteReference w:id="1253"/>
      </w:r>
      <w:r>
        <w:rPr>
          <w:rFonts w:ascii="IRNazanin" w:hAnsi="IRNazanin" w:eastAsia="IRNazanin"/>
          <w:color w:val="111111"/>
          <w:sz w:val="28"/>
          <w:sz w:val="28"/>
          <w:szCs w:val="28"/>
          <w:rtl w:val="true"/>
          <w:lang w:bidi="fa-IR"/>
        </w:rPr>
        <w:t> ولو بالنذر</w:t>
      </w:r>
      <w:r>
        <w:rPr>
          <w:rStyle w:val="FootnoteAnchor"/>
          <w:rtl w:val="true"/>
        </w:rPr>
        <w:footnoteReference w:id="1254"/>
      </w:r>
      <w:r>
        <w:rPr>
          <w:rFonts w:ascii="IRNazanin" w:hAnsi="IRNazanin" w:eastAsia="IRNazanin"/>
          <w:color w:val="111111"/>
          <w:sz w:val="28"/>
          <w:sz w:val="28"/>
          <w:szCs w:val="28"/>
          <w:rtl w:val="true"/>
          <w:lang w:bidi="fa-IR"/>
        </w:rPr>
        <w:t>،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هو وصف الندب، وبالنذر یرتفع المانع</w:t>
      </w:r>
      <w:r>
        <w:rPr>
          <w:rFonts w:eastAsia="IRNazanin" w:cs="IRNazanin"/>
          <w:color w:val="111111"/>
          <w:sz w:val="28"/>
          <w:szCs w:val="28"/>
          <w:rtl w:val="true"/>
          <w:lang w:bidi="fa-IR"/>
        </w:rPr>
        <w:t>.</w:t>
      </w:r>
    </w:p>
    <w:p>
      <w:pPr>
        <w:pStyle w:val="Heading3"/>
        <w:numPr>
          <w:ilvl w:val="2"/>
          <w:numId w:val="1"/>
        </w:numPr>
        <w:rPr/>
      </w:pPr>
      <w:bookmarkStart w:id="543" w:name="__RefHeading___Toc1955218_2322387425"/>
      <w:bookmarkStart w:id="544" w:name="_Toc202"/>
      <w:bookmarkEnd w:id="543"/>
      <w:r>
        <w:rPr>
          <w:rtl w:val="true"/>
        </w:rPr>
        <w:t>حکم التطوّع بالصوم ممّن علیه صوم واجب بالاستئجار</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التطوّع بالصوم</w:t>
      </w:r>
      <w:r>
        <w:rPr>
          <w:rStyle w:val="FootnoteAnchor"/>
          <w:rtl w:val="true"/>
        </w:rPr>
        <w:footnoteReference w:id="1255"/>
      </w:r>
      <w:r>
        <w:rPr>
          <w:rFonts w:ascii="IRNazanin" w:hAnsi="IRNazanin" w:eastAsia="IRNazanin"/>
          <w:color w:val="111111"/>
          <w:sz w:val="28"/>
          <w:sz w:val="28"/>
          <w:szCs w:val="28"/>
          <w:rtl w:val="true"/>
          <w:lang w:bidi="fa-IR"/>
        </w:rPr>
        <w:t> إذا کان ما علیه من الصوم الواجب استئجاریّاً، وإن کان الأحوط تقدیم الواجب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545" w:name="pg13281_119915"/>
    </w:p>
    <w:p>
      <w:pPr>
        <w:pStyle w:val="BookText"/>
        <w:rPr/>
      </w:pPr>
      <w:bookmarkEnd w:id="545"/>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الصوم</w:t>
      </w:r>
    </w:p>
    <w:p>
      <w:pPr>
        <w:pStyle w:val="Heading2"/>
        <w:numPr>
          <w:ilvl w:val="1"/>
          <w:numId w:val="1"/>
        </w:numPr>
        <w:rPr/>
      </w:pPr>
      <w:bookmarkStart w:id="546" w:name="__RefHeading___Toc1955220_2322387425"/>
      <w:bookmarkStart w:id="547" w:name="_Toc203"/>
      <w:bookmarkEnd w:id="546"/>
      <w:r>
        <w:rPr>
          <w:rtl w:val="true"/>
        </w:rPr>
        <w:t>فصل</w:t>
      </w:r>
      <w:r>
        <w:rPr>
          <w:rtl w:val="true"/>
        </w:rPr>
        <w:t xml:space="preserve">: </w:t>
      </w:r>
      <w:r>
        <w:rPr>
          <w:rtl w:val="true"/>
        </w:rPr>
        <w:t>فی شرائط وجوب الصوم</w:t>
      </w:r>
      <w:bookmarkEnd w:id="547"/>
    </w:p>
    <w:p>
      <w:pPr>
        <w:pStyle w:val="Heading3"/>
        <w:numPr>
          <w:ilvl w:val="2"/>
          <w:numId w:val="1"/>
        </w:numPr>
        <w:rPr/>
      </w:pPr>
      <w:bookmarkStart w:id="548" w:name="__RefHeading___Toc1955222_2322387425"/>
      <w:bookmarkStart w:id="549" w:name="_Toc204"/>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وهی اُمور </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955224_2322387425"/>
      <w:bookmarkStart w:id="551" w:name="_Toc205"/>
      <w:bookmarkEnd w:id="550"/>
      <w:r>
        <w:rPr>
          <w:rtl w:val="true"/>
        </w:rPr>
        <w:t xml:space="preserve">الأول والثانی </w:t>
      </w:r>
      <w:r>
        <w:rPr>
          <w:rtl w:val="true"/>
        </w:rPr>
        <w:t xml:space="preserve">: </w:t>
      </w:r>
      <w:r>
        <w:rPr>
          <w:rtl w:val="true"/>
        </w:rPr>
        <w:t>البلوغ والعقل</w:t>
      </w:r>
      <w:bookmarkEnd w:id="551"/>
    </w:p>
    <w:p>
      <w:p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الصبیِّ والمجنون إلّا أن یکملا قبل طلوع الفجر، دون ما إذا کملا بعده؛ فإنّه لا یجب علیهما</w:t>
      </w:r>
      <w:r>
        <w:rPr>
          <w:rStyle w:val="FootnoteAnchor"/>
          <w:rtl w:val="true"/>
        </w:rPr>
        <w:footnoteReference w:id="1256"/>
      </w:r>
      <w:r>
        <w:rPr>
          <w:rFonts w:ascii="IRNazanin" w:hAnsi="IRNazanin" w:eastAsia="IRNazanin"/>
          <w:color w:val="111111"/>
          <w:sz w:val="28"/>
          <w:sz w:val="28"/>
          <w:szCs w:val="28"/>
          <w:rtl w:val="true"/>
          <w:lang w:bidi="fa-IR"/>
        </w:rPr>
        <w:t> وإن</w:t>
      </w:r>
    </w:p>
    <w:p>
      <w:pPr>
        <w:pStyle w:val="BookText"/>
        <w:rPr/>
      </w:pPr>
      <w:r>
        <w:rPr>
          <w:rFonts w:ascii="IRNazanin" w:hAnsi="IRNazanin" w:eastAsia="IRNazanin"/>
          <w:color w:val="111111"/>
          <w:sz w:val="28"/>
          <w:sz w:val="28"/>
          <w:szCs w:val="28"/>
          <w:rtl w:val="true"/>
          <w:lang w:bidi="fa-IR"/>
        </w:rPr>
        <w:t>لم یأتیا</w:t>
      </w:r>
      <w:r>
        <w:rPr>
          <w:rStyle w:val="FootnoteAnchor"/>
          <w:rtl w:val="true"/>
        </w:rPr>
        <w:footnoteReference w:id="1257"/>
      </w:r>
      <w:r>
        <w:rPr>
          <w:rFonts w:ascii="Amiri" w:hAnsi="Amiri" w:eastAsia="Amiri" w:cs="Amiri"/>
          <w:color w:val="111111"/>
          <w:sz w:val="28"/>
          <w:sz w:val="28"/>
          <w:szCs w:val="28"/>
          <w:rtl w:val="true"/>
          <w:lang w:bidi="ar-SA"/>
        </w:rPr>
        <w:t> بالمفطِر</w:t>
      </w:r>
      <w:r>
        <w:rPr>
          <w:rStyle w:val="FootnoteAnchor"/>
          <w:rtl w:val="true"/>
        </w:rPr>
        <w:footnoteReference w:id="1258"/>
      </w:r>
      <w:r>
        <w:rPr>
          <w:rFonts w:ascii="IRNazanin" w:hAnsi="IRNazanin" w:eastAsia="IRNazanin"/>
          <w:color w:val="111111"/>
          <w:sz w:val="28"/>
          <w:sz w:val="28"/>
          <w:szCs w:val="28"/>
          <w:rtl w:val="true"/>
          <w:lang w:bidi="fa-IR"/>
        </w:rPr>
        <w:t>،</w:t>
      </w:r>
    </w:p>
    <w:p>
      <w:pPr>
        <w:pStyle w:val="Heading3"/>
        <w:numPr>
          <w:ilvl w:val="2"/>
          <w:numId w:val="1"/>
        </w:numPr>
        <w:rPr/>
      </w:pPr>
      <w:bookmarkStart w:id="552" w:name="__RefHeading___Toc1955226_2322387425"/>
      <w:bookmarkStart w:id="553" w:name="_Toc206"/>
      <w:bookmarkEnd w:id="552"/>
      <w:r>
        <w:rPr>
          <w:rtl w:val="true"/>
        </w:rPr>
        <w:t>الصبی والمجنون إذا کملا بعد طلوع الفجر ولم یأتیا بالمفطر</w:t>
      </w:r>
      <w:bookmarkEnd w:id="55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وإن نوی</w:t>
      </w:r>
      <w:r>
        <w:rPr>
          <w:rStyle w:val="FootnoteAnchor"/>
          <w:rtl w:val="true"/>
        </w:rPr>
        <w:footnoteReference w:id="1259"/>
      </w:r>
      <w:r>
        <w:rPr>
          <w:rFonts w:ascii="Amiri" w:hAnsi="Amiri" w:eastAsia="Amiri" w:cs="Amiri"/>
          <w:color w:val="111111"/>
          <w:sz w:val="28"/>
          <w:sz w:val="28"/>
          <w:szCs w:val="28"/>
          <w:rtl w:val="true"/>
          <w:lang w:bidi="ar-SA"/>
        </w:rPr>
        <w:t> الصبیّ</w:t>
      </w:r>
      <w:r>
        <w:rPr>
          <w:rStyle w:val="FootnoteAnchor"/>
          <w:rtl w:val="true"/>
        </w:rPr>
        <w:footnoteReference w:id="1260"/>
      </w:r>
      <w:r>
        <w:rPr>
          <w:rFonts w:ascii="IRNazanin" w:hAnsi="IRNazanin" w:eastAsia="IRNazanin"/>
          <w:color w:val="111111"/>
          <w:sz w:val="28"/>
          <w:sz w:val="28"/>
          <w:szCs w:val="28"/>
          <w:rtl w:val="true"/>
          <w:lang w:bidi="fa-IR"/>
        </w:rPr>
        <w:t> الصوم</w:t>
      </w:r>
      <w:r>
        <w:rPr>
          <w:rStyle w:val="FootnoteAnchor"/>
          <w:rtl w:val="true"/>
        </w:rPr>
        <w:footnoteReference w:id="1261"/>
      </w:r>
      <w:r>
        <w:rPr>
          <w:rFonts w:ascii="Amiri" w:hAnsi="Amiri" w:eastAsia="Amiri" w:cs="Amiri"/>
          <w:color w:val="111111"/>
          <w:sz w:val="28"/>
          <w:sz w:val="28"/>
          <w:szCs w:val="28"/>
          <w:rtl w:val="true"/>
          <w:lang w:bidi="ar-SA"/>
        </w:rPr>
        <w:t> ندباً</w:t>
      </w:r>
      <w:r>
        <w:rPr>
          <w:rStyle w:val="FootnoteAnchor"/>
          <w:rtl w:val="true"/>
        </w:rPr>
        <w:footnoteReference w:id="1262"/>
      </w:r>
      <w:r>
        <w:rPr>
          <w:rFonts w:ascii="Amiri" w:hAnsi="Amiri" w:eastAsia="Amiri" w:cs="Amiri"/>
          <w:color w:val="111111"/>
          <w:sz w:val="28"/>
          <w:sz w:val="28"/>
          <w:szCs w:val="28"/>
          <w:rtl w:val="true"/>
          <w:lang w:bidi="ar-SA"/>
        </w:rPr>
        <w:t xml:space="preserve">، لکنّ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263"/>
      </w:r>
      <w:r>
        <w:rPr>
          <w:rFonts w:ascii="IRNazanin" w:hAnsi="IRNazanin" w:eastAsia="IRNazanin"/>
          <w:color w:val="111111"/>
          <w:sz w:val="28"/>
          <w:sz w:val="28"/>
          <w:szCs w:val="28"/>
          <w:rtl w:val="true"/>
          <w:lang w:bidi="fa-IR"/>
        </w:rPr>
        <w:t> مع عدم إتیان</w:t>
      </w:r>
      <w:r>
        <w:rPr>
          <w:rStyle w:val="FootnoteAnchor"/>
          <w:rtl w:val="true"/>
        </w:rPr>
        <w:footnoteReference w:id="1264"/>
      </w:r>
      <w:r>
        <w:rPr>
          <w:rFonts w:ascii="IRNazanin" w:hAnsi="IRNazanin" w:eastAsia="IRNazanin"/>
          <w:color w:val="111111"/>
          <w:sz w:val="28"/>
          <w:sz w:val="28"/>
          <w:szCs w:val="28"/>
          <w:rtl w:val="true"/>
          <w:lang w:bidi="fa-IR"/>
        </w:rPr>
        <w:t> المفطِر الإتمام</w:t>
      </w:r>
      <w:r>
        <w:rPr>
          <w:rStyle w:val="FootnoteAnchor"/>
          <w:rtl w:val="true"/>
        </w:rPr>
        <w:footnoteReference w:id="1265"/>
      </w:r>
      <w:r>
        <w:rPr>
          <w:rFonts w:ascii="IRNazanin" w:hAnsi="IRNazanin" w:eastAsia="IRNazanin"/>
          <w:color w:val="111111"/>
          <w:sz w:val="28"/>
          <w:sz w:val="28"/>
          <w:szCs w:val="28"/>
          <w:rtl w:val="true"/>
          <w:lang w:bidi="fa-IR"/>
        </w:rPr>
        <w:t> والقضاء</w:t>
      </w:r>
      <w:r>
        <w:rPr>
          <w:rStyle w:val="FootnoteAnchor"/>
          <w:rtl w:val="true"/>
        </w:rPr>
        <w:footnoteReference w:id="1266"/>
      </w:r>
      <w:r>
        <w:rPr>
          <w:rFonts w:ascii="IRNazanin" w:hAnsi="IRNazanin" w:eastAsia="IRNazanin"/>
          <w:color w:val="111111"/>
          <w:sz w:val="28"/>
          <w:sz w:val="28"/>
          <w:szCs w:val="28"/>
          <w:rtl w:val="true"/>
          <w:lang w:bidi="fa-IR"/>
        </w:rPr>
        <w:t xml:space="preserve"> إذا کان الصوم </w:t>
      </w:r>
      <w:bookmarkStart w:id="554" w:name="pg13281_119917"/>
    </w:p>
    <w:p>
      <w:pPr>
        <w:pStyle w:val="BookText"/>
        <w:rPr/>
      </w:pPr>
      <w:bookmarkEnd w:id="554"/>
      <w:r>
        <w:rPr>
          <w:rFonts w:ascii="Amiri" w:hAnsi="Amiri" w:eastAsia="Amiri" w:cs="Amiri"/>
          <w:color w:val="111111"/>
          <w:sz w:val="28"/>
          <w:sz w:val="28"/>
          <w:szCs w:val="28"/>
          <w:rtl w:val="true"/>
          <w:lang w:bidi="ar-SA"/>
        </w:rPr>
        <w:t>واجباً معیّناً</w:t>
      </w:r>
      <w:r>
        <w:rPr>
          <w:rStyle w:val="FootnoteAnchor"/>
          <w:rtl w:val="true"/>
        </w:rPr>
        <w:footnoteReference w:id="1267"/>
      </w:r>
      <w:r>
        <w:rPr>
          <w:rFonts w:ascii="IRNazanin" w:hAnsi="IRNazanin" w:eastAsia="IRNazanin"/>
          <w:color w:val="111111"/>
          <w:sz w:val="28"/>
          <w:sz w:val="28"/>
          <w:szCs w:val="28"/>
          <w:rtl w:val="true"/>
          <w:lang w:bidi="fa-IR"/>
        </w:rPr>
        <w:t>، ولا فرق فی الجنون</w:t>
      </w:r>
      <w:r>
        <w:rPr>
          <w:rStyle w:val="FootnoteAnchor"/>
          <w:rtl w:val="true"/>
        </w:rPr>
        <w:footnoteReference w:id="1268"/>
      </w:r>
      <w:r>
        <w:rPr>
          <w:rFonts w:ascii="IRNazanin" w:hAnsi="IRNazanin" w:eastAsia="IRNazanin"/>
          <w:color w:val="111111"/>
          <w:sz w:val="28"/>
          <w:sz w:val="28"/>
          <w:szCs w:val="28"/>
          <w:rtl w:val="true"/>
          <w:lang w:bidi="fa-IR"/>
        </w:rPr>
        <w:t> بین الإطباقیِّ والأدواریِّ إذا کان یحصل فی النهار ولو فی جزءٍ منه</w:t>
      </w:r>
      <w:r>
        <w:rPr>
          <w:rStyle w:val="FootnoteAnchor"/>
          <w:rtl w:val="true"/>
        </w:rPr>
        <w:footnoteReference w:id="1269"/>
      </w:r>
      <w:r>
        <w:rPr>
          <w:rFonts w:ascii="IRNazanin" w:hAnsi="IRNazanin" w:eastAsia="IRNazanin"/>
          <w:color w:val="111111"/>
          <w:sz w:val="28"/>
          <w:sz w:val="28"/>
          <w:szCs w:val="28"/>
          <w:rtl w:val="true"/>
          <w:lang w:bidi="fa-IR"/>
        </w:rPr>
        <w:t>، وأمّا لو کان دور جنونه فی اللیل بحیث یفیق قبل الفجر فیجب علیه</w:t>
      </w:r>
      <w:r>
        <w:rPr>
          <w:rFonts w:eastAsia="IRNazanin" w:cs="IRNazanin"/>
          <w:color w:val="111111"/>
          <w:sz w:val="28"/>
          <w:szCs w:val="28"/>
          <w:rtl w:val="true"/>
          <w:lang w:bidi="fa-IR"/>
        </w:rPr>
        <w:t>.</w:t>
      </w:r>
    </w:p>
    <w:p>
      <w:pPr>
        <w:pStyle w:val="Heading3"/>
        <w:numPr>
          <w:ilvl w:val="2"/>
          <w:numId w:val="1"/>
        </w:numPr>
        <w:rPr/>
      </w:pPr>
      <w:bookmarkStart w:id="555" w:name="__RefHeading___Toc1955228_2322387425"/>
      <w:bookmarkStart w:id="556" w:name="_Toc207"/>
      <w:bookmarkEnd w:id="555"/>
      <w:r>
        <w:rPr>
          <w:rtl w:val="true"/>
        </w:rPr>
        <w:t xml:space="preserve">الثالث </w:t>
      </w:r>
      <w:r>
        <w:rPr>
          <w:rtl w:val="true"/>
        </w:rPr>
        <w:t xml:space="preserve">: </w:t>
      </w:r>
      <w:r>
        <w:rPr>
          <w:rtl w:val="true"/>
        </w:rPr>
        <w:t>عدم الإغماء</w:t>
      </w:r>
      <w:bookmarkEnd w:id="5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 فلا یجب</w:t>
      </w:r>
      <w:r>
        <w:rPr>
          <w:rStyle w:val="FootnoteAnchor"/>
          <w:rtl w:val="true"/>
        </w:rPr>
        <w:footnoteReference w:id="1270"/>
      </w:r>
      <w:r>
        <w:rPr>
          <w:rFonts w:ascii="IRNazanin" w:hAnsi="IRNazanin" w:eastAsia="IRNazanin"/>
          <w:color w:val="111111"/>
          <w:sz w:val="28"/>
          <w:sz w:val="28"/>
          <w:szCs w:val="28"/>
          <w:rtl w:val="true"/>
          <w:lang w:bidi="fa-IR"/>
        </w:rPr>
        <w:t> معه الصوم ولو حصل فی جزءٍ من النهار</w:t>
      </w:r>
      <w:r>
        <w:rPr>
          <w:rStyle w:val="FootnoteAnchor"/>
          <w:rtl w:val="true"/>
        </w:rPr>
        <w:footnoteReference w:id="1271"/>
      </w:r>
      <w:r>
        <w:rPr>
          <w:rFonts w:ascii="IRNazanin" w:hAnsi="IRNazanin" w:eastAsia="IRNazanin"/>
          <w:color w:val="111111"/>
          <w:sz w:val="28"/>
          <w:sz w:val="28"/>
          <w:szCs w:val="28"/>
          <w:rtl w:val="true"/>
          <w:lang w:bidi="fa-IR"/>
        </w:rPr>
        <w:t xml:space="preserve">، نعم، لو کان نوی </w:t>
      </w:r>
      <w:bookmarkStart w:id="557" w:name="pg13281_119918"/>
    </w:p>
    <w:p>
      <w:pPr>
        <w:pStyle w:val="BookText"/>
        <w:rPr/>
      </w:pPr>
      <w:bookmarkEnd w:id="557"/>
      <w:r>
        <w:rPr>
          <w:rFonts w:ascii="IRNazanin" w:hAnsi="IRNazanin" w:eastAsia="IRNazanin"/>
          <w:color w:val="111111"/>
          <w:sz w:val="28"/>
          <w:sz w:val="28"/>
          <w:szCs w:val="28"/>
          <w:rtl w:val="true"/>
          <w:lang w:bidi="fa-IR"/>
        </w:rPr>
        <w:t>الصوم</w:t>
      </w:r>
      <w:r>
        <w:rPr>
          <w:rStyle w:val="FootnoteAnchor"/>
          <w:rtl w:val="true"/>
        </w:rPr>
        <w:footnoteReference w:id="1272"/>
      </w:r>
      <w:r>
        <w:rPr>
          <w:rFonts w:ascii="IRNazanin" w:hAnsi="IRNazanin" w:eastAsia="IRNazanin"/>
          <w:color w:val="111111"/>
          <w:sz w:val="28"/>
          <w:sz w:val="28"/>
          <w:szCs w:val="28"/>
          <w:rtl w:val="true"/>
          <w:lang w:bidi="fa-IR"/>
        </w:rPr>
        <w:t> قبل الإغماء</w:t>
      </w:r>
      <w:r>
        <w:rPr>
          <w:rStyle w:val="FootnoteAnchor"/>
          <w:rtl w:val="true"/>
        </w:rPr>
        <w:footnoteReference w:id="1273"/>
      </w:r>
      <w:r>
        <w:rPr>
          <w:rFonts w:ascii="IRNazanin" w:hAnsi="IRNazanin" w:eastAsia="IRNazanin"/>
          <w:color w:val="111111"/>
          <w:sz w:val="28"/>
          <w:sz w:val="28"/>
          <w:szCs w:val="28"/>
          <w:rtl w:val="true"/>
          <w:lang w:bidi="fa-IR"/>
        </w:rPr>
        <w:t> فالأحوط</w:t>
      </w:r>
      <w:r>
        <w:rPr>
          <w:rStyle w:val="FootnoteAnchor"/>
          <w:rtl w:val="true"/>
        </w:rPr>
        <w:footnoteReference w:id="1274"/>
      </w:r>
      <w:r>
        <w:rPr>
          <w:rFonts w:ascii="IRNazanin" w:hAnsi="IRNazanin" w:eastAsia="IRNazanin"/>
          <w:color w:val="111111"/>
          <w:sz w:val="28"/>
          <w:sz w:val="28"/>
          <w:szCs w:val="28"/>
          <w:rtl w:val="true"/>
          <w:lang w:bidi="fa-IR"/>
        </w:rPr>
        <w:t> إتمامه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955230_2322387425"/>
      <w:bookmarkStart w:id="559" w:name="_Toc208"/>
      <w:bookmarkEnd w:id="558"/>
      <w:r>
        <w:rPr>
          <w:rtl w:val="true"/>
        </w:rPr>
        <w:t xml:space="preserve">الرابع </w:t>
      </w:r>
      <w:r>
        <w:rPr>
          <w:rtl w:val="true"/>
        </w:rPr>
        <w:t xml:space="preserve">: </w:t>
      </w:r>
      <w:r>
        <w:rPr>
          <w:rtl w:val="true"/>
        </w:rPr>
        <w:t>عدم المرض</w:t>
      </w:r>
      <w:bookmarkEnd w:id="559"/>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المرض الّذی یتضرّر معه الصائم، ولو برأ بعد الزوال ولم یفطر لم یجب علیه النیّة والإتمام،</w:t>
      </w:r>
    </w:p>
    <w:p>
      <w:pPr>
        <w:pStyle w:val="Heading3"/>
        <w:numPr>
          <w:ilvl w:val="2"/>
          <w:numId w:val="1"/>
        </w:numPr>
        <w:rPr/>
      </w:pPr>
      <w:bookmarkStart w:id="560" w:name="__RefHeading___Toc1955232_2322387425"/>
      <w:bookmarkStart w:id="561" w:name="_Toc209"/>
      <w:bookmarkEnd w:id="560"/>
      <w:r>
        <w:rPr>
          <w:rtl w:val="true"/>
        </w:rPr>
        <w:t>حکم مَن برئ بعد الزوال ولم یتناول شیئاً أو برئ قبله</w:t>
      </w:r>
      <w:bookmarkEnd w:id="5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برأ قبله ولم یتناول مفطِراً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1276"/>
      </w:r>
      <w:r>
        <w:rPr>
          <w:rFonts w:ascii="IRNazanin" w:hAnsi="IRNazanin" w:eastAsia="IRNazanin"/>
          <w:color w:val="111111"/>
          <w:sz w:val="28"/>
          <w:sz w:val="28"/>
          <w:szCs w:val="28"/>
          <w:rtl w:val="true"/>
          <w:lang w:bidi="fa-IR"/>
        </w:rPr>
        <w:t> أن ینوی</w:t>
      </w:r>
      <w:r>
        <w:rPr>
          <w:rStyle w:val="FootnoteAnchor"/>
          <w:rtl w:val="true"/>
        </w:rPr>
        <w:footnoteReference w:id="1277"/>
      </w:r>
      <w:r>
        <w:rPr>
          <w:rFonts w:ascii="IRNazanin" w:hAnsi="IRNazanin" w:eastAsia="IRNazanin"/>
          <w:color w:val="111111"/>
          <w:sz w:val="28"/>
          <w:sz w:val="28"/>
          <w:szCs w:val="28"/>
          <w:rtl w:val="true"/>
          <w:lang w:bidi="fa-IR"/>
        </w:rPr>
        <w:t> ویصوم</w:t>
      </w:r>
      <w:r>
        <w:rPr>
          <w:rStyle w:val="FootnoteAnchor"/>
          <w:rtl w:val="true"/>
        </w:rPr>
        <w:footnoteReference w:id="1278"/>
      </w:r>
      <w:r>
        <w:rPr>
          <w:rFonts w:ascii="IRNazanin" w:hAnsi="IRNazanin" w:eastAsia="IRNazanin"/>
          <w:color w:val="111111"/>
          <w:sz w:val="28"/>
          <w:sz w:val="28"/>
          <w:szCs w:val="28"/>
          <w:rtl w:val="true"/>
          <w:lang w:bidi="fa-IR"/>
        </w:rPr>
        <w:t>، وإن کان الأقوی</w:t>
      </w:r>
      <w:r>
        <w:rPr>
          <w:rStyle w:val="FootnoteAnchor"/>
          <w:rtl w:val="true"/>
        </w:rPr>
        <w:footnoteReference w:id="1279"/>
      </w:r>
      <w:r>
        <w:rPr>
          <w:rFonts w:ascii="IRNazanin" w:hAnsi="IRNazanin" w:eastAsia="IRNazanin"/>
          <w:color w:val="111111"/>
          <w:sz w:val="28"/>
          <w:sz w:val="28"/>
          <w:szCs w:val="28"/>
          <w:rtl w:val="true"/>
          <w:lang w:bidi="fa-IR"/>
        </w:rPr>
        <w:t> عدم</w:t>
      </w:r>
      <w:r>
        <w:rPr>
          <w:rStyle w:val="FootnoteAnchor"/>
          <w:rtl w:val="true"/>
        </w:rPr>
        <w:footnoteReference w:id="1280"/>
      </w:r>
      <w:r>
        <w:rPr>
          <w:rFonts w:ascii="IRNazanin" w:hAnsi="IRNazanin" w:eastAsia="IRNazanin"/>
          <w:color w:val="111111"/>
          <w:sz w:val="28"/>
          <w:sz w:val="28"/>
          <w:szCs w:val="28"/>
          <w:rtl w:val="true"/>
          <w:lang w:bidi="fa-IR"/>
        </w:rPr>
        <w:t> وجوبه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562" w:name="pg13281_119920"/>
    </w:p>
    <w:p>
      <w:pPr>
        <w:pStyle w:val="Heading3"/>
        <w:numPr>
          <w:ilvl w:val="2"/>
          <w:numId w:val="1"/>
        </w:numPr>
        <w:rPr/>
      </w:pPr>
      <w:bookmarkStart w:id="563" w:name="__RefHeading___Toc1955234_2322387425"/>
      <w:bookmarkStart w:id="564" w:name="_Toc210"/>
      <w:bookmarkEnd w:id="562"/>
      <w:bookmarkEnd w:id="563"/>
      <w:r>
        <w:rPr>
          <w:rtl w:val="true"/>
        </w:rPr>
        <w:t xml:space="preserve">الخامس </w:t>
      </w:r>
      <w:r>
        <w:rPr>
          <w:rtl w:val="true"/>
        </w:rPr>
        <w:t xml:space="preserve">: </w:t>
      </w:r>
      <w:r>
        <w:rPr>
          <w:rtl w:val="true"/>
        </w:rPr>
        <w:t>الخلوّ من الحیض والنفاس</w:t>
      </w:r>
      <w:bookmarkEnd w:id="564"/>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الحیض والنفاس، فلا یجب معهما وإن کان حصولهما فی جزءٍ من النهار</w:t>
      </w:r>
      <w:r>
        <w:rPr>
          <w:rFonts w:eastAsia="IRNazanin" w:cs="IRNazanin"/>
          <w:color w:val="111111"/>
          <w:sz w:val="28"/>
          <w:szCs w:val="28"/>
          <w:rtl w:val="true"/>
          <w:lang w:bidi="fa-IR"/>
        </w:rPr>
        <w:t>.</w:t>
      </w:r>
    </w:p>
    <w:p>
      <w:pPr>
        <w:pStyle w:val="Heading3"/>
        <w:numPr>
          <w:ilvl w:val="2"/>
          <w:numId w:val="1"/>
        </w:numPr>
        <w:rPr/>
      </w:pPr>
      <w:bookmarkStart w:id="565" w:name="__RefHeading___Toc1955236_2322387425"/>
      <w:bookmarkStart w:id="566" w:name="_Toc211"/>
      <w:bookmarkEnd w:id="565"/>
      <w:r>
        <w:rPr>
          <w:rtl w:val="true"/>
        </w:rPr>
        <w:t xml:space="preserve">السادس </w:t>
      </w:r>
      <w:r>
        <w:rPr>
          <w:rtl w:val="true"/>
        </w:rPr>
        <w:t xml:space="preserve">: </w:t>
      </w:r>
      <w:r>
        <w:rPr>
          <w:rtl w:val="true"/>
        </w:rPr>
        <w:t>الحَضَر</w:t>
      </w:r>
      <w:bookmarkEnd w:id="566"/>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المسافر الّذی یجب علیه قصر الصلاة، بخلاف مَن کان وظیفته التمام ـ کالمقیم عشراً، أو المتردّد ثلاثین یوماً، والمکاری ونحوه، والعاصی بسفره ـ فإنّه یجب علیه التمام؛ إذ المدار فی تقصیر الصوم علی تقصیر الصلاة، فکلّ سفرٍ</w:t>
      </w:r>
      <w:r>
        <w:rPr>
          <w:rStyle w:val="FootnoteAnchor"/>
          <w:rtl w:val="true"/>
        </w:rPr>
        <w:footnoteReference w:id="1282"/>
      </w:r>
      <w:r>
        <w:rPr>
          <w:rFonts w:ascii="IRNazanin" w:hAnsi="IRNazanin" w:eastAsia="IRNazanin"/>
          <w:color w:val="111111"/>
          <w:sz w:val="28"/>
          <w:sz w:val="28"/>
          <w:szCs w:val="28"/>
          <w:rtl w:val="true"/>
          <w:lang w:bidi="fa-IR"/>
        </w:rPr>
        <w:t> یوجب قصر  </w:t>
      </w:r>
    </w:p>
    <w:p>
      <w:pPr>
        <w:pStyle w:val="BookText"/>
        <w:rPr/>
      </w:pPr>
      <w:r>
        <w:rPr>
          <w:rFonts w:ascii="IRNazanin" w:hAnsi="IRNazanin" w:eastAsia="IRNazanin"/>
          <w:color w:val="111111"/>
          <w:sz w:val="28"/>
          <w:sz w:val="28"/>
          <w:szCs w:val="28"/>
          <w:rtl w:val="true"/>
          <w:lang w:bidi="fa-IR"/>
        </w:rPr>
        <w:t>الصلاة یوجب قصر الصوم، وبالعکس</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955238_2322387425"/>
      <w:bookmarkStart w:id="568" w:name="_Toc212"/>
      <w:bookmarkEnd w:id="567"/>
      <w:r>
        <w:rPr>
          <w:rtl w:val="true"/>
        </w:rPr>
        <w:t>حکم المسافر قبل وبعد الزوال</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حاضراً فخرج إلی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الزوال وجب</w:t>
      </w:r>
      <w:r>
        <w:rPr>
          <w:rStyle w:val="FootnoteAnchor"/>
          <w:rtl w:val="true"/>
        </w:rPr>
        <w:footnoteReference w:id="1284"/>
      </w:r>
      <w:r>
        <w:rPr>
          <w:rFonts w:ascii="IRNazanin" w:hAnsi="IRNazanin" w:eastAsia="IRNazanin"/>
          <w:color w:val="111111"/>
          <w:sz w:val="28"/>
          <w:sz w:val="28"/>
          <w:szCs w:val="28"/>
          <w:rtl w:val="true"/>
          <w:lang w:bidi="fa-IR"/>
        </w:rPr>
        <w:t> علیه الإفطار</w:t>
      </w:r>
      <w:r>
        <w:rPr>
          <w:rStyle w:val="FootnoteAnchor"/>
          <w:rtl w:val="true"/>
        </w:rPr>
        <w:footnoteReference w:id="1285"/>
      </w:r>
      <w:r>
        <w:rPr>
          <w:rFonts w:ascii="IRNazanin" w:hAnsi="IRNazanin" w:eastAsia="IRNazanin"/>
          <w:color w:val="111111"/>
          <w:sz w:val="28"/>
          <w:sz w:val="28"/>
          <w:szCs w:val="28"/>
          <w:rtl w:val="true"/>
          <w:lang w:bidi="fa-IR"/>
        </w:rPr>
        <w:t>،</w:t>
      </w:r>
    </w:p>
    <w:p>
      <w:pPr>
        <w:pStyle w:val="Heading3"/>
        <w:numPr>
          <w:ilvl w:val="2"/>
          <w:numId w:val="1"/>
        </w:numPr>
        <w:rPr/>
      </w:pPr>
      <w:bookmarkStart w:id="569" w:name="__RefHeading___Toc1955240_2322387425"/>
      <w:bookmarkStart w:id="570" w:name="_Toc213"/>
      <w:bookmarkEnd w:id="569"/>
      <w:r>
        <w:rPr>
          <w:rtl w:val="true"/>
        </w:rPr>
        <w:t>حکم القادم قبل وبعد الزوال</w:t>
      </w:r>
      <w:bookmarkEnd w:id="5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بعده وجب علیه البقاء</w:t>
      </w:r>
      <w:r>
        <w:rPr>
          <w:rStyle w:val="FootnoteAnchor"/>
          <w:rtl w:val="true"/>
        </w:rPr>
        <w:footnoteReference w:id="1286"/>
      </w:r>
      <w:r>
        <w:rPr>
          <w:rFonts w:ascii="IRNazanin" w:hAnsi="IRNazanin" w:eastAsia="IRNazanin"/>
          <w:color w:val="111111"/>
          <w:sz w:val="28"/>
          <w:sz w:val="28"/>
          <w:szCs w:val="28"/>
          <w:rtl w:val="true"/>
          <w:lang w:bidi="fa-IR"/>
        </w:rPr>
        <w:t> علی صومه، وإذا کان مسافراً وحضر بلده أو بلداً یعزم علی الإقامة فیه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bookmarkStart w:id="571" w:name="pg13281_119921"/>
    </w:p>
    <w:p>
      <w:pPr>
        <w:pStyle w:val="BookText"/>
        <w:rPr/>
      </w:pPr>
      <w:bookmarkEnd w:id="571"/>
      <w:r>
        <w:rPr>
          <w:rFonts w:ascii="IRNazanin" w:hAnsi="IRNazanin" w:eastAsia="IRNazanin"/>
          <w:color w:val="111111"/>
          <w:sz w:val="28"/>
          <w:sz w:val="28"/>
          <w:szCs w:val="28"/>
          <w:rtl w:val="true"/>
          <w:lang w:bidi="fa-IR"/>
        </w:rPr>
        <w:t>کان قبل الزوال ولم یتناول المفطِر وجب علیه الصوم</w:t>
      </w:r>
      <w:r>
        <w:rPr>
          <w:rStyle w:val="FootnoteAnchor"/>
          <w:rtl w:val="true"/>
        </w:rPr>
        <w:footnoteReference w:id="1287"/>
      </w:r>
      <w:r>
        <w:rPr>
          <w:rFonts w:ascii="IRNazanin" w:hAnsi="IRNazanin" w:eastAsia="IRNazanin"/>
          <w:color w:val="111111"/>
          <w:sz w:val="28"/>
          <w:sz w:val="28"/>
          <w:szCs w:val="28"/>
          <w:rtl w:val="true"/>
          <w:lang w:bidi="fa-IR"/>
        </w:rPr>
        <w:t>، وإن کان بعده أو</w:t>
      </w:r>
    </w:p>
    <w:p>
      <w:pPr>
        <w:pStyle w:val="BookText"/>
        <w:rPr/>
      </w:pPr>
      <w:r>
        <w:rPr>
          <w:rFonts w:ascii="IRNazanin" w:hAnsi="IRNazanin" w:eastAsia="IRNazanin"/>
          <w:color w:val="111111"/>
          <w:sz w:val="28"/>
          <w:sz w:val="28"/>
          <w:szCs w:val="28"/>
          <w:rtl w:val="true"/>
          <w:lang w:bidi="fa-IR"/>
        </w:rPr>
        <w:t>تناول فلا</w:t>
      </w:r>
      <w:r>
        <w:rPr>
          <w:rStyle w:val="FootnoteAnchor"/>
          <w:rtl w:val="true"/>
        </w:rPr>
        <w:footnoteReference w:id="1288"/>
      </w:r>
      <w:r>
        <w:rPr>
          <w:rFonts w:ascii="IRNazanin" w:hAnsi="IRNazanin" w:eastAsia="IRNazanin"/>
          <w:color w:val="111111"/>
          <w:sz w:val="28"/>
          <w:sz w:val="28"/>
          <w:szCs w:val="28"/>
          <w:rtl w:val="true"/>
          <w:lang w:bidi="fa-IR"/>
        </w:rPr>
        <w:t>،</w:t>
      </w:r>
    </w:p>
    <w:p>
      <w:pPr>
        <w:pStyle w:val="Heading3"/>
        <w:numPr>
          <w:ilvl w:val="2"/>
          <w:numId w:val="1"/>
        </w:numPr>
        <w:rPr/>
      </w:pPr>
      <w:bookmarkStart w:id="572" w:name="__RefHeading___Toc1955242_2322387425"/>
      <w:bookmarkStart w:id="573" w:name="_Toc214"/>
      <w:bookmarkEnd w:id="572"/>
      <w:r>
        <w:rPr>
          <w:rtl w:val="true"/>
        </w:rPr>
        <w:t>استحباب الإمساک بقیة النهار للقادم من السفر مفطراً </w:t>
      </w:r>
      <w:bookmarkEnd w:id="573"/>
    </w:p>
    <w:p>
      <w:pPr>
        <w:pStyle w:val="BookText"/>
        <w:rPr/>
      </w:pPr>
      <w:r>
        <w:rPr>
          <w:rFonts w:ascii="Amiri" w:hAnsi="Amiri" w:eastAsia="Amiri" w:cs="Amiri"/>
          <w:color w:val="111111"/>
          <w:sz w:val="28"/>
          <w:sz w:val="28"/>
          <w:szCs w:val="28"/>
          <w:rtl w:val="true"/>
          <w:lang w:bidi="ar-SA"/>
        </w:rPr>
        <w:t>وإن استحبّ</w:t>
      </w:r>
      <w:r>
        <w:rPr>
          <w:rStyle w:val="FootnoteAnchor"/>
          <w:rtl w:val="true"/>
        </w:rPr>
        <w:footnoteReference w:id="1289"/>
      </w:r>
      <w:r>
        <w:rPr>
          <w:rFonts w:ascii="IRNazanin" w:hAnsi="IRNazanin" w:eastAsia="IRNazanin"/>
          <w:color w:val="111111"/>
          <w:sz w:val="28"/>
          <w:sz w:val="28"/>
          <w:szCs w:val="28"/>
          <w:rtl w:val="true"/>
          <w:lang w:bidi="fa-IR"/>
        </w:rPr>
        <w:t> له الإمساک بقیّة النهار، والظاهر</w:t>
      </w:r>
      <w:r>
        <w:rPr>
          <w:rStyle w:val="FootnoteAnchor"/>
          <w:rtl w:val="true"/>
        </w:rPr>
        <w:footnoteReference w:id="1290"/>
      </w:r>
      <w:r>
        <w:rPr>
          <w:rFonts w:ascii="Amiri" w:hAnsi="Amiri" w:eastAsia="Amiri" w:cs="Amiri"/>
          <w:color w:val="111111"/>
          <w:sz w:val="28"/>
          <w:sz w:val="28"/>
          <w:szCs w:val="28"/>
          <w:rtl w:val="true"/>
          <w:lang w:bidi="ar-SA"/>
        </w:rPr>
        <w:t> أنّ</w:t>
      </w:r>
    </w:p>
    <w:p>
      <w:pPr>
        <w:pStyle w:val="BookText"/>
        <w:rPr/>
      </w:pPr>
      <w:r>
        <w:rPr>
          <w:rFonts w:ascii="IRNazanin" w:hAnsi="IRNazanin" w:eastAsia="IRNazanin"/>
          <w:color w:val="111111"/>
          <w:sz w:val="28"/>
          <w:sz w:val="28"/>
          <w:szCs w:val="28"/>
          <w:rtl w:val="true"/>
          <w:lang w:bidi="fa-IR"/>
        </w:rPr>
        <w:t>المناط</w:t>
      </w:r>
      <w:r>
        <w:rPr>
          <w:rStyle w:val="FootnoteAnchor"/>
          <w:rtl w:val="true"/>
        </w:rPr>
        <w:footnoteReference w:id="1291"/>
      </w:r>
      <w:r>
        <w:rPr>
          <w:rFonts w:ascii="IRNazanin" w:hAnsi="IRNazanin" w:eastAsia="IRNazanin"/>
          <w:color w:val="111111"/>
          <w:sz w:val="28"/>
          <w:sz w:val="28"/>
          <w:szCs w:val="28"/>
          <w:rtl w:val="true"/>
          <w:lang w:bidi="fa-IR"/>
        </w:rPr>
        <w:t> کون الشروع فی السفر قبل الزوال أو بعده، لا الخروج عن حدِّ الترخّص، وکذا فی الرجوع المناط دخول البلد، لکن لا یُترک الاحتیاط</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بالجمع إذا کان الشروع قبل الزوال والخروج عن حدِّ الترخّص بعده، وکذا فی العود إذا کان الوصول إلی حدِّ الترخّص قبل الزوال والدخول فی المنزل بعده</w:t>
      </w:r>
      <w:r>
        <w:rPr>
          <w:rFonts w:eastAsia="IRNazanin" w:cs="IRNazanin"/>
          <w:color w:val="111111"/>
          <w:sz w:val="28"/>
          <w:szCs w:val="28"/>
          <w:rtl w:val="true"/>
          <w:lang w:bidi="fa-IR"/>
        </w:rPr>
        <w:t>.</w:t>
      </w:r>
    </w:p>
    <w:p>
      <w:pPr>
        <w:pStyle w:val="Heading3"/>
        <w:numPr>
          <w:ilvl w:val="2"/>
          <w:numId w:val="1"/>
        </w:numPr>
        <w:rPr/>
      </w:pPr>
      <w:bookmarkStart w:id="574" w:name="__RefHeading___Toc1955244_2322387425"/>
      <w:bookmarkStart w:id="575" w:name="_Toc215"/>
      <w:bookmarkEnd w:id="574"/>
      <w:r>
        <w:rPr>
          <w:rtl w:val="true"/>
        </w:rPr>
        <w:t>المستثنیات من قاعدة التلازم بین إتمام الصلاة والصوم وقصرها والإفطار</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التلازم بین إتمام الصلاة والصوم وقصرها والإفطار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یستثنی من ذلک موارد</w:t>
      </w:r>
      <w:r>
        <w:rPr>
          <w:rStyle w:val="FootnoteAnchor"/>
          <w:rtl w:val="true"/>
        </w:rPr>
        <w:footnoteReference w:id="1293"/>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w:t>
      </w:r>
      <w:bookmarkStart w:id="576" w:name="pg13281_119922"/>
    </w:p>
    <w:p>
      <w:pPr>
        <w:pStyle w:val="BookText"/>
        <w:rPr/>
      </w:pPr>
      <w:bookmarkEnd w:id="576"/>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الأربعة، فإنّ المسافر یتخیّر فیها بین القصر والتمام فی الصلاة وفی الصوم یتعیّن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الخارج إلی السفر بعد الزوال فإنّه یتعیّن علیه البقاء</w:t>
      </w:r>
      <w:r>
        <w:rPr>
          <w:rStyle w:val="FootnoteAnchor"/>
          <w:rtl w:val="true"/>
        </w:rPr>
        <w:footnoteReference w:id="1294"/>
      </w:r>
      <w:r>
        <w:rPr>
          <w:rFonts w:ascii="IRNazanin" w:hAnsi="IRNazanin" w:eastAsia="IRNazanin"/>
          <w:color w:val="111111"/>
          <w:sz w:val="28"/>
          <w:sz w:val="28"/>
          <w:szCs w:val="28"/>
          <w:rtl w:val="true"/>
          <w:lang w:bidi="fa-IR"/>
        </w:rPr>
        <w:t> علی الصوم، مع أنّه یقصّر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الراجع من سفره فإنّه إن رجع بعد الزوال یجب علیه الإتمام، مع أنّه یتعیّن علیه الإفطار</w:t>
      </w:r>
      <w:r>
        <w:rPr>
          <w:rFonts w:eastAsia="IRNazanin" w:cs="IRNazanin"/>
          <w:color w:val="111111"/>
          <w:sz w:val="28"/>
          <w:szCs w:val="28"/>
          <w:rtl w:val="true"/>
          <w:lang w:bidi="fa-IR"/>
        </w:rPr>
        <w:t>.</w:t>
      </w:r>
    </w:p>
    <w:p>
      <w:pPr>
        <w:pStyle w:val="Heading3"/>
        <w:numPr>
          <w:ilvl w:val="2"/>
          <w:numId w:val="1"/>
        </w:numPr>
        <w:rPr/>
      </w:pPr>
      <w:bookmarkStart w:id="577" w:name="__RefHeading___Toc1955246_2322387425"/>
      <w:bookmarkStart w:id="578" w:name="_Toc216"/>
      <w:bookmarkEnd w:id="577"/>
      <w:r>
        <w:rPr>
          <w:rtl w:val="true"/>
        </w:rPr>
        <w:t>عدم جواز الإفطار للمسافر قبل حدّ الترخّص</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إلی السفر فی شهر رمضان لا یجوز له الإفطار إلّا بعد الوصول إلی حدِّ الترخّص، وقد مرّ</w:t>
      </w:r>
      <w:r>
        <w:rPr>
          <w:rStyle w:val="FootnoteAnchor"/>
          <w:rtl w:val="true"/>
        </w:rPr>
        <w:footnoteReference w:id="1295"/>
      </w:r>
      <w:r>
        <w:rPr>
          <w:rFonts w:ascii="Amiri" w:hAnsi="Amiri" w:eastAsia="Amiri" w:cs="Amiri"/>
          <w:color w:val="111111"/>
          <w:sz w:val="28"/>
          <w:sz w:val="28"/>
          <w:szCs w:val="28"/>
          <w:rtl w:val="true"/>
          <w:lang w:bidi="ar-SA"/>
        </w:rPr>
        <w:t> سابقاً وجوب</w:t>
      </w:r>
      <w:r>
        <w:rPr>
          <w:rStyle w:val="FootnoteAnchor"/>
          <w:rtl w:val="true"/>
        </w:rPr>
        <w:footnoteReference w:id="1296"/>
      </w:r>
      <w:r>
        <w:rPr>
          <w:rFonts w:ascii="Amiri" w:hAnsi="Amiri" w:eastAsia="Amiri" w:cs="Amiri"/>
          <w:color w:val="111111"/>
          <w:sz w:val="28"/>
          <w:sz w:val="28"/>
          <w:szCs w:val="28"/>
          <w:rtl w:val="true"/>
          <w:lang w:bidi="ar-SA"/>
        </w:rPr>
        <w:t> الکفّارة</w:t>
      </w:r>
      <w:r>
        <w:rPr>
          <w:rStyle w:val="FootnoteAnchor"/>
          <w:rtl w:val="true"/>
        </w:rPr>
        <w:footnoteReference w:id="1297"/>
      </w:r>
      <w:r>
        <w:rPr>
          <w:rFonts w:ascii="IRNazanin" w:hAnsi="IRNazanin" w:eastAsia="IRNazanin"/>
          <w:color w:val="111111"/>
          <w:sz w:val="28"/>
          <w:sz w:val="28"/>
          <w:szCs w:val="28"/>
          <w:rtl w:val="true"/>
          <w:lang w:bidi="fa-IR"/>
        </w:rPr>
        <w:t>علیه</w:t>
      </w:r>
      <w:r>
        <w:rPr>
          <w:rStyle w:val="FootnoteAnchor"/>
          <w:rtl w:val="true"/>
        </w:rPr>
        <w:footnoteReference w:id="1298"/>
      </w:r>
      <w:r>
        <w:rPr>
          <w:rFonts w:ascii="IRNazanin" w:hAnsi="IRNazanin" w:eastAsia="IRNazanin"/>
          <w:color w:val="111111"/>
          <w:sz w:val="28"/>
          <w:sz w:val="28"/>
          <w:szCs w:val="28"/>
          <w:rtl w:val="true"/>
          <w:lang w:bidi="fa-IR"/>
        </w:rPr>
        <w:t> إن أفطر قبله</w:t>
      </w:r>
      <w:r>
        <w:rPr>
          <w:rFonts w:eastAsia="IRNazanin" w:cs="IRNazanin"/>
          <w:color w:val="111111"/>
          <w:sz w:val="28"/>
          <w:szCs w:val="28"/>
          <w:rtl w:val="true"/>
          <w:lang w:bidi="fa-IR"/>
        </w:rPr>
        <w:t>.</w:t>
      </w:r>
    </w:p>
    <w:p>
      <w:pPr>
        <w:pStyle w:val="Heading3"/>
        <w:numPr>
          <w:ilvl w:val="2"/>
          <w:numId w:val="1"/>
        </w:numPr>
        <w:rPr/>
      </w:pPr>
      <w:bookmarkStart w:id="579" w:name="__RefHeading___Toc1955248_2322387425"/>
      <w:bookmarkStart w:id="580" w:name="_Toc217"/>
      <w:bookmarkEnd w:id="579"/>
      <w:r>
        <w:rPr>
          <w:rtl w:val="true"/>
        </w:rPr>
        <w:t>حکم السفر اختیاراً فی شهر رمضان وغیره من الواجب المعیّن</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السفر اختیاراً فی شهر رمضان، بل ولو کان للفِرار من الصوم، کما مرّ، وأمّا غیره من الواجب المعیّن</w:t>
      </w:r>
      <w:r>
        <w:rPr>
          <w:rStyle w:val="FootnoteAnchor"/>
          <w:rtl w:val="true"/>
        </w:rPr>
        <w:footnoteReference w:id="129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w:t>
      </w:r>
      <w:r>
        <w:rPr>
          <w:rStyle w:val="FootnoteAnchor"/>
          <w:rtl w:val="true"/>
        </w:rPr>
        <w:footnoteReference w:id="1300"/>
      </w:r>
      <w:r>
        <w:rPr>
          <w:rFonts w:ascii="IRNazanin" w:hAnsi="IRNazanin" w:eastAsia="IRNazanin"/>
          <w:color w:val="111111"/>
          <w:sz w:val="28"/>
          <w:sz w:val="28"/>
          <w:szCs w:val="28"/>
          <w:rtl w:val="true"/>
          <w:lang w:bidi="fa-IR"/>
        </w:rPr>
        <w:t> عدم</w:t>
      </w:r>
      <w:r>
        <w:rPr>
          <w:rStyle w:val="FootnoteAnchor"/>
          <w:rtl w:val="true"/>
        </w:rPr>
        <w:footnoteReference w:id="1301"/>
      </w:r>
      <w:r>
        <w:rPr>
          <w:rFonts w:ascii="IRNazanin" w:hAnsi="IRNazanin" w:eastAsia="IRNazanin"/>
          <w:color w:val="111111"/>
          <w:sz w:val="28"/>
          <w:sz w:val="28"/>
          <w:szCs w:val="28"/>
          <w:rtl w:val="true"/>
          <w:lang w:bidi="fa-IR"/>
        </w:rPr>
        <w:t> جوازه</w:t>
      </w:r>
      <w:r>
        <w:rPr>
          <w:rStyle w:val="FootnoteAnchor"/>
          <w:rtl w:val="true"/>
        </w:rPr>
        <w:footnoteReference w:id="1302"/>
      </w:r>
      <w:r>
        <w:rPr>
          <w:rFonts w:ascii="IRNazanin" w:hAnsi="IRNazanin" w:eastAsia="IRNazanin"/>
          <w:color w:val="111111"/>
          <w:sz w:val="28"/>
          <w:sz w:val="28"/>
          <w:szCs w:val="28"/>
          <w:rtl w:val="true"/>
          <w:lang w:bidi="fa-IR"/>
        </w:rPr>
        <w:t xml:space="preserve"> إلّا مع الضرورة، کما أنّه لو کان مسافراً </w:t>
      </w:r>
      <w:bookmarkStart w:id="581" w:name="pg13281_119924"/>
    </w:p>
    <w:p>
      <w:pPr>
        <w:pStyle w:val="BookText"/>
        <w:rPr/>
      </w:pPr>
      <w:bookmarkEnd w:id="581"/>
      <w:r>
        <w:rPr>
          <w:rFonts w:ascii="IRNazanin" w:hAnsi="IRNazanin" w:eastAsia="IRNazanin"/>
          <w:color w:val="111111"/>
          <w:sz w:val="28"/>
          <w:sz w:val="28"/>
          <w:szCs w:val="28"/>
          <w:rtl w:val="true"/>
          <w:lang w:bidi="fa-IR"/>
        </w:rPr>
        <w:t>وجب علیه الإقامة</w:t>
      </w:r>
      <w:r>
        <w:rPr>
          <w:rStyle w:val="FootnoteAnchor"/>
          <w:rtl w:val="true"/>
        </w:rPr>
        <w:footnoteReference w:id="1303"/>
      </w:r>
      <w:r>
        <w:rPr>
          <w:rFonts w:ascii="IRNazanin" w:hAnsi="IRNazanin" w:eastAsia="IRNazanin"/>
          <w:color w:val="111111"/>
          <w:sz w:val="28"/>
          <w:sz w:val="28"/>
          <w:szCs w:val="28"/>
          <w:rtl w:val="true"/>
          <w:lang w:bidi="fa-IR"/>
        </w:rPr>
        <w:t>؛ لإتیانه مع الإمکان</w:t>
      </w:r>
      <w:r>
        <w:rPr>
          <w:rFonts w:eastAsia="IRNazanin" w:cs="IRNazanin"/>
          <w:color w:val="111111"/>
          <w:sz w:val="28"/>
          <w:szCs w:val="28"/>
          <w:rtl w:val="true"/>
          <w:lang w:bidi="fa-IR"/>
        </w:rPr>
        <w:t>.</w:t>
      </w:r>
    </w:p>
    <w:p>
      <w:pPr>
        <w:pStyle w:val="Heading3"/>
        <w:numPr>
          <w:ilvl w:val="2"/>
          <w:numId w:val="1"/>
        </w:numPr>
        <w:rPr/>
      </w:pPr>
      <w:bookmarkStart w:id="582" w:name="__RefHeading___Toc1955250_2322387425"/>
      <w:bookmarkStart w:id="583" w:name="_Toc218"/>
      <w:bookmarkEnd w:id="582"/>
      <w:r>
        <w:rPr>
          <w:rtl w:val="true"/>
        </w:rPr>
        <w:t>کراهة السفر فی شهر رمضان</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کراهة السفر فی شهر رمضان</w:t>
      </w:r>
      <w:r>
        <w:rPr>
          <w:rStyle w:val="FootnoteAnchor"/>
          <w:rtl w:val="true"/>
        </w:rPr>
        <w:footnoteReference w:id="1304"/>
      </w:r>
      <w:r>
        <w:rPr>
          <w:rFonts w:ascii="IRNazanin" w:hAnsi="IRNazanin" w:eastAsia="IRNazanin"/>
          <w:color w:val="111111"/>
          <w:sz w:val="28"/>
          <w:sz w:val="28"/>
          <w:szCs w:val="28"/>
          <w:rtl w:val="true"/>
          <w:lang w:bidi="fa-IR"/>
        </w:rPr>
        <w:t> قبل أن یمضی</w:t>
      </w:r>
    </w:p>
    <w:p>
      <w:pPr>
        <w:pStyle w:val="BookText"/>
        <w:rPr/>
      </w:pPr>
      <w:r>
        <w:rPr>
          <w:rFonts w:ascii="Amiri" w:hAnsi="Amiri" w:eastAsia="Amiri" w:cs="Amiri"/>
          <w:color w:val="111111"/>
          <w:sz w:val="28"/>
          <w:sz w:val="28"/>
          <w:szCs w:val="28"/>
          <w:rtl w:val="true"/>
          <w:lang w:bidi="ar-SA"/>
        </w:rPr>
        <w:t>ثلاثة وعشرون</w:t>
      </w:r>
      <w:r>
        <w:rPr>
          <w:rStyle w:val="FootnoteAnchor"/>
          <w:rtl w:val="true"/>
        </w:rPr>
        <w:footnoteReference w:id="1305"/>
      </w:r>
      <w:r>
        <w:rPr>
          <w:rFonts w:ascii="Amiri" w:hAnsi="Amiri" w:eastAsia="Amiri" w:cs="Amiri"/>
          <w:color w:val="111111"/>
          <w:sz w:val="28"/>
          <w:sz w:val="28"/>
          <w:szCs w:val="28"/>
          <w:rtl w:val="true"/>
          <w:lang w:bidi="ar-SA"/>
        </w:rPr>
        <w:t> یوماً</w:t>
      </w:r>
      <w:r>
        <w:rPr>
          <w:rStyle w:val="FootnoteAnchor"/>
          <w:rtl w:val="true"/>
        </w:rPr>
        <w:footnoteReference w:id="1306"/>
      </w:r>
      <w:r>
        <w:rPr>
          <w:rFonts w:ascii="Amiri" w:hAnsi="Amiri" w:eastAsia="Amiri" w:cs="Amiri"/>
          <w:color w:val="111111"/>
          <w:sz w:val="28"/>
          <w:sz w:val="28"/>
          <w:szCs w:val="28"/>
          <w:rtl w:val="true"/>
          <w:lang w:bidi="ar-SA"/>
        </w:rPr>
        <w:t>، إلّا فی حجٍّ أو عمرة</w:t>
      </w:r>
      <w:r>
        <w:rPr>
          <w:rStyle w:val="FootnoteAnchor"/>
          <w:rtl w:val="true"/>
        </w:rPr>
        <w:footnoteReference w:id="1307"/>
      </w:r>
      <w:r>
        <w:rPr>
          <w:rFonts w:ascii="IRNazanin" w:hAnsi="IRNazanin" w:eastAsia="IRNazanin"/>
          <w:color w:val="111111"/>
          <w:sz w:val="28"/>
          <w:sz w:val="28"/>
          <w:szCs w:val="28"/>
          <w:rtl w:val="true"/>
          <w:lang w:bidi="fa-IR"/>
        </w:rPr>
        <w:t>، أو مالٍ یخاف تلفه، أو أخٍ یخاف هلاکه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1955252_2322387425"/>
      <w:bookmarkStart w:id="585" w:name="_Toc219"/>
      <w:bookmarkEnd w:id="584"/>
      <w:r>
        <w:rPr>
          <w:rtl w:val="true"/>
        </w:rPr>
        <w:t>کراهة الجماع والتملّی من الطعام والشراب من غیر الصائم</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للمسافر فی شهر رمضان، بل کلُّ مَن یجوز له الإفطار التملّی من الطعام والشراب، وکذا یکره له الجماع فی النهار، بل الأحوط ترکه، وإن کان الأقوی جوازه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586" w:name="pg13281_119925"/>
    </w:p>
    <w:p>
      <w:pPr>
        <w:pStyle w:val="BookText"/>
        <w:rPr/>
      </w:pPr>
      <w:bookmarkEnd w:id="586"/>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الرخصة فی الإفطار      </w:t>
      </w:r>
    </w:p>
    <w:p>
      <w:pPr>
        <w:pStyle w:val="Heading2"/>
        <w:numPr>
          <w:ilvl w:val="1"/>
          <w:numId w:val="1"/>
        </w:numPr>
        <w:rPr/>
      </w:pPr>
      <w:bookmarkStart w:id="587" w:name="__RefHeading___Toc1955254_2322387425"/>
      <w:bookmarkStart w:id="588" w:name="_Toc220"/>
      <w:bookmarkEnd w:id="587"/>
      <w:r>
        <w:rPr>
          <w:rtl w:val="true"/>
        </w:rPr>
        <w:t>فصل</w:t>
      </w:r>
      <w:r>
        <w:rPr>
          <w:rtl w:val="true"/>
        </w:rPr>
        <w:t xml:space="preserve">: </w:t>
      </w:r>
      <w:r>
        <w:rPr>
          <w:rtl w:val="true"/>
        </w:rPr>
        <w:t>فی موارد جواز أو وجوب الإفطار</w:t>
      </w:r>
      <w:bookmarkEnd w:id="588"/>
    </w:p>
    <w:p>
      <w:pPr>
        <w:pStyle w:val="Heading3"/>
        <w:numPr>
          <w:ilvl w:val="2"/>
          <w:numId w:val="1"/>
        </w:numPr>
        <w:rPr/>
      </w:pPr>
      <w:bookmarkStart w:id="589" w:name="__RefHeading___Toc1955256_2322387425"/>
      <w:bookmarkStart w:id="590" w:name="_Toc221"/>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وردت الرخصة فی إفطار شهر رمضان لأشخاص، بل قد یجب</w:t>
      </w:r>
      <w:r>
        <w:rPr>
          <w:rStyle w:val="FootnoteAnchor"/>
          <w:rtl w:val="true"/>
        </w:rPr>
        <w:footnoteReference w:id="1309"/>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955258_2322387425"/>
      <w:bookmarkStart w:id="592" w:name="_Toc222"/>
      <w:bookmarkEnd w:id="591"/>
      <w:r>
        <w:rPr>
          <w:rtl w:val="true"/>
        </w:rPr>
        <w:t xml:space="preserve">الأول والثانی </w:t>
      </w:r>
      <w:r>
        <w:rPr>
          <w:rtl w:val="true"/>
        </w:rPr>
        <w:t xml:space="preserve">: </w:t>
      </w:r>
      <w:r>
        <w:rPr>
          <w:rtl w:val="true"/>
        </w:rPr>
        <w:t>الشیخ والشیخة فی صورة التعذّر والمشقّة</w:t>
      </w:r>
      <w:bookmarkEnd w:id="5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تعذّر علیهما الصوم أو کان حرجاً ومشقّة، فیجوز لهما الإفطار، لکن یجب علیهما فی صورة المشقّة بل فی صورة</w:t>
      </w:r>
      <w:r>
        <w:rPr>
          <w:rStyle w:val="FootnoteAnchor"/>
          <w:rtl w:val="true"/>
        </w:rPr>
        <w:footnoteReference w:id="1310"/>
      </w:r>
      <w:r>
        <w:rPr>
          <w:rFonts w:ascii="Amiri" w:hAnsi="Amiri" w:eastAsia="Amiri" w:cs="Amiri"/>
          <w:color w:val="111111"/>
          <w:sz w:val="28"/>
          <w:sz w:val="28"/>
          <w:szCs w:val="28"/>
          <w:rtl w:val="true"/>
          <w:lang w:bidi="ar-SA"/>
        </w:rPr>
        <w:t> التعذّر</w:t>
      </w:r>
      <w:r>
        <w:rPr>
          <w:rStyle w:val="FootnoteAnchor"/>
          <w:rtl w:val="true"/>
        </w:rPr>
        <w:footnoteReference w:id="1311"/>
      </w:r>
      <w:bookmarkStart w:id="593" w:name="pg13281_119926"/>
    </w:p>
    <w:p>
      <w:pPr>
        <w:pStyle w:val="BookText"/>
        <w:rPr/>
      </w:pPr>
      <w:bookmarkEnd w:id="593"/>
      <w:r>
        <w:rPr>
          <w:rFonts w:ascii="Amiri" w:hAnsi="Amiri" w:eastAsia="Amiri" w:cs="Amiri"/>
          <w:color w:val="111111"/>
          <w:sz w:val="28"/>
          <w:sz w:val="28"/>
          <w:szCs w:val="28"/>
          <w:rtl w:val="true"/>
          <w:lang w:bidi="ar-SA"/>
        </w:rPr>
        <w:t>أیضاً</w:t>
      </w:r>
      <w:r>
        <w:rPr>
          <w:rStyle w:val="FootnoteAnchor"/>
          <w:rtl w:val="true"/>
        </w:rPr>
        <w:footnoteReference w:id="1312"/>
      </w:r>
      <w:r>
        <w:rPr>
          <w:rFonts w:ascii="IRNazanin" w:hAnsi="IRNazanin" w:eastAsia="IRNazanin"/>
          <w:color w:val="111111"/>
          <w:sz w:val="28"/>
          <w:sz w:val="28"/>
          <w:szCs w:val="28"/>
          <w:rtl w:val="true"/>
          <w:lang w:bidi="fa-IR"/>
        </w:rPr>
        <w:t> التکفیر</w:t>
      </w:r>
      <w:r>
        <w:rPr>
          <w:rStyle w:val="FootnoteAnchor"/>
          <w:rtl w:val="true"/>
        </w:rPr>
        <w:footnoteReference w:id="1313"/>
      </w:r>
      <w:r>
        <w:rPr>
          <w:rFonts w:ascii="Times New Roman" w:hAnsi="Times New Roman" w:eastAsia="Times New Roman" w:cs="Times New Roman"/>
          <w:color w:val="111111"/>
          <w:sz w:val="28"/>
          <w:sz w:val="28"/>
          <w:szCs w:val="28"/>
          <w:rtl w:val="true"/>
          <w:lang w:val="en-US" w:bidi="en-US"/>
        </w:rPr>
        <w:t> </w:t>
      </w:r>
    </w:p>
    <w:p>
      <w:pPr>
        <w:pStyle w:val="Heading3"/>
        <w:numPr>
          <w:ilvl w:val="2"/>
          <w:numId w:val="1"/>
        </w:numPr>
        <w:rPr/>
      </w:pPr>
      <w:bookmarkStart w:id="594" w:name="__RefHeading___Toc1955260_2322387425"/>
      <w:bookmarkStart w:id="595" w:name="_Toc223"/>
      <w:bookmarkEnd w:id="594"/>
      <w:r>
        <w:rPr>
          <w:rtl w:val="true"/>
        </w:rPr>
        <w:t>اعتبار دفع الفدیة وبیان قدرها ونوعها</w:t>
      </w:r>
      <w:bookmarkEnd w:id="595"/>
    </w:p>
    <w:p>
      <w:pPr>
        <w:pStyle w:val="BookText"/>
        <w:rPr/>
      </w:pPr>
      <w:r>
        <w:rPr>
          <w:rFonts w:ascii="Amiri" w:hAnsi="Amiri" w:eastAsia="Amiri" w:cs="Amiri"/>
          <w:color w:val="111111"/>
          <w:sz w:val="28"/>
          <w:sz w:val="28"/>
          <w:szCs w:val="28"/>
          <w:rtl w:val="true"/>
          <w:lang w:bidi="ar-SA"/>
        </w:rPr>
        <w:t>بدل کلِّ یومٍ بمُدٍّ من طعام، والأحوط مُدّان</w:t>
      </w:r>
      <w:r>
        <w:rPr>
          <w:rStyle w:val="FootnoteAnchor"/>
          <w:rtl w:val="true"/>
        </w:rPr>
        <w:footnoteReference w:id="1314"/>
      </w:r>
      <w:r>
        <w:rPr>
          <w:rFonts w:ascii="IRNazanin" w:hAnsi="IRNazanin" w:eastAsia="IRNazanin"/>
          <w:color w:val="111111"/>
          <w:sz w:val="28"/>
          <w:sz w:val="28"/>
          <w:szCs w:val="28"/>
          <w:rtl w:val="true"/>
          <w:lang w:bidi="fa-IR"/>
        </w:rPr>
        <w:t>، والأفضل کونهما من حنطة</w:t>
      </w:r>
      <w:r>
        <w:rPr>
          <w:rStyle w:val="FootnoteAnchor"/>
          <w:rtl w:val="true"/>
        </w:rPr>
        <w:footnoteReference w:id="1315"/>
      </w:r>
      <w:r>
        <w:rPr>
          <w:rFonts w:ascii="IRNazanin" w:hAnsi="IRNazanin" w:eastAsia="IRNazanin"/>
          <w:color w:val="111111"/>
          <w:sz w:val="28"/>
          <w:sz w:val="28"/>
          <w:szCs w:val="28"/>
          <w:rtl w:val="true"/>
          <w:lang w:bidi="fa-IR"/>
        </w:rPr>
        <w:t>،</w:t>
      </w:r>
    </w:p>
    <w:p>
      <w:pPr>
        <w:pStyle w:val="Heading3"/>
        <w:numPr>
          <w:ilvl w:val="2"/>
          <w:numId w:val="1"/>
        </w:numPr>
        <w:rPr/>
      </w:pPr>
      <w:bookmarkStart w:id="596" w:name="__RefHeading___Toc1955262_2322387425"/>
      <w:bookmarkStart w:id="597" w:name="_Toc224"/>
      <w:bookmarkEnd w:id="596"/>
      <w:r>
        <w:rPr>
          <w:rtl w:val="true"/>
        </w:rPr>
        <w:t>الحکم بالقضاء فی صورة تجدّد القدرة فی الشیخ والشیخة</w:t>
      </w:r>
      <w:bookmarkEnd w:id="59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1316"/>
      </w:r>
      <w:r>
        <w:rPr>
          <w:rFonts w:ascii="IRNazanin" w:hAnsi="IRNazanin" w:eastAsia="IRNazanin"/>
          <w:color w:val="111111"/>
          <w:sz w:val="28"/>
          <w:sz w:val="28"/>
          <w:szCs w:val="28"/>
          <w:rtl w:val="true"/>
          <w:lang w:bidi="fa-IR"/>
        </w:rPr>
        <w:t> وجوب</w:t>
      </w:r>
      <w:r>
        <w:rPr>
          <w:rStyle w:val="FootnoteAnchor"/>
          <w:rtl w:val="true"/>
        </w:rPr>
        <w:footnoteReference w:id="1317"/>
      </w:r>
      <w:r>
        <w:rPr>
          <w:rFonts w:ascii="IRNazanin" w:hAnsi="IRNazanin" w:eastAsia="IRNazanin"/>
          <w:color w:val="111111"/>
          <w:sz w:val="28"/>
          <w:sz w:val="28"/>
          <w:szCs w:val="28"/>
          <w:rtl w:val="true"/>
          <w:lang w:bidi="fa-IR"/>
        </w:rPr>
        <w:t> القضاء</w:t>
      </w:r>
      <w:r>
        <w:rPr>
          <w:rStyle w:val="FootnoteAnchor"/>
          <w:rtl w:val="true"/>
        </w:rPr>
        <w:footnoteReference w:id="1318"/>
      </w:r>
      <w:bookmarkStart w:id="598" w:name="pg13281_119927"/>
    </w:p>
    <w:p>
      <w:pPr>
        <w:pStyle w:val="BookText"/>
        <w:rPr/>
      </w:pPr>
      <w:bookmarkEnd w:id="598"/>
      <w:r>
        <w:rPr>
          <w:rFonts w:ascii="IRNazanin" w:hAnsi="IRNazanin" w:eastAsia="IRNazanin"/>
          <w:color w:val="111111"/>
          <w:sz w:val="28"/>
          <w:sz w:val="28"/>
          <w:szCs w:val="28"/>
          <w:rtl w:val="true"/>
          <w:lang w:bidi="fa-IR"/>
        </w:rPr>
        <w:t>علیهما</w:t>
      </w:r>
      <w:r>
        <w:rPr>
          <w:rStyle w:val="FootnoteAnchor"/>
          <w:rtl w:val="true"/>
        </w:rPr>
        <w:footnoteReference w:id="1319"/>
      </w:r>
      <w:r>
        <w:rPr>
          <w:rFonts w:ascii="IRNazanin" w:hAnsi="IRNazanin" w:eastAsia="IRNazanin"/>
          <w:color w:val="111111"/>
          <w:sz w:val="28"/>
          <w:sz w:val="28"/>
          <w:szCs w:val="28"/>
          <w:rtl w:val="true"/>
          <w:lang w:bidi="fa-IR"/>
        </w:rPr>
        <w:t> لو تمکّنا بعد ذلک</w:t>
      </w:r>
      <w:r>
        <w:rPr>
          <w:rFonts w:eastAsia="IRNazanin" w:cs="IRNazanin"/>
          <w:color w:val="111111"/>
          <w:sz w:val="28"/>
          <w:szCs w:val="28"/>
          <w:rtl w:val="true"/>
          <w:lang w:bidi="fa-IR"/>
        </w:rPr>
        <w:t>.</w:t>
      </w:r>
    </w:p>
    <w:p>
      <w:pPr>
        <w:pStyle w:val="Heading3"/>
        <w:numPr>
          <w:ilvl w:val="2"/>
          <w:numId w:val="1"/>
        </w:numPr>
        <w:rPr/>
      </w:pPr>
      <w:bookmarkStart w:id="599" w:name="__RefHeading___Toc1955264_2322387425"/>
      <w:bookmarkStart w:id="600" w:name="_Toc225"/>
      <w:bookmarkEnd w:id="599"/>
      <w:r>
        <w:rPr>
          <w:rtl w:val="true"/>
        </w:rPr>
        <w:t xml:space="preserve">الثالث </w:t>
      </w:r>
      <w:r>
        <w:rPr>
          <w:rtl w:val="true"/>
        </w:rPr>
        <w:t xml:space="preserve">: </w:t>
      </w:r>
      <w:r>
        <w:rPr>
          <w:rtl w:val="true"/>
        </w:rPr>
        <w:t>من به داء العطش</w:t>
      </w:r>
      <w:bookmarkEnd w:id="600"/>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داء العطش فإنّه یفطر، سواء کان بحیث لا یقدر علی الصبر أم کان فیه مشقّة، ویجب علیه التصدّق</w:t>
      </w:r>
      <w:r>
        <w:rPr>
          <w:rStyle w:val="FootnoteAnchor"/>
          <w:rtl w:val="true"/>
        </w:rPr>
        <w:footnoteReference w:id="1320"/>
      </w:r>
      <w:r>
        <w:rPr>
          <w:rFonts w:ascii="Amiri" w:hAnsi="Amiri" w:eastAsia="Amiri" w:cs="Amiri"/>
          <w:color w:val="111111"/>
          <w:sz w:val="28"/>
          <w:sz w:val="28"/>
          <w:szCs w:val="28"/>
          <w:rtl w:val="true"/>
          <w:lang w:bidi="ar-SA"/>
        </w:rPr>
        <w:t>بمُدّ</w:t>
      </w:r>
      <w:r>
        <w:rPr>
          <w:rStyle w:val="FootnoteAnchor"/>
          <w:rtl w:val="true"/>
        </w:rPr>
        <w:footnoteReference w:id="1321"/>
      </w:r>
      <w:r>
        <w:rPr>
          <w:rFonts w:ascii="Amiri" w:hAnsi="Amiri" w:eastAsia="Amiri" w:cs="Amiri"/>
          <w:color w:val="111111"/>
          <w:sz w:val="28"/>
          <w:sz w:val="28"/>
          <w:szCs w:val="28"/>
          <w:rtl w:val="true"/>
          <w:lang w:bidi="ar-SA"/>
        </w:rPr>
        <w:t>، والأحوط مُدّان، من غیر</w:t>
      </w:r>
      <w:r>
        <w:rPr>
          <w:rStyle w:val="FootnoteAnchor"/>
          <w:rtl w:val="true"/>
        </w:rPr>
        <w:footnoteReference w:id="1322"/>
      </w:r>
      <w:r>
        <w:rPr>
          <w:rFonts w:ascii="IRNazanin" w:hAnsi="IRNazanin" w:eastAsia="IRNazanin"/>
          <w:color w:val="111111"/>
          <w:sz w:val="28"/>
          <w:sz w:val="28"/>
          <w:szCs w:val="28"/>
          <w:rtl w:val="true"/>
          <w:lang w:bidi="fa-IR"/>
        </w:rPr>
        <w:t> فرقٍ بین ما إذا کان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مرجوَّ الزوال أم لا، والأحوط، بل الأقوی</w:t>
      </w:r>
      <w:r>
        <w:rPr>
          <w:rStyle w:val="FootnoteAnchor"/>
          <w:rtl w:val="true"/>
        </w:rPr>
        <w:footnoteReference w:id="1323"/>
      </w:r>
      <w:bookmarkStart w:id="601" w:name="pg13281_119928"/>
    </w:p>
    <w:p>
      <w:pPr>
        <w:pStyle w:val="BookText"/>
        <w:rPr/>
      </w:pPr>
      <w:bookmarkEnd w:id="601"/>
      <w:r>
        <w:rPr>
          <w:rFonts w:ascii="IRNazanin" w:hAnsi="IRNazanin" w:eastAsia="IRNazanin"/>
          <w:color w:val="111111"/>
          <w:sz w:val="28"/>
          <w:sz w:val="28"/>
          <w:szCs w:val="28"/>
          <w:rtl w:val="true"/>
          <w:lang w:bidi="fa-IR"/>
        </w:rPr>
        <w:t>وجوب</w:t>
      </w:r>
      <w:r>
        <w:rPr>
          <w:rStyle w:val="FootnoteAnchor"/>
          <w:rtl w:val="true"/>
        </w:rPr>
        <w:footnoteReference w:id="1324"/>
      </w:r>
      <w:r>
        <w:rPr>
          <w:rFonts w:ascii="IRNazanin" w:hAnsi="IRNazanin" w:eastAsia="IRNazanin"/>
          <w:color w:val="111111"/>
          <w:sz w:val="28"/>
          <w:sz w:val="28"/>
          <w:szCs w:val="28"/>
          <w:rtl w:val="true"/>
          <w:lang w:bidi="fa-IR"/>
        </w:rPr>
        <w:t> القضاء</w:t>
      </w:r>
      <w:r>
        <w:rPr>
          <w:rStyle w:val="FootnoteAnchor"/>
          <w:rtl w:val="true"/>
        </w:rPr>
        <w:footnoteReference w:id="1325"/>
      </w:r>
      <w:r>
        <w:rPr>
          <w:rFonts w:ascii="IRNazanin" w:hAnsi="IRNazanin" w:eastAsia="IRNazanin"/>
          <w:color w:val="111111"/>
          <w:sz w:val="28"/>
          <w:sz w:val="28"/>
          <w:szCs w:val="28"/>
          <w:rtl w:val="true"/>
          <w:lang w:bidi="fa-IR"/>
        </w:rPr>
        <w:t> علیه</w:t>
      </w:r>
      <w:r>
        <w:rPr>
          <w:rStyle w:val="FootnoteAnchor"/>
          <w:rtl w:val="true"/>
        </w:rPr>
        <w:footnoteReference w:id="1326"/>
      </w:r>
      <w:r>
        <w:rPr>
          <w:rFonts w:ascii="IRNazanin" w:hAnsi="IRNazanin" w:eastAsia="IRNazanin"/>
          <w:color w:val="111111"/>
          <w:sz w:val="28"/>
          <w:sz w:val="28"/>
          <w:szCs w:val="28"/>
          <w:rtl w:val="true"/>
          <w:lang w:bidi="fa-IR"/>
        </w:rPr>
        <w:t> إذا تمکّن بعد ذلک، کما أنّ الأحوط</w:t>
      </w:r>
      <w:r>
        <w:rPr>
          <w:rStyle w:val="FootnoteAnchor"/>
          <w:rtl w:val="true"/>
        </w:rPr>
        <w:footnoteReference w:id="1327"/>
      </w:r>
      <w:r>
        <w:rPr>
          <w:rFonts w:ascii="IRNazanin" w:hAnsi="IRNazanin" w:eastAsia="IRNazanin"/>
          <w:color w:val="111111"/>
          <w:sz w:val="28"/>
          <w:sz w:val="28"/>
          <w:szCs w:val="28"/>
          <w:rtl w:val="true"/>
          <w:lang w:bidi="fa-IR"/>
        </w:rPr>
        <w:t> أن</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یقتصر</w:t>
      </w:r>
      <w:r>
        <w:rPr>
          <w:rStyle w:val="FootnoteAnchor"/>
          <w:rtl w:val="true"/>
        </w:rPr>
        <w:footnoteReference w:id="1329"/>
      </w:r>
      <w:r>
        <w:rPr>
          <w:rFonts w:ascii="IRNazanin" w:hAnsi="IRNazanin" w:eastAsia="IRNazanin"/>
          <w:color w:val="111111"/>
          <w:sz w:val="28"/>
          <w:sz w:val="28"/>
          <w:szCs w:val="28"/>
          <w:rtl w:val="true"/>
          <w:lang w:bidi="fa-IR"/>
        </w:rPr>
        <w:t> علی</w:t>
      </w:r>
      <w:r>
        <w:rPr>
          <w:rStyle w:val="FootnoteAnchor"/>
          <w:rtl w:val="true"/>
        </w:rPr>
        <w:footnoteReference w:id="1330"/>
      </w:r>
      <w:r>
        <w:rPr>
          <w:rFonts w:ascii="Amiri" w:hAnsi="Amiri" w:eastAsia="Amiri" w:cs="Amiri"/>
          <w:color w:val="111111"/>
          <w:sz w:val="28"/>
          <w:sz w:val="28"/>
          <w:szCs w:val="28"/>
          <w:rtl w:val="true"/>
          <w:lang w:bidi="ar-SA"/>
        </w:rPr>
        <w:t> مقدار الضرورة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955266_2322387425"/>
      <w:bookmarkStart w:id="603" w:name="_Toc226"/>
      <w:bookmarkEnd w:id="602"/>
      <w:r>
        <w:rPr>
          <w:rtl w:val="true"/>
        </w:rPr>
        <w:t xml:space="preserve">الرابع </w:t>
      </w:r>
      <w:r>
        <w:rPr>
          <w:rtl w:val="true"/>
        </w:rPr>
        <w:t xml:space="preserve">: </w:t>
      </w:r>
      <w:r>
        <w:rPr>
          <w:rtl w:val="true"/>
        </w:rPr>
        <w:t>الحامل المقرب</w:t>
      </w:r>
      <w:bookmarkEnd w:id="603"/>
    </w:p>
    <w:p>
      <w:pPr>
        <w:pStyle w:val="Heading4"/>
        <w:numPr>
          <w:ilvl w:val="3"/>
          <w:numId w:val="1"/>
        </w:numPr>
        <w:rPr/>
      </w:pPr>
      <w:bookmarkStart w:id="604" w:name="__RefHeading___Toc1955268_2322387425"/>
      <w:bookmarkStart w:id="605" w:name="_Toc227"/>
      <w:bookmarkEnd w:id="604"/>
      <w:r>
        <w:rPr>
          <w:rtl w:val="true"/>
        </w:rPr>
        <w:t>وجوب الصدقة والقضاء علیها</w:t>
      </w:r>
      <w:bookmarkEnd w:id="60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التی یضرّها الصوم</w:t>
      </w:r>
      <w:r>
        <w:rPr>
          <w:rStyle w:val="FootnoteAnchor"/>
          <w:rtl w:val="true"/>
        </w:rPr>
        <w:footnoteReference w:id="1331"/>
      </w:r>
      <w:r>
        <w:rPr>
          <w:rFonts w:ascii="Amiri" w:hAnsi="Amiri" w:eastAsia="Amiri" w:cs="Amiri"/>
          <w:color w:val="111111"/>
          <w:sz w:val="28"/>
          <w:sz w:val="28"/>
          <w:szCs w:val="28"/>
          <w:rtl w:val="true"/>
          <w:lang w:bidi="ar-SA"/>
        </w:rPr>
        <w:t>، أو یضرّ حَملها، فتفطر وتتصدّق</w:t>
      </w:r>
      <w:r>
        <w:rPr>
          <w:rStyle w:val="FootnoteAnchor"/>
          <w:rtl w:val="true"/>
        </w:rPr>
        <w:footnoteReference w:id="1332"/>
      </w:r>
      <w:r>
        <w:rPr>
          <w:rFonts w:ascii="IRNazanin" w:hAnsi="IRNazanin" w:eastAsia="IRNazanin"/>
          <w:color w:val="111111"/>
          <w:sz w:val="28"/>
          <w:sz w:val="28"/>
          <w:szCs w:val="28"/>
          <w:rtl w:val="true"/>
          <w:lang w:bidi="fa-IR"/>
        </w:rPr>
        <w:t> من مالها</w:t>
      </w:r>
      <w:r>
        <w:rPr>
          <w:rStyle w:val="FootnoteAnchor"/>
          <w:rtl w:val="true"/>
        </w:rPr>
        <w:footnoteReference w:id="1333"/>
      </w:r>
      <w:r>
        <w:rPr>
          <w:rFonts w:ascii="Amiri" w:hAnsi="Amiri" w:eastAsia="Amiri" w:cs="Amiri"/>
          <w:color w:val="111111"/>
          <w:sz w:val="28"/>
          <w:sz w:val="28"/>
          <w:szCs w:val="28"/>
          <w:rtl w:val="true"/>
          <w:lang w:bidi="ar-SA"/>
        </w:rPr>
        <w:t> بالمُدِّ أو المُدَّین، وتقضی بعد ذلک</w:t>
      </w:r>
      <w:r>
        <w:rPr>
          <w:rFonts w:eastAsia="Amiri" w:cs="Amiri" w:ascii="Amiri" w:hAnsi="Amiri"/>
          <w:color w:val="111111"/>
          <w:sz w:val="28"/>
          <w:szCs w:val="28"/>
          <w:rtl w:val="true"/>
          <w:lang w:bidi="ar-SA"/>
        </w:rPr>
        <w:t xml:space="preserve">. </w:t>
      </w:r>
      <w:bookmarkStart w:id="606" w:name="pg13281_119929"/>
    </w:p>
    <w:p>
      <w:pPr>
        <w:pStyle w:val="Heading3"/>
        <w:numPr>
          <w:ilvl w:val="2"/>
          <w:numId w:val="1"/>
        </w:numPr>
        <w:rPr/>
      </w:pPr>
      <w:bookmarkStart w:id="607" w:name="__RefHeading___Toc1955270_2322387425"/>
      <w:bookmarkStart w:id="608" w:name="_Toc228"/>
      <w:bookmarkEnd w:id="606"/>
      <w:bookmarkEnd w:id="607"/>
      <w:r>
        <w:rPr>
          <w:rtl w:val="true"/>
        </w:rPr>
        <w:t xml:space="preserve">الخامس </w:t>
      </w:r>
      <w:r>
        <w:rPr>
          <w:rtl w:val="true"/>
        </w:rPr>
        <w:t xml:space="preserve">: </w:t>
      </w:r>
      <w:r>
        <w:rPr>
          <w:rtl w:val="true"/>
        </w:rPr>
        <w:t>المرضعة القلیلة اللبن</w:t>
      </w:r>
      <w:bookmarkEnd w:id="608"/>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القلیلة اللبن إذا أضرّ بها الصوم، أو أضرّ بالولد، ولا فرق بین أن یکون الولد لها أو متبرّعة برضاعه أو مستأجرة، ویجب علیها التصدّق بالمُدِّ أو المُدَّینِ أیضاً</w:t>
      </w:r>
      <w:r>
        <w:rPr>
          <w:rStyle w:val="FootnoteAnchor"/>
          <w:rtl w:val="true"/>
        </w:rPr>
        <w:footnoteReference w:id="1334"/>
      </w:r>
      <w:r>
        <w:rPr>
          <w:rFonts w:ascii="IRNazanin" w:hAnsi="IRNazanin" w:eastAsia="IRNazanin"/>
          <w:color w:val="111111"/>
          <w:sz w:val="28"/>
          <w:sz w:val="28"/>
          <w:szCs w:val="28"/>
          <w:rtl w:val="true"/>
          <w:lang w:bidi="fa-IR"/>
        </w:rPr>
        <w:t> من مالها، والقضاء بعد ذلک، والأحوط، بل الأقوی</w:t>
      </w:r>
      <w:r>
        <w:rPr>
          <w:rStyle w:val="FootnoteAnchor"/>
          <w:rtl w:val="true"/>
        </w:rPr>
        <w:footnoteReference w:id="1335"/>
      </w:r>
      <w:r>
        <w:rPr>
          <w:rFonts w:ascii="IRNazanin" w:hAnsi="IRNazanin" w:eastAsia="IRNazanin"/>
          <w:color w:val="111111"/>
          <w:sz w:val="28"/>
          <w:sz w:val="28"/>
          <w:szCs w:val="28"/>
          <w:rtl w:val="true"/>
          <w:lang w:bidi="fa-IR"/>
        </w:rPr>
        <w:t> الاقتصار</w:t>
      </w:r>
      <w:r>
        <w:rPr>
          <w:rStyle w:val="FootnoteAnchor"/>
          <w:rtl w:val="true"/>
        </w:rPr>
        <w:footnoteReference w:id="1336"/>
      </w:r>
      <w:r>
        <w:rPr>
          <w:rFonts w:ascii="IRNazanin" w:hAnsi="IRNazanin" w:eastAsia="IRNazanin"/>
          <w:color w:val="111111"/>
          <w:sz w:val="28"/>
          <w:sz w:val="28"/>
          <w:szCs w:val="28"/>
          <w:rtl w:val="true"/>
          <w:lang w:bidi="fa-IR"/>
        </w:rPr>
        <w:t> علی صورة عدم وجود</w:t>
      </w:r>
      <w:r>
        <w:rPr>
          <w:rStyle w:val="FootnoteAnchor"/>
          <w:rtl w:val="true"/>
        </w:rPr>
        <w:footnoteReference w:id="1337"/>
      </w:r>
      <w:r>
        <w:rPr>
          <w:rFonts w:ascii="IRNazanin" w:hAnsi="IRNazanin" w:eastAsia="IRNazanin"/>
          <w:color w:val="111111"/>
          <w:sz w:val="28"/>
          <w:sz w:val="28"/>
          <w:szCs w:val="28"/>
          <w:rtl w:val="true"/>
          <w:lang w:bidi="fa-IR"/>
        </w:rPr>
        <w:t> من یقوم مقامها فی</w:t>
      </w:r>
    </w:p>
    <w:p>
      <w:pPr>
        <w:pStyle w:val="BookText"/>
        <w:rPr/>
      </w:pPr>
      <w:r>
        <w:rPr>
          <w:rFonts w:ascii="IRNazanin" w:hAnsi="IRNazanin" w:eastAsia="IRNazanin"/>
          <w:color w:val="111111"/>
          <w:sz w:val="28"/>
          <w:sz w:val="28"/>
          <w:szCs w:val="28"/>
          <w:rtl w:val="true"/>
          <w:lang w:bidi="fa-IR"/>
        </w:rPr>
        <w:t>الرضاع</w:t>
      </w:r>
      <w:r>
        <w:rPr>
          <w:rStyle w:val="FootnoteAnchor"/>
          <w:rtl w:val="true"/>
        </w:rPr>
        <w:footnoteReference w:id="1338"/>
      </w:r>
      <w:r>
        <w:rPr>
          <w:rFonts w:ascii="Amiri" w:hAnsi="Amiri" w:eastAsia="Amiri" w:cs="Amiri"/>
          <w:color w:val="111111"/>
          <w:sz w:val="28"/>
          <w:sz w:val="28"/>
          <w:szCs w:val="28"/>
          <w:rtl w:val="true"/>
          <w:lang w:bidi="ar-SA"/>
        </w:rPr>
        <w:t> تبرّعاً أو باُجرة، من أبیه أو منها أو من متبرِّع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609" w:name="pg13281_119930"/>
    </w:p>
    <w:p>
      <w:pPr>
        <w:pStyle w:val="BookText"/>
        <w:rPr/>
      </w:pPr>
      <w:bookmarkEnd w:id="609"/>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هلال رمضان وشوّال</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10" w:name="__RefHeading___Toc1955272_2322387425"/>
      <w:bookmarkStart w:id="611" w:name="_Toc229"/>
      <w:bookmarkEnd w:id="610"/>
      <w:r>
        <w:rPr>
          <w:rtl w:val="true"/>
        </w:rPr>
        <w:t>فصل</w:t>
      </w:r>
      <w:r>
        <w:rPr>
          <w:rtl w:val="true"/>
        </w:rPr>
        <w:t xml:space="preserve">: </w:t>
      </w:r>
      <w:r>
        <w:rPr>
          <w:rtl w:val="true"/>
        </w:rPr>
        <w:t>فی طرق ثبوت هلال رمضان وشوّال للصوم والإفطار</w:t>
      </w:r>
      <w:bookmarkEnd w:id="611"/>
    </w:p>
    <w:p>
      <w:pPr>
        <w:pStyle w:val="Heading3"/>
        <w:numPr>
          <w:ilvl w:val="2"/>
          <w:numId w:val="1"/>
        </w:numPr>
        <w:rPr/>
      </w:pPr>
      <w:bookmarkStart w:id="612" w:name="__RefHeading___Toc1955274_2322387425"/>
      <w:bookmarkStart w:id="613" w:name="_Toc230"/>
      <w:bookmarkEnd w:id="612"/>
      <w:r>
        <w:rPr>
          <w:rtl w:val="true"/>
        </w:rPr>
        <w:t>اشارة</w:t>
      </w:r>
      <w:bookmarkEnd w:id="61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وهی اُمور </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955276_2322387425"/>
      <w:bookmarkStart w:id="615" w:name="_Toc231"/>
      <w:bookmarkEnd w:id="614"/>
      <w:r>
        <w:rPr>
          <w:rtl w:val="true"/>
        </w:rPr>
        <w:t xml:space="preserve">الأول </w:t>
      </w:r>
      <w:r>
        <w:rPr>
          <w:rtl w:val="true"/>
        </w:rPr>
        <w:t xml:space="preserve">: </w:t>
      </w:r>
      <w:r>
        <w:rPr>
          <w:rtl w:val="true"/>
        </w:rPr>
        <w:t>رؤیة المکلّف بنفسه</w:t>
      </w:r>
      <w:bookmarkEnd w:id="615"/>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رویة المکلّف نفسه</w:t>
      </w:r>
      <w:r>
        <w:rPr>
          <w:rFonts w:eastAsia="IRNazanin" w:cs="IRNazanin"/>
          <w:color w:val="111111"/>
          <w:sz w:val="28"/>
          <w:szCs w:val="28"/>
          <w:rtl w:val="true"/>
          <w:lang w:bidi="fa-IR"/>
        </w:rPr>
        <w:t>.</w:t>
      </w:r>
    </w:p>
    <w:p>
      <w:pPr>
        <w:pStyle w:val="Heading3"/>
        <w:numPr>
          <w:ilvl w:val="2"/>
          <w:numId w:val="1"/>
        </w:numPr>
        <w:rPr/>
      </w:pPr>
      <w:bookmarkStart w:id="616" w:name="__RefHeading___Toc1955278_2322387425"/>
      <w:bookmarkStart w:id="617" w:name="_Toc232"/>
      <w:bookmarkEnd w:id="616"/>
      <w:r>
        <w:rPr>
          <w:rtl w:val="true"/>
        </w:rPr>
        <w:t xml:space="preserve">الثانی </w:t>
      </w:r>
      <w:r>
        <w:rPr>
          <w:rtl w:val="true"/>
        </w:rPr>
        <w:t xml:space="preserve">: </w:t>
      </w:r>
      <w:r>
        <w:rPr>
          <w:rtl w:val="true"/>
        </w:rPr>
        <w:t>التواتر</w:t>
      </w:r>
      <w:bookmarkEnd w:id="617"/>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p>
    <w:p>
      <w:pPr>
        <w:pStyle w:val="Heading3"/>
        <w:numPr>
          <w:ilvl w:val="2"/>
          <w:numId w:val="1"/>
        </w:numPr>
        <w:rPr/>
      </w:pPr>
      <w:bookmarkStart w:id="618" w:name="__RefHeading___Toc1955280_2322387425"/>
      <w:bookmarkStart w:id="619" w:name="_Toc233"/>
      <w:bookmarkEnd w:id="618"/>
      <w:r>
        <w:rPr>
          <w:rtl w:val="true"/>
        </w:rPr>
        <w:t xml:space="preserve">الثالث </w:t>
      </w:r>
      <w:r>
        <w:rPr>
          <w:rtl w:val="true"/>
        </w:rPr>
        <w:t xml:space="preserve">: </w:t>
      </w:r>
      <w:r>
        <w:rPr>
          <w:rtl w:val="true"/>
        </w:rPr>
        <w:t>الشیاع المفید للعلم</w:t>
      </w:r>
      <w:bookmarkEnd w:id="619"/>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w:t>
      </w:r>
      <w:r>
        <w:rPr>
          <w:rStyle w:val="FootnoteAnchor"/>
          <w:rtl w:val="true"/>
        </w:rPr>
        <w:footnoteReference w:id="1339"/>
      </w:r>
      <w:r>
        <w:rPr>
          <w:rFonts w:ascii="IRNazanin" w:hAnsi="IRNazanin" w:eastAsia="IRNazanin"/>
          <w:color w:val="111111"/>
          <w:sz w:val="28"/>
          <w:sz w:val="28"/>
          <w:szCs w:val="28"/>
          <w:rtl w:val="true"/>
          <w:lang w:bidi="fa-IR"/>
        </w:rPr>
        <w:t> المفید للعلم</w:t>
      </w:r>
      <w:r>
        <w:rPr>
          <w:rStyle w:val="FootnoteAnchor"/>
          <w:rtl w:val="true"/>
        </w:rPr>
        <w:footnoteReference w:id="1340"/>
      </w:r>
      <w:r>
        <w:rPr>
          <w:rFonts w:ascii="IRNazanin" w:hAnsi="IRNazanin" w:eastAsia="IRNazanin"/>
          <w:color w:val="111111"/>
          <w:sz w:val="28"/>
          <w:sz w:val="28"/>
          <w:szCs w:val="28"/>
          <w:rtl w:val="true"/>
          <w:lang w:bidi="fa-IR"/>
        </w:rPr>
        <w:t>، وفی حکمه کلّ ما یفید العلم ولو</w:t>
      </w:r>
    </w:p>
    <w:p>
      <w:pPr>
        <w:pStyle w:val="BookText"/>
        <w:rPr/>
      </w:pPr>
      <w:r>
        <w:rPr>
          <w:rFonts w:ascii="Amiri" w:hAnsi="Amiri" w:eastAsia="Amiri" w:cs="Amiri"/>
          <w:color w:val="111111"/>
          <w:sz w:val="28"/>
          <w:sz w:val="28"/>
          <w:szCs w:val="28"/>
          <w:rtl w:val="true"/>
          <w:lang w:bidi="ar-SA"/>
        </w:rPr>
        <w:t>بمعاونة القرائن، فمَن حصل له العلم</w:t>
      </w:r>
      <w:r>
        <w:rPr>
          <w:rStyle w:val="FootnoteAnchor"/>
          <w:rtl w:val="true"/>
        </w:rPr>
        <w:footnoteReference w:id="1341"/>
      </w:r>
      <w:r>
        <w:rPr>
          <w:rFonts w:ascii="IRNazanin" w:hAnsi="IRNazanin" w:eastAsia="IRNazanin"/>
          <w:color w:val="111111"/>
          <w:sz w:val="28"/>
          <w:sz w:val="28"/>
          <w:szCs w:val="28"/>
          <w:rtl w:val="true"/>
          <w:lang w:bidi="fa-IR"/>
        </w:rPr>
        <w:t> بأحد الوجوه المذکورة وجب علیه  </w:t>
      </w:r>
    </w:p>
    <w:p>
      <w:pPr>
        <w:pStyle w:val="BookText"/>
        <w:rPr/>
      </w:pPr>
      <w:r>
        <w:rPr>
          <w:rFonts w:ascii="IRNazanin" w:hAnsi="IRNazanin" w:eastAsia="IRNazanin"/>
          <w:color w:val="111111"/>
          <w:sz w:val="28"/>
          <w:sz w:val="28"/>
          <w:szCs w:val="28"/>
          <w:rtl w:val="true"/>
          <w:lang w:bidi="fa-IR"/>
        </w:rPr>
        <w:t>العمل به وإن لم یوافقه أحد</w:t>
      </w:r>
      <w:r>
        <w:rPr>
          <w:rStyle w:val="FootnoteAnchor"/>
          <w:rtl w:val="true"/>
        </w:rPr>
        <w:footnoteReference w:id="1342"/>
      </w:r>
      <w:r>
        <w:rPr>
          <w:rFonts w:ascii="IRNazanin" w:hAnsi="IRNazanin" w:eastAsia="IRNazanin"/>
          <w:color w:val="111111"/>
          <w:sz w:val="28"/>
          <w:sz w:val="28"/>
          <w:szCs w:val="28"/>
          <w:rtl w:val="true"/>
          <w:lang w:bidi="fa-IR"/>
        </w:rPr>
        <w:t>، بل وإن شهد وردّ الحاکم شهادته</w:t>
      </w:r>
      <w:r>
        <w:rPr>
          <w:rFonts w:eastAsia="IRNazanin" w:cs="IRNazanin"/>
          <w:color w:val="111111"/>
          <w:sz w:val="28"/>
          <w:szCs w:val="28"/>
          <w:rtl w:val="true"/>
          <w:lang w:bidi="fa-IR"/>
        </w:rPr>
        <w:t>.</w:t>
      </w:r>
    </w:p>
    <w:p>
      <w:pPr>
        <w:pStyle w:val="Heading3"/>
        <w:numPr>
          <w:ilvl w:val="2"/>
          <w:numId w:val="1"/>
        </w:numPr>
        <w:rPr/>
      </w:pPr>
      <w:bookmarkStart w:id="620" w:name="__RefHeading___Toc1955282_2322387425"/>
      <w:bookmarkStart w:id="621" w:name="_Toc234"/>
      <w:bookmarkEnd w:id="620"/>
      <w:r>
        <w:rPr>
          <w:rtl w:val="true"/>
        </w:rPr>
        <w:t xml:space="preserve">الرابع </w:t>
      </w:r>
      <w:r>
        <w:rPr>
          <w:rtl w:val="true"/>
        </w:rPr>
        <w:t xml:space="preserve">: </w:t>
      </w:r>
      <w:r>
        <w:rPr>
          <w:rtl w:val="true"/>
        </w:rPr>
        <w:t>مضی ثلاثین یوماً من هلال شعبان أو رمضان</w:t>
      </w:r>
      <w:bookmarkEnd w:id="621"/>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ثلاثین یوماً من هلال شعبان، أو ثلاثین یوماً من هلال رمضان، فإنّه یجب الصوم معه فی الأول، والإفطار فی الثانی</w:t>
      </w:r>
      <w:r>
        <w:rPr>
          <w:rFonts w:eastAsia="IRNazanin" w:cs="IRNazanin"/>
          <w:color w:val="111111"/>
          <w:sz w:val="28"/>
          <w:szCs w:val="28"/>
          <w:rtl w:val="true"/>
          <w:lang w:bidi="fa-IR"/>
        </w:rPr>
        <w:t>.</w:t>
      </w:r>
    </w:p>
    <w:p>
      <w:pPr>
        <w:pStyle w:val="Heading3"/>
        <w:numPr>
          <w:ilvl w:val="2"/>
          <w:numId w:val="1"/>
        </w:numPr>
        <w:rPr/>
      </w:pPr>
      <w:bookmarkStart w:id="622" w:name="__RefHeading___Toc1955284_2322387425"/>
      <w:bookmarkStart w:id="623" w:name="_Toc235"/>
      <w:bookmarkEnd w:id="622"/>
      <w:r>
        <w:rPr>
          <w:rtl w:val="true"/>
        </w:rPr>
        <w:t xml:space="preserve">الخامس </w:t>
      </w:r>
      <w:r>
        <w:rPr>
          <w:rtl w:val="true"/>
        </w:rPr>
        <w:t xml:space="preserve">: </w:t>
      </w:r>
      <w:r>
        <w:rPr>
          <w:rtl w:val="true"/>
        </w:rPr>
        <w:t>البیّنة الشرعیة</w:t>
      </w:r>
      <w:bookmarkEnd w:id="623"/>
    </w:p>
    <w:p>
      <w:pPr>
        <w:pStyle w:val="Heading4"/>
        <w:numPr>
          <w:ilvl w:val="3"/>
          <w:numId w:val="1"/>
        </w:numPr>
        <w:rPr/>
      </w:pPr>
      <w:bookmarkStart w:id="624" w:name="__RefHeading___Toc1955286_2322387425"/>
      <w:bookmarkStart w:id="625" w:name="_Toc236"/>
      <w:bookmarkEnd w:id="624"/>
      <w:r>
        <w:rPr>
          <w:rtl w:val="true"/>
        </w:rPr>
        <w:t>الإشکال فی الأخذ بالبیّنة فی بعض الموارد </w:t>
      </w:r>
      <w:bookmarkEnd w:id="625"/>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w:t>
      </w:r>
      <w:r>
        <w:rPr>
          <w:rStyle w:val="FootnoteAnchor"/>
          <w:rtl w:val="true"/>
        </w:rPr>
        <w:footnoteReference w:id="1343"/>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الشرعیّة</w:t>
      </w:r>
      <w:r>
        <w:rPr>
          <w:rStyle w:val="FootnoteAnchor"/>
          <w:rtl w:val="true"/>
        </w:rPr>
        <w:footnoteReference w:id="1344"/>
      </w:r>
      <w:r>
        <w:rPr>
          <w:rFonts w:ascii="IRNazanin" w:hAnsi="IRNazanin" w:eastAsia="IRNazanin"/>
          <w:color w:val="111111"/>
          <w:sz w:val="28"/>
          <w:sz w:val="28"/>
          <w:szCs w:val="28"/>
          <w:rtl w:val="true"/>
          <w:lang w:bidi="fa-IR"/>
        </w:rPr>
        <w:t>، وهی خبر عَدلَین، سواء شهدا عند الحاکم وقبل شهادتهما أم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یشهدا عنده، أم شهدا وردّ شهادتهما، فکلّ مَن شهد عنده عدلان یجوز، بل یجب علیه ترتیب الأثر من الصوم أو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تکون البیّنة</w:t>
      </w:r>
      <w:r>
        <w:rPr>
          <w:rStyle w:val="FootnoteAnchor"/>
          <w:rtl w:val="true"/>
        </w:rPr>
        <w:footnoteReference w:id="1345"/>
      </w:r>
      <w:r>
        <w:rPr>
          <w:rFonts w:ascii="IRNazanin" w:hAnsi="IRNazanin" w:eastAsia="IRNazanin"/>
          <w:color w:val="111111"/>
          <w:sz w:val="28"/>
          <w:sz w:val="28"/>
          <w:szCs w:val="28"/>
          <w:rtl w:val="true"/>
          <w:lang w:bidi="fa-IR"/>
        </w:rPr>
        <w:t> من البلد</w:t>
      </w:r>
      <w:r>
        <w:rPr>
          <w:rStyle w:val="FootnoteAnchor"/>
          <w:rtl w:val="true"/>
        </w:rPr>
        <w:footnoteReference w:id="1346"/>
      </w:r>
      <w:r>
        <w:rPr>
          <w:rFonts w:ascii="IRNazanin" w:hAnsi="IRNazanin" w:eastAsia="IRNazanin"/>
          <w:color w:val="111111"/>
          <w:sz w:val="28"/>
          <w:sz w:val="28"/>
          <w:szCs w:val="28"/>
          <w:rtl w:val="true"/>
          <w:lang w:bidi="fa-IR"/>
        </w:rPr>
        <w:t> أو من خارجه</w:t>
      </w:r>
      <w:r>
        <w:rPr>
          <w:rStyle w:val="FootnoteAnchor"/>
          <w:rtl w:val="true"/>
        </w:rPr>
        <w:footnoteReference w:id="1347"/>
      </w:r>
      <w:r>
        <w:rPr>
          <w:rFonts w:ascii="IRNazanin" w:hAnsi="IRNazanin" w:eastAsia="IRNazanin"/>
          <w:color w:val="111111"/>
          <w:sz w:val="28"/>
          <w:sz w:val="28"/>
          <w:szCs w:val="28"/>
          <w:rtl w:val="true"/>
          <w:lang w:bidi="fa-IR"/>
        </w:rPr>
        <w:t>، وبین وجود العلّة فی السماء</w:t>
      </w:r>
      <w:r>
        <w:rPr>
          <w:rStyle w:val="FootnoteAnchor"/>
          <w:rtl w:val="true"/>
        </w:rPr>
        <w:footnoteReference w:id="13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وعدمها</w:t>
      </w:r>
      <w:r>
        <w:rPr>
          <w:rStyle w:val="FootnoteAnchor"/>
          <w:rtl w:val="true"/>
        </w:rPr>
        <w:footnoteReference w:id="1349"/>
      </w:r>
      <w:r>
        <w:rPr>
          <w:rFonts w:ascii="IRNazanin" w:hAnsi="IRNazanin" w:eastAsia="IRNazanin"/>
          <w:color w:val="111111"/>
          <w:sz w:val="28"/>
          <w:sz w:val="28"/>
          <w:szCs w:val="28"/>
          <w:rtl w:val="true"/>
          <w:lang w:bidi="fa-IR"/>
        </w:rPr>
        <w:t>، نعم، یشترط توافقهما</w:t>
      </w:r>
      <w:r>
        <w:rPr>
          <w:rStyle w:val="FootnoteAnchor"/>
          <w:rtl w:val="true"/>
        </w:rPr>
        <w:footnoteReference w:id="1350"/>
      </w:r>
      <w:r>
        <w:rPr>
          <w:rFonts w:ascii="IRNazanin" w:hAnsi="IRNazanin" w:eastAsia="IRNazanin"/>
          <w:color w:val="111111"/>
          <w:sz w:val="28"/>
          <w:sz w:val="28"/>
          <w:szCs w:val="28"/>
          <w:rtl w:val="true"/>
          <w:lang w:bidi="fa-IR"/>
        </w:rPr>
        <w:t> فی الأوصاف</w:t>
      </w:r>
      <w:r>
        <w:rPr>
          <w:rStyle w:val="FootnoteAnchor"/>
          <w:rtl w:val="true"/>
        </w:rPr>
        <w:footnoteReference w:id="1351"/>
      </w:r>
      <w:r>
        <w:rPr>
          <w:rFonts w:ascii="IRNazanin" w:hAnsi="IRNazanin" w:eastAsia="IRNazanin"/>
          <w:color w:val="111111"/>
          <w:sz w:val="28"/>
          <w:sz w:val="28"/>
          <w:szCs w:val="28"/>
          <w:rtl w:val="true"/>
          <w:lang w:bidi="fa-IR"/>
        </w:rPr>
        <w:t>، فلو اختلفا فیها</w:t>
      </w:r>
      <w:r>
        <w:rPr>
          <w:rStyle w:val="FootnoteAnchor"/>
          <w:rtl w:val="true"/>
        </w:rPr>
        <w:footnoteReference w:id="1352"/>
      </w:r>
      <w:r>
        <w:rPr>
          <w:rFonts w:ascii="IRNazanin" w:hAnsi="IRNazanin" w:eastAsia="IRNazanin"/>
          <w:color w:val="111111"/>
          <w:sz w:val="28"/>
          <w:sz w:val="28"/>
          <w:szCs w:val="28"/>
          <w:rtl w:val="true"/>
          <w:lang w:bidi="fa-IR"/>
        </w:rPr>
        <w:t>لا اعتبار</w:t>
      </w:r>
      <w:r>
        <w:rPr>
          <w:rStyle w:val="FootnoteAnchor"/>
          <w:rtl w:val="true"/>
        </w:rPr>
        <w:footnoteReference w:id="1353"/>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w:t>
      </w:r>
      <w:bookmarkStart w:id="626" w:name="pg13281_119933"/>
    </w:p>
    <w:p>
      <w:pPr>
        <w:pStyle w:val="BookText"/>
        <w:rPr/>
      </w:pPr>
      <w:bookmarkEnd w:id="626"/>
      <w:r>
        <w:rPr>
          <w:rFonts w:ascii="IRNazanin" w:hAnsi="IRNazanin" w:eastAsia="IRNazanin"/>
          <w:color w:val="111111"/>
          <w:sz w:val="28"/>
          <w:sz w:val="28"/>
          <w:szCs w:val="28"/>
          <w:rtl w:val="true"/>
          <w:lang w:bidi="fa-IR"/>
        </w:rPr>
        <w:t>بها</w:t>
      </w:r>
      <w:r>
        <w:rPr>
          <w:rStyle w:val="FootnoteAnchor"/>
          <w:rtl w:val="true"/>
        </w:rPr>
        <w:footnoteReference w:id="1354"/>
      </w:r>
      <w:r>
        <w:rPr>
          <w:rFonts w:ascii="IRNazanin" w:hAnsi="IRNazanin" w:eastAsia="IRNazanin"/>
          <w:color w:val="111111"/>
          <w:sz w:val="28"/>
          <w:sz w:val="28"/>
          <w:szCs w:val="28"/>
          <w:rtl w:val="true"/>
          <w:lang w:bidi="fa-IR"/>
        </w:rPr>
        <w:t>، نعم، لو أطلقا أو وصف أحدهما وأطلق الآخر کفی</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اتّحادهما فی زمان الرویة مع توافقهما علی الرویة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بشهادة النساء، ولا بعدل واحد</w:t>
      </w:r>
      <w:r>
        <w:rPr>
          <w:rStyle w:val="FootnoteAnchor"/>
          <w:rtl w:val="true"/>
        </w:rPr>
        <w:footnoteReference w:id="1356"/>
      </w:r>
      <w:r>
        <w:rPr>
          <w:rFonts w:ascii="IRNazanin" w:hAnsi="IRNazanin" w:eastAsia="IRNazanin"/>
          <w:color w:val="111111"/>
          <w:sz w:val="28"/>
          <w:sz w:val="28"/>
          <w:szCs w:val="28"/>
          <w:rtl w:val="true"/>
          <w:lang w:bidi="fa-IR"/>
        </w:rPr>
        <w:t> ولو مع ضمّ الیمین</w:t>
      </w:r>
      <w:r>
        <w:rPr>
          <w:rFonts w:eastAsia="IRNazanin" w:cs="IRNazanin"/>
          <w:color w:val="111111"/>
          <w:sz w:val="28"/>
          <w:szCs w:val="28"/>
          <w:rtl w:val="true"/>
          <w:lang w:bidi="fa-IR"/>
        </w:rPr>
        <w:t>.</w:t>
      </w:r>
    </w:p>
    <w:p>
      <w:pPr>
        <w:pStyle w:val="Heading3"/>
        <w:numPr>
          <w:ilvl w:val="2"/>
          <w:numId w:val="1"/>
        </w:numPr>
        <w:rPr/>
      </w:pPr>
      <w:bookmarkStart w:id="627" w:name="__RefHeading___Toc1955288_2322387425"/>
      <w:bookmarkStart w:id="628" w:name="_Toc237"/>
      <w:bookmarkEnd w:id="627"/>
      <w:r>
        <w:rPr>
          <w:rtl w:val="true"/>
        </w:rPr>
        <w:t xml:space="preserve">السادس </w:t>
      </w:r>
      <w:r>
        <w:rPr>
          <w:rtl w:val="true"/>
        </w:rPr>
        <w:t xml:space="preserve">: </w:t>
      </w:r>
      <w:r>
        <w:rPr>
          <w:rtl w:val="true"/>
        </w:rPr>
        <w:t>حکم الحاکم</w:t>
      </w:r>
      <w:bookmarkEnd w:id="62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Style w:val="FootnoteAnchor"/>
          <w:rtl w:val="true"/>
        </w:rPr>
        <w:footnoteReference w:id="1357"/>
      </w:r>
      <w:r>
        <w:rPr>
          <w:rFonts w:ascii="IRNazanin" w:hAnsi="IRNazanin" w:eastAsia="IRNazanin"/>
          <w:color w:val="111111"/>
          <w:sz w:val="28"/>
          <w:sz w:val="28"/>
          <w:szCs w:val="28"/>
          <w:rtl w:val="true"/>
          <w:lang w:bidi="fa-IR"/>
        </w:rPr>
        <w:t> الحاکم</w:t>
      </w:r>
      <w:r>
        <w:rPr>
          <w:rStyle w:val="FootnoteAnchor"/>
          <w:rtl w:val="true"/>
        </w:rPr>
        <w:footnoteReference w:id="1358"/>
      </w:r>
      <w:r>
        <w:rPr>
          <w:rFonts w:ascii="Amiri" w:hAnsi="Amiri" w:eastAsia="Amiri" w:cs="Amiri"/>
          <w:color w:val="111111"/>
          <w:sz w:val="28"/>
          <w:sz w:val="28"/>
          <w:szCs w:val="28"/>
          <w:rtl w:val="true"/>
          <w:lang w:bidi="ar-SA"/>
        </w:rPr>
        <w:t> الّذی لم یُعلَم خطؤه ولا خطأ مستنده</w:t>
      </w:r>
      <w:r>
        <w:rPr>
          <w:rStyle w:val="FootnoteAnchor"/>
          <w:rtl w:val="true"/>
        </w:rPr>
        <w:footnoteReference w:id="1359"/>
      </w:r>
      <w:r>
        <w:rPr>
          <w:rFonts w:ascii="IRNazanin" w:hAnsi="IRNazanin" w:eastAsia="IRNazanin"/>
          <w:color w:val="111111"/>
          <w:sz w:val="28"/>
          <w:sz w:val="28"/>
          <w:szCs w:val="28"/>
          <w:rtl w:val="true"/>
          <w:lang w:bidi="fa-IR"/>
        </w:rPr>
        <w:t xml:space="preserve">،   </w:t>
      </w:r>
      <w:bookmarkStart w:id="629" w:name="pg13281_119934"/>
    </w:p>
    <w:p>
      <w:pPr>
        <w:pStyle w:val="Heading3"/>
        <w:numPr>
          <w:ilvl w:val="2"/>
          <w:numId w:val="1"/>
        </w:numPr>
        <w:rPr/>
      </w:pPr>
      <w:bookmarkStart w:id="630" w:name="__RefHeading___Toc1955290_2322387425"/>
      <w:bookmarkStart w:id="631" w:name="_Toc238"/>
      <w:bookmarkEnd w:id="629"/>
      <w:bookmarkEnd w:id="630"/>
      <w:r>
        <w:rPr>
          <w:rtl w:val="true"/>
        </w:rPr>
        <w:t>حکم استناد الحاکم إلی الشیاع الظنّی</w:t>
      </w:r>
      <w:bookmarkEnd w:id="631"/>
    </w:p>
    <w:p>
      <w:pPr>
        <w:pStyle w:val="BookText"/>
        <w:rPr/>
      </w:pPr>
      <w:r>
        <w:rPr>
          <w:rFonts w:ascii="IRNazanin" w:hAnsi="IRNazanin" w:eastAsia="IRNazanin"/>
          <w:color w:val="111111"/>
          <w:sz w:val="28"/>
          <w:sz w:val="28"/>
          <w:szCs w:val="28"/>
          <w:rtl w:val="true"/>
          <w:lang w:bidi="fa-IR"/>
        </w:rPr>
        <w:t>کما إذا استند إلی الشیاع الظنّی</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1955292_2322387425"/>
      <w:bookmarkStart w:id="633" w:name="_Toc239"/>
      <w:bookmarkEnd w:id="632"/>
      <w:r>
        <w:rPr>
          <w:rtl w:val="true"/>
        </w:rPr>
        <w:t>عدم ثبوت الهلال بقول المنجّمین ونحوه</w:t>
      </w:r>
      <w:bookmarkEnd w:id="63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یثبت بقول المنجّمین</w:t>
      </w:r>
      <w:r>
        <w:rPr>
          <w:rStyle w:val="FootnoteAnchor"/>
          <w:rtl w:val="true"/>
        </w:rPr>
        <w:footnoteReference w:id="1361"/>
      </w:r>
      <w:r>
        <w:rPr>
          <w:rFonts w:ascii="IRNazanin" w:hAnsi="IRNazanin" w:eastAsia="IRNazanin"/>
          <w:color w:val="111111"/>
          <w:sz w:val="28"/>
          <w:sz w:val="28"/>
          <w:szCs w:val="28"/>
          <w:rtl w:val="true"/>
          <w:lang w:bidi="fa-IR"/>
        </w:rPr>
        <w:t>، ولا بغیبوبة</w:t>
      </w:r>
      <w:r>
        <w:rPr>
          <w:rStyle w:val="FootnoteAnchor"/>
          <w:rtl w:val="true"/>
        </w:rPr>
        <w:footnoteReference w:id="1362"/>
      </w:r>
      <w:r>
        <w:rPr>
          <w:rFonts w:ascii="IRNazanin" w:hAnsi="IRNazanin" w:eastAsia="IRNazanin"/>
          <w:color w:val="111111"/>
          <w:sz w:val="28"/>
          <w:sz w:val="28"/>
          <w:szCs w:val="28"/>
          <w:rtl w:val="true"/>
          <w:lang w:bidi="fa-IR"/>
        </w:rPr>
        <w:t> الشفق</w:t>
      </w:r>
      <w:r>
        <w:rPr>
          <w:rStyle w:val="FootnoteAnchor"/>
          <w:rtl w:val="true"/>
        </w:rPr>
        <w:footnoteReference w:id="1363"/>
      </w:r>
      <w:r>
        <w:rPr>
          <w:rFonts w:ascii="IRNazanin" w:hAnsi="IRNazanin" w:eastAsia="IRNazanin"/>
          <w:color w:val="111111"/>
          <w:sz w:val="28"/>
          <w:sz w:val="28"/>
          <w:szCs w:val="28"/>
          <w:rtl w:val="true"/>
          <w:lang w:bidi="fa-IR"/>
        </w:rPr>
        <w:t xml:space="preserve"> فی اللیلة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الاُخری</w:t>
      </w:r>
      <w:r>
        <w:rPr>
          <w:rStyle w:val="FootnoteAnchor"/>
          <w:rtl w:val="true"/>
        </w:rPr>
        <w:footnoteReference w:id="1364"/>
      </w:r>
      <w:r>
        <w:rPr>
          <w:rFonts w:ascii="IRNazanin" w:hAnsi="IRNazanin" w:eastAsia="IRNazanin"/>
          <w:color w:val="111111"/>
          <w:sz w:val="28"/>
          <w:sz w:val="28"/>
          <w:szCs w:val="28"/>
          <w:rtl w:val="true"/>
          <w:lang w:bidi="fa-IR"/>
        </w:rPr>
        <w:t> ولا برویته</w:t>
      </w:r>
      <w:r>
        <w:rPr>
          <w:rStyle w:val="FootnoteAnchor"/>
          <w:rtl w:val="true"/>
        </w:rPr>
        <w:footnoteReference w:id="1365"/>
      </w:r>
      <w:r>
        <w:rPr>
          <w:rFonts w:ascii="IRNazanin" w:hAnsi="IRNazanin" w:eastAsia="IRNazanin"/>
          <w:color w:val="111111"/>
          <w:sz w:val="28"/>
          <w:sz w:val="28"/>
          <w:szCs w:val="28"/>
          <w:rtl w:val="true"/>
          <w:lang w:bidi="fa-IR"/>
        </w:rPr>
        <w:t> یوم الثلاثین قبل الزوال</w:t>
      </w:r>
      <w:r>
        <w:rPr>
          <w:rStyle w:val="FootnoteAnchor"/>
          <w:rtl w:val="true"/>
        </w:rPr>
        <w:footnoteReference w:id="1366"/>
      </w:r>
      <w:r>
        <w:rPr>
          <w:rFonts w:ascii="IRNazanin" w:hAnsi="IRNazanin" w:eastAsia="IRNazanin"/>
          <w:color w:val="111111"/>
          <w:sz w:val="28"/>
          <w:sz w:val="28"/>
          <w:szCs w:val="28"/>
          <w:rtl w:val="true"/>
          <w:lang w:bidi="fa-IR"/>
        </w:rPr>
        <w:t xml:space="preserve">، </w:t>
      </w:r>
      <w:bookmarkStart w:id="634" w:name="pg13281_119936"/>
    </w:p>
    <w:p>
      <w:pPr>
        <w:pStyle w:val="BookText"/>
        <w:rPr/>
      </w:pPr>
      <w:bookmarkEnd w:id="634"/>
      <w:r>
        <w:rPr>
          <w:rFonts w:ascii="IRNazanin" w:hAnsi="IRNazanin" w:eastAsia="IRNazanin"/>
          <w:color w:val="111111"/>
          <w:sz w:val="28"/>
          <w:sz w:val="28"/>
          <w:szCs w:val="28"/>
          <w:rtl w:val="true"/>
          <w:lang w:bidi="fa-IR"/>
        </w:rPr>
        <w:t>فلا</w:t>
      </w:r>
      <w:r>
        <w:rPr>
          <w:rStyle w:val="FootnoteAnchor"/>
          <w:rtl w:val="true"/>
        </w:rPr>
        <w:footnoteReference w:id="1367"/>
      </w:r>
      <w:r>
        <w:rPr>
          <w:rFonts w:ascii="IRNazanin" w:hAnsi="IRNazanin" w:eastAsia="IRNazanin"/>
          <w:color w:val="111111"/>
          <w:sz w:val="28"/>
          <w:sz w:val="28"/>
          <w:szCs w:val="28"/>
          <w:rtl w:val="true"/>
          <w:lang w:bidi="fa-IR"/>
        </w:rPr>
        <w:t> یحکم</w:t>
      </w:r>
      <w:r>
        <w:rPr>
          <w:rStyle w:val="FootnoteAnchor"/>
          <w:rtl w:val="true"/>
        </w:rPr>
        <w:footnoteReference w:id="1368"/>
      </w:r>
      <w:r>
        <w:rPr>
          <w:rFonts w:ascii="IRNazanin" w:hAnsi="IRNazanin" w:eastAsia="IRNazanin"/>
          <w:color w:val="111111"/>
          <w:sz w:val="28"/>
          <w:sz w:val="28"/>
          <w:szCs w:val="28"/>
          <w:rtl w:val="true"/>
          <w:lang w:bidi="fa-IR"/>
        </w:rPr>
        <w:t> بکون ذلک الیوم</w:t>
      </w:r>
      <w:r>
        <w:rPr>
          <w:rStyle w:val="FootnoteAnchor"/>
          <w:rtl w:val="true"/>
        </w:rPr>
        <w:footnoteReference w:id="1369"/>
      </w:r>
      <w:r>
        <w:rPr>
          <w:rFonts w:ascii="IRNazanin" w:hAnsi="IRNazanin" w:eastAsia="IRNazanin"/>
          <w:color w:val="111111"/>
          <w:sz w:val="28"/>
          <w:sz w:val="28"/>
          <w:szCs w:val="28"/>
          <w:rtl w:val="true"/>
          <w:lang w:bidi="fa-IR"/>
        </w:rPr>
        <w:t> أوّل الشهر، ولا بغیر ذلک</w:t>
      </w:r>
      <w:r>
        <w:rPr>
          <w:rStyle w:val="FootnoteAnchor"/>
          <w:rtl w:val="true"/>
        </w:rPr>
        <w:footnoteReference w:id="1370"/>
      </w:r>
      <w:r>
        <w:rPr>
          <w:rFonts w:ascii="Amiri" w:hAnsi="Amiri" w:eastAsia="Amiri" w:cs="Amiri"/>
          <w:color w:val="111111"/>
          <w:sz w:val="28"/>
          <w:sz w:val="28"/>
          <w:szCs w:val="28"/>
          <w:rtl w:val="true"/>
          <w:lang w:bidi="ar-SA"/>
        </w:rPr>
        <w:t> ممّا یفید الظنّ ولو کان قویّاً</w:t>
      </w:r>
      <w:r>
        <w:rPr>
          <w:rStyle w:val="FootnoteAnchor"/>
          <w:rtl w:val="true"/>
        </w:rPr>
        <w:footnoteReference w:id="1371"/>
      </w:r>
      <w:r>
        <w:rPr>
          <w:rFonts w:ascii="IRNazanin" w:hAnsi="IRNazanin" w:eastAsia="IRNazanin"/>
          <w:color w:val="111111"/>
          <w:sz w:val="28"/>
          <w:sz w:val="28"/>
          <w:szCs w:val="28"/>
          <w:rtl w:val="true"/>
          <w:lang w:bidi="fa-IR"/>
        </w:rPr>
        <w:t>، إلّا للأسیر والمحبوس</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955294_2322387425"/>
      <w:bookmarkStart w:id="636" w:name="_Toc240"/>
      <w:bookmarkEnd w:id="635"/>
      <w:r>
        <w:rPr>
          <w:rtl w:val="true"/>
        </w:rPr>
        <w:t>اعتبار شهادة الشاهدین بالرؤیة حسّاً لا حدساً </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یثبت بشهادة العدلین إذا لم یشهدا بالرویة، بل شهدا شهادة علمیّة</w:t>
      </w:r>
      <w:r>
        <w:rPr>
          <w:rFonts w:eastAsia="IRNazanin" w:cs="IRNazanin"/>
          <w:color w:val="111111"/>
          <w:sz w:val="28"/>
          <w:szCs w:val="28"/>
          <w:rtl w:val="true"/>
          <w:lang w:bidi="fa-IR"/>
        </w:rPr>
        <w:t>.</w:t>
      </w:r>
    </w:p>
    <w:p>
      <w:pPr>
        <w:pStyle w:val="Heading3"/>
        <w:numPr>
          <w:ilvl w:val="2"/>
          <w:numId w:val="1"/>
        </w:numPr>
        <w:rPr/>
      </w:pPr>
      <w:bookmarkStart w:id="637" w:name="__RefHeading___Toc1955296_2322387425"/>
      <w:bookmarkStart w:id="638" w:name="_Toc241"/>
      <w:bookmarkEnd w:id="637"/>
      <w:r>
        <w:rPr>
          <w:rtl w:val="true"/>
        </w:rPr>
        <w:t>لو ترک الصوم ثم انکشف بشهادة عدلین ثبوت الهلال</w:t>
      </w:r>
      <w:bookmarkEnd w:id="63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یثبت الهلال</w:t>
      </w:r>
      <w:r>
        <w:rPr>
          <w:rStyle w:val="FootnoteAnchor"/>
          <w:rtl w:val="true"/>
        </w:rPr>
        <w:footnoteReference w:id="1373"/>
      </w:r>
      <w:r>
        <w:rPr>
          <w:rFonts w:ascii="IRNazanin" w:hAnsi="IRNazanin" w:eastAsia="IRNazanin"/>
          <w:color w:val="111111"/>
          <w:sz w:val="28"/>
          <w:sz w:val="28"/>
          <w:szCs w:val="28"/>
          <w:rtl w:val="true"/>
          <w:lang w:bidi="fa-IR"/>
        </w:rPr>
        <w:t xml:space="preserve"> وترک الصوم ثمّ شهد عدلان برویته یجب قضاء ذلک الیوم، وکذا إذا قامت البیّنة علی هلال شوّال لیلة التاسع </w:t>
      </w:r>
      <w:bookmarkStart w:id="639" w:name="pg13281_119937"/>
    </w:p>
    <w:p>
      <w:pPr>
        <w:pStyle w:val="BookText"/>
        <w:rPr/>
      </w:pPr>
      <w:bookmarkEnd w:id="639"/>
      <w:r>
        <w:rPr>
          <w:rFonts w:ascii="IRNazanin" w:hAnsi="IRNazanin" w:eastAsia="IRNazanin"/>
          <w:color w:val="111111"/>
          <w:sz w:val="28"/>
          <w:sz w:val="28"/>
          <w:szCs w:val="28"/>
          <w:rtl w:val="true"/>
          <w:lang w:bidi="fa-IR"/>
        </w:rPr>
        <w:t>والعشرین من هلال رمضان</w:t>
      </w:r>
      <w:r>
        <w:rPr>
          <w:rStyle w:val="FootnoteAnchor"/>
          <w:rtl w:val="true"/>
        </w:rPr>
        <w:footnoteReference w:id="1374"/>
      </w:r>
      <w:r>
        <w:rPr>
          <w:rFonts w:ascii="IRNazanin" w:hAnsi="IRNazanin" w:eastAsia="IRNazanin"/>
          <w:color w:val="111111"/>
          <w:sz w:val="28"/>
          <w:sz w:val="28"/>
          <w:szCs w:val="28"/>
          <w:rtl w:val="true"/>
          <w:lang w:bidi="fa-IR"/>
        </w:rPr>
        <w:t>، أو رآه فی تلک اللیلة بنفسه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955298_2322387425"/>
      <w:bookmarkStart w:id="641" w:name="_Toc242"/>
      <w:bookmarkEnd w:id="640"/>
      <w:r>
        <w:rPr>
          <w:rtl w:val="true"/>
        </w:rPr>
        <w:t>نفوذ حکم الحاکم بالهلال فی حق مقلّدیه وغیرهم</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یختصّ اعتبار حکم الحاکم</w:t>
      </w:r>
      <w:r>
        <w:rPr>
          <w:rStyle w:val="FootnoteAnchor"/>
          <w:rtl w:val="true"/>
        </w:rPr>
        <w:footnoteReference w:id="1376"/>
      </w:r>
      <w:r>
        <w:rPr>
          <w:rFonts w:ascii="IRNazanin" w:hAnsi="IRNazanin" w:eastAsia="IRNazanin"/>
          <w:color w:val="111111"/>
          <w:sz w:val="28"/>
          <w:sz w:val="28"/>
          <w:szCs w:val="28"/>
          <w:rtl w:val="true"/>
          <w:lang w:bidi="fa-IR"/>
        </w:rPr>
        <w:t> بمقلّدیه، بل هو نافذ</w:t>
      </w:r>
      <w:r>
        <w:rPr>
          <w:rStyle w:val="FootnoteAnchor"/>
          <w:rtl w:val="true"/>
        </w:rPr>
        <w:footnoteReference w:id="1377"/>
      </w:r>
      <w:r>
        <w:rPr>
          <w:rFonts w:ascii="IRNazanin" w:hAnsi="IRNazanin" w:eastAsia="IRNazanin"/>
          <w:color w:val="111111"/>
          <w:sz w:val="28"/>
          <w:sz w:val="28"/>
          <w:szCs w:val="28"/>
          <w:rtl w:val="true"/>
          <w:lang w:bidi="fa-IR"/>
        </w:rPr>
        <w:t>بالنسبة إلی الحاکم الآخر</w:t>
      </w:r>
      <w:r>
        <w:rPr>
          <w:rStyle w:val="FootnoteAnchor"/>
          <w:rtl w:val="true"/>
        </w:rPr>
        <w:footnoteReference w:id="1378"/>
      </w:r>
      <w:r>
        <w:rPr>
          <w:rFonts w:ascii="IRNazanin" w:hAnsi="IRNazanin" w:eastAsia="IRNazanin"/>
          <w:color w:val="111111"/>
          <w:sz w:val="28"/>
          <w:sz w:val="28"/>
          <w:szCs w:val="28"/>
          <w:rtl w:val="true"/>
          <w:lang w:bidi="fa-IR"/>
        </w:rPr>
        <w:t> أیضاً إذا لم یثبت عنده خلافه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955300_2322387425"/>
      <w:bookmarkStart w:id="643" w:name="_Toc243"/>
      <w:bookmarkEnd w:id="642"/>
      <w:r>
        <w:rPr>
          <w:rtl w:val="true"/>
        </w:rPr>
        <w:t>ثبوت الهلال فی بلد دون بلد اتّحد الاُفق أم لم یتّحد</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ثبت رویته فی بلد آخر ولم یثبت فی بلده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کانا متقاربَین کفی</w:t>
      </w:r>
      <w:r>
        <w:rPr>
          <w:rStyle w:val="FootnoteAnchor"/>
          <w:rtl w:val="true"/>
        </w:rPr>
        <w:footnoteReference w:id="1380"/>
      </w:r>
      <w:r>
        <w:rPr>
          <w:rFonts w:ascii="Amiri" w:hAnsi="Amiri" w:eastAsia="Amiri" w:cs="Amiri"/>
          <w:color w:val="111111"/>
          <w:sz w:val="28"/>
          <w:sz w:val="28"/>
          <w:szCs w:val="28"/>
          <w:rtl w:val="true"/>
          <w:lang w:bidi="ar-SA"/>
        </w:rPr>
        <w:t>، وإلّا فلا</w:t>
      </w:r>
      <w:r>
        <w:rPr>
          <w:rStyle w:val="FootnoteAnchor"/>
          <w:rtl w:val="true"/>
        </w:rPr>
        <w:footnoteReference w:id="1381"/>
      </w:r>
      <w:r>
        <w:rPr>
          <w:rFonts w:ascii="Amiri" w:hAnsi="Amiri" w:eastAsia="Amiri" w:cs="Amiri"/>
          <w:color w:val="111111"/>
          <w:sz w:val="28"/>
          <w:sz w:val="28"/>
          <w:szCs w:val="28"/>
          <w:rtl w:val="true"/>
          <w:lang w:bidi="ar-SA"/>
        </w:rPr>
        <w:t xml:space="preserve">، إلّا إذا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w:t>
      </w:r>
      <w:r>
        <w:rPr>
          <w:rStyle w:val="FootnoteAnchor"/>
          <w:rtl w:val="true"/>
        </w:rPr>
        <w:footnoteReference w:id="1382"/>
      </w:r>
      <w:r>
        <w:rPr>
          <w:rFonts w:ascii="Amiri" w:hAnsi="Amiri" w:eastAsia="Amiri" w:cs="Amiri"/>
          <w:color w:val="111111"/>
          <w:sz w:val="28"/>
          <w:sz w:val="28"/>
          <w:szCs w:val="28"/>
          <w:rtl w:val="true"/>
          <w:lang w:bidi="ar-SA"/>
        </w:rPr>
        <w:t> توافق اُفقِهِما</w:t>
      </w:r>
      <w:r>
        <w:rPr>
          <w:rStyle w:val="FootnoteAnchor"/>
          <w:rtl w:val="true"/>
        </w:rPr>
        <w:footnoteReference w:id="1383"/>
      </w:r>
      <w:r>
        <w:rPr>
          <w:rFonts w:ascii="IRNazanin" w:hAnsi="IRNazanin" w:eastAsia="IRNazanin"/>
          <w:color w:val="111111"/>
          <w:sz w:val="28"/>
          <w:sz w:val="28"/>
          <w:szCs w:val="28"/>
          <w:rtl w:val="true"/>
          <w:lang w:bidi="fa-IR"/>
        </w:rPr>
        <w:t xml:space="preserve"> وإن کانا      </w:t>
      </w:r>
      <w:r>
        <w:rPr>
          <w:rFonts w:eastAsia="IRNazanin" w:cs="IRNazanin"/>
          <w:color w:val="111111"/>
          <w:sz w:val="28"/>
          <w:szCs w:val="28"/>
          <w:rtl w:val="true"/>
          <w:lang w:bidi="fa-IR"/>
        </w:rPr>
        <w:t xml:space="preserve">.      .      .      . </w:t>
      </w:r>
      <w:bookmarkStart w:id="644" w:name="pg13281_119939"/>
    </w:p>
    <w:p>
      <w:pPr>
        <w:pStyle w:val="BookText"/>
        <w:rPr/>
      </w:pPr>
      <w:bookmarkEnd w:id="644"/>
      <w:r>
        <w:rPr>
          <w:rFonts w:ascii="IRNazanin" w:hAnsi="IRNazanin" w:eastAsia="IRNazanin"/>
          <w:color w:val="111111"/>
          <w:sz w:val="28"/>
          <w:sz w:val="28"/>
          <w:szCs w:val="28"/>
          <w:rtl w:val="true"/>
          <w:lang w:bidi="fa-IR"/>
        </w:rPr>
        <w:t>متباعدین</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955302_2322387425"/>
      <w:bookmarkStart w:id="646" w:name="_Toc244"/>
      <w:bookmarkEnd w:id="645"/>
      <w:r>
        <w:rPr>
          <w:rtl w:val="true"/>
        </w:rPr>
        <w:t>الإخبار بثبوت الهلال بواسطة الآلات والمخترعات</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الاعتماد علی البرید البرقیِّ المسمّی بالتلگراف</w:t>
      </w:r>
      <w:r>
        <w:rPr>
          <w:rStyle w:val="FootnoteAnchor"/>
          <w:rtl w:val="true"/>
        </w:rPr>
        <w:footnoteReference w:id="1385"/>
      </w:r>
      <w:r>
        <w:rPr>
          <w:rFonts w:ascii="IRNazanin" w:hAnsi="IRNazanin" w:eastAsia="IRNazanin"/>
          <w:color w:val="111111"/>
          <w:sz w:val="28"/>
          <w:sz w:val="28"/>
          <w:szCs w:val="28"/>
          <w:rtl w:val="true"/>
          <w:lang w:bidi="fa-IR"/>
        </w:rPr>
        <w:t> فی الإخبار عن الرویة، إلّا إذا حصل منه العلم</w:t>
      </w:r>
      <w:r>
        <w:rPr>
          <w:rStyle w:val="FootnoteAnchor"/>
          <w:rtl w:val="true"/>
        </w:rPr>
        <w:footnoteReference w:id="1386"/>
      </w:r>
      <w:r>
        <w:rPr>
          <w:rFonts w:ascii="IRNazanin" w:hAnsi="IRNazanin" w:eastAsia="IRNazanin"/>
          <w:color w:val="111111"/>
          <w:sz w:val="28"/>
          <w:sz w:val="28"/>
          <w:szCs w:val="28"/>
          <w:rtl w:val="true"/>
          <w:lang w:bidi="fa-IR"/>
        </w:rPr>
        <w:t> بأن کان</w:t>
      </w:r>
    </w:p>
    <w:p>
      <w:pPr>
        <w:pStyle w:val="BookText"/>
        <w:rPr/>
      </w:pPr>
      <w:r>
        <w:rPr>
          <w:rFonts w:ascii="IRNazanin" w:hAnsi="IRNazanin" w:eastAsia="IRNazanin"/>
          <w:color w:val="111111"/>
          <w:sz w:val="28"/>
          <w:sz w:val="28"/>
          <w:szCs w:val="28"/>
          <w:rtl w:val="true"/>
          <w:lang w:bidi="fa-IR"/>
        </w:rPr>
        <w:t>البلدان متقاربَین</w:t>
      </w:r>
      <w:r>
        <w:rPr>
          <w:rStyle w:val="FootnoteAnchor"/>
          <w:rtl w:val="true"/>
        </w:rPr>
        <w:footnoteReference w:id="1387"/>
      </w:r>
      <w:r>
        <w:rPr>
          <w:rFonts w:ascii="Amiri" w:hAnsi="Amiri" w:eastAsia="Amiri" w:cs="Amiri"/>
          <w:color w:val="111111"/>
          <w:sz w:val="28"/>
          <w:sz w:val="28"/>
          <w:szCs w:val="28"/>
          <w:rtl w:val="true"/>
          <w:lang w:bidi="ar-SA"/>
        </w:rPr>
        <w:t> وتحقّق</w:t>
      </w:r>
      <w:r>
        <w:rPr>
          <w:rStyle w:val="FootnoteAnchor"/>
          <w:rtl w:val="true"/>
        </w:rPr>
        <w:footnoteReference w:id="1388"/>
      </w:r>
      <w:r>
        <w:rPr>
          <w:rFonts w:ascii="IRNazanin" w:hAnsi="IRNazanin" w:eastAsia="IRNazanin"/>
          <w:color w:val="111111"/>
          <w:sz w:val="28"/>
          <w:sz w:val="28"/>
          <w:szCs w:val="28"/>
          <w:rtl w:val="true"/>
          <w:lang w:bidi="fa-IR"/>
        </w:rPr>
        <w:t> حکم الحاکم أو شهادة العدلین برویته هناک</w:t>
      </w:r>
      <w:r>
        <w:rPr>
          <w:rFonts w:eastAsia="IRNazanin" w:cs="IRNazanin"/>
          <w:color w:val="111111"/>
          <w:sz w:val="28"/>
          <w:szCs w:val="28"/>
          <w:rtl w:val="true"/>
          <w:lang w:bidi="fa-IR"/>
        </w:rPr>
        <w:t>.</w:t>
      </w:r>
    </w:p>
    <w:p>
      <w:pPr>
        <w:pStyle w:val="Heading3"/>
        <w:numPr>
          <w:ilvl w:val="2"/>
          <w:numId w:val="1"/>
        </w:numPr>
        <w:rPr/>
      </w:pPr>
      <w:bookmarkStart w:id="647" w:name="__RefHeading___Toc1955304_2322387425"/>
      <w:bookmarkStart w:id="648" w:name="_Toc245"/>
      <w:bookmarkEnd w:id="647"/>
      <w:r>
        <w:rPr>
          <w:rtl w:val="true"/>
        </w:rPr>
        <w:t>حکم یوم الشک أنّه من رمضان أو شوّال</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یوم الشکّ فی أنّه من رمضان أو شوّال یجب</w:t>
      </w:r>
      <w:r>
        <w:rPr>
          <w:rStyle w:val="FootnoteAnchor"/>
          <w:rtl w:val="true"/>
        </w:rPr>
        <w:footnoteReference w:id="1389"/>
      </w:r>
      <w:r>
        <w:rPr>
          <w:rFonts w:ascii="IRNazanin" w:hAnsi="IRNazanin" w:eastAsia="IRNazanin"/>
          <w:color w:val="111111"/>
          <w:sz w:val="28"/>
          <w:sz w:val="28"/>
          <w:szCs w:val="28"/>
          <w:rtl w:val="true"/>
          <w:lang w:bidi="fa-IR"/>
        </w:rPr>
        <w:t> أن</w:t>
      </w:r>
    </w:p>
    <w:p>
      <w:pPr>
        <w:pStyle w:val="BookText"/>
        <w:rPr/>
      </w:pPr>
      <w:r>
        <w:rPr>
          <w:rFonts w:ascii="IRNazanin" w:hAnsi="IRNazanin" w:eastAsia="IRNazanin"/>
          <w:color w:val="111111"/>
          <w:sz w:val="28"/>
          <w:sz w:val="28"/>
          <w:szCs w:val="28"/>
          <w:rtl w:val="true"/>
          <w:lang w:bidi="fa-IR"/>
        </w:rPr>
        <w:t>یصوم، وفی یوم الشکّ فی أنّه من شعبان أو رمضان یجوز الإفطار ویجوز أن یصوم، لکن لا بقصد</w:t>
      </w:r>
      <w:r>
        <w:rPr>
          <w:rStyle w:val="FootnoteAnchor"/>
          <w:rtl w:val="true"/>
        </w:rPr>
        <w:footnoteReference w:id="1390"/>
      </w:r>
      <w:r>
        <w:rPr>
          <w:rFonts w:ascii="IRNazanin" w:hAnsi="IRNazanin" w:eastAsia="IRNazanin"/>
          <w:color w:val="111111"/>
          <w:sz w:val="28"/>
          <w:sz w:val="28"/>
          <w:szCs w:val="28"/>
          <w:rtl w:val="true"/>
          <w:lang w:bidi="fa-IR"/>
        </w:rPr>
        <w:t> أنّه من رمضان، کما مرّ سابقاً تفصیل الکلام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تبیّن فی الصورة الاُولی کونه من شوّال وجب الإفطار، سواء </w:t>
      </w:r>
      <w:bookmarkStart w:id="649" w:name="pg13281_119940"/>
    </w:p>
    <w:p>
      <w:pPr>
        <w:pStyle w:val="BookText"/>
        <w:rPr/>
      </w:pPr>
      <w:bookmarkEnd w:id="649"/>
      <w:r>
        <w:rPr>
          <w:rFonts w:ascii="IRNazanin" w:hAnsi="IRNazanin" w:eastAsia="IRNazanin"/>
          <w:color w:val="111111"/>
          <w:sz w:val="28"/>
          <w:sz w:val="28"/>
          <w:szCs w:val="28"/>
          <w:rtl w:val="true"/>
          <w:lang w:bidi="fa-IR"/>
        </w:rPr>
        <w:t>کان قبل الزوال أم بعده، ولو تبیّن فی الصورة الثانیة کونه من رمضان وجب الإمساک</w:t>
      </w:r>
      <w:r>
        <w:rPr>
          <w:rStyle w:val="FootnoteAnchor"/>
          <w:rtl w:val="true"/>
        </w:rPr>
        <w:footnoteReference w:id="1392"/>
      </w:r>
      <w:r>
        <w:rPr>
          <w:rFonts w:ascii="IRNazanin" w:hAnsi="IRNazanin" w:eastAsia="IRNazanin"/>
          <w:color w:val="111111"/>
          <w:sz w:val="28"/>
          <w:sz w:val="28"/>
          <w:szCs w:val="28"/>
          <w:rtl w:val="true"/>
          <w:lang w:bidi="fa-IR"/>
        </w:rPr>
        <w:t> وکان صحیحاً إذا لم یفطر ونوی قبل الزوال</w:t>
      </w:r>
      <w:r>
        <w:rPr>
          <w:rStyle w:val="FootnoteAnchor"/>
          <w:rtl w:val="true"/>
        </w:rPr>
        <w:footnoteReference w:id="1393"/>
      </w:r>
      <w:r>
        <w:rPr>
          <w:rFonts w:ascii="IRNazanin" w:hAnsi="IRNazanin" w:eastAsia="IRNazanin"/>
          <w:color w:val="111111"/>
          <w:sz w:val="28"/>
          <w:sz w:val="28"/>
          <w:szCs w:val="28"/>
          <w:rtl w:val="true"/>
          <w:lang w:bidi="fa-IR"/>
        </w:rPr>
        <w:t>، ویجب قضاوه</w:t>
      </w:r>
      <w:r>
        <w:rPr>
          <w:rStyle w:val="FootnoteAnchor"/>
          <w:rtl w:val="true"/>
        </w:rPr>
        <w:footnoteReference w:id="1394"/>
      </w:r>
      <w:r>
        <w:rPr>
          <w:rFonts w:ascii="IRNazanin" w:hAnsi="IRNazanin" w:eastAsia="IRNazanin"/>
          <w:color w:val="111111"/>
          <w:sz w:val="28"/>
          <w:sz w:val="28"/>
          <w:szCs w:val="28"/>
          <w:rtl w:val="true"/>
          <w:lang w:bidi="fa-IR"/>
        </w:rPr>
        <w:t> إذا کان بعد الزوال</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1955306_2322387425"/>
      <w:bookmarkStart w:id="651" w:name="_Toc246"/>
      <w:bookmarkEnd w:id="650"/>
      <w:r>
        <w:rPr>
          <w:rtl w:val="true"/>
        </w:rPr>
        <w:t>حکم ما لو غمّت الشهور</w:t>
      </w:r>
      <w:bookmarkEnd w:id="65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غمّت الشهور ولم یُرَ الهلال فی جملةٍ منها أو فی تمامها حُسِبَ کلَّ شهرٍ</w:t>
      </w:r>
      <w:r>
        <w:rPr>
          <w:rStyle w:val="FootnoteAnchor"/>
          <w:rtl w:val="true"/>
        </w:rPr>
        <w:footnoteReference w:id="1396"/>
      </w:r>
      <w:r>
        <w:rPr>
          <w:rFonts w:ascii="IRNazanin" w:hAnsi="IRNazanin" w:eastAsia="IRNazanin"/>
          <w:color w:val="111111"/>
          <w:sz w:val="28"/>
          <w:sz w:val="28"/>
          <w:szCs w:val="28"/>
          <w:rtl w:val="true"/>
          <w:lang w:bidi="fa-IR"/>
        </w:rPr>
        <w:t> ثلاثین ما لم یُعلَم النقصان عادة</w:t>
      </w:r>
      <w:r>
        <w:rPr>
          <w:rFonts w:eastAsia="IRNazanin" w:cs="IRNazanin"/>
          <w:color w:val="111111"/>
          <w:sz w:val="28"/>
          <w:szCs w:val="28"/>
          <w:rtl w:val="true"/>
          <w:lang w:bidi="fa-IR"/>
        </w:rPr>
        <w:t xml:space="preserve">. </w:t>
      </w:r>
      <w:bookmarkStart w:id="652" w:name="pg13281_119941"/>
    </w:p>
    <w:p>
      <w:pPr>
        <w:pStyle w:val="Heading3"/>
        <w:numPr>
          <w:ilvl w:val="2"/>
          <w:numId w:val="1"/>
        </w:numPr>
        <w:rPr/>
      </w:pPr>
      <w:bookmarkStart w:id="653" w:name="__RefHeading___Toc1955308_2322387425"/>
      <w:bookmarkStart w:id="654" w:name="_Toc247"/>
      <w:bookmarkEnd w:id="652"/>
      <w:bookmarkEnd w:id="653"/>
      <w:r>
        <w:rPr>
          <w:rtl w:val="true"/>
        </w:rPr>
        <w:t>حکم الأسیر والمحبوس إذا لم یتمکّنا من تحصیل العلم بالشهر</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الأسیر والمحبوس</w:t>
      </w:r>
      <w:r>
        <w:rPr>
          <w:rStyle w:val="FootnoteAnchor"/>
          <w:rtl w:val="true"/>
        </w:rPr>
        <w:footnoteReference w:id="1397"/>
      </w:r>
      <w:r>
        <w:rPr>
          <w:rFonts w:ascii="IRNazanin" w:hAnsi="IRNazanin" w:eastAsia="IRNazanin"/>
          <w:color w:val="111111"/>
          <w:sz w:val="28"/>
          <w:sz w:val="28"/>
          <w:szCs w:val="28"/>
          <w:rtl w:val="true"/>
          <w:lang w:bidi="fa-IR"/>
        </w:rPr>
        <w:t> إذا لم یتمکّنا من تحصیل العلم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بالشهر عَمِلا بالظنِّ</w:t>
      </w:r>
      <w:r>
        <w:rPr>
          <w:rStyle w:val="FootnoteAnchor"/>
          <w:rtl w:val="true"/>
        </w:rPr>
        <w:footnoteReference w:id="1398"/>
      </w:r>
      <w:r>
        <w:rPr>
          <w:rFonts w:ascii="IRNazanin" w:hAnsi="IRNazanin" w:eastAsia="IRNazanin"/>
          <w:color w:val="111111"/>
          <w:sz w:val="28"/>
          <w:sz w:val="28"/>
          <w:szCs w:val="28"/>
          <w:rtl w:val="true"/>
          <w:lang w:bidi="fa-IR"/>
        </w:rPr>
        <w:t>، ومع عدمه تخیّرا</w:t>
      </w:r>
      <w:r>
        <w:rPr>
          <w:rStyle w:val="FootnoteAnchor"/>
          <w:rtl w:val="true"/>
        </w:rPr>
        <w:footnoteReference w:id="1399"/>
      </w:r>
      <w:r>
        <w:rPr>
          <w:rFonts w:ascii="Amiri" w:hAnsi="Amiri" w:eastAsia="Amiri" w:cs="Amiri"/>
          <w:color w:val="111111"/>
          <w:sz w:val="28"/>
          <w:sz w:val="28"/>
          <w:szCs w:val="28"/>
          <w:rtl w:val="true"/>
          <w:lang w:bidi="ar-SA"/>
        </w:rPr>
        <w:t> فی کلِّ سنة بین الشهور</w:t>
      </w:r>
      <w:r>
        <w:rPr>
          <w:rStyle w:val="FootnoteAnchor"/>
          <w:rtl w:val="true"/>
        </w:rPr>
        <w:footnoteReference w:id="1400"/>
      </w:r>
      <w:r>
        <w:rPr>
          <w:rFonts w:ascii="Amiri" w:hAnsi="Amiri" w:eastAsia="Amiri" w:cs="Amiri"/>
          <w:color w:val="111111"/>
          <w:sz w:val="28"/>
          <w:sz w:val="28"/>
          <w:szCs w:val="28"/>
          <w:rtl w:val="true"/>
          <w:lang w:bidi="ar-SA"/>
        </w:rPr>
        <w:t>، فیعیّنان شهراً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ویجب</w:t>
      </w:r>
      <w:r>
        <w:rPr>
          <w:rStyle w:val="FootnoteAnchor"/>
          <w:rtl w:val="true"/>
        </w:rPr>
        <w:footnoteReference w:id="1401"/>
      </w:r>
      <w:r>
        <w:rPr>
          <w:rFonts w:ascii="Amiri" w:hAnsi="Amiri" w:eastAsia="Amiri" w:cs="Amiri"/>
          <w:color w:val="111111"/>
          <w:sz w:val="28"/>
          <w:sz w:val="28"/>
          <w:szCs w:val="28"/>
          <w:rtl w:val="true"/>
          <w:lang w:bidi="ar-SA"/>
        </w:rPr>
        <w:t> مراعاة</w:t>
      </w:r>
      <w:r>
        <w:rPr>
          <w:rStyle w:val="FootnoteAnchor"/>
          <w:rtl w:val="true"/>
        </w:rPr>
        <w:footnoteReference w:id="1402"/>
      </w:r>
      <w:r>
        <w:rPr>
          <w:rFonts w:ascii="IRNazanin" w:hAnsi="IRNazanin" w:eastAsia="IRNazanin"/>
          <w:color w:val="111111"/>
          <w:sz w:val="28"/>
          <w:sz w:val="28"/>
          <w:szCs w:val="28"/>
          <w:rtl w:val="true"/>
          <w:lang w:bidi="fa-IR"/>
        </w:rPr>
        <w:t> المطابقة بین الشهرین فی سنتین بأن یکون بینهما أحد عشر شهراً، ولو بان بعد ذلک أنّ ما ظنّه أو اختاره</w:t>
      </w:r>
      <w:r>
        <w:rPr>
          <w:rStyle w:val="FootnoteAnchor"/>
          <w:rtl w:val="true"/>
        </w:rPr>
        <w:footnoteReference w:id="1403"/>
      </w:r>
      <w:r>
        <w:rPr>
          <w:rFonts w:ascii="IRNazanin" w:hAnsi="IRNazanin" w:eastAsia="IRNazanin"/>
          <w:color w:val="111111"/>
          <w:sz w:val="28"/>
          <w:sz w:val="28"/>
          <w:szCs w:val="28"/>
          <w:rtl w:val="true"/>
          <w:lang w:bidi="fa-IR"/>
        </w:rPr>
        <w:t xml:space="preserve"> لم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تبیّن سبقه</w:t>
      </w:r>
      <w:r>
        <w:rPr>
          <w:rStyle w:val="FootnoteAnchor"/>
          <w:rtl w:val="true"/>
        </w:rPr>
        <w:footnoteReference w:id="1404"/>
      </w:r>
      <w:r>
        <w:rPr>
          <w:rFonts w:ascii="IRNazanin" w:hAnsi="IRNazanin" w:eastAsia="IRNazanin"/>
          <w:color w:val="111111"/>
          <w:sz w:val="28"/>
          <w:sz w:val="28"/>
          <w:szCs w:val="28"/>
          <w:rtl w:val="true"/>
          <w:lang w:bidi="fa-IR"/>
        </w:rPr>
        <w:t> کفاه؛ لأنّه حینئذٍ یکون ما أتی به قضاءً وإن تبیّن لحوقه وقد مضی قضاه</w:t>
      </w:r>
      <w:r>
        <w:rPr>
          <w:rStyle w:val="FootnoteAnchor"/>
          <w:rtl w:val="true"/>
        </w:rPr>
        <w:footnoteReference w:id="1405"/>
      </w:r>
      <w:r>
        <w:rPr>
          <w:rFonts w:ascii="IRNazanin" w:hAnsi="IRNazanin" w:eastAsia="IRNazanin"/>
          <w:color w:val="111111"/>
          <w:sz w:val="28"/>
          <w:sz w:val="28"/>
          <w:szCs w:val="28"/>
          <w:rtl w:val="true"/>
          <w:lang w:bidi="fa-IR"/>
        </w:rPr>
        <w:t>، وإن لم یمضِ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w:t>
      </w:r>
      <w:r>
        <w:rPr>
          <w:rStyle w:val="FootnoteAnchor"/>
          <w:rtl w:val="true"/>
        </w:rPr>
        <w:footnoteReference w:id="1406"/>
      </w:r>
      <w:r>
        <w:rPr>
          <w:rFonts w:ascii="IRNazanin" w:hAnsi="IRNazanin" w:eastAsia="IRNazanin"/>
          <w:color w:val="111111"/>
          <w:sz w:val="28"/>
          <w:sz w:val="28"/>
          <w:szCs w:val="28"/>
          <w:rtl w:val="true"/>
          <w:lang w:bidi="fa-IR"/>
        </w:rPr>
        <w:t>فی صورة</w:t>
      </w:r>
      <w:r>
        <w:rPr>
          <w:rStyle w:val="FootnoteAnchor"/>
          <w:rtl w:val="true"/>
        </w:rPr>
        <w:footnoteReference w:id="1407"/>
      </w:r>
      <w:r>
        <w:rPr>
          <w:rFonts w:ascii="IRNazanin" w:hAnsi="IRNazanin" w:eastAsia="IRNazanin"/>
          <w:color w:val="111111"/>
          <w:sz w:val="28"/>
          <w:sz w:val="28"/>
          <w:szCs w:val="28"/>
          <w:rtl w:val="true"/>
          <w:lang w:bidi="fa-IR"/>
        </w:rPr>
        <w:t> عدم حصول</w:t>
      </w:r>
      <w:r>
        <w:rPr>
          <w:rStyle w:val="FootnoteAnchor"/>
          <w:rtl w:val="true"/>
        </w:rPr>
        <w:footnoteReference w:id="1408"/>
      </w:r>
      <w:r>
        <w:rPr>
          <w:rFonts w:ascii="Amiri" w:hAnsi="Amiri" w:eastAsia="Amiri" w:cs="Amiri"/>
          <w:color w:val="111111"/>
          <w:sz w:val="28"/>
          <w:sz w:val="28"/>
          <w:szCs w:val="28"/>
          <w:rtl w:val="true"/>
          <w:lang w:bidi="ar-SA"/>
        </w:rPr>
        <w:t> الظنِّ أن لا یصوم</w:t>
      </w:r>
      <w:r>
        <w:rPr>
          <w:rStyle w:val="FootnoteAnchor"/>
          <w:rtl w:val="true"/>
        </w:rPr>
        <w:footnoteReference w:id="1409"/>
      </w:r>
      <w:r>
        <w:rPr>
          <w:rFonts w:ascii="Amiri" w:hAnsi="Amiri" w:eastAsia="Amiri" w:cs="Amiri"/>
          <w:color w:val="111111"/>
          <w:sz w:val="28"/>
          <w:sz w:val="28"/>
          <w:szCs w:val="28"/>
          <w:rtl w:val="true"/>
          <w:lang w:bidi="ar-SA"/>
        </w:rPr>
        <w:t> حتّی یتیقّن</w:t>
      </w:r>
      <w:r>
        <w:rPr>
          <w:rStyle w:val="FootnoteAnchor"/>
          <w:rtl w:val="true"/>
        </w:rPr>
        <w:footnoteReference w:id="141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Style w:val="FootnoteAnchor"/>
          <w:rtl w:val="true"/>
        </w:rPr>
        <w:footnoteReference w:id="1411"/>
      </w:r>
      <w:r>
        <w:rPr>
          <w:rFonts w:ascii="IRNazanin" w:hAnsi="IRNazanin" w:eastAsia="IRNazanin"/>
          <w:color w:val="111111"/>
          <w:sz w:val="28"/>
          <w:sz w:val="28"/>
          <w:szCs w:val="28"/>
          <w:rtl w:val="true"/>
          <w:lang w:bidi="fa-IR"/>
        </w:rPr>
        <w:t> کان</w:t>
      </w:r>
      <w:r>
        <w:rPr>
          <w:rStyle w:val="FootnoteAnchor"/>
          <w:rtl w:val="true"/>
        </w:rPr>
        <w:footnoteReference w:id="1412"/>
      </w:r>
      <w:r>
        <w:rPr>
          <w:rFonts w:ascii="Amiri" w:hAnsi="Amiri" w:eastAsia="Amiri" w:cs="Amiri"/>
          <w:color w:val="111111"/>
          <w:sz w:val="28"/>
          <w:sz w:val="28"/>
          <w:szCs w:val="28"/>
          <w:rtl w:val="true"/>
          <w:lang w:bidi="ar-SA"/>
        </w:rPr>
        <w:t> سابقاً</w:t>
      </w:r>
      <w:r>
        <w:rPr>
          <w:rStyle w:val="FootnoteAnchor"/>
          <w:rtl w:val="true"/>
        </w:rPr>
        <w:footnoteReference w:id="1413"/>
      </w:r>
      <w:r>
        <w:rPr>
          <w:rFonts w:ascii="IRNazanin" w:hAnsi="IRNazanin" w:eastAsia="IRNazanin"/>
          <w:color w:val="111111"/>
          <w:sz w:val="28"/>
          <w:sz w:val="28"/>
          <w:szCs w:val="28"/>
          <w:rtl w:val="true"/>
          <w:lang w:bidi="fa-IR"/>
        </w:rPr>
        <w:t xml:space="preserve"> فیأتی به قضاءً </w:t>
      </w:r>
      <w:bookmarkStart w:id="655" w:name="pg13281_119944"/>
    </w:p>
    <w:p>
      <w:pPr>
        <w:pStyle w:val="Heading3"/>
        <w:numPr>
          <w:ilvl w:val="2"/>
          <w:numId w:val="1"/>
        </w:numPr>
        <w:rPr/>
      </w:pPr>
      <w:bookmarkStart w:id="656" w:name="__RefHeading___Toc1955310_2322387425"/>
      <w:bookmarkStart w:id="657" w:name="_Toc248"/>
      <w:bookmarkEnd w:id="655"/>
      <w:bookmarkEnd w:id="656"/>
      <w:r>
        <w:rPr>
          <w:rtl w:val="true"/>
        </w:rPr>
        <w:t>إجراء أحکام شهر رمضان علی ما ظنّه رمضاناً </w:t>
      </w:r>
      <w:bookmarkEnd w:id="657"/>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1414"/>
      </w:r>
      <w:r>
        <w:rPr>
          <w:rFonts w:ascii="IRNazanin" w:hAnsi="IRNazanin" w:eastAsia="IRNazanin"/>
          <w:color w:val="111111"/>
          <w:sz w:val="28"/>
          <w:sz w:val="28"/>
          <w:szCs w:val="28"/>
          <w:rtl w:val="true"/>
          <w:lang w:bidi="fa-IR"/>
        </w:rPr>
        <w:t> إجراء</w:t>
      </w:r>
      <w:r>
        <w:rPr>
          <w:rStyle w:val="FootnoteAnchor"/>
          <w:rtl w:val="true"/>
        </w:rPr>
        <w:footnoteReference w:id="1415"/>
      </w:r>
      <w:r>
        <w:rPr>
          <w:rFonts w:ascii="IRNazanin" w:hAnsi="IRNazanin" w:eastAsia="IRNazanin"/>
          <w:color w:val="111111"/>
          <w:sz w:val="28"/>
          <w:sz w:val="28"/>
          <w:szCs w:val="28"/>
          <w:rtl w:val="true"/>
          <w:lang w:bidi="fa-IR"/>
        </w:rPr>
        <w:t> أحکام شهر رمضان علی ما ظنّه من الکفّارة</w:t>
      </w:r>
    </w:p>
    <w:p>
      <w:pPr>
        <w:pStyle w:val="BookText"/>
        <w:rPr/>
      </w:pPr>
      <w:r>
        <w:rPr>
          <w:rFonts w:ascii="Amiri" w:hAnsi="Amiri" w:eastAsia="Amiri" w:cs="Amiri"/>
          <w:color w:val="111111"/>
          <w:sz w:val="28"/>
          <w:sz w:val="28"/>
          <w:szCs w:val="28"/>
          <w:rtl w:val="true"/>
          <w:lang w:bidi="ar-SA"/>
        </w:rPr>
        <w:t>والمتابعة</w:t>
      </w:r>
      <w:r>
        <w:rPr>
          <w:rStyle w:val="FootnoteAnchor"/>
          <w:rtl w:val="true"/>
        </w:rPr>
        <w:footnoteReference w:id="1416"/>
      </w:r>
      <w:r>
        <w:rPr>
          <w:rFonts w:ascii="IRNazanin" w:hAnsi="IRNazanin" w:eastAsia="IRNazanin"/>
          <w:color w:val="111111"/>
          <w:sz w:val="28"/>
          <w:sz w:val="28"/>
          <w:szCs w:val="28"/>
          <w:rtl w:val="true"/>
          <w:lang w:bidi="fa-IR"/>
        </w:rPr>
        <w:t> والفطرة وصلاة العید وحرمة صومه ما دام الاشتباه باقیاً، وإن</w:t>
      </w:r>
    </w:p>
    <w:p>
      <w:pPr>
        <w:pStyle w:val="BookText"/>
        <w:rPr/>
      </w:pPr>
      <w:r>
        <w:rPr>
          <w:rFonts w:ascii="IRNazanin" w:hAnsi="IRNazanin" w:eastAsia="IRNazanin"/>
          <w:color w:val="111111"/>
          <w:sz w:val="28"/>
          <w:sz w:val="28"/>
          <w:szCs w:val="28"/>
          <w:rtl w:val="true"/>
          <w:lang w:bidi="fa-IR"/>
        </w:rPr>
        <w:t>بان الخلاف عمل بمقتضاه</w:t>
      </w:r>
      <w:r>
        <w:rPr>
          <w:rFonts w:eastAsia="IRNazanin" w:cs="IRNazanin"/>
          <w:color w:val="111111"/>
          <w:sz w:val="28"/>
          <w:szCs w:val="28"/>
          <w:rtl w:val="true"/>
          <w:lang w:bidi="fa-IR"/>
        </w:rPr>
        <w:t>.</w:t>
      </w:r>
    </w:p>
    <w:p>
      <w:pPr>
        <w:pStyle w:val="Heading3"/>
        <w:numPr>
          <w:ilvl w:val="2"/>
          <w:numId w:val="1"/>
        </w:numPr>
        <w:rPr/>
      </w:pPr>
      <w:bookmarkStart w:id="658" w:name="__RefHeading___Toc1955312_2322387425"/>
      <w:bookmarkStart w:id="659" w:name="_Toc249"/>
      <w:bookmarkEnd w:id="658"/>
      <w:r>
        <w:rPr>
          <w:rtl w:val="true"/>
        </w:rPr>
        <w:t>حکم اشتباه شهر رمضان بین شهرین أو أکثر</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اشتبه شهر رمضان بین شهرین أو ثلاثة أشهر مثلاً فالأحوط</w:t>
      </w:r>
      <w:r>
        <w:rPr>
          <w:rStyle w:val="FootnoteAnchor"/>
          <w:rtl w:val="true"/>
        </w:rPr>
        <w:footnoteReference w:id="1417"/>
      </w:r>
      <w:r>
        <w:rPr>
          <w:rFonts w:ascii="IRNazanin" w:hAnsi="IRNazanin" w:eastAsia="IRNazanin"/>
          <w:color w:val="111111"/>
          <w:sz w:val="28"/>
          <w:sz w:val="28"/>
          <w:szCs w:val="28"/>
          <w:rtl w:val="true"/>
          <w:lang w:bidi="fa-IR"/>
        </w:rPr>
        <w:t> صوم</w:t>
      </w:r>
      <w:r>
        <w:rPr>
          <w:rStyle w:val="FootnoteAnchor"/>
          <w:rtl w:val="true"/>
        </w:rPr>
        <w:footnoteReference w:id="1418"/>
      </w:r>
      <w:r>
        <w:rPr>
          <w:rFonts w:ascii="IRNazanin" w:hAnsi="IRNazanin" w:eastAsia="IRNazanin"/>
          <w:color w:val="111111"/>
          <w:sz w:val="28"/>
          <w:sz w:val="28"/>
          <w:szCs w:val="28"/>
          <w:rtl w:val="true"/>
          <w:lang w:bidi="fa-IR"/>
        </w:rPr>
        <w:t> الجمیع</w:t>
      </w:r>
      <w:r>
        <w:rPr>
          <w:rStyle w:val="FootnoteAnchor"/>
          <w:rtl w:val="true"/>
        </w:rPr>
        <w:footnoteReference w:id="1419"/>
      </w: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1420"/>
      </w:r>
      <w:r>
        <w:rPr>
          <w:rFonts w:ascii="IRNazanin" w:hAnsi="IRNazanin" w:eastAsia="IRNazanin"/>
          <w:color w:val="111111"/>
          <w:sz w:val="28"/>
          <w:sz w:val="28"/>
          <w:szCs w:val="28"/>
          <w:rtl w:val="true"/>
          <w:lang w:bidi="fa-IR"/>
        </w:rPr>
        <w:t> إجراء حکم الأسیر</w:t>
      </w:r>
      <w:r>
        <w:rPr>
          <w:rStyle w:val="FootnoteAnchor"/>
          <w:rtl w:val="true"/>
        </w:rPr>
        <w:footnoteReference w:id="1421"/>
      </w:r>
      <w:r>
        <w:rPr>
          <w:rFonts w:ascii="IRNazanin" w:hAnsi="IRNazanin" w:eastAsia="IRNazanin"/>
          <w:color w:val="111111"/>
          <w:sz w:val="28"/>
          <w:sz w:val="28"/>
          <w:szCs w:val="28"/>
          <w:rtl w:val="true"/>
          <w:lang w:bidi="fa-IR"/>
        </w:rPr>
        <w:t> والمحبوس</w:t>
      </w:r>
      <w:r>
        <w:rPr>
          <w:rStyle w:val="FootnoteAnchor"/>
          <w:rtl w:val="true"/>
        </w:rPr>
        <w:footnoteReference w:id="1422"/>
      </w:r>
      <w:r>
        <w:rPr>
          <w:rFonts w:ascii="IRNazanin" w:hAnsi="IRNazanin" w:eastAsia="IRNazanin"/>
          <w:color w:val="111111"/>
          <w:sz w:val="28"/>
          <w:sz w:val="28"/>
          <w:szCs w:val="28"/>
          <w:rtl w:val="true"/>
          <w:lang w:bidi="fa-IR"/>
        </w:rPr>
        <w:t>، وأمّا إن اشتبه الشهر المنذور صومه بین شهرین أو ثلاثة فالظاهر</w:t>
      </w:r>
      <w:r>
        <w:rPr>
          <w:rStyle w:val="FootnoteAnchor"/>
          <w:rtl w:val="true"/>
        </w:rPr>
        <w:footnoteReference w:id="1423"/>
      </w:r>
      <w:r>
        <w:rPr>
          <w:rFonts w:ascii="IRNazanin" w:hAnsi="IRNazanin" w:eastAsia="IRNazanin"/>
          <w:color w:val="111111"/>
          <w:sz w:val="28"/>
          <w:sz w:val="28"/>
          <w:szCs w:val="28"/>
          <w:rtl w:val="true"/>
          <w:lang w:bidi="fa-IR"/>
        </w:rPr>
        <w:t> وجوب الاحتیاط</w:t>
      </w:r>
      <w:r>
        <w:rPr>
          <w:rStyle w:val="FootnoteAnchor"/>
          <w:rtl w:val="true"/>
        </w:rPr>
        <w:footnoteReference w:id="1424"/>
      </w:r>
      <w:r>
        <w:rPr>
          <w:rFonts w:ascii="IRNazanin" w:hAnsi="IRNazanin" w:eastAsia="IRNazanin"/>
          <w:color w:val="111111"/>
          <w:sz w:val="28"/>
          <w:sz w:val="28"/>
          <w:szCs w:val="28"/>
          <w:rtl w:val="true"/>
          <w:lang w:bidi="fa-IR"/>
        </w:rPr>
        <w:t xml:space="preserve"> ما لم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یستلزم الحرج، ومعه یعمل بالظنّ</w:t>
      </w:r>
      <w:r>
        <w:rPr>
          <w:rStyle w:val="FootnoteAnchor"/>
          <w:rtl w:val="true"/>
        </w:rPr>
        <w:footnoteReference w:id="1425"/>
      </w:r>
      <w:r>
        <w:rPr>
          <w:rFonts w:ascii="IRNazanin" w:hAnsi="IRNazanin" w:eastAsia="IRNazanin"/>
          <w:color w:val="111111"/>
          <w:sz w:val="28"/>
          <w:sz w:val="28"/>
          <w:szCs w:val="28"/>
          <w:rtl w:val="true"/>
          <w:lang w:bidi="fa-IR"/>
        </w:rPr>
        <w:t>، ومع عدمه یتخیّر</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660" w:name="pg13281_119947"/>
    </w:p>
    <w:p>
      <w:pPr>
        <w:pStyle w:val="Heading3"/>
        <w:numPr>
          <w:ilvl w:val="2"/>
          <w:numId w:val="1"/>
        </w:numPr>
        <w:rPr/>
      </w:pPr>
      <w:bookmarkStart w:id="661" w:name="__RefHeading___Toc1955314_2322387425"/>
      <w:bookmarkStart w:id="662" w:name="_Toc250"/>
      <w:bookmarkEnd w:id="660"/>
      <w:bookmarkEnd w:id="661"/>
      <w:r>
        <w:rPr>
          <w:rtl w:val="true"/>
        </w:rPr>
        <w:t>حکم المکان الذی یکون لیله ونهاره غیر متعارفین </w:t>
      </w:r>
      <w:bookmarkEnd w:id="66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فرض</w:t>
      </w:r>
      <w:r>
        <w:rPr>
          <w:rStyle w:val="FootnoteAnchor"/>
          <w:rtl w:val="true"/>
        </w:rPr>
        <w:footnoteReference w:id="1427"/>
      </w:r>
      <w:r>
        <w:rPr>
          <w:rFonts w:ascii="Amiri" w:hAnsi="Amiri" w:eastAsia="Amiri" w:cs="Amiri"/>
          <w:color w:val="111111"/>
          <w:sz w:val="28"/>
          <w:sz w:val="28"/>
          <w:szCs w:val="28"/>
          <w:rtl w:val="true"/>
          <w:lang w:bidi="ar-SA"/>
        </w:rPr>
        <w:t> کون المکلّف</w:t>
      </w:r>
      <w:r>
        <w:rPr>
          <w:rStyle w:val="FootnoteAnchor"/>
          <w:rtl w:val="true"/>
        </w:rPr>
        <w:footnoteReference w:id="1428"/>
      </w:r>
      <w:r>
        <w:rPr>
          <w:rFonts w:ascii="IRNazanin" w:hAnsi="IRNazanin" w:eastAsia="IRNazanin"/>
          <w:color w:val="111111"/>
          <w:sz w:val="28"/>
          <w:sz w:val="28"/>
          <w:szCs w:val="28"/>
          <w:rtl w:val="true"/>
          <w:lang w:bidi="fa-IR"/>
        </w:rPr>
        <w:t> فی المکان</w:t>
      </w:r>
      <w:r>
        <w:rPr>
          <w:rStyle w:val="FootnoteAnchor"/>
          <w:rtl w:val="true"/>
        </w:rPr>
        <w:footnoteReference w:id="1429"/>
      </w:r>
      <w:r>
        <w:rPr>
          <w:rFonts w:ascii="IRNazanin" w:hAnsi="IRNazanin" w:eastAsia="IRNazanin"/>
          <w:color w:val="111111"/>
          <w:sz w:val="28"/>
          <w:sz w:val="28"/>
          <w:szCs w:val="28"/>
          <w:rtl w:val="true"/>
          <w:lang w:bidi="fa-IR"/>
        </w:rPr>
        <w:t> الّذی نهاره ستّة أشهر ولیله ستّة أشهر، أو نهاره ثلاثة ولیله ستّة</w:t>
      </w:r>
      <w:r>
        <w:rPr>
          <w:rStyle w:val="FootnoteAnchor"/>
          <w:rtl w:val="true"/>
        </w:rPr>
        <w:footnoteReference w:id="1430"/>
      </w:r>
      <w:r>
        <w:rPr>
          <w:rFonts w:ascii="IRNazanin" w:hAnsi="IRNazanin" w:eastAsia="IRNazanin"/>
          <w:color w:val="111111"/>
          <w:sz w:val="28"/>
          <w:sz w:val="28"/>
          <w:szCs w:val="28"/>
          <w:rtl w:val="true"/>
          <w:lang w:bidi="fa-IR"/>
        </w:rPr>
        <w:t xml:space="preserve"> أو نحو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431"/>
      </w:r>
      <w:r>
        <w:rPr>
          <w:rFonts w:ascii="IRNazanin" w:hAnsi="IRNazanin" w:eastAsia="IRNazanin"/>
          <w:color w:val="111111"/>
          <w:sz w:val="28"/>
          <w:sz w:val="28"/>
          <w:szCs w:val="28"/>
          <w:rtl w:val="true"/>
          <w:lang w:bidi="fa-IR"/>
        </w:rPr>
        <w:t> فلا یبعد</w:t>
      </w:r>
      <w:r>
        <w:rPr>
          <w:rStyle w:val="FootnoteAnchor"/>
          <w:rtl w:val="true"/>
        </w:rPr>
        <w:footnoteReference w:id="1432"/>
      </w:r>
      <w:r>
        <w:rPr>
          <w:rFonts w:ascii="IRNazanin" w:hAnsi="IRNazanin" w:eastAsia="IRNazanin"/>
          <w:color w:val="111111"/>
          <w:sz w:val="28"/>
          <w:sz w:val="28"/>
          <w:szCs w:val="28"/>
          <w:rtl w:val="true"/>
          <w:lang w:bidi="fa-IR"/>
        </w:rPr>
        <w:t> کون المدار فی صومه وصلاته علی البلدان المتعارفة</w:t>
      </w:r>
      <w:r>
        <w:rPr>
          <w:rStyle w:val="FootnoteAnchor"/>
          <w:rtl w:val="true"/>
        </w:rPr>
        <w:footnoteReference w:id="1433"/>
      </w:r>
      <w:r>
        <w:rPr>
          <w:rFonts w:ascii="Amiri" w:hAnsi="Amiri" w:eastAsia="Amiri" w:cs="Amiri"/>
          <w:color w:val="111111"/>
          <w:sz w:val="28"/>
          <w:sz w:val="28"/>
          <w:szCs w:val="28"/>
          <w:rtl w:val="true"/>
          <w:lang w:bidi="ar-SA"/>
        </w:rPr>
        <w:t> المتوسّطة</w:t>
      </w:r>
      <w:r>
        <w:rPr>
          <w:rStyle w:val="FootnoteAnchor"/>
          <w:rtl w:val="true"/>
        </w:rPr>
        <w:footnoteReference w:id="1434"/>
      </w:r>
      <w:r>
        <w:rPr>
          <w:rFonts w:ascii="Amiri" w:hAnsi="Amiri" w:eastAsia="Amiri" w:cs="Amiri"/>
          <w:color w:val="111111"/>
          <w:sz w:val="28"/>
          <w:sz w:val="28"/>
          <w:szCs w:val="28"/>
          <w:rtl w:val="true"/>
          <w:lang w:bidi="ar-SA"/>
        </w:rPr>
        <w:t>، مخیّراً</w:t>
      </w:r>
      <w:r>
        <w:rPr>
          <w:rStyle w:val="FootnoteAnchor"/>
          <w:rtl w:val="true"/>
        </w:rPr>
        <w:footnoteReference w:id="1435"/>
      </w:r>
      <w:r>
        <w:rPr>
          <w:rFonts w:ascii="IRNazanin" w:hAnsi="IRNazanin" w:eastAsia="IRNazanin"/>
          <w:color w:val="111111"/>
          <w:sz w:val="28"/>
          <w:sz w:val="28"/>
          <w:szCs w:val="28"/>
          <w:rtl w:val="true"/>
          <w:lang w:bidi="fa-IR"/>
        </w:rPr>
        <w:t xml:space="preserve"> بین أفراد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المتوسّط، وأمّا احتمال سقوط</w:t>
      </w:r>
      <w:r>
        <w:rPr>
          <w:rStyle w:val="FootnoteAnchor"/>
          <w:rtl w:val="true"/>
        </w:rPr>
        <w:footnoteReference w:id="1436"/>
      </w:r>
      <w:r>
        <w:rPr>
          <w:rFonts w:ascii="IRNazanin" w:hAnsi="IRNazanin" w:eastAsia="IRNazanin"/>
          <w:color w:val="111111"/>
          <w:sz w:val="28"/>
          <w:sz w:val="28"/>
          <w:szCs w:val="28"/>
          <w:rtl w:val="true"/>
          <w:lang w:bidi="fa-IR"/>
        </w:rPr>
        <w:t> تکلیفهما عنه فبعید، کاحتمال</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سقوط</w:t>
      </w:r>
      <w:r>
        <w:rPr>
          <w:rStyle w:val="FootnoteAnchor"/>
          <w:rtl w:val="true"/>
        </w:rPr>
        <w:footnoteReference w:id="1438"/>
      </w:r>
      <w:r>
        <w:rPr>
          <w:rFonts w:ascii="IRNazanin" w:hAnsi="IRNazanin" w:eastAsia="IRNazanin"/>
          <w:color w:val="111111"/>
          <w:sz w:val="28"/>
          <w:sz w:val="28"/>
          <w:szCs w:val="28"/>
          <w:rtl w:val="true"/>
          <w:lang w:bidi="fa-IR"/>
        </w:rPr>
        <w:t> الصوم</w:t>
      </w:r>
      <w:r>
        <w:rPr>
          <w:rStyle w:val="FootnoteAnchor"/>
          <w:rtl w:val="true"/>
        </w:rPr>
        <w:footnoteReference w:id="1439"/>
      </w:r>
      <w:r>
        <w:rPr>
          <w:rFonts w:ascii="IRNazanin" w:hAnsi="IRNazanin" w:eastAsia="IRNazanin"/>
          <w:color w:val="111111"/>
          <w:sz w:val="28"/>
          <w:sz w:val="28"/>
          <w:szCs w:val="28"/>
          <w:rtl w:val="true"/>
          <w:lang w:bidi="fa-IR"/>
        </w:rPr>
        <w:t> وکون الواجب صلاة یوم واحد ولیلة واحدة، ویحتمل</w:t>
      </w:r>
      <w:r>
        <w:rPr>
          <w:rStyle w:val="FootnoteAnchor"/>
          <w:rtl w:val="true"/>
        </w:rPr>
        <w:footnoteReference w:id="1440"/>
      </w:r>
      <w:r>
        <w:rPr>
          <w:rFonts w:ascii="IRNazanin" w:hAnsi="IRNazanin" w:eastAsia="IRNazanin"/>
          <w:color w:val="111111"/>
          <w:sz w:val="28"/>
          <w:sz w:val="28"/>
          <w:szCs w:val="28"/>
          <w:rtl w:val="true"/>
          <w:lang w:bidi="fa-IR"/>
        </w:rPr>
        <w:t> کون المدار</w:t>
      </w:r>
      <w:r>
        <w:rPr>
          <w:rStyle w:val="FootnoteAnchor"/>
          <w:rtl w:val="true"/>
        </w:rPr>
        <w:footnoteReference w:id="1441"/>
      </w:r>
      <w:r>
        <w:rPr>
          <w:rFonts w:ascii="Amiri" w:hAnsi="Amiri" w:eastAsia="Amiri" w:cs="Amiri"/>
          <w:color w:val="111111"/>
          <w:sz w:val="28"/>
          <w:sz w:val="28"/>
          <w:szCs w:val="28"/>
          <w:rtl w:val="true"/>
          <w:lang w:bidi="ar-SA"/>
        </w:rPr>
        <w:t> بلده الّذی</w:t>
      </w:r>
      <w:r>
        <w:rPr>
          <w:rStyle w:val="FootnoteAnchor"/>
          <w:rtl w:val="true"/>
        </w:rPr>
        <w:footnoteReference w:id="1442"/>
      </w:r>
      <w:r>
        <w:rPr>
          <w:rFonts w:ascii="IRNazanin" w:hAnsi="IRNazanin" w:eastAsia="IRNazanin"/>
          <w:color w:val="111111"/>
          <w:sz w:val="28"/>
          <w:sz w:val="28"/>
          <w:szCs w:val="28"/>
          <w:rtl w:val="true"/>
          <w:lang w:bidi="fa-IR"/>
        </w:rPr>
        <w:t> کان متوطّناً فیه سابقاً إن کان له بلد سابق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663" w:name="pg13281_119951"/>
    </w:p>
    <w:p>
      <w:pPr>
        <w:pStyle w:val="BookText"/>
        <w:rPr/>
      </w:pPr>
      <w:bookmarkEnd w:id="663"/>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القضاء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64" w:name="__RefHeading___Toc1955316_2322387425"/>
      <w:bookmarkStart w:id="665" w:name="_Toc251"/>
      <w:bookmarkEnd w:id="664"/>
      <w:r>
        <w:rPr>
          <w:rtl w:val="true"/>
        </w:rPr>
        <w:t>فصل</w:t>
      </w:r>
      <w:r>
        <w:rPr>
          <w:rtl w:val="true"/>
        </w:rPr>
        <w:t xml:space="preserve">: </w:t>
      </w:r>
      <w:r>
        <w:rPr>
          <w:rtl w:val="true"/>
        </w:rPr>
        <w:t>فی أحکام القضاء</w:t>
      </w:r>
      <w:bookmarkEnd w:id="665"/>
    </w:p>
    <w:p>
      <w:pPr>
        <w:pStyle w:val="Heading3"/>
        <w:numPr>
          <w:ilvl w:val="2"/>
          <w:numId w:val="1"/>
        </w:numPr>
        <w:rPr/>
      </w:pPr>
      <w:bookmarkStart w:id="666" w:name="__RefHeading___Toc1955318_2322387425"/>
      <w:bookmarkStart w:id="667" w:name="_Toc252"/>
      <w:bookmarkEnd w:id="666"/>
      <w:r>
        <w:rPr>
          <w:rtl w:val="true"/>
        </w:rPr>
        <w:t>شرائط وجوب قضاء الصوم</w:t>
      </w:r>
      <w:bookmarkEnd w:id="667"/>
    </w:p>
    <w:p>
      <w:pPr>
        <w:pStyle w:val="BookText"/>
        <w:rPr/>
      </w:pPr>
      <w:r>
        <w:rPr>
          <w:rFonts w:ascii="IRNazanin" w:hAnsi="IRNazanin" w:eastAsia="IRNazanin"/>
          <w:color w:val="111111"/>
          <w:sz w:val="28"/>
          <w:sz w:val="28"/>
          <w:szCs w:val="28"/>
          <w:rtl w:val="true"/>
          <w:lang w:bidi="fa-IR"/>
        </w:rPr>
        <w:t>یجب قضاء الصوم ممّن فاته بشروط،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والإسلام، فلا یجب علی البالغ ما فاته أیّام صباه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قضاء الیوم الّذی</w:t>
      </w:r>
    </w:p>
    <w:p>
      <w:pPr>
        <w:pStyle w:val="BookText"/>
        <w:rPr/>
      </w:pPr>
      <w:r>
        <w:rPr>
          <w:rFonts w:ascii="IRNazanin" w:hAnsi="IRNazanin" w:eastAsia="IRNazanin"/>
          <w:color w:val="111111"/>
          <w:sz w:val="28"/>
          <w:sz w:val="28"/>
          <w:szCs w:val="28"/>
          <w:rtl w:val="true"/>
          <w:lang w:bidi="fa-IR"/>
        </w:rPr>
        <w:t>بلغ فیه قبل طلوع فجره، أو بلغ مقارناً لطلوعه إذا فاته صومه،</w:t>
      </w:r>
    </w:p>
    <w:p>
      <w:pPr>
        <w:pStyle w:val="Heading3"/>
        <w:numPr>
          <w:ilvl w:val="2"/>
          <w:numId w:val="1"/>
        </w:numPr>
        <w:rPr/>
      </w:pPr>
      <w:bookmarkStart w:id="668" w:name="__RefHeading___Toc1955320_2322387425"/>
      <w:bookmarkStart w:id="669" w:name="_Toc253"/>
      <w:bookmarkEnd w:id="668"/>
      <w:r>
        <w:rPr>
          <w:rtl w:val="true"/>
        </w:rPr>
        <w:t>بلوغ الصبی فی أثناء النهار أو الشک فی کونه قبل الفجر أو بعده</w:t>
      </w:r>
      <w:bookmarkEnd w:id="6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بلغ بعد الطلوع</w:t>
      </w:r>
      <w:r>
        <w:rPr>
          <w:rStyle w:val="FootnoteAnchor"/>
          <w:rtl w:val="true"/>
        </w:rPr>
        <w:footnoteReference w:id="1443"/>
      </w:r>
      <w:r>
        <w:rPr>
          <w:rFonts w:ascii="IRNazanin" w:hAnsi="IRNazanin" w:eastAsia="IRNazanin"/>
          <w:color w:val="111111"/>
          <w:sz w:val="28"/>
          <w:sz w:val="28"/>
          <w:szCs w:val="28"/>
          <w:rtl w:val="true"/>
          <w:lang w:bidi="fa-IR"/>
        </w:rPr>
        <w:t> فی أثناء النهار فلا یجب</w:t>
      </w:r>
      <w:r>
        <w:rPr>
          <w:rStyle w:val="FootnoteAnchor"/>
          <w:rtl w:val="true"/>
        </w:rPr>
        <w:footnoteReference w:id="1444"/>
      </w:r>
      <w:r>
        <w:rPr>
          <w:rFonts w:ascii="IRNazanin" w:hAnsi="IRNazanin" w:eastAsia="IRNazanin"/>
          <w:color w:val="111111"/>
          <w:sz w:val="28"/>
          <w:sz w:val="28"/>
          <w:szCs w:val="28"/>
          <w:rtl w:val="true"/>
          <w:lang w:bidi="fa-IR"/>
        </w:rPr>
        <w:t> قضاوه</w:t>
      </w:r>
      <w:r>
        <w:rPr>
          <w:rStyle w:val="FootnoteAnchor"/>
          <w:rtl w:val="true"/>
        </w:rPr>
        <w:footnoteReference w:id="1445"/>
      </w:r>
      <w:r>
        <w:rPr>
          <w:rFonts w:ascii="IRNazanin" w:hAnsi="IRNazanin" w:eastAsia="IRNazanin"/>
          <w:color w:val="111111"/>
          <w:sz w:val="28"/>
          <w:sz w:val="28"/>
          <w:szCs w:val="28"/>
          <w:rtl w:val="true"/>
          <w:lang w:bidi="fa-IR"/>
        </w:rPr>
        <w:t xml:space="preserve"> وإن کان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أحوط</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شکّ فی کون البلوغ قبل الفجر أو بعده فمع الجهل   </w:t>
      </w:r>
      <w:bookmarkStart w:id="670" w:name="pg13281_119953"/>
    </w:p>
    <w:p>
      <w:pPr>
        <w:pStyle w:val="BookText"/>
        <w:rPr/>
      </w:pPr>
      <w:bookmarkEnd w:id="670"/>
      <w:r>
        <w:rPr>
          <w:rFonts w:ascii="IRNazanin" w:hAnsi="IRNazanin" w:eastAsia="IRNazanin"/>
          <w:color w:val="111111"/>
          <w:sz w:val="28"/>
          <w:sz w:val="28"/>
          <w:szCs w:val="28"/>
          <w:rtl w:val="true"/>
          <w:lang w:bidi="fa-IR"/>
        </w:rPr>
        <w:t>بتاریخهما لم یجب القضاء، وکذا مع الجهل بتاریخ البلوغ، وأمّا مع الجهل بتاریخ الطلوع بأن علم أنّه بلغ قبل ساعة مثلاً ولم یعلم أنّه کان قد طلع الفجر أو لا فالأحوط</w:t>
      </w:r>
      <w:r>
        <w:rPr>
          <w:rStyle w:val="FootnoteAnchor"/>
          <w:rtl w:val="true"/>
        </w:rPr>
        <w:footnoteReference w:id="1447"/>
      </w:r>
      <w:r>
        <w:rPr>
          <w:rFonts w:ascii="IRNazanin" w:hAnsi="IRNazanin" w:eastAsia="IRNazanin"/>
          <w:color w:val="111111"/>
          <w:sz w:val="28"/>
          <w:sz w:val="28"/>
          <w:szCs w:val="28"/>
          <w:rtl w:val="true"/>
          <w:lang w:bidi="fa-IR"/>
        </w:rPr>
        <w:t> القضاء</w:t>
      </w:r>
      <w:r>
        <w:rPr>
          <w:rStyle w:val="FootnoteAnchor"/>
          <w:rtl w:val="true"/>
        </w:rPr>
        <w:footnoteReference w:id="1448"/>
      </w:r>
      <w:r>
        <w:rPr>
          <w:rFonts w:ascii="IRNazanin" w:hAnsi="IRNazanin" w:eastAsia="IRNazanin"/>
          <w:color w:val="111111"/>
          <w:sz w:val="28"/>
          <w:sz w:val="28"/>
          <w:szCs w:val="28"/>
          <w:rtl w:val="true"/>
          <w:lang w:bidi="fa-IR"/>
        </w:rPr>
        <w:t>، ولکن فی وجوبه إشکال</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955322_2322387425"/>
      <w:bookmarkStart w:id="672" w:name="_Toc254"/>
      <w:bookmarkEnd w:id="671"/>
      <w:r>
        <w:rPr>
          <w:rtl w:val="true"/>
        </w:rPr>
        <w:t>عدم قضاء صوم ما فات حال الجنون</w:t>
      </w:r>
      <w:bookmarkEnd w:id="672"/>
    </w:p>
    <w:p>
      <w:pPr>
        <w:pStyle w:val="BookText"/>
        <w:rPr/>
      </w:pPr>
      <w:r>
        <w:rPr>
          <w:rFonts w:ascii="IRNazanin" w:hAnsi="IRNazanin" w:eastAsia="IRNazanin"/>
          <w:color w:val="111111"/>
          <w:sz w:val="28"/>
          <w:sz w:val="28"/>
          <w:szCs w:val="28"/>
          <w:rtl w:val="true"/>
          <w:lang w:bidi="fa-IR"/>
        </w:rPr>
        <w:t>وکذا لا یجب علی المجنون ما فات منه أیّام جنونه، من غیر فرقٍ بین ما کان من الله أو من فعله</w:t>
      </w:r>
      <w:r>
        <w:rPr>
          <w:rStyle w:val="FootnoteAnchor"/>
          <w:rtl w:val="true"/>
        </w:rPr>
        <w:footnoteReference w:id="1450"/>
      </w:r>
      <w:r>
        <w:rPr>
          <w:rFonts w:ascii="IRNazanin" w:hAnsi="IRNazanin" w:eastAsia="IRNazanin"/>
          <w:color w:val="111111"/>
          <w:sz w:val="28"/>
          <w:sz w:val="28"/>
          <w:szCs w:val="28"/>
          <w:rtl w:val="true"/>
          <w:lang w:bidi="fa-IR"/>
        </w:rPr>
        <w:t> علی وجه الحرمة، أو علی وجه الجواز</w:t>
      </w:r>
      <w:r>
        <w:rPr>
          <w:rFonts w:eastAsia="IRNazanin" w:cs="IRNazanin"/>
          <w:color w:val="111111"/>
          <w:sz w:val="28"/>
          <w:szCs w:val="28"/>
          <w:rtl w:val="true"/>
          <w:lang w:bidi="fa-IR"/>
        </w:rPr>
        <w:t>.</w:t>
      </w:r>
    </w:p>
    <w:p>
      <w:pPr>
        <w:pStyle w:val="Heading3"/>
        <w:numPr>
          <w:ilvl w:val="2"/>
          <w:numId w:val="1"/>
        </w:numPr>
        <w:rPr/>
      </w:pPr>
      <w:bookmarkStart w:id="673" w:name="__RefHeading___Toc1955324_2322387425"/>
      <w:bookmarkStart w:id="674" w:name="_Toc255"/>
      <w:bookmarkEnd w:id="673"/>
      <w:r>
        <w:rPr>
          <w:rtl w:val="true"/>
        </w:rPr>
        <w:t>حکم قضاء ما فات عن المغمی علیه</w:t>
      </w:r>
      <w:bookmarkEnd w:id="6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یجب </w:t>
      </w:r>
      <w:bookmarkStart w:id="675" w:name="pg13281_119954"/>
    </w:p>
    <w:p>
      <w:pPr>
        <w:pStyle w:val="BookText"/>
        <w:rPr/>
      </w:pPr>
      <w:bookmarkEnd w:id="675"/>
      <w:r>
        <w:rPr>
          <w:rFonts w:ascii="IRNazanin" w:hAnsi="IRNazanin" w:eastAsia="IRNazanin"/>
          <w:color w:val="111111"/>
          <w:sz w:val="28"/>
          <w:sz w:val="28"/>
          <w:szCs w:val="28"/>
          <w:rtl w:val="true"/>
          <w:lang w:bidi="fa-IR"/>
        </w:rPr>
        <w:t>علی المغمی علیه</w:t>
      </w:r>
      <w:r>
        <w:rPr>
          <w:rStyle w:val="FootnoteAnchor"/>
          <w:rtl w:val="true"/>
        </w:rPr>
        <w:footnoteReference w:id="1451"/>
      </w:r>
      <w:r>
        <w:rPr>
          <w:rFonts w:ascii="IRNazanin" w:hAnsi="IRNazanin" w:eastAsia="IRNazanin"/>
          <w:color w:val="111111"/>
          <w:sz w:val="28"/>
          <w:sz w:val="28"/>
          <w:szCs w:val="28"/>
          <w:rtl w:val="true"/>
          <w:lang w:bidi="fa-IR"/>
        </w:rPr>
        <w:t>، سواء نوی الصوم قبل الإغماء أم لا</w:t>
      </w:r>
      <w:r>
        <w:rPr>
          <w:rFonts w:eastAsia="IRNazanin" w:cs="IRNazanin"/>
          <w:color w:val="111111"/>
          <w:sz w:val="28"/>
          <w:szCs w:val="28"/>
          <w:rtl w:val="true"/>
          <w:lang w:bidi="fa-IR"/>
        </w:rPr>
        <w:t>.</w:t>
      </w:r>
    </w:p>
    <w:p>
      <w:pPr>
        <w:pStyle w:val="Heading3"/>
        <w:numPr>
          <w:ilvl w:val="2"/>
          <w:numId w:val="1"/>
        </w:numPr>
        <w:rPr/>
      </w:pPr>
      <w:bookmarkStart w:id="676" w:name="__RefHeading___Toc1955326_2322387425"/>
      <w:bookmarkStart w:id="677" w:name="_Toc256"/>
      <w:bookmarkEnd w:id="676"/>
      <w:r>
        <w:rPr>
          <w:rtl w:val="true"/>
        </w:rPr>
        <w:t>لا قضاء علی من أسلم عن کفر وکذا لو أسلم أثناء النهار</w:t>
      </w:r>
      <w:bookmarkEnd w:id="67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یجب علی مَن أسلم</w:t>
      </w:r>
      <w:r>
        <w:rPr>
          <w:rStyle w:val="FootnoteAnchor"/>
          <w:rtl w:val="true"/>
        </w:rPr>
        <w:footnoteReference w:id="1452"/>
      </w:r>
      <w:r>
        <w:rPr>
          <w:rFonts w:ascii="IRNazanin" w:hAnsi="IRNazanin" w:eastAsia="IRNazanin"/>
          <w:color w:val="111111"/>
          <w:sz w:val="28"/>
          <w:sz w:val="28"/>
          <w:szCs w:val="28"/>
          <w:rtl w:val="true"/>
          <w:lang w:bidi="fa-IR"/>
        </w:rPr>
        <w:t> عن کفر إلّا إذا أسلم قبل الفجر ولم یَصمْ ذلک الیوم فإنّه یجب علیه قضاوه، ولو أسلم فی أثناء النهار لم یجب علیه صومه</w:t>
      </w:r>
      <w:r>
        <w:rPr>
          <w:rStyle w:val="FootnoteAnchor"/>
          <w:rtl w:val="true"/>
        </w:rPr>
        <w:footnoteReference w:id="1453"/>
      </w:r>
      <w:r>
        <w:rPr>
          <w:rFonts w:ascii="Amiri" w:hAnsi="Amiri" w:eastAsia="Amiri" w:cs="Amiri"/>
          <w:color w:val="111111"/>
          <w:sz w:val="28"/>
          <w:sz w:val="28"/>
          <w:szCs w:val="28"/>
          <w:rtl w:val="true"/>
          <w:lang w:bidi="ar-SA"/>
        </w:rPr>
        <w:t> وإن لم یأتِ بالمفطِر</w:t>
      </w:r>
      <w:r>
        <w:rPr>
          <w:rStyle w:val="FootnoteAnchor"/>
          <w:rtl w:val="true"/>
        </w:rPr>
        <w:footnoteReference w:id="1454"/>
      </w:r>
      <w:r>
        <w:rPr>
          <w:rFonts w:ascii="IRNazanin" w:hAnsi="IRNazanin" w:eastAsia="IRNazanin"/>
          <w:color w:val="111111"/>
          <w:sz w:val="28"/>
          <w:sz w:val="28"/>
          <w:szCs w:val="28"/>
          <w:rtl w:val="true"/>
          <w:lang w:bidi="fa-IR"/>
        </w:rPr>
        <w:t xml:space="preserve">، ولا علیه قضاوه، من غیر فرقٍ بین ما لو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قبل الزوال</w:t>
      </w:r>
      <w:r>
        <w:rPr>
          <w:rStyle w:val="FootnoteAnchor"/>
          <w:rtl w:val="true"/>
        </w:rPr>
        <w:footnoteReference w:id="1455"/>
      </w:r>
      <w:r>
        <w:rPr>
          <w:rFonts w:ascii="IRNazanin" w:hAnsi="IRNazanin" w:eastAsia="IRNazanin"/>
          <w:color w:val="111111"/>
          <w:sz w:val="28"/>
          <w:sz w:val="28"/>
          <w:szCs w:val="28"/>
          <w:rtl w:val="true"/>
          <w:lang w:bidi="fa-IR"/>
        </w:rPr>
        <w:t> أو بعده، وإن کان الأحوط</w:t>
      </w:r>
      <w:r>
        <w:rPr>
          <w:rStyle w:val="FootnoteAnchor"/>
          <w:rtl w:val="true"/>
        </w:rPr>
        <w:footnoteReference w:id="1456"/>
      </w:r>
      <w:r>
        <w:rPr>
          <w:rFonts w:ascii="IRNazanin" w:hAnsi="IRNazanin" w:eastAsia="IRNazanin"/>
          <w:color w:val="111111"/>
          <w:sz w:val="28"/>
          <w:sz w:val="28"/>
          <w:szCs w:val="28"/>
          <w:rtl w:val="true"/>
          <w:lang w:bidi="fa-IR"/>
        </w:rPr>
        <w:t> القضاء</w:t>
      </w:r>
      <w:r>
        <w:rPr>
          <w:rStyle w:val="FootnoteAnchor"/>
          <w:rtl w:val="true"/>
        </w:rPr>
        <w:footnoteReference w:id="1457"/>
      </w:r>
      <w:r>
        <w:rPr>
          <w:rFonts w:ascii="IRNazanin" w:hAnsi="IRNazanin" w:eastAsia="IRNazanin"/>
          <w:color w:val="111111"/>
          <w:sz w:val="28"/>
          <w:sz w:val="28"/>
          <w:szCs w:val="28"/>
          <w:rtl w:val="true"/>
          <w:lang w:bidi="fa-IR"/>
        </w:rPr>
        <w:t> إذا</w:t>
      </w:r>
      <w:r>
        <w:rPr>
          <w:rStyle w:val="FootnoteAnchor"/>
          <w:rtl w:val="true"/>
        </w:rPr>
        <w:footnoteReference w:id="1458"/>
      </w:r>
      <w:bookmarkStart w:id="678" w:name="pg13281_119956"/>
    </w:p>
    <w:p>
      <w:pPr>
        <w:pStyle w:val="BookText"/>
        <w:rPr/>
      </w:pPr>
      <w:bookmarkEnd w:id="678"/>
      <w:r>
        <w:rPr>
          <w:rFonts w:ascii="IRNazanin" w:hAnsi="IRNazanin" w:eastAsia="IRNazanin"/>
          <w:color w:val="111111"/>
          <w:sz w:val="28"/>
          <w:sz w:val="28"/>
          <w:szCs w:val="28"/>
          <w:rtl w:val="true"/>
          <w:lang w:bidi="fa-IR"/>
        </w:rPr>
        <w:t>کان قبل الزوال</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955328_2322387425"/>
      <w:bookmarkStart w:id="680" w:name="_Toc257"/>
      <w:bookmarkEnd w:id="679"/>
      <w:r>
        <w:rPr>
          <w:rtl w:val="true"/>
        </w:rPr>
        <w:t>وجوب القضاء علی المرتدّ ما فاته أیّام ردّته</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المرتدّ قضاء ما فاته أیّام ردّته، سواء کان عن ملّة أم فطرة</w:t>
      </w:r>
      <w:r>
        <w:rPr>
          <w:rFonts w:eastAsia="IRNazanin" w:cs="IRNazanin"/>
          <w:color w:val="111111"/>
          <w:sz w:val="28"/>
          <w:szCs w:val="28"/>
          <w:rtl w:val="true"/>
          <w:lang w:bidi="fa-IR"/>
        </w:rPr>
        <w:t>.</w:t>
      </w:r>
    </w:p>
    <w:p>
      <w:pPr>
        <w:pStyle w:val="Heading3"/>
        <w:numPr>
          <w:ilvl w:val="2"/>
          <w:numId w:val="1"/>
        </w:numPr>
        <w:rPr/>
      </w:pPr>
      <w:bookmarkStart w:id="681" w:name="__RefHeading___Toc1955330_2322387425"/>
      <w:bookmarkStart w:id="682" w:name="_Toc258"/>
      <w:bookmarkEnd w:id="681"/>
      <w:r>
        <w:rPr>
          <w:rtl w:val="true"/>
        </w:rPr>
        <w:t>وجوب القضاء علی من فاته الصوم لسکر</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w:t>
      </w:r>
      <w:r>
        <w:rPr>
          <w:rStyle w:val="FootnoteAnchor"/>
          <w:rtl w:val="true"/>
        </w:rPr>
        <w:footnoteReference w:id="1460"/>
      </w:r>
      <w:r>
        <w:rPr>
          <w:rFonts w:ascii="IRNazanin" w:hAnsi="IRNazanin" w:eastAsia="IRNazanin"/>
          <w:color w:val="111111"/>
          <w:sz w:val="28"/>
          <w:sz w:val="28"/>
          <w:szCs w:val="28"/>
          <w:rtl w:val="true"/>
          <w:lang w:bidi="fa-IR"/>
        </w:rPr>
        <w:t> القضاء علی مَن فاته لسکر</w:t>
      </w:r>
      <w:r>
        <w:rPr>
          <w:rStyle w:val="FootnoteAnchor"/>
          <w:rtl w:val="true"/>
        </w:rPr>
        <w:footnoteReference w:id="1461"/>
      </w:r>
      <w:r>
        <w:rPr>
          <w:rFonts w:ascii="IRNazanin" w:hAnsi="IRNazanin" w:eastAsia="IRNazanin"/>
          <w:color w:val="111111"/>
          <w:sz w:val="28"/>
          <w:sz w:val="28"/>
          <w:szCs w:val="28"/>
          <w:rtl w:val="true"/>
          <w:lang w:bidi="fa-IR"/>
        </w:rPr>
        <w:t>، من غیر فرقٍ بین ما کان للتداوی أو علی وجه الحرام</w:t>
      </w:r>
      <w:r>
        <w:rPr>
          <w:rFonts w:eastAsia="IRNazanin" w:cs="IRNazanin"/>
          <w:color w:val="111111"/>
          <w:sz w:val="28"/>
          <w:szCs w:val="28"/>
          <w:rtl w:val="true"/>
          <w:lang w:bidi="fa-IR"/>
        </w:rPr>
        <w:t>.</w:t>
      </w:r>
    </w:p>
    <w:p>
      <w:pPr>
        <w:pStyle w:val="Heading3"/>
        <w:numPr>
          <w:ilvl w:val="2"/>
          <w:numId w:val="1"/>
        </w:numPr>
        <w:rPr/>
      </w:pPr>
      <w:bookmarkStart w:id="683" w:name="__RefHeading___Toc1955332_2322387425"/>
      <w:bookmarkStart w:id="684" w:name="_Toc259"/>
      <w:bookmarkEnd w:id="683"/>
      <w:r>
        <w:rPr>
          <w:rtl w:val="true"/>
        </w:rPr>
        <w:t>وجوب القضاء علی الحائض والنفساء</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الحائض والنُفَساء قضاء ما فاتهما حال الحیض والنفاس، وأمّا المستحاضة فیجب علیها الأداء، وإذا فات منها فالقضاء</w:t>
      </w:r>
      <w:r>
        <w:rPr>
          <w:rFonts w:eastAsia="IRNazanin" w:cs="IRNazanin"/>
          <w:color w:val="111111"/>
          <w:sz w:val="28"/>
          <w:szCs w:val="28"/>
          <w:rtl w:val="true"/>
          <w:lang w:bidi="fa-IR"/>
        </w:rPr>
        <w:t>.</w:t>
      </w:r>
    </w:p>
    <w:p>
      <w:pPr>
        <w:pStyle w:val="Heading3"/>
        <w:numPr>
          <w:ilvl w:val="2"/>
          <w:numId w:val="1"/>
        </w:numPr>
        <w:rPr/>
      </w:pPr>
      <w:bookmarkStart w:id="685" w:name="__RefHeading___Toc1955334_2322387425"/>
      <w:bookmarkStart w:id="686" w:name="_Toc260"/>
      <w:bookmarkEnd w:id="685"/>
      <w:r>
        <w:rPr>
          <w:rtl w:val="true"/>
        </w:rPr>
        <w:t>حکم المخالف إذا استبصر</w:t>
      </w:r>
      <w:bookmarkEnd w:id="68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المخالف إذا استبصر یجب علیه قضاء ما فاته، وأمّا ما أتی به علی وفق مذهبه</w:t>
      </w:r>
      <w:r>
        <w:rPr>
          <w:rStyle w:val="FootnoteAnchor"/>
          <w:rtl w:val="true"/>
        </w:rPr>
        <w:footnoteReference w:id="1462"/>
      </w:r>
      <w:r>
        <w:rPr>
          <w:rFonts w:ascii="IRNazanin" w:hAnsi="IRNazanin" w:eastAsia="IRNazanin"/>
          <w:color w:val="111111"/>
          <w:sz w:val="28"/>
          <w:sz w:val="28"/>
          <w:szCs w:val="28"/>
          <w:rtl w:val="true"/>
          <w:lang w:bidi="fa-IR"/>
        </w:rPr>
        <w:t> فلا قضاء علیه</w:t>
      </w:r>
      <w:r>
        <w:rPr>
          <w:rFonts w:eastAsia="IRNazanin" w:cs="IRNazanin"/>
          <w:color w:val="111111"/>
          <w:sz w:val="28"/>
          <w:szCs w:val="28"/>
          <w:rtl w:val="true"/>
          <w:lang w:bidi="fa-IR"/>
        </w:rPr>
        <w:t xml:space="preserve">. </w:t>
      </w:r>
      <w:bookmarkStart w:id="687" w:name="pg13281_119957"/>
    </w:p>
    <w:p>
      <w:pPr>
        <w:pStyle w:val="Heading3"/>
        <w:numPr>
          <w:ilvl w:val="2"/>
          <w:numId w:val="1"/>
        </w:numPr>
        <w:rPr/>
      </w:pPr>
      <w:bookmarkStart w:id="688" w:name="__RefHeading___Toc1955336_2322387425"/>
      <w:bookmarkStart w:id="689" w:name="_Toc261"/>
      <w:bookmarkEnd w:id="687"/>
      <w:bookmarkEnd w:id="688"/>
      <w:r>
        <w:rPr>
          <w:rtl w:val="true"/>
        </w:rPr>
        <w:t>وجوب القضاء علی من فاته الصوم لنومٍ أو غفلة</w:t>
      </w:r>
      <w:bookmarkEnd w:id="68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القضاء علی مَن فاته الصوم للنوم بأن کان نائماً قبل الفجر إلی</w:t>
      </w:r>
      <w:r>
        <w:rPr>
          <w:rStyle w:val="FootnoteAnchor"/>
          <w:rtl w:val="true"/>
        </w:rPr>
        <w:footnoteReference w:id="1463"/>
      </w:r>
      <w:r>
        <w:rPr>
          <w:rFonts w:ascii="IRNazanin" w:hAnsi="IRNazanin" w:eastAsia="IRNazanin"/>
          <w:color w:val="111111"/>
          <w:sz w:val="28"/>
          <w:sz w:val="28"/>
          <w:szCs w:val="28"/>
          <w:rtl w:val="true"/>
          <w:lang w:bidi="fa-IR"/>
        </w:rPr>
        <w:t> الغروب</w:t>
      </w:r>
      <w:r>
        <w:rPr>
          <w:rStyle w:val="FootnoteAnchor"/>
          <w:rtl w:val="true"/>
        </w:rPr>
        <w:footnoteReference w:id="1464"/>
      </w:r>
      <w:r>
        <w:rPr>
          <w:rFonts w:ascii="IRNazanin" w:hAnsi="IRNazanin" w:eastAsia="IRNazanin"/>
          <w:color w:val="111111"/>
          <w:sz w:val="28"/>
          <w:sz w:val="28"/>
          <w:szCs w:val="28"/>
          <w:rtl w:val="true"/>
          <w:lang w:bidi="fa-IR"/>
        </w:rPr>
        <w:t> من غیر سبق نیّة، وکذا مَن فاته للغفلة کذلک</w:t>
      </w:r>
      <w:r>
        <w:rPr>
          <w:rFonts w:eastAsia="IRNazanin" w:cs="IRNazanin"/>
          <w:color w:val="111111"/>
          <w:sz w:val="28"/>
          <w:szCs w:val="28"/>
          <w:rtl w:val="true"/>
          <w:lang w:bidi="fa-IR"/>
        </w:rPr>
        <w:t xml:space="preserve">. </w:t>
      </w:r>
      <w:bookmarkStart w:id="690" w:name="pg13281_119958"/>
    </w:p>
    <w:p>
      <w:pPr>
        <w:pStyle w:val="Heading3"/>
        <w:numPr>
          <w:ilvl w:val="2"/>
          <w:numId w:val="1"/>
        </w:numPr>
        <w:rPr/>
      </w:pPr>
      <w:bookmarkStart w:id="691" w:name="__RefHeading___Toc1955338_2322387425"/>
      <w:bookmarkStart w:id="692" w:name="_Toc262"/>
      <w:bookmarkEnd w:id="690"/>
      <w:bookmarkEnd w:id="691"/>
      <w:r>
        <w:rPr>
          <w:rtl w:val="true"/>
        </w:rPr>
        <w:t>دوران الفائت بین الأقل والأکثر</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فاته</w:t>
      </w:r>
      <w:r>
        <w:rPr>
          <w:rStyle w:val="FootnoteAnchor"/>
          <w:rtl w:val="true"/>
        </w:rPr>
        <w:footnoteReference w:id="1465"/>
      </w:r>
      <w:r>
        <w:rPr>
          <w:rFonts w:ascii="IRNazanin" w:hAnsi="IRNazanin" w:eastAsia="IRNazanin"/>
          <w:color w:val="111111"/>
          <w:sz w:val="28"/>
          <w:sz w:val="28"/>
          <w:szCs w:val="28"/>
          <w:rtl w:val="true"/>
          <w:lang w:bidi="fa-IR"/>
        </w:rPr>
        <w:t> أیّام من شهر رمضان ودار بین الأقلّ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والأکثر</w:t>
      </w:r>
      <w:r>
        <w:rPr>
          <w:rStyle w:val="FootnoteAnchor"/>
          <w:rtl w:val="true"/>
        </w:rPr>
        <w:footnoteReference w:id="1466"/>
      </w:r>
      <w:r>
        <w:rPr>
          <w:rFonts w:ascii="IRNazanin" w:hAnsi="IRNazanin" w:eastAsia="IRNazanin"/>
          <w:color w:val="111111"/>
          <w:sz w:val="28"/>
          <w:sz w:val="28"/>
          <w:szCs w:val="28"/>
          <w:rtl w:val="true"/>
          <w:lang w:bidi="fa-IR"/>
        </w:rPr>
        <w:t> یجوز له الاکتفاء</w:t>
      </w:r>
      <w:r>
        <w:rPr>
          <w:rStyle w:val="FootnoteAnchor"/>
          <w:rtl w:val="true"/>
        </w:rPr>
        <w:footnoteReference w:id="1467"/>
      </w:r>
      <w:r>
        <w:rPr>
          <w:rFonts w:ascii="Amiri" w:hAnsi="Amiri" w:eastAsia="Amiri" w:cs="Amiri"/>
          <w:color w:val="111111"/>
          <w:sz w:val="28"/>
          <w:sz w:val="28"/>
          <w:szCs w:val="28"/>
          <w:rtl w:val="true"/>
          <w:lang w:bidi="ar-SA"/>
        </w:rPr>
        <w:t> بالأقلّ</w:t>
      </w:r>
      <w:r>
        <w:rPr>
          <w:rStyle w:val="FootnoteAnchor"/>
          <w:rtl w:val="true"/>
        </w:rPr>
        <w:footnoteReference w:id="1468"/>
      </w:r>
      <w:r>
        <w:rPr>
          <w:rFonts w:ascii="IRNazanin" w:hAnsi="IRNazanin" w:eastAsia="IRNazanin"/>
          <w:color w:val="111111"/>
          <w:sz w:val="28"/>
          <w:sz w:val="28"/>
          <w:szCs w:val="28"/>
          <w:rtl w:val="true"/>
          <w:lang w:bidi="fa-IR"/>
        </w:rPr>
        <w:t>، ولکنّ الأحوط</w:t>
      </w:r>
      <w:r>
        <w:rPr>
          <w:rStyle w:val="FootnoteAnchor"/>
          <w:rtl w:val="true"/>
        </w:rPr>
        <w:footnoteReference w:id="1469"/>
      </w:r>
      <w:r>
        <w:rPr>
          <w:rFonts w:ascii="IRNazanin" w:hAnsi="IRNazanin" w:eastAsia="IRNazanin"/>
          <w:color w:val="111111"/>
          <w:sz w:val="28"/>
          <w:sz w:val="28"/>
          <w:szCs w:val="28"/>
          <w:rtl w:val="true"/>
          <w:lang w:bidi="fa-IR"/>
        </w:rPr>
        <w:t> قضاء</w:t>
      </w:r>
      <w:r>
        <w:rPr>
          <w:rStyle w:val="FootnoteAnchor"/>
          <w:rtl w:val="true"/>
        </w:rPr>
        <w:footnoteReference w:id="1470"/>
      </w:r>
      <w:bookmarkStart w:id="693" w:name="pg13281_119959"/>
    </w:p>
    <w:p>
      <w:pPr>
        <w:pStyle w:val="BookText"/>
        <w:rPr/>
      </w:pPr>
      <w:bookmarkEnd w:id="693"/>
      <w:r>
        <w:rPr>
          <w:rFonts w:ascii="IRNazanin" w:hAnsi="IRNazanin" w:eastAsia="IRNazanin"/>
          <w:color w:val="111111"/>
          <w:sz w:val="28"/>
          <w:sz w:val="28"/>
          <w:szCs w:val="28"/>
          <w:rtl w:val="true"/>
          <w:lang w:bidi="fa-IR"/>
        </w:rPr>
        <w:t>الأکثر، خصوصاً</w:t>
      </w:r>
      <w:r>
        <w:rPr>
          <w:rStyle w:val="FootnoteAnchor"/>
          <w:rtl w:val="true"/>
        </w:rPr>
        <w:footnoteReference w:id="1471"/>
      </w:r>
      <w:r>
        <w:rPr>
          <w:rFonts w:ascii="IRNazanin" w:hAnsi="IRNazanin" w:eastAsia="IRNazanin"/>
          <w:color w:val="111111"/>
          <w:sz w:val="28"/>
          <w:sz w:val="28"/>
          <w:szCs w:val="28"/>
          <w:rtl w:val="true"/>
          <w:lang w:bidi="fa-IR"/>
        </w:rPr>
        <w:t> إذا کان الفوت لمانع</w:t>
      </w:r>
      <w:r>
        <w:rPr>
          <w:rStyle w:val="FootnoteAnchor"/>
          <w:rtl w:val="true"/>
        </w:rPr>
        <w:footnoteReference w:id="1472"/>
      </w:r>
      <w:r>
        <w:rPr>
          <w:rFonts w:ascii="IRNazanin" w:hAnsi="IRNazanin" w:eastAsia="IRNazanin"/>
          <w:color w:val="111111"/>
          <w:sz w:val="28"/>
          <w:sz w:val="28"/>
          <w:szCs w:val="28"/>
          <w:rtl w:val="true"/>
          <w:lang w:bidi="fa-IR"/>
        </w:rPr>
        <w:t> من مرض أو</w:t>
      </w:r>
      <w:r>
        <w:rPr>
          <w:rStyle w:val="FootnoteAnchor"/>
          <w:rtl w:val="true"/>
        </w:rPr>
        <w:footnoteReference w:id="1473"/>
      </w:r>
      <w:r>
        <w:rPr>
          <w:rFonts w:ascii="IRNazanin" w:hAnsi="IRNazanin" w:eastAsia="IRNazanin"/>
          <w:color w:val="111111"/>
          <w:sz w:val="28"/>
          <w:sz w:val="28"/>
          <w:szCs w:val="28"/>
          <w:rtl w:val="true"/>
          <w:lang w:bidi="fa-IR"/>
        </w:rPr>
        <w:t> سفر أو نحو ذلک، وکان شکّه</w:t>
      </w:r>
      <w:r>
        <w:rPr>
          <w:rStyle w:val="FootnoteAnchor"/>
          <w:rtl w:val="true"/>
        </w:rPr>
        <w:footnoteReference w:id="1474"/>
      </w:r>
      <w:r>
        <w:rPr>
          <w:rFonts w:ascii="IRNazanin" w:hAnsi="IRNazanin" w:eastAsia="IRNazanin"/>
          <w:color w:val="111111"/>
          <w:sz w:val="28"/>
          <w:sz w:val="28"/>
          <w:szCs w:val="28"/>
          <w:rtl w:val="true"/>
          <w:lang w:bidi="fa-IR"/>
        </w:rPr>
        <w:t> فی زمان زواله، کأن یشکّ فی أنّه حضر من سفره بعد أربعة أیّام أو بعد خمسة أیّام مثلاً من شهر رمضان</w:t>
      </w:r>
      <w:r>
        <w:rPr>
          <w:rFonts w:eastAsia="IRNazanin" w:cs="IRNazanin"/>
          <w:color w:val="111111"/>
          <w:sz w:val="28"/>
          <w:szCs w:val="28"/>
          <w:rtl w:val="true"/>
          <w:lang w:bidi="fa-IR"/>
        </w:rPr>
        <w:t>.</w:t>
      </w:r>
    </w:p>
    <w:p>
      <w:pPr>
        <w:pStyle w:val="Heading3"/>
        <w:numPr>
          <w:ilvl w:val="2"/>
          <w:numId w:val="1"/>
        </w:numPr>
        <w:rPr/>
      </w:pPr>
      <w:bookmarkStart w:id="694" w:name="__RefHeading___Toc1955340_2322387425"/>
      <w:bookmarkStart w:id="695" w:name="_Toc263"/>
      <w:bookmarkEnd w:id="694"/>
      <w:r>
        <w:rPr>
          <w:rtl w:val="true"/>
        </w:rPr>
        <w:t>عدم وجوب الفور والتتابع فی القضاء</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الفور فی قضاءٍ ولا التتابع، نعم، یستحبّ التتابع فیه وإن کان أکثر من ستّة، لا التفریق فیه مطلقاً، أو فی الزائد علی الستّة</w:t>
      </w:r>
      <w:r>
        <w:rPr>
          <w:rFonts w:eastAsia="IRNazanin" w:cs="IRNazanin"/>
          <w:color w:val="111111"/>
          <w:sz w:val="28"/>
          <w:szCs w:val="28"/>
          <w:rtl w:val="true"/>
          <w:lang w:bidi="fa-IR"/>
        </w:rPr>
        <w:t>.</w:t>
      </w:r>
    </w:p>
    <w:p>
      <w:pPr>
        <w:pStyle w:val="Heading3"/>
        <w:numPr>
          <w:ilvl w:val="2"/>
          <w:numId w:val="1"/>
        </w:numPr>
        <w:rPr/>
      </w:pPr>
      <w:bookmarkStart w:id="696" w:name="__RefHeading___Toc1955342_2322387425"/>
      <w:bookmarkStart w:id="697" w:name="_Toc264"/>
      <w:bookmarkEnd w:id="696"/>
      <w:r>
        <w:rPr>
          <w:rtl w:val="true"/>
        </w:rPr>
        <w:t>عدم وجوب تعیین الأیام فی صوم القضاء</w:t>
      </w:r>
      <w:bookmarkEnd w:id="69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تعیین</w:t>
      </w:r>
      <w:r>
        <w:rPr>
          <w:rStyle w:val="FootnoteAnchor"/>
          <w:rtl w:val="true"/>
        </w:rPr>
        <w:footnoteReference w:id="1475"/>
      </w:r>
      <w:r>
        <w:rPr>
          <w:rFonts w:ascii="Amiri" w:hAnsi="Amiri" w:eastAsia="Amiri" w:cs="Amiri"/>
          <w:color w:val="111111"/>
          <w:sz w:val="28"/>
          <w:sz w:val="28"/>
          <w:szCs w:val="28"/>
          <w:rtl w:val="true"/>
          <w:lang w:bidi="ar-SA"/>
        </w:rPr>
        <w:t> الأیّام</w:t>
      </w:r>
      <w:r>
        <w:rPr>
          <w:rStyle w:val="FootnoteAnchor"/>
          <w:rtl w:val="true"/>
        </w:rPr>
        <w:footnoteReference w:id="1476"/>
      </w:r>
      <w:r>
        <w:rPr>
          <w:rFonts w:ascii="IRNazanin" w:hAnsi="IRNazanin" w:eastAsia="IRNazanin"/>
          <w:color w:val="111111"/>
          <w:sz w:val="28"/>
          <w:sz w:val="28"/>
          <w:szCs w:val="28"/>
          <w:rtl w:val="true"/>
          <w:lang w:bidi="fa-IR"/>
        </w:rPr>
        <w:t xml:space="preserve">، فلو کان علیه أیّام فصام بعددها کفی، وإن لم یعیّن الأوّل والثانی، وهکذا، بل لا یجب الترتیب </w:t>
      </w:r>
      <w:bookmarkStart w:id="698" w:name="pg13281_119960"/>
    </w:p>
    <w:p>
      <w:pPr>
        <w:pStyle w:val="BookText"/>
        <w:rPr/>
      </w:pPr>
      <w:bookmarkEnd w:id="698"/>
      <w:r>
        <w:rPr>
          <w:rFonts w:ascii="IRNazanin" w:hAnsi="IRNazanin" w:eastAsia="IRNazanin"/>
          <w:color w:val="111111"/>
          <w:sz w:val="28"/>
          <w:sz w:val="28"/>
          <w:szCs w:val="28"/>
          <w:rtl w:val="true"/>
          <w:lang w:bidi="fa-IR"/>
        </w:rPr>
        <w:t>أیضاً، فلو نوی الوسط أو الأخیر تعیّن</w:t>
      </w:r>
      <w:r>
        <w:rPr>
          <w:rStyle w:val="FootnoteAnchor"/>
          <w:rtl w:val="true"/>
        </w:rPr>
        <w:footnoteReference w:id="1477"/>
      </w:r>
      <w:r>
        <w:rPr>
          <w:rFonts w:ascii="IRNazanin" w:hAnsi="IRNazanin" w:eastAsia="IRNazanin"/>
          <w:color w:val="111111"/>
          <w:sz w:val="28"/>
          <w:sz w:val="28"/>
          <w:szCs w:val="28"/>
          <w:rtl w:val="true"/>
          <w:lang w:bidi="fa-IR"/>
        </w:rPr>
        <w:t> ویترتّب علیه أثره</w:t>
      </w:r>
      <w:r>
        <w:rPr>
          <w:rFonts w:eastAsia="IRNazanin" w:cs="IRNazanin"/>
          <w:color w:val="111111"/>
          <w:sz w:val="28"/>
          <w:szCs w:val="28"/>
          <w:rtl w:val="true"/>
          <w:lang w:bidi="fa-IR"/>
        </w:rPr>
        <w:t>.</w:t>
      </w:r>
    </w:p>
    <w:p>
      <w:pPr>
        <w:pStyle w:val="Heading3"/>
        <w:numPr>
          <w:ilvl w:val="2"/>
          <w:numId w:val="1"/>
        </w:numPr>
        <w:rPr/>
      </w:pPr>
      <w:bookmarkStart w:id="699" w:name="__RefHeading___Toc1955344_2322387425"/>
      <w:bookmarkStart w:id="700" w:name="_Toc265"/>
      <w:bookmarkEnd w:id="699"/>
      <w:r>
        <w:rPr>
          <w:rtl w:val="true"/>
        </w:rPr>
        <w:t>حکم من کان علیه قضاء رمضانین فصاعداً</w:t>
      </w:r>
      <w:bookmarkEnd w:id="70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علیه قضاء من رمضانَین فصاعداً یجوز قضاء اللاحق قبل السابق، بل إذا تضیّق اللاحق بأن صار قریباً من رمضان آخر کان الأحوط</w:t>
      </w:r>
      <w:r>
        <w:rPr>
          <w:rStyle w:val="FootnoteAnchor"/>
          <w:rtl w:val="true"/>
        </w:rPr>
        <w:footnoteReference w:id="1478"/>
      </w:r>
      <w:r>
        <w:rPr>
          <w:rFonts w:ascii="IRNazanin" w:hAnsi="IRNazanin" w:eastAsia="IRNazanin"/>
          <w:color w:val="111111"/>
          <w:sz w:val="28"/>
          <w:sz w:val="28"/>
          <w:szCs w:val="28"/>
          <w:rtl w:val="true"/>
          <w:lang w:bidi="fa-IR"/>
        </w:rPr>
        <w:t> تقدیم</w:t>
      </w:r>
      <w:r>
        <w:rPr>
          <w:rStyle w:val="FootnoteAnchor"/>
          <w:rtl w:val="true"/>
        </w:rPr>
        <w:footnoteReference w:id="1479"/>
      </w:r>
      <w:r>
        <w:rPr>
          <w:rFonts w:ascii="IRNazanin" w:hAnsi="IRNazanin" w:eastAsia="IRNazanin"/>
          <w:color w:val="111111"/>
          <w:sz w:val="28"/>
          <w:sz w:val="28"/>
          <w:szCs w:val="28"/>
          <w:rtl w:val="true"/>
          <w:lang w:bidi="fa-IR"/>
        </w:rPr>
        <w:t> اللاحق، ولو أطلق فی نیّته انصرف</w:t>
      </w:r>
      <w:r>
        <w:rPr>
          <w:rStyle w:val="FootnoteAnchor"/>
          <w:rtl w:val="true"/>
        </w:rPr>
        <w:footnoteReference w:id="1480"/>
      </w:r>
      <w:r>
        <w:rPr>
          <w:rFonts w:ascii="IRNazanin" w:hAnsi="IRNazanin" w:eastAsia="IRNazanin"/>
          <w:color w:val="111111"/>
          <w:sz w:val="28"/>
          <w:sz w:val="28"/>
          <w:szCs w:val="28"/>
          <w:rtl w:val="true"/>
          <w:lang w:bidi="fa-IR"/>
        </w:rPr>
        <w:t> إلی السابق</w:t>
      </w:r>
      <w:r>
        <w:rPr>
          <w:rStyle w:val="FootnoteAnchor"/>
          <w:rtl w:val="true"/>
        </w:rPr>
        <w:footnoteReference w:id="1481"/>
      </w:r>
      <w:r>
        <w:rPr>
          <w:rFonts w:ascii="IRNazanin" w:hAnsi="IRNazanin" w:eastAsia="IRNazanin"/>
          <w:color w:val="111111"/>
          <w:sz w:val="28"/>
          <w:sz w:val="28"/>
          <w:szCs w:val="28"/>
          <w:rtl w:val="true"/>
          <w:lang w:bidi="fa-IR"/>
        </w:rPr>
        <w:t>، وکذا فی الأیّام</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701" w:name="pg13281_119961"/>
    </w:p>
    <w:p>
      <w:pPr>
        <w:pStyle w:val="Heading3"/>
        <w:numPr>
          <w:ilvl w:val="2"/>
          <w:numId w:val="1"/>
        </w:numPr>
        <w:rPr/>
      </w:pPr>
      <w:bookmarkStart w:id="702" w:name="__RefHeading___Toc1955346_2322387425"/>
      <w:bookmarkStart w:id="703" w:name="_Toc266"/>
      <w:bookmarkEnd w:id="701"/>
      <w:bookmarkEnd w:id="702"/>
      <w:r>
        <w:rPr>
          <w:rtl w:val="true"/>
        </w:rPr>
        <w:t>عدم الترتیب بین صوم القضاء وغیره من أقسام الواجب</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ترتیب بین صوم القضاء وغیره من أقسام الصوم الواجب، کالکفّارة والنذر</w:t>
      </w:r>
      <w:r>
        <w:rPr>
          <w:rStyle w:val="FootnoteAnchor"/>
          <w:rtl w:val="true"/>
        </w:rPr>
        <w:footnoteReference w:id="1483"/>
      </w:r>
      <w:r>
        <w:rPr>
          <w:rFonts w:ascii="IRNazanin" w:hAnsi="IRNazanin" w:eastAsia="IRNazanin"/>
          <w:color w:val="111111"/>
          <w:sz w:val="28"/>
          <w:sz w:val="28"/>
          <w:szCs w:val="28"/>
          <w:rtl w:val="true"/>
          <w:lang w:bidi="fa-IR"/>
        </w:rPr>
        <w:t> ونحوهما، نعم، لا یجوز التطوّع</w:t>
      </w:r>
      <w:r>
        <w:rPr>
          <w:rStyle w:val="FootnoteAnchor"/>
          <w:rtl w:val="true"/>
        </w:rPr>
        <w:footnoteReference w:id="1484"/>
      </w:r>
      <w:r>
        <w:rPr>
          <w:rFonts w:ascii="Amiri" w:hAnsi="Amiri" w:eastAsia="Amiri" w:cs="Amiri"/>
          <w:color w:val="111111"/>
          <w:sz w:val="28"/>
          <w:sz w:val="28"/>
          <w:szCs w:val="28"/>
          <w:rtl w:val="true"/>
          <w:lang w:bidi="ar-SA"/>
        </w:rPr>
        <w:t> بشیءٍ لِمَن علیه صوم واجب</w:t>
      </w:r>
      <w:r>
        <w:rPr>
          <w:rStyle w:val="FootnoteAnchor"/>
          <w:rtl w:val="true"/>
        </w:rPr>
        <w:footnoteReference w:id="1485"/>
      </w:r>
      <w:r>
        <w:rPr>
          <w:rFonts w:ascii="Amiri" w:hAnsi="Amiri" w:eastAsia="Amiri" w:cs="Amiri"/>
          <w:color w:val="111111"/>
          <w:sz w:val="28"/>
          <w:sz w:val="28"/>
          <w:szCs w:val="28"/>
          <w:rtl w:val="true"/>
          <w:lang w:bidi="ar-SA"/>
        </w:rPr>
        <w:t>، کما مرّ</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1955348_2322387425"/>
      <w:bookmarkStart w:id="705" w:name="_Toc267"/>
      <w:bookmarkEnd w:id="704"/>
      <w:r>
        <w:rPr>
          <w:rtl w:val="true"/>
        </w:rPr>
        <w:t>إذا صام قضاءً ثم تبیّن فراغ ذمّته لم یقع عن غیره</w:t>
      </w:r>
      <w:bookmarkEnd w:id="7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أنّ علیه قضاءً فنواه ثمّ تبیّن بعد الفراغِ فراغُ ذمّته لم یقع لغیره</w:t>
      </w:r>
      <w:r>
        <w:rPr>
          <w:rStyle w:val="FootnoteAnchor"/>
          <w:rtl w:val="true"/>
        </w:rPr>
        <w:footnoteReference w:id="1487"/>
      </w:r>
      <w:r>
        <w:rPr>
          <w:rFonts w:ascii="IRNazanin" w:hAnsi="IRNazanin" w:eastAsia="IRNazanin"/>
          <w:color w:val="111111"/>
          <w:sz w:val="28"/>
          <w:sz w:val="28"/>
          <w:szCs w:val="28"/>
          <w:rtl w:val="true"/>
          <w:lang w:bidi="fa-IR"/>
        </w:rPr>
        <w:t>، وأمّا لو ظهر له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الزوال</w:t>
      </w:r>
      <w:r>
        <w:rPr>
          <w:rStyle w:val="FootnoteAnchor"/>
          <w:rtl w:val="true"/>
        </w:rPr>
        <w:footnoteReference w:id="1488"/>
      </w:r>
      <w:r>
        <w:rPr>
          <w:rFonts w:ascii="IRNazanin" w:hAnsi="IRNazanin" w:eastAsia="IRNazanin"/>
          <w:color w:val="111111"/>
          <w:sz w:val="28"/>
          <w:sz w:val="28"/>
          <w:szCs w:val="28"/>
          <w:rtl w:val="true"/>
          <w:lang w:bidi="fa-IR"/>
        </w:rPr>
        <w:t>لا یجوز العدول إلی غیره</w:t>
      </w:r>
      <w:r>
        <w:rPr>
          <w:rStyle w:val="FootnoteAnchor"/>
          <w:rtl w:val="true"/>
        </w:rPr>
        <w:footnoteReference w:id="1489"/>
      </w:r>
      <w:r>
        <w:rPr>
          <w:rFonts w:ascii="IRNazanin" w:hAnsi="IRNazanin" w:eastAsia="IRNazanin"/>
          <w:color w:val="111111"/>
          <w:sz w:val="28"/>
          <w:sz w:val="28"/>
          <w:szCs w:val="28"/>
          <w:rtl w:val="true"/>
          <w:lang w:bidi="fa-IR"/>
        </w:rPr>
        <w:t xml:space="preserve">، وإن کان قبله فالأقوی جواز تجدید </w:t>
      </w:r>
      <w:bookmarkStart w:id="706" w:name="pg13281_119962"/>
    </w:p>
    <w:p>
      <w:pPr>
        <w:pStyle w:val="BookText"/>
        <w:rPr/>
      </w:pPr>
      <w:bookmarkEnd w:id="706"/>
      <w:r>
        <w:rPr>
          <w:rFonts w:ascii="Amiri" w:hAnsi="Amiri" w:eastAsia="Amiri" w:cs="Amiri"/>
          <w:color w:val="111111"/>
          <w:sz w:val="28"/>
          <w:sz w:val="28"/>
          <w:szCs w:val="28"/>
          <w:rtl w:val="true"/>
          <w:lang w:bidi="ar-SA"/>
        </w:rPr>
        <w:t>النیّة</w:t>
      </w:r>
      <w:r>
        <w:rPr>
          <w:rStyle w:val="FootnoteAnchor"/>
          <w:rtl w:val="true"/>
        </w:rPr>
        <w:footnoteReference w:id="1490"/>
      </w:r>
      <w:r>
        <w:rPr>
          <w:rFonts w:ascii="IRNazanin" w:hAnsi="IRNazanin" w:eastAsia="IRNazanin"/>
          <w:color w:val="111111"/>
          <w:sz w:val="28"/>
          <w:sz w:val="28"/>
          <w:szCs w:val="28"/>
          <w:rtl w:val="true"/>
          <w:lang w:bidi="fa-IR"/>
        </w:rPr>
        <w:t> لغیره</w:t>
      </w:r>
      <w:r>
        <w:rPr>
          <w:rStyle w:val="FootnoteAnchor"/>
          <w:rtl w:val="true"/>
        </w:rPr>
        <w:footnoteReference w:id="1491"/>
      </w:r>
      <w:r>
        <w:rPr>
          <w:rFonts w:ascii="IRNazanin" w:hAnsi="IRNazanin" w:eastAsia="IRNazanin"/>
          <w:color w:val="111111"/>
          <w:sz w:val="28"/>
          <w:sz w:val="28"/>
          <w:szCs w:val="28"/>
          <w:rtl w:val="true"/>
          <w:lang w:bidi="fa-IR"/>
        </w:rPr>
        <w:t>، وإن کان الأحوط</w:t>
      </w:r>
      <w:r>
        <w:rPr>
          <w:rStyle w:val="FootnoteAnchor"/>
          <w:rtl w:val="true"/>
        </w:rPr>
        <w:footnoteReference w:id="1492"/>
      </w:r>
      <w:r>
        <w:rPr>
          <w:rFonts w:ascii="IRNazanin" w:hAnsi="IRNazanin" w:eastAsia="IRNazanin"/>
          <w:color w:val="111111"/>
          <w:sz w:val="28"/>
          <w:sz w:val="28"/>
          <w:szCs w:val="28"/>
          <w:rtl w:val="true"/>
          <w:lang w:bidi="fa-IR"/>
        </w:rPr>
        <w:t> عدمه</w:t>
      </w:r>
      <w:r>
        <w:rPr>
          <w:rFonts w:eastAsia="IRNazanin" w:cs="IRNazanin"/>
          <w:color w:val="111111"/>
          <w:sz w:val="28"/>
          <w:szCs w:val="28"/>
          <w:rtl w:val="true"/>
          <w:lang w:bidi="fa-IR"/>
        </w:rPr>
        <w:t>.</w:t>
      </w:r>
    </w:p>
    <w:p>
      <w:pPr>
        <w:pStyle w:val="Heading3"/>
        <w:numPr>
          <w:ilvl w:val="2"/>
          <w:numId w:val="1"/>
        </w:numPr>
        <w:rPr/>
      </w:pPr>
      <w:bookmarkStart w:id="707" w:name="__RefHeading___Toc1955350_2322387425"/>
      <w:bookmarkStart w:id="708" w:name="_Toc268"/>
      <w:bookmarkEnd w:id="707"/>
      <w:r>
        <w:rPr>
          <w:rtl w:val="true"/>
        </w:rPr>
        <w:t>حکم من فاته شهر رمضان أو بعضه لعذرٍ ومات فیه</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فاته شهر رمضان أو بعضه بمرض أو حیض أو نفاس ومات فیه لم یجب القضاء عنه</w:t>
      </w:r>
      <w:r>
        <w:rPr>
          <w:rStyle w:val="FootnoteAnchor"/>
          <w:rtl w:val="true"/>
        </w:rPr>
        <w:footnoteReference w:id="1493"/>
      </w:r>
      <w:r>
        <w:rPr>
          <w:rFonts w:ascii="Amiri" w:hAnsi="Amiri" w:eastAsia="Amiri" w:cs="Amiri"/>
          <w:color w:val="111111"/>
          <w:sz w:val="28"/>
          <w:sz w:val="28"/>
          <w:szCs w:val="28"/>
          <w:rtl w:val="true"/>
          <w:lang w:bidi="ar-SA"/>
        </w:rPr>
        <w:t>، ولکن تُستحبّ</w:t>
      </w:r>
      <w:r>
        <w:rPr>
          <w:rStyle w:val="FootnoteAnchor"/>
          <w:rtl w:val="true"/>
        </w:rPr>
        <w:footnoteReference w:id="1494"/>
      </w:r>
      <w:r>
        <w:rPr>
          <w:rFonts w:ascii="IRNazanin" w:hAnsi="IRNazanin" w:eastAsia="IRNazanin"/>
          <w:color w:val="111111"/>
          <w:sz w:val="28"/>
          <w:sz w:val="28"/>
          <w:szCs w:val="28"/>
          <w:rtl w:val="true"/>
          <w:lang w:bidi="fa-IR"/>
        </w:rPr>
        <w:t> النیابة</w:t>
      </w:r>
      <w:r>
        <w:rPr>
          <w:rStyle w:val="FootnoteAnchor"/>
          <w:rtl w:val="true"/>
        </w:rPr>
        <w:footnoteReference w:id="1495"/>
      </w:r>
      <w:r>
        <w:rPr>
          <w:rFonts w:ascii="IRNazanin" w:hAnsi="IRNazanin" w:eastAsia="IRNazanin"/>
          <w:color w:val="111111"/>
          <w:sz w:val="28"/>
          <w:sz w:val="28"/>
          <w:szCs w:val="28"/>
          <w:rtl w:val="true"/>
          <w:lang w:bidi="fa-IR"/>
        </w:rPr>
        <w:t> عنه</w:t>
      </w:r>
      <w:r>
        <w:rPr>
          <w:rStyle w:val="FootnoteAnchor"/>
          <w:rtl w:val="true"/>
        </w:rPr>
        <w:footnoteReference w:id="1496"/>
      </w:r>
      <w:r>
        <w:rPr>
          <w:rFonts w:ascii="IRNazanin" w:hAnsi="IRNazanin" w:eastAsia="IRNazanin"/>
          <w:color w:val="111111"/>
          <w:sz w:val="28"/>
          <w:sz w:val="28"/>
          <w:szCs w:val="28"/>
          <w:rtl w:val="true"/>
          <w:lang w:bidi="fa-IR"/>
        </w:rPr>
        <w:t> فی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9" w:name="pg13281_119963"/>
    </w:p>
    <w:p>
      <w:pPr>
        <w:pStyle w:val="BookText"/>
        <w:rPr/>
      </w:pPr>
      <w:bookmarkEnd w:id="70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أدائه</w:t>
      </w:r>
      <w:r>
        <w:rPr>
          <w:rStyle w:val="FootnoteAnchor"/>
          <w:rtl w:val="true"/>
        </w:rPr>
        <w:footnoteReference w:id="1497"/>
      </w:r>
      <w:r>
        <w:rPr>
          <w:rFonts w:ascii="IRNazanin" w:hAnsi="IRNazanin" w:eastAsia="IRNazanin"/>
          <w:color w:val="111111"/>
          <w:sz w:val="28"/>
          <w:sz w:val="28"/>
          <w:szCs w:val="28"/>
          <w:rtl w:val="true"/>
          <w:lang w:bidi="fa-IR"/>
        </w:rPr>
        <w:t>، والأولی</w:t>
      </w:r>
      <w:r>
        <w:rPr>
          <w:rStyle w:val="FootnoteAnchor"/>
          <w:rtl w:val="true"/>
        </w:rPr>
        <w:footnoteReference w:id="1498"/>
      </w:r>
      <w:r>
        <w:rPr>
          <w:rFonts w:ascii="IRNazanin" w:hAnsi="IRNazanin" w:eastAsia="IRNazanin"/>
          <w:color w:val="111111"/>
          <w:sz w:val="28"/>
          <w:sz w:val="28"/>
          <w:szCs w:val="28"/>
          <w:rtl w:val="true"/>
          <w:lang w:bidi="fa-IR"/>
        </w:rPr>
        <w:t> أن یکون بقصد</w:t>
      </w:r>
      <w:r>
        <w:rPr>
          <w:rStyle w:val="FootnoteAnchor"/>
          <w:rtl w:val="true"/>
        </w:rPr>
        <w:footnoteReference w:id="1499"/>
      </w:r>
      <w:r>
        <w:rPr>
          <w:rFonts w:ascii="IRNazanin" w:hAnsi="IRNazanin" w:eastAsia="IRNazanin"/>
          <w:color w:val="111111"/>
          <w:sz w:val="28"/>
          <w:sz w:val="28"/>
          <w:szCs w:val="28"/>
          <w:rtl w:val="true"/>
          <w:lang w:bidi="fa-IR"/>
        </w:rPr>
        <w:t> إهداء الثواب</w:t>
      </w:r>
      <w:r>
        <w:rPr>
          <w:rFonts w:eastAsia="IRNazanin" w:cs="IRNazanin"/>
          <w:color w:val="111111"/>
          <w:sz w:val="28"/>
          <w:szCs w:val="28"/>
          <w:rtl w:val="true"/>
          <w:lang w:bidi="fa-IR"/>
        </w:rPr>
        <w:t>.</w:t>
      </w:r>
    </w:p>
    <w:p>
      <w:pPr>
        <w:pStyle w:val="Heading3"/>
        <w:numPr>
          <w:ilvl w:val="2"/>
          <w:numId w:val="1"/>
        </w:numPr>
        <w:rPr/>
      </w:pPr>
      <w:bookmarkStart w:id="710" w:name="__RefHeading___Toc1955352_2322387425"/>
      <w:bookmarkStart w:id="711" w:name="_Toc269"/>
      <w:bookmarkEnd w:id="710"/>
      <w:r>
        <w:rPr>
          <w:rtl w:val="true"/>
        </w:rPr>
        <w:t>لو استمرّ المرض إلی رمضان الآخر</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فاته شهر رمضان أو بعضه لعذر واستمرّ إلی رمضان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العذر هو المرض سقط قضاوه علی الأصحِّ وکفّر عن کلِّ یوم بمدّ، والأحوط مُدّان، ولا یجزی القضاء عن التکفیر، نعم، الأحوط الجمع</w:t>
      </w:r>
      <w:r>
        <w:rPr>
          <w:rStyle w:val="FootnoteAnchor"/>
          <w:rtl w:val="true"/>
        </w:rPr>
        <w:footnoteReference w:id="1500"/>
      </w:r>
      <w:r>
        <w:rPr>
          <w:rFonts w:ascii="IRNazanin" w:hAnsi="IRNazanin" w:eastAsia="IRNazanin"/>
          <w:color w:val="111111"/>
          <w:sz w:val="28"/>
          <w:sz w:val="28"/>
          <w:szCs w:val="28"/>
          <w:rtl w:val="true"/>
          <w:lang w:bidi="fa-IR"/>
        </w:rPr>
        <w:t> بینهما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955354_2322387425"/>
      <w:bookmarkStart w:id="713" w:name="_Toc270"/>
      <w:bookmarkEnd w:id="712"/>
      <w:r>
        <w:rPr>
          <w:rtl w:val="true"/>
        </w:rPr>
        <w:t>لو استمرّ العذر غیر المرض إلی رمضان الآخر</w:t>
      </w:r>
      <w:bookmarkEnd w:id="71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العذر غیر المرض</w:t>
      </w:r>
      <w:r>
        <w:rPr>
          <w:rStyle w:val="FootnoteAnchor"/>
          <w:rtl w:val="true"/>
        </w:rPr>
        <w:footnoteReference w:id="1502"/>
      </w:r>
      <w:r>
        <w:rPr>
          <w:rFonts w:ascii="IRNazanin" w:hAnsi="IRNazanin" w:eastAsia="IRNazanin"/>
          <w:color w:val="111111"/>
          <w:sz w:val="28"/>
          <w:sz w:val="28"/>
          <w:szCs w:val="28"/>
          <w:rtl w:val="true"/>
          <w:lang w:bidi="fa-IR"/>
        </w:rPr>
        <w:t xml:space="preserve"> کالسفر ونحوه فالأقوی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القضاء، وإن کان الأحوط</w:t>
      </w:r>
      <w:r>
        <w:rPr>
          <w:rStyle w:val="FootnoteAnchor"/>
          <w:rtl w:val="true"/>
        </w:rPr>
        <w:footnoteReference w:id="1503"/>
      </w:r>
      <w:r>
        <w:rPr>
          <w:rFonts w:ascii="IRNazanin" w:hAnsi="IRNazanin" w:eastAsia="IRNazanin"/>
          <w:color w:val="111111"/>
          <w:sz w:val="28"/>
          <w:sz w:val="28"/>
          <w:szCs w:val="28"/>
          <w:rtl w:val="true"/>
          <w:lang w:bidi="fa-IR"/>
        </w:rPr>
        <w:t> الجمع</w:t>
      </w:r>
      <w:r>
        <w:rPr>
          <w:rStyle w:val="FootnoteAnchor"/>
          <w:rtl w:val="true"/>
        </w:rPr>
        <w:footnoteReference w:id="1504"/>
      </w:r>
      <w:r>
        <w:rPr>
          <w:rFonts w:ascii="IRNazanin" w:hAnsi="IRNazanin" w:eastAsia="IRNazanin"/>
          <w:color w:val="111111"/>
          <w:sz w:val="28"/>
          <w:sz w:val="28"/>
          <w:szCs w:val="28"/>
          <w:rtl w:val="true"/>
          <w:lang w:bidi="fa-IR"/>
        </w:rPr>
        <w:t> بینه و</w:t>
      </w:r>
      <w:r>
        <w:rPr>
          <w:rStyle w:val="FootnoteAnchor"/>
          <w:rtl w:val="true"/>
        </w:rPr>
        <w:footnoteReference w:id="1505"/>
      </w:r>
      <w:r>
        <w:rPr>
          <w:rFonts w:ascii="Amiri" w:hAnsi="Amiri" w:eastAsia="Amiri" w:cs="Amiri"/>
          <w:color w:val="111111"/>
          <w:sz w:val="28"/>
          <w:sz w:val="28"/>
          <w:szCs w:val="28"/>
          <w:rtl w:val="true"/>
          <w:lang w:bidi="ar-SA"/>
        </w:rPr>
        <w:t>بین المُدِّ</w:t>
      </w:r>
      <w:r>
        <w:rPr>
          <w:rStyle w:val="FootnoteAnchor"/>
          <w:rtl w:val="true"/>
        </w:rPr>
        <w:footnoteReference w:id="1506"/>
      </w:r>
      <w:r>
        <w:rPr>
          <w:rFonts w:ascii="IRNazanin" w:hAnsi="IRNazanin" w:eastAsia="IRNazanin"/>
          <w:color w:val="111111"/>
          <w:sz w:val="28"/>
          <w:sz w:val="28"/>
          <w:szCs w:val="28"/>
          <w:rtl w:val="true"/>
          <w:lang w:bidi="fa-IR"/>
        </w:rPr>
        <w:t>، وکذا إن کان سبب الفوت هو المرض وکان العذر فی التأخیر غیره مستمرّاً من حین برئه إلی رمضان آخر أو العکس</w:t>
      </w:r>
      <w:r>
        <w:rPr>
          <w:rStyle w:val="FootnoteAnchor"/>
          <w:rtl w:val="true"/>
        </w:rPr>
        <w:footnoteReference w:id="1507"/>
      </w:r>
      <w:r>
        <w:rPr>
          <w:rFonts w:ascii="IRNazanin" w:hAnsi="IRNazanin" w:eastAsia="IRNazanin"/>
          <w:color w:val="111111"/>
          <w:sz w:val="28"/>
          <w:sz w:val="28"/>
          <w:szCs w:val="28"/>
          <w:rtl w:val="true"/>
          <w:lang w:bidi="fa-IR"/>
        </w:rPr>
        <w:t> فإنّه یجب القضاء أیضاً فی هاتین الصورتین علی الأقوی، والأحوط</w:t>
      </w:r>
      <w:r>
        <w:rPr>
          <w:rStyle w:val="FootnoteAnchor"/>
          <w:rtl w:val="true"/>
        </w:rPr>
        <w:footnoteReference w:id="1508"/>
      </w:r>
      <w:bookmarkStart w:id="714" w:name="pg13281_119965"/>
    </w:p>
    <w:p>
      <w:pPr>
        <w:pStyle w:val="BookText"/>
        <w:rPr/>
      </w:pPr>
      <w:bookmarkEnd w:id="714"/>
      <w:r>
        <w:rPr>
          <w:rFonts w:ascii="IRNazanin" w:hAnsi="IRNazanin" w:eastAsia="IRNazanin"/>
          <w:color w:val="111111"/>
          <w:sz w:val="28"/>
          <w:sz w:val="28"/>
          <w:szCs w:val="28"/>
          <w:rtl w:val="true"/>
          <w:lang w:bidi="fa-IR"/>
        </w:rPr>
        <w:t>الجمع</w:t>
      </w:r>
      <w:r>
        <w:rPr>
          <w:rStyle w:val="FootnoteAnchor"/>
          <w:rtl w:val="true"/>
        </w:rPr>
        <w:footnoteReference w:id="1509"/>
      </w:r>
      <w:r>
        <w:rPr>
          <w:rFonts w:ascii="Amiri" w:hAnsi="Amiri" w:eastAsia="Amiri" w:cs="Amiri"/>
          <w:color w:val="111111"/>
          <w:sz w:val="28"/>
          <w:sz w:val="28"/>
          <w:szCs w:val="28"/>
          <w:rtl w:val="true"/>
          <w:lang w:bidi="ar-SA"/>
        </w:rPr>
        <w:t>، خصوصاً</w:t>
      </w:r>
      <w:r>
        <w:rPr>
          <w:rStyle w:val="FootnoteAnchor"/>
          <w:rtl w:val="true"/>
        </w:rPr>
        <w:footnoteReference w:id="1510"/>
      </w:r>
      <w:r>
        <w:rPr>
          <w:rFonts w:ascii="IRNazanin" w:hAnsi="IRNazanin" w:eastAsia="IRNazanin"/>
          <w:color w:val="111111"/>
          <w:sz w:val="28"/>
          <w:sz w:val="28"/>
          <w:szCs w:val="28"/>
          <w:rtl w:val="true"/>
          <w:lang w:bidi="fa-IR"/>
        </w:rPr>
        <w:t> فی الثانیة</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955356_2322387425"/>
      <w:bookmarkStart w:id="716" w:name="_Toc271"/>
      <w:bookmarkEnd w:id="715"/>
      <w:r>
        <w:rPr>
          <w:rtl w:val="true"/>
        </w:rPr>
        <w:t>فوات شهر رمضان لا لعذرٍ أو لعذرٍ لم یستمر</w:t>
      </w:r>
      <w:bookmarkEnd w:id="716"/>
    </w:p>
    <w:p>
      <w:pPr>
        <w:pStyle w:val="Heading4"/>
        <w:numPr>
          <w:ilvl w:val="3"/>
          <w:numId w:val="1"/>
        </w:numPr>
        <w:rPr/>
      </w:pPr>
      <w:bookmarkStart w:id="717" w:name="__RefHeading___Toc1955358_2322387425"/>
      <w:bookmarkStart w:id="718" w:name="_Toc272"/>
      <w:bookmarkEnd w:id="717"/>
      <w:r>
        <w:rPr>
          <w:rtl w:val="true"/>
        </w:rPr>
        <w:t>من فاته شهر رمضان لا لعذرٍ أو لعذر غیر مستمر إلی رمضان الآخ</w:t>
      </w:r>
      <w:bookmarkEnd w:id="71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فاته شهر رمضان أو بعضه لا لعذر، بل کان متعمّداً فی الترک ولم یأتِ بالقضاء إلی رمضان آخر وجب</w:t>
      </w:r>
      <w:r>
        <w:rPr>
          <w:rStyle w:val="FootnoteAnchor"/>
          <w:rtl w:val="true"/>
        </w:rPr>
        <w:footnoteReference w:id="1512"/>
      </w:r>
      <w:r>
        <w:rPr>
          <w:rFonts w:ascii="IRNazanin" w:hAnsi="IRNazanin" w:eastAsia="IRNazanin"/>
          <w:color w:val="111111"/>
          <w:sz w:val="28"/>
          <w:sz w:val="28"/>
          <w:szCs w:val="28"/>
          <w:rtl w:val="true"/>
          <w:lang w:bidi="fa-IR"/>
        </w:rPr>
        <w:t> علیه</w:t>
      </w:r>
      <w:r>
        <w:rPr>
          <w:rStyle w:val="FootnoteAnchor"/>
          <w:rtl w:val="true"/>
        </w:rPr>
        <w:footnoteReference w:id="1513"/>
      </w:r>
      <w:r>
        <w:rPr>
          <w:rFonts w:ascii="IRNazanin" w:hAnsi="IRNazanin" w:eastAsia="IRNazanin"/>
          <w:color w:val="111111"/>
          <w:sz w:val="28"/>
          <w:sz w:val="28"/>
          <w:szCs w:val="28"/>
          <w:rtl w:val="true"/>
          <w:lang w:bidi="fa-IR"/>
        </w:rPr>
        <w:t> الجمع</w:t>
      </w:r>
      <w:r>
        <w:rPr>
          <w:rStyle w:val="FootnoteAnchor"/>
          <w:rtl w:val="true"/>
        </w:rPr>
        <w:footnoteReference w:id="1514"/>
      </w:r>
      <w:r>
        <w:rPr>
          <w:rFonts w:ascii="IRNazanin" w:hAnsi="IRNazanin" w:eastAsia="IRNazanin"/>
          <w:color w:val="111111"/>
          <w:sz w:val="28"/>
          <w:sz w:val="28"/>
          <w:szCs w:val="28"/>
          <w:rtl w:val="true"/>
          <w:lang w:bidi="fa-IR"/>
        </w:rPr>
        <w:t> بین الکفّارة</w:t>
      </w:r>
      <w:r>
        <w:rPr>
          <w:rStyle w:val="FootnoteAnchor"/>
          <w:rtl w:val="true"/>
        </w:rPr>
        <w:footnoteReference w:id="1515"/>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والقضاء</w:t>
      </w:r>
      <w:r>
        <w:rPr>
          <w:rStyle w:val="FootnoteAnchor"/>
          <w:rtl w:val="true"/>
        </w:rPr>
        <w:footnoteReference w:id="1516"/>
      </w:r>
      <w:r>
        <w:rPr>
          <w:rFonts w:ascii="IRNazanin" w:hAnsi="IRNazanin" w:eastAsia="IRNazanin"/>
          <w:color w:val="111111"/>
          <w:sz w:val="28"/>
          <w:sz w:val="28"/>
          <w:szCs w:val="28"/>
          <w:rtl w:val="true"/>
          <w:lang w:bidi="fa-IR"/>
        </w:rPr>
        <w:t> بعد الشهر</w:t>
      </w:r>
      <w:r>
        <w:rPr>
          <w:rStyle w:val="FootnoteAnchor"/>
          <w:rtl w:val="true"/>
        </w:rPr>
        <w:footnoteReference w:id="1517"/>
      </w:r>
      <w:r>
        <w:rPr>
          <w:rFonts w:ascii="IRNazanin" w:hAnsi="IRNazanin" w:eastAsia="IRNazanin"/>
          <w:color w:val="111111"/>
          <w:sz w:val="28"/>
          <w:sz w:val="28"/>
          <w:szCs w:val="28"/>
          <w:rtl w:val="true"/>
          <w:lang w:bidi="fa-IR"/>
        </w:rPr>
        <w:t>، وکذا</w:t>
      </w:r>
      <w:r>
        <w:rPr>
          <w:rStyle w:val="FootnoteAnchor"/>
          <w:rtl w:val="true"/>
        </w:rPr>
        <w:footnoteReference w:id="1518"/>
      </w:r>
      <w:r>
        <w:rPr>
          <w:rFonts w:ascii="IRNazanin" w:hAnsi="IRNazanin" w:eastAsia="IRNazanin"/>
          <w:color w:val="111111"/>
          <w:sz w:val="28"/>
          <w:sz w:val="28"/>
          <w:szCs w:val="28"/>
          <w:rtl w:val="true"/>
          <w:lang w:bidi="fa-IR"/>
        </w:rPr>
        <w:t> إن فاته لعذر ولم یستمرّ ذلک العذر، بل ارتفع فی أثناء السنة ولم یأتِ به إلی رمضان آخر متعمّداً وعازماً علی الترک أو متسامحاً واتّفق العذر عند الضیق فإنّه یجب حینئذٍ أیضاً الجمع</w:t>
      </w:r>
      <w:r>
        <w:rPr>
          <w:rStyle w:val="FootnoteAnchor"/>
          <w:rtl w:val="true"/>
        </w:rPr>
        <w:footnoteReference w:id="1519"/>
      </w:r>
      <w:r>
        <w:rPr>
          <w:rFonts w:ascii="IRNazanin" w:hAnsi="IRNazanin" w:eastAsia="IRNazanin"/>
          <w:color w:val="111111"/>
          <w:sz w:val="28"/>
          <w:sz w:val="28"/>
          <w:szCs w:val="28"/>
          <w:rtl w:val="true"/>
          <w:lang w:bidi="fa-IR"/>
        </w:rPr>
        <w:t>، وأمّا إن کان عازماً علی القضاء بعد ارتفاع العذر فاتّفق العذر عند الضیق فلا یبعد</w:t>
      </w:r>
      <w:r>
        <w:rPr>
          <w:rStyle w:val="FootnoteAnchor"/>
          <w:rtl w:val="true"/>
        </w:rPr>
        <w:footnoteReference w:id="1520"/>
      </w:r>
      <w:r>
        <w:rPr>
          <w:rFonts w:ascii="IRNazanin" w:hAnsi="IRNazanin" w:eastAsia="IRNazanin"/>
          <w:color w:val="111111"/>
          <w:sz w:val="28"/>
          <w:sz w:val="28"/>
          <w:szCs w:val="28"/>
          <w:rtl w:val="true"/>
          <w:lang w:bidi="fa-IR"/>
        </w:rPr>
        <w:t> کفایة</w:t>
      </w:r>
      <w:r>
        <w:rPr>
          <w:rStyle w:val="FootnoteAnchor"/>
          <w:rtl w:val="true"/>
        </w:rPr>
        <w:footnoteReference w:id="1521"/>
      </w:r>
      <w:r>
        <w:rPr>
          <w:rFonts w:ascii="IRNazanin" w:hAnsi="IRNazanin" w:eastAsia="IRNazanin"/>
          <w:color w:val="111111"/>
          <w:sz w:val="28"/>
          <w:sz w:val="28"/>
          <w:szCs w:val="28"/>
          <w:rtl w:val="true"/>
          <w:lang w:bidi="fa-IR"/>
        </w:rPr>
        <w:t> القضاء</w:t>
      </w:r>
      <w:r>
        <w:rPr>
          <w:rStyle w:val="FootnoteAnchor"/>
          <w:rtl w:val="true"/>
        </w:rPr>
        <w:footnoteReference w:id="1522"/>
      </w:r>
      <w:r>
        <w:rPr>
          <w:rFonts w:ascii="IRNazanin" w:hAnsi="IRNazanin" w:eastAsia="IRNazanin"/>
          <w:color w:val="111111"/>
          <w:sz w:val="28"/>
          <w:sz w:val="28"/>
          <w:szCs w:val="28"/>
          <w:rtl w:val="true"/>
          <w:lang w:bidi="fa-IR"/>
        </w:rPr>
        <w:t xml:space="preserve">، لکن لا یُترک </w:t>
      </w:r>
      <w:bookmarkStart w:id="719" w:name="pg13281_119967"/>
    </w:p>
    <w:p>
      <w:pPr>
        <w:pStyle w:val="BookText"/>
        <w:rPr/>
      </w:pPr>
      <w:bookmarkEnd w:id="71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1523"/>
      </w:r>
      <w:r>
        <w:rPr>
          <w:rFonts w:ascii="IRNazanin" w:hAnsi="IRNazanin" w:eastAsia="IRNazanin"/>
          <w:color w:val="111111"/>
          <w:sz w:val="28"/>
          <w:sz w:val="28"/>
          <w:szCs w:val="28"/>
          <w:rtl w:val="true"/>
          <w:lang w:bidi="fa-IR"/>
        </w:rPr>
        <w:t> بالجمع</w:t>
      </w:r>
      <w:r>
        <w:rPr>
          <w:rStyle w:val="FootnoteAnchor"/>
          <w:rtl w:val="true"/>
        </w:rPr>
        <w:footnoteReference w:id="1524"/>
      </w:r>
      <w:r>
        <w:rPr>
          <w:rFonts w:ascii="IRNazanin" w:hAnsi="IRNazanin" w:eastAsia="IRNazanin"/>
          <w:color w:val="111111"/>
          <w:sz w:val="28"/>
          <w:sz w:val="28"/>
          <w:szCs w:val="28"/>
          <w:rtl w:val="true"/>
          <w:lang w:bidi="fa-IR"/>
        </w:rPr>
        <w:t> أیضاً، ولا فرق فی ما ذُکِر بین کون العذر هو المرض</w:t>
      </w:r>
      <w:r>
        <w:rPr>
          <w:rStyle w:val="FootnoteAnchor"/>
          <w:rtl w:val="true"/>
        </w:rPr>
        <w:footnoteReference w:id="1525"/>
      </w:r>
      <w:r>
        <w:rPr>
          <w:rFonts w:ascii="IRNazanin" w:hAnsi="IRNazanin" w:eastAsia="IRNazanin"/>
          <w:color w:val="111111"/>
          <w:sz w:val="28"/>
          <w:sz w:val="28"/>
          <w:szCs w:val="28"/>
          <w:rtl w:val="true"/>
          <w:lang w:bidi="fa-IR"/>
        </w:rPr>
        <w:t> أو غیره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ذکر فی هذه المسألة وسابقتها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تأخیر القضاء إلی رمضان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یوجب الکفّارة فقط وهی الصورة الاُولی المذکورة فی المسألة السابقة، وإمّا یوجب القضاء فقط</w:t>
      </w:r>
      <w:r>
        <w:rPr>
          <w:rStyle w:val="FootnoteAnchor"/>
          <w:rtl w:val="true"/>
        </w:rPr>
        <w:footnoteReference w:id="1527"/>
      </w:r>
      <w:r>
        <w:rPr>
          <w:rFonts w:ascii="IRNazanin" w:hAnsi="IRNazanin" w:eastAsia="IRNazanin"/>
          <w:color w:val="111111"/>
          <w:sz w:val="28"/>
          <w:sz w:val="28"/>
          <w:szCs w:val="28"/>
          <w:rtl w:val="true"/>
          <w:lang w:bidi="fa-IR"/>
        </w:rPr>
        <w:t> وهی بقیّة الصور المذکورة فیها</w:t>
      </w:r>
      <w:r>
        <w:rPr>
          <w:rStyle w:val="FootnoteAnchor"/>
          <w:rtl w:val="true"/>
        </w:rPr>
        <w:footnoteReference w:id="1528"/>
      </w:r>
      <w:r>
        <w:rPr>
          <w:rFonts w:ascii="IRNazanin" w:hAnsi="IRNazanin" w:eastAsia="IRNazanin"/>
          <w:color w:val="111111"/>
          <w:sz w:val="28"/>
          <w:sz w:val="28"/>
          <w:szCs w:val="28"/>
          <w:rtl w:val="true"/>
          <w:lang w:bidi="fa-IR"/>
        </w:rPr>
        <w:t>، وإمّا یوجب الجمع بینهما وهی الصور المذکورة فی هذه المسألة، نعم، الأحوط الجمع فی الصور المذکورة فی السابقة أیضاً، کما عرفت</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955360_2322387425"/>
      <w:bookmarkStart w:id="721" w:name="_Toc273"/>
      <w:bookmarkEnd w:id="720"/>
      <w:r>
        <w:rPr>
          <w:rtl w:val="true"/>
        </w:rPr>
        <w:t>تکرّر الکفّارة لو استمرّ المرض ثلاث أو أربع سنین</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استمرّ المرض إلی ثلاث سنین ـ یعنی الرمضان الثالث ـ وجبت کفّارة للاُولی وکفّارة اُخری للثانیة، ویجب علیه القضاء للثالثة</w:t>
      </w:r>
      <w:r>
        <w:rPr>
          <w:rStyle w:val="FootnoteAnchor"/>
          <w:rtl w:val="true"/>
        </w:rPr>
        <w:footnoteReference w:id="153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استمرَّ إلی آخرها ثمّ بَرِئ وإذا استمرّ إلی أربع سنین وجبت للثالثة أیضاً </w:t>
      </w:r>
      <w:bookmarkStart w:id="722" w:name="pg13281_119968"/>
    </w:p>
    <w:p>
      <w:pPr>
        <w:pStyle w:val="BookText"/>
        <w:rPr/>
      </w:pPr>
      <w:bookmarkEnd w:id="722"/>
      <w:r>
        <w:rPr>
          <w:rFonts w:ascii="IRNazanin" w:hAnsi="IRNazanin" w:eastAsia="IRNazanin"/>
          <w:color w:val="111111"/>
          <w:sz w:val="28"/>
          <w:sz w:val="28"/>
          <w:szCs w:val="28"/>
          <w:rtl w:val="true"/>
          <w:lang w:bidi="fa-IR"/>
        </w:rPr>
        <w:t>ویقضی للرابعة إذا استمرّ إلی آخرها أی الرمضان الرابع،</w:t>
      </w:r>
    </w:p>
    <w:p>
      <w:pPr>
        <w:pStyle w:val="Heading3"/>
        <w:numPr>
          <w:ilvl w:val="2"/>
          <w:numId w:val="1"/>
        </w:numPr>
        <w:rPr/>
      </w:pPr>
      <w:bookmarkStart w:id="723" w:name="__RefHeading___Toc1955362_2322387425"/>
      <w:bookmarkStart w:id="724" w:name="_Toc274"/>
      <w:bookmarkEnd w:id="723"/>
      <w:r>
        <w:rPr>
          <w:rtl w:val="true"/>
        </w:rPr>
        <w:t>عدم تکرّر کفّارة السنة الواحدة لو أخّر القضاء سنین عدیدة</w:t>
      </w:r>
      <w:bookmarkEnd w:id="724"/>
    </w:p>
    <w:p>
      <w:pPr>
        <w:pStyle w:val="BookText"/>
        <w:rPr/>
      </w:pPr>
      <w:r>
        <w:rPr>
          <w:rFonts w:ascii="IRNazanin" w:hAnsi="IRNazanin" w:eastAsia="IRNazanin"/>
          <w:color w:val="111111"/>
          <w:sz w:val="28"/>
          <w:sz w:val="28"/>
          <w:szCs w:val="28"/>
          <w:rtl w:val="true"/>
          <w:lang w:bidi="fa-IR"/>
        </w:rPr>
        <w:t>وأمّا إذا أخّر قضاء السنة الاُولی إلی سنین عدیدة فلا تتکرّر الکفّارة</w:t>
      </w:r>
      <w:r>
        <w:rPr>
          <w:rStyle w:val="FootnoteAnchor"/>
          <w:rtl w:val="true"/>
        </w:rPr>
        <w:footnoteReference w:id="1531"/>
      </w:r>
      <w:r>
        <w:rPr>
          <w:rFonts w:ascii="IRNazanin" w:hAnsi="IRNazanin" w:eastAsia="IRNazanin"/>
          <w:color w:val="111111"/>
          <w:sz w:val="28"/>
          <w:sz w:val="28"/>
          <w:szCs w:val="28"/>
          <w:rtl w:val="true"/>
          <w:lang w:bidi="fa-IR"/>
        </w:rPr>
        <w:t> بتکرّرها، بل تکفیه کفّارة واحدة إلی سنین</w:t>
      </w:r>
      <w:r>
        <w:rPr>
          <w:rFonts w:eastAsia="IRNazanin" w:cs="IRNazanin"/>
          <w:color w:val="111111"/>
          <w:sz w:val="28"/>
          <w:szCs w:val="28"/>
          <w:rtl w:val="true"/>
          <w:lang w:bidi="fa-IR"/>
        </w:rPr>
        <w:t>.</w:t>
      </w:r>
    </w:p>
    <w:p>
      <w:pPr>
        <w:pStyle w:val="Heading3"/>
        <w:numPr>
          <w:ilvl w:val="2"/>
          <w:numId w:val="1"/>
        </w:numPr>
        <w:rPr/>
      </w:pPr>
      <w:bookmarkStart w:id="725" w:name="__RefHeading___Toc1955364_2322387425"/>
      <w:bookmarkStart w:id="726" w:name="_Toc275"/>
      <w:bookmarkEnd w:id="725"/>
      <w:r>
        <w:rPr>
          <w:rtl w:val="true"/>
        </w:rPr>
        <w:t>جواز إعطاء کفّارة أیّام عدیدة لفقیر واحد</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کفّارة أیّام عدیدة من رمضان واحد أو أزید لفقیر واحد، فلا یجب إعطاء کلّ فقیر مُدّاً واحداً لیوم واحد</w:t>
      </w:r>
      <w:r>
        <w:rPr>
          <w:rFonts w:eastAsia="IRNazanin" w:cs="IRNazanin"/>
          <w:color w:val="111111"/>
          <w:sz w:val="28"/>
          <w:szCs w:val="28"/>
          <w:rtl w:val="true"/>
          <w:lang w:bidi="fa-IR"/>
        </w:rPr>
        <w:t>.</w:t>
      </w:r>
    </w:p>
    <w:p>
      <w:pPr>
        <w:pStyle w:val="Heading3"/>
        <w:numPr>
          <w:ilvl w:val="2"/>
          <w:numId w:val="1"/>
        </w:numPr>
        <w:rPr/>
      </w:pPr>
      <w:bookmarkStart w:id="727" w:name="__RefHeading___Toc1955366_2322387425"/>
      <w:bookmarkStart w:id="728" w:name="_Toc276"/>
      <w:bookmarkEnd w:id="727"/>
      <w:r>
        <w:rPr>
          <w:rtl w:val="true"/>
        </w:rPr>
        <w:t>عدم وجوب کفّارة العبد علی سیّده</w:t>
      </w:r>
      <w:bookmarkEnd w:id="7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کفّارة العبد علی سیّده، من غیر فرق بین کفّارة التأخیر وکفّارة الإفطار، ففی الاُولی إن کان له مال وأذن</w:t>
      </w:r>
      <w:r>
        <w:rPr>
          <w:rStyle w:val="FootnoteAnchor"/>
          <w:rtl w:val="true"/>
        </w:rPr>
        <w:footnoteReference w:id="1532"/>
      </w:r>
      <w:r>
        <w:rPr>
          <w:rFonts w:ascii="Amiri" w:hAnsi="Amiri" w:eastAsia="Amiri" w:cs="Amiri"/>
          <w:color w:val="111111"/>
          <w:sz w:val="28"/>
          <w:sz w:val="28"/>
          <w:szCs w:val="28"/>
          <w:rtl w:val="true"/>
          <w:lang w:bidi="ar-SA"/>
        </w:rPr>
        <w:t> له السیّد</w:t>
      </w:r>
      <w:r>
        <w:rPr>
          <w:rStyle w:val="FootnoteAnchor"/>
          <w:rtl w:val="true"/>
        </w:rPr>
        <w:footnoteReference w:id="1533"/>
      </w:r>
      <w:r>
        <w:rPr>
          <w:rFonts w:ascii="IRNazanin" w:hAnsi="IRNazanin" w:eastAsia="IRNazanin"/>
          <w:color w:val="111111"/>
          <w:sz w:val="28"/>
          <w:sz w:val="28"/>
          <w:szCs w:val="28"/>
          <w:rtl w:val="true"/>
          <w:lang w:bidi="fa-IR"/>
        </w:rPr>
        <w:t> أعطی من ماله، وإلّا استغفر بدلاً عنها، وفی کفّارة الإفطار یجب علیه اختیار صوم شهرین مع عدم المال والإذن من السیّد، وإن عجز</w:t>
      </w:r>
      <w:r>
        <w:rPr>
          <w:rStyle w:val="FootnoteAnchor"/>
          <w:rtl w:val="true"/>
        </w:rPr>
        <w:footnoteReference w:id="1534"/>
      </w:r>
      <w:r>
        <w:rPr>
          <w:rFonts w:ascii="IRNazanin" w:hAnsi="IRNazanin" w:eastAsia="IRNazanin"/>
          <w:color w:val="111111"/>
          <w:sz w:val="28"/>
          <w:sz w:val="28"/>
          <w:szCs w:val="28"/>
          <w:rtl w:val="true"/>
          <w:lang w:bidi="fa-IR"/>
        </w:rPr>
        <w:t> فصوم</w:t>
      </w:r>
      <w:r>
        <w:rPr>
          <w:rStyle w:val="FootnoteAnchor"/>
          <w:rtl w:val="true"/>
        </w:rPr>
        <w:footnoteReference w:id="1535"/>
      </w:r>
      <w:bookmarkStart w:id="729" w:name="pg13281_119969"/>
    </w:p>
    <w:p>
      <w:pPr>
        <w:pStyle w:val="BookText"/>
        <w:rPr/>
      </w:pPr>
      <w:bookmarkEnd w:id="729"/>
      <w:r>
        <w:rPr>
          <w:rFonts w:ascii="IRNazanin" w:hAnsi="IRNazanin" w:eastAsia="IRNazanin"/>
          <w:color w:val="111111"/>
          <w:sz w:val="28"/>
          <w:sz w:val="28"/>
          <w:szCs w:val="28"/>
          <w:rtl w:val="true"/>
          <w:lang w:bidi="fa-IR"/>
        </w:rPr>
        <w:t>ثمانیة</w:t>
      </w:r>
      <w:r>
        <w:rPr>
          <w:rStyle w:val="FootnoteAnchor"/>
          <w:rtl w:val="true"/>
        </w:rPr>
        <w:footnoteReference w:id="1536"/>
      </w:r>
      <w:r>
        <w:rPr>
          <w:rFonts w:ascii="IRNazanin" w:hAnsi="IRNazanin" w:eastAsia="IRNazanin"/>
          <w:color w:val="111111"/>
          <w:sz w:val="28"/>
          <w:sz w:val="28"/>
          <w:szCs w:val="28"/>
          <w:rtl w:val="true"/>
          <w:lang w:bidi="fa-IR"/>
        </w:rPr>
        <w:t> عشر</w:t>
      </w:r>
      <w:r>
        <w:rPr>
          <w:rStyle w:val="FootnoteAnchor"/>
          <w:rtl w:val="true"/>
        </w:rPr>
        <w:footnoteReference w:id="1537"/>
      </w:r>
      <w:r>
        <w:rPr>
          <w:rFonts w:ascii="Amiri" w:hAnsi="Amiri" w:eastAsia="Amiri" w:cs="Amiri"/>
          <w:color w:val="111111"/>
          <w:sz w:val="28"/>
          <w:sz w:val="28"/>
          <w:szCs w:val="28"/>
          <w:rtl w:val="true"/>
          <w:lang w:bidi="ar-SA"/>
        </w:rPr>
        <w:t> یوماً</w:t>
      </w:r>
      <w:r>
        <w:rPr>
          <w:rStyle w:val="FootnoteAnchor"/>
          <w:rtl w:val="true"/>
        </w:rPr>
        <w:footnoteReference w:id="1538"/>
      </w:r>
      <w:r>
        <w:rPr>
          <w:rFonts w:ascii="IRNazanin" w:hAnsi="IRNazanin" w:eastAsia="IRNazanin"/>
          <w:color w:val="111111"/>
          <w:sz w:val="28"/>
          <w:sz w:val="28"/>
          <w:szCs w:val="28"/>
          <w:rtl w:val="true"/>
          <w:lang w:bidi="fa-IR"/>
        </w:rPr>
        <w:t>، وإن عجز فالاستغفار</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955368_2322387425"/>
      <w:bookmarkStart w:id="731" w:name="_Toc277"/>
      <w:bookmarkEnd w:id="730"/>
      <w:r>
        <w:rPr>
          <w:rtl w:val="true"/>
        </w:rPr>
        <w:t>اعتبار فوریّة القضاء قبل رمضان الآخر</w:t>
      </w:r>
      <w:bookmarkEnd w:id="73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540"/>
      </w:r>
      <w:r>
        <w:rPr>
          <w:rFonts w:ascii="IRNazanin" w:hAnsi="IRNazanin" w:eastAsia="IRNazanin"/>
          <w:color w:val="111111"/>
          <w:sz w:val="28"/>
          <w:sz w:val="28"/>
          <w:szCs w:val="28"/>
          <w:rtl w:val="true"/>
          <w:lang w:bidi="fa-IR"/>
        </w:rPr>
        <w:t> عدم تأخیر</w:t>
      </w:r>
      <w:r>
        <w:rPr>
          <w:rStyle w:val="FootnoteAnchor"/>
          <w:rtl w:val="true"/>
        </w:rPr>
        <w:footnoteReference w:id="1541"/>
      </w:r>
      <w:r>
        <w:rPr>
          <w:rFonts w:ascii="IRNazanin" w:hAnsi="IRNazanin" w:eastAsia="IRNazanin"/>
          <w:color w:val="111111"/>
          <w:sz w:val="28"/>
          <w:sz w:val="28"/>
          <w:szCs w:val="28"/>
          <w:rtl w:val="true"/>
          <w:lang w:bidi="fa-IR"/>
        </w:rPr>
        <w:t> القضاء إلی</w:t>
      </w:r>
      <w:r>
        <w:rPr>
          <w:rStyle w:val="FootnoteAnchor"/>
          <w:rtl w:val="true"/>
        </w:rPr>
        <w:footnoteReference w:id="1542"/>
      </w:r>
      <w:r>
        <w:rPr>
          <w:rFonts w:ascii="IRNazanin" w:hAnsi="IRNazanin" w:eastAsia="IRNazanin"/>
          <w:color w:val="111111"/>
          <w:sz w:val="28"/>
          <w:sz w:val="28"/>
          <w:szCs w:val="28"/>
          <w:rtl w:val="true"/>
          <w:lang w:bidi="fa-IR"/>
        </w:rPr>
        <w:t>رمضان آخر مع التمکّن عمداً، وإن کان لا دلیل</w:t>
      </w:r>
      <w:r>
        <w:rPr>
          <w:rStyle w:val="FootnoteAnchor"/>
          <w:rtl w:val="true"/>
        </w:rPr>
        <w:footnoteReference w:id="1543"/>
      </w:r>
      <w:r>
        <w:rPr>
          <w:rFonts w:ascii="IRNazanin" w:hAnsi="IRNazanin" w:eastAsia="IRNazanin"/>
          <w:color w:val="111111"/>
          <w:sz w:val="28"/>
          <w:sz w:val="28"/>
          <w:szCs w:val="28"/>
          <w:rtl w:val="true"/>
          <w:lang w:bidi="fa-IR"/>
        </w:rPr>
        <w:t xml:space="preserve"> علی </w:t>
      </w:r>
      <w:bookmarkStart w:id="732" w:name="pg13281_119970"/>
    </w:p>
    <w:p>
      <w:pPr>
        <w:pStyle w:val="BookText"/>
        <w:rPr/>
      </w:pPr>
      <w:bookmarkEnd w:id="732"/>
      <w:r>
        <w:rPr>
          <w:rFonts w:ascii="IRNazanin" w:hAnsi="IRNazanin" w:eastAsia="IRNazanin"/>
          <w:color w:val="111111"/>
          <w:sz w:val="28"/>
          <w:sz w:val="28"/>
          <w:szCs w:val="28"/>
          <w:rtl w:val="true"/>
          <w:lang w:bidi="fa-IR"/>
        </w:rPr>
        <w:t>حرمته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1955370_2322387425"/>
      <w:bookmarkStart w:id="734" w:name="_Toc278"/>
      <w:bookmarkEnd w:id="733"/>
      <w:r>
        <w:rPr>
          <w:rtl w:val="true"/>
        </w:rPr>
        <w:t>قضاء ما فات المیّت لعذر</w:t>
      </w:r>
      <w:bookmarkEnd w:id="73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w:t>
      </w:r>
      <w:r>
        <w:rPr>
          <w:rStyle w:val="FootnoteAnchor"/>
          <w:rtl w:val="true"/>
        </w:rPr>
        <w:footnoteReference w:id="1545"/>
      </w:r>
      <w:r>
        <w:rPr>
          <w:rFonts w:ascii="IRNazanin" w:hAnsi="IRNazanin" w:eastAsia="IRNazanin"/>
          <w:color w:val="111111"/>
          <w:sz w:val="28"/>
          <w:sz w:val="28"/>
          <w:szCs w:val="28"/>
          <w:rtl w:val="true"/>
          <w:lang w:bidi="fa-IR"/>
        </w:rPr>
        <w:t> علی ولیّ المیّت قضاء ما فاته من الصوم لعذر</w:t>
      </w:r>
      <w:r>
        <w:rPr>
          <w:rStyle w:val="FootnoteAnchor"/>
          <w:rtl w:val="true"/>
        </w:rPr>
        <w:footnoteReference w:id="1546"/>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مرض</w:t>
      </w:r>
      <w:r>
        <w:rPr>
          <w:rStyle w:val="FootnoteAnchor"/>
          <w:rtl w:val="true"/>
        </w:rPr>
        <w:footnoteReference w:id="1547"/>
      </w:r>
      <w:r>
        <w:rPr>
          <w:rFonts w:ascii="IRNazanin" w:hAnsi="IRNazanin" w:eastAsia="IRNazanin"/>
          <w:color w:val="111111"/>
          <w:sz w:val="28"/>
          <w:sz w:val="28"/>
          <w:szCs w:val="28"/>
          <w:rtl w:val="true"/>
          <w:lang w:bidi="fa-IR"/>
        </w:rPr>
        <w:t> أو سفر</w:t>
      </w:r>
      <w:r>
        <w:rPr>
          <w:rStyle w:val="FootnoteAnchor"/>
          <w:rtl w:val="true"/>
        </w:rPr>
        <w:footnoteReference w:id="1548"/>
      </w:r>
      <w:r>
        <w:rPr>
          <w:rFonts w:ascii="IRNazanin" w:hAnsi="IRNazanin" w:eastAsia="IRNazanin"/>
          <w:color w:val="111111"/>
          <w:sz w:val="28"/>
          <w:sz w:val="28"/>
          <w:szCs w:val="28"/>
          <w:rtl w:val="true"/>
          <w:lang w:bidi="fa-IR"/>
        </w:rPr>
        <w:t> أو نحوهما، لا ما ترکه عمداً</w:t>
      </w:r>
      <w:r>
        <w:rPr>
          <w:rStyle w:val="FootnoteAnchor"/>
          <w:rtl w:val="true"/>
        </w:rPr>
        <w:footnoteReference w:id="1549"/>
      </w:r>
      <w:r>
        <w:rPr>
          <w:rFonts w:ascii="IRNazanin" w:hAnsi="IRNazanin" w:eastAsia="IRNazanin"/>
          <w:color w:val="111111"/>
          <w:sz w:val="28"/>
          <w:sz w:val="28"/>
          <w:szCs w:val="28"/>
          <w:rtl w:val="true"/>
          <w:lang w:bidi="fa-IR"/>
        </w:rPr>
        <w:t> أو أتی به</w:t>
      </w:r>
      <w:r>
        <w:rPr>
          <w:rStyle w:val="FootnoteAnchor"/>
          <w:rtl w:val="true"/>
        </w:rPr>
        <w:footnoteReference w:id="1550"/>
      </w:r>
      <w:r>
        <w:rPr>
          <w:rFonts w:ascii="IRNazanin" w:hAnsi="IRNazanin" w:eastAsia="IRNazanin"/>
          <w:color w:val="111111"/>
          <w:sz w:val="28"/>
          <w:sz w:val="28"/>
          <w:szCs w:val="28"/>
          <w:rtl w:val="true"/>
          <w:lang w:bidi="fa-IR"/>
        </w:rPr>
        <w:t> وکان باطلاً من جهة التقصیر فی أخذ المسائل، وإن کان الأحوط</w:t>
      </w:r>
      <w:r>
        <w:rPr>
          <w:rStyle w:val="FootnoteAnchor"/>
          <w:rtl w:val="true"/>
        </w:rPr>
        <w:footnoteReference w:id="1551"/>
      </w:r>
      <w:r>
        <w:rPr>
          <w:rFonts w:ascii="IRNazanin" w:hAnsi="IRNazanin" w:eastAsia="IRNazanin"/>
          <w:color w:val="111111"/>
          <w:sz w:val="28"/>
          <w:sz w:val="28"/>
          <w:szCs w:val="28"/>
          <w:rtl w:val="true"/>
          <w:lang w:bidi="fa-IR"/>
        </w:rPr>
        <w:t> قضاء</w:t>
      </w:r>
      <w:r>
        <w:rPr>
          <w:rStyle w:val="FootnoteAnchor"/>
          <w:rtl w:val="true"/>
        </w:rPr>
        <w:footnoteReference w:id="1552"/>
      </w:r>
      <w:bookmarkStart w:id="735" w:name="pg13281_119972"/>
    </w:p>
    <w:p>
      <w:pPr>
        <w:pStyle w:val="BookText"/>
        <w:rPr/>
      </w:pPr>
      <w:bookmarkEnd w:id="735"/>
      <w:r>
        <w:rPr>
          <w:rFonts w:ascii="IRNazanin" w:hAnsi="IRNazanin" w:eastAsia="IRNazanin"/>
          <w:color w:val="111111"/>
          <w:sz w:val="28"/>
          <w:sz w:val="28"/>
          <w:szCs w:val="28"/>
          <w:rtl w:val="true"/>
          <w:lang w:bidi="fa-IR"/>
        </w:rPr>
        <w:t>جمیع ما علیه</w:t>
      </w:r>
      <w:r>
        <w:rPr>
          <w:rStyle w:val="FootnoteAnchor"/>
          <w:rtl w:val="true"/>
        </w:rPr>
        <w:footnoteReference w:id="1553"/>
      </w:r>
      <w:r>
        <w:rPr>
          <w:rFonts w:ascii="IRNazanin" w:hAnsi="IRNazanin" w:eastAsia="IRNazanin"/>
          <w:color w:val="111111"/>
          <w:sz w:val="28"/>
          <w:sz w:val="28"/>
          <w:szCs w:val="28"/>
          <w:rtl w:val="true"/>
          <w:lang w:bidi="fa-IR"/>
        </w:rPr>
        <w:t> وإن کان من جهة الترک عمداً</w:t>
      </w:r>
      <w:r>
        <w:rPr>
          <w:rFonts w:eastAsia="IRNazanin" w:cs="IRNazanin"/>
          <w:color w:val="111111"/>
          <w:sz w:val="28"/>
          <w:szCs w:val="28"/>
          <w:rtl w:val="true"/>
          <w:lang w:bidi="fa-IR"/>
        </w:rPr>
        <w:t>.</w:t>
      </w:r>
    </w:p>
    <w:p>
      <w:pPr>
        <w:pStyle w:val="Heading3"/>
        <w:numPr>
          <w:ilvl w:val="2"/>
          <w:numId w:val="1"/>
        </w:numPr>
        <w:rPr/>
      </w:pPr>
      <w:bookmarkStart w:id="736" w:name="__RefHeading___Toc1955372_2322387425"/>
      <w:bookmarkStart w:id="737" w:name="_Toc279"/>
      <w:bookmarkEnd w:id="736"/>
      <w:r>
        <w:rPr>
          <w:rtl w:val="true"/>
        </w:rPr>
        <w:t>ما یشترط فی وجوب القضاء والمقضی عنه والولی</w:t>
      </w:r>
      <w:bookmarkEnd w:id="73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یُشترط فی وجوب قضاء ما فات بالمرض</w:t>
      </w:r>
      <w:r>
        <w:rPr>
          <w:rStyle w:val="FootnoteAnchor"/>
          <w:rtl w:val="true"/>
        </w:rPr>
        <w:footnoteReference w:id="1554"/>
      </w:r>
      <w:r>
        <w:rPr>
          <w:rFonts w:ascii="IRNazanin" w:hAnsi="IRNazanin" w:eastAsia="IRNazanin"/>
          <w:color w:val="111111"/>
          <w:sz w:val="28"/>
          <w:sz w:val="28"/>
          <w:szCs w:val="28"/>
          <w:rtl w:val="true"/>
          <w:lang w:bidi="fa-IR"/>
        </w:rPr>
        <w:t> أن یکون قد تمکّن فی حال حیاته من القضاء وأهمل، وإلّا فلا یجب</w:t>
      </w:r>
      <w:r>
        <w:rPr>
          <w:rStyle w:val="FootnoteAnchor"/>
          <w:rtl w:val="true"/>
        </w:rPr>
        <w:footnoteReference w:id="1555"/>
      </w:r>
      <w:r>
        <w:rPr>
          <w:rFonts w:ascii="IRNazanin" w:hAnsi="IRNazanin" w:eastAsia="IRNazanin"/>
          <w:color w:val="111111"/>
          <w:sz w:val="28"/>
          <w:sz w:val="28"/>
          <w:szCs w:val="28"/>
          <w:rtl w:val="true"/>
          <w:lang w:bidi="fa-IR"/>
        </w:rPr>
        <w:t>؛ لسقوط القضاء حینئذٍ، کما عرفت سابقاً، ولا فرق</w:t>
      </w:r>
      <w:r>
        <w:rPr>
          <w:rStyle w:val="FootnoteAnchor"/>
          <w:rtl w:val="true"/>
        </w:rPr>
        <w:footnoteReference w:id="1556"/>
      </w:r>
      <w:r>
        <w:rPr>
          <w:rFonts w:ascii="Amiri" w:hAnsi="Amiri" w:eastAsia="Amiri" w:cs="Amiri"/>
          <w:color w:val="111111"/>
          <w:sz w:val="28"/>
          <w:sz w:val="28"/>
          <w:szCs w:val="28"/>
          <w:rtl w:val="true"/>
          <w:lang w:bidi="ar-SA"/>
        </w:rPr>
        <w:t> فی المیّت</w:t>
      </w:r>
      <w:r>
        <w:rPr>
          <w:rStyle w:val="FootnoteAnchor"/>
          <w:rtl w:val="true"/>
        </w:rPr>
        <w:footnoteReference w:id="1557"/>
      </w:r>
      <w:r>
        <w:rPr>
          <w:rFonts w:ascii="Amiri" w:hAnsi="Amiri" w:eastAsia="Amiri" w:cs="Amiri"/>
          <w:color w:val="111111"/>
          <w:sz w:val="28"/>
          <w:sz w:val="28"/>
          <w:szCs w:val="28"/>
          <w:rtl w:val="true"/>
          <w:lang w:bidi="ar-SA"/>
        </w:rPr>
        <w:t> بین الأب والاُمِّ</w:t>
      </w:r>
      <w:r>
        <w:rPr>
          <w:rStyle w:val="FootnoteAnchor"/>
          <w:rtl w:val="true"/>
        </w:rPr>
        <w:footnoteReference w:id="1558"/>
      </w:r>
      <w:r>
        <w:rPr>
          <w:rFonts w:ascii="IRNazanin" w:hAnsi="IRNazanin" w:eastAsia="IRNazanin"/>
          <w:color w:val="111111"/>
          <w:sz w:val="28"/>
          <w:sz w:val="28"/>
          <w:szCs w:val="28"/>
          <w:rtl w:val="true"/>
          <w:lang w:bidi="fa-IR"/>
        </w:rPr>
        <w:t> علی الأقوی</w:t>
      </w:r>
      <w:r>
        <w:rPr>
          <w:rStyle w:val="FootnoteAnchor"/>
          <w:rtl w:val="true"/>
        </w:rPr>
        <w:footnoteReference w:id="1559"/>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1560"/>
      </w:r>
      <w:r>
        <w:rPr>
          <w:rFonts w:ascii="IRNazanin" w:hAnsi="IRNazanin" w:eastAsia="IRNazanin"/>
          <w:color w:val="111111"/>
          <w:sz w:val="28"/>
          <w:sz w:val="28"/>
          <w:szCs w:val="28"/>
          <w:rtl w:val="true"/>
          <w:lang w:bidi="fa-IR"/>
        </w:rPr>
        <w:t> لا فرق بین ما إذا ترک المیّت ما یمکن التصدّق به عنه وعدمه، وإن کان الأحوط</w:t>
      </w:r>
      <w:r>
        <w:rPr>
          <w:rStyle w:val="FootnoteAnchor"/>
          <w:rtl w:val="true"/>
        </w:rPr>
        <w:footnoteReference w:id="1561"/>
      </w:r>
      <w:r>
        <w:rPr>
          <w:rFonts w:ascii="IRNazanin" w:hAnsi="IRNazanin" w:eastAsia="IRNazanin"/>
          <w:color w:val="111111"/>
          <w:sz w:val="28"/>
          <w:sz w:val="28"/>
          <w:szCs w:val="28"/>
          <w:rtl w:val="true"/>
          <w:lang w:bidi="fa-IR"/>
        </w:rPr>
        <w:t> فی الأول</w:t>
      </w:r>
      <w:r>
        <w:rPr>
          <w:rStyle w:val="FootnoteAnchor"/>
          <w:rtl w:val="true"/>
        </w:rPr>
        <w:footnoteReference w:id="1562"/>
      </w:r>
      <w:r>
        <w:rPr>
          <w:rFonts w:ascii="Amiri" w:hAnsi="Amiri" w:eastAsia="Amiri" w:cs="Amiri"/>
          <w:color w:val="111111"/>
          <w:sz w:val="28"/>
          <w:sz w:val="28"/>
          <w:szCs w:val="28"/>
          <w:rtl w:val="true"/>
          <w:lang w:bidi="ar-SA"/>
        </w:rPr>
        <w:t> الصدقة</w:t>
      </w:r>
      <w:r>
        <w:rPr>
          <w:rStyle w:val="FootnoteAnchor"/>
          <w:rtl w:val="true"/>
        </w:rPr>
        <w:footnoteReference w:id="1563"/>
      </w:r>
      <w:r>
        <w:rPr>
          <w:rFonts w:ascii="IRNazanin" w:hAnsi="IRNazanin" w:eastAsia="IRNazanin"/>
          <w:color w:val="111111"/>
          <w:sz w:val="28"/>
          <w:sz w:val="28"/>
          <w:szCs w:val="28"/>
          <w:rtl w:val="true"/>
          <w:lang w:bidi="fa-IR"/>
        </w:rPr>
        <w:t> عنه برضا الوارث مع القضاء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بالولیّ هو الولد</w:t>
      </w:r>
      <w:r>
        <w:rPr>
          <w:rStyle w:val="FootnoteAnchor"/>
          <w:rtl w:val="true"/>
        </w:rPr>
        <w:footnoteReference w:id="1564"/>
      </w:r>
      <w:r>
        <w:rPr>
          <w:rFonts w:ascii="IRNazanin" w:hAnsi="IRNazanin" w:eastAsia="IRNazanin"/>
          <w:color w:val="111111"/>
          <w:sz w:val="28"/>
          <w:sz w:val="28"/>
          <w:szCs w:val="28"/>
          <w:rtl w:val="true"/>
          <w:lang w:bidi="fa-IR"/>
        </w:rPr>
        <w:t> الأکبر</w:t>
      </w:r>
      <w:r>
        <w:rPr>
          <w:rStyle w:val="FootnoteAnchor"/>
          <w:rtl w:val="true"/>
        </w:rPr>
        <w:footnoteReference w:id="1565"/>
      </w:r>
      <w:r>
        <w:rPr>
          <w:rFonts w:ascii="IRNazanin" w:hAnsi="IRNazanin" w:eastAsia="IRNazanin"/>
          <w:color w:val="111111"/>
          <w:sz w:val="28"/>
          <w:sz w:val="28"/>
          <w:szCs w:val="28"/>
          <w:rtl w:val="true"/>
          <w:lang w:bidi="fa-IR"/>
        </w:rPr>
        <w:t xml:space="preserve"> وإن کان </w:t>
      </w:r>
      <w:bookmarkStart w:id="738" w:name="pg13281_119974"/>
    </w:p>
    <w:p>
      <w:pPr>
        <w:pStyle w:val="BookText"/>
        <w:rPr/>
      </w:pPr>
      <w:bookmarkEnd w:id="738"/>
      <w:r>
        <w:rPr>
          <w:rFonts w:ascii="Amiri" w:hAnsi="Amiri" w:eastAsia="Amiri" w:cs="Amiri"/>
          <w:color w:val="111111"/>
          <w:sz w:val="28"/>
          <w:sz w:val="28"/>
          <w:szCs w:val="28"/>
          <w:rtl w:val="true"/>
          <w:lang w:bidi="ar-SA"/>
        </w:rPr>
        <w:t>طفلاً</w:t>
      </w:r>
      <w:r>
        <w:rPr>
          <w:rStyle w:val="FootnoteAnchor"/>
          <w:rtl w:val="true"/>
        </w:rPr>
        <w:footnoteReference w:id="1566"/>
      </w:r>
      <w:r>
        <w:rPr>
          <w:rFonts w:ascii="Amiri" w:hAnsi="Amiri" w:eastAsia="Amiri" w:cs="Amiri"/>
          <w:color w:val="111111"/>
          <w:sz w:val="28"/>
          <w:sz w:val="28"/>
          <w:szCs w:val="28"/>
          <w:rtl w:val="true"/>
          <w:lang w:bidi="ar-SA"/>
        </w:rPr>
        <w:t> أو مجنوناً حین الموت، بل وإن کان حَمْلاً</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955374_2322387425"/>
      <w:bookmarkStart w:id="740" w:name="_Toc280"/>
      <w:bookmarkEnd w:id="739"/>
      <w:r>
        <w:rPr>
          <w:rtl w:val="true"/>
        </w:rPr>
        <w:t>لو لم یکن للمیّت ولد</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للمیّت ولد لم یجب القضاء</w:t>
      </w:r>
      <w:r>
        <w:rPr>
          <w:rStyle w:val="FootnoteAnchor"/>
          <w:rtl w:val="true"/>
        </w:rPr>
        <w:footnoteReference w:id="1567"/>
      </w:r>
      <w:r>
        <w:rPr>
          <w:rFonts w:ascii="IRNazanin" w:hAnsi="IRNazanin" w:eastAsia="IRNazanin"/>
          <w:color w:val="111111"/>
          <w:sz w:val="28"/>
          <w:sz w:val="28"/>
          <w:szCs w:val="28"/>
          <w:rtl w:val="true"/>
          <w:lang w:bidi="fa-IR"/>
        </w:rPr>
        <w:t> علی أحد من الورثة، وإن کان الأحوط</w:t>
      </w:r>
      <w:r>
        <w:rPr>
          <w:rStyle w:val="FootnoteAnchor"/>
          <w:rtl w:val="true"/>
        </w:rPr>
        <w:footnoteReference w:id="1568"/>
      </w:r>
      <w:r>
        <w:rPr>
          <w:rFonts w:ascii="IRNazanin" w:hAnsi="IRNazanin" w:eastAsia="IRNazanin"/>
          <w:color w:val="111111"/>
          <w:sz w:val="28"/>
          <w:sz w:val="28"/>
          <w:szCs w:val="28"/>
          <w:rtl w:val="true"/>
          <w:lang w:bidi="fa-IR"/>
        </w:rPr>
        <w:t> قضاء</w:t>
      </w:r>
      <w:r>
        <w:rPr>
          <w:rStyle w:val="FootnoteAnchor"/>
          <w:rtl w:val="true"/>
        </w:rPr>
        <w:footnoteReference w:id="1569"/>
      </w:r>
      <w:r>
        <w:rPr>
          <w:rFonts w:ascii="IRNazanin" w:hAnsi="IRNazanin" w:eastAsia="IRNazanin"/>
          <w:color w:val="111111"/>
          <w:sz w:val="28"/>
          <w:sz w:val="28"/>
          <w:szCs w:val="28"/>
          <w:rtl w:val="true"/>
          <w:lang w:bidi="fa-IR"/>
        </w:rPr>
        <w:t> أکبر</w:t>
      </w:r>
      <w:r>
        <w:rPr>
          <w:rStyle w:val="FootnoteAnchor"/>
          <w:rtl w:val="true"/>
        </w:rPr>
        <w:footnoteReference w:id="1570"/>
      </w:r>
      <w:r>
        <w:rPr>
          <w:rFonts w:ascii="IRNazanin" w:hAnsi="IRNazanin" w:eastAsia="IRNazanin"/>
          <w:color w:val="111111"/>
          <w:sz w:val="28"/>
          <w:sz w:val="28"/>
          <w:szCs w:val="28"/>
          <w:rtl w:val="true"/>
          <w:lang w:bidi="fa-IR"/>
        </w:rPr>
        <w:t> الذکور</w:t>
      </w:r>
      <w:r>
        <w:rPr>
          <w:rStyle w:val="FootnoteAnchor"/>
          <w:rtl w:val="true"/>
        </w:rPr>
        <w:footnoteReference w:id="1571"/>
      </w:r>
      <w:r>
        <w:rPr>
          <w:rFonts w:ascii="IRNazanin" w:hAnsi="IRNazanin" w:eastAsia="IRNazanin"/>
          <w:color w:val="111111"/>
          <w:sz w:val="28"/>
          <w:sz w:val="28"/>
          <w:szCs w:val="28"/>
          <w:rtl w:val="true"/>
          <w:lang w:bidi="fa-IR"/>
        </w:rPr>
        <w:t> من الأقارب</w:t>
      </w:r>
      <w:r>
        <w:rPr>
          <w:rStyle w:val="FootnoteAnchor"/>
          <w:rtl w:val="true"/>
        </w:rPr>
        <w:footnoteReference w:id="157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3"/>
        <w:numPr>
          <w:ilvl w:val="2"/>
          <w:numId w:val="1"/>
        </w:numPr>
        <w:rPr/>
      </w:pPr>
      <w:bookmarkStart w:id="741" w:name="__RefHeading___Toc1955376_2322387425"/>
      <w:bookmarkStart w:id="742" w:name="_Toc281"/>
      <w:bookmarkEnd w:id="741"/>
      <w:r>
        <w:rPr>
          <w:rtl w:val="true"/>
        </w:rPr>
        <w:t>إذا تعدّد الولی أو تبرّع متبرّع عن المتوفّی</w:t>
      </w:r>
      <w:bookmarkEnd w:id="74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تعدّد الولیّ</w:t>
      </w:r>
      <w:r>
        <w:rPr>
          <w:rStyle w:val="FootnoteAnchor"/>
          <w:rtl w:val="true"/>
        </w:rPr>
        <w:footnoteReference w:id="1573"/>
      </w:r>
      <w:r>
        <w:rPr>
          <w:rFonts w:ascii="IRNazanin" w:hAnsi="IRNazanin" w:eastAsia="IRNazanin"/>
          <w:color w:val="111111"/>
          <w:sz w:val="28"/>
          <w:sz w:val="28"/>
          <w:szCs w:val="28"/>
          <w:rtl w:val="true"/>
          <w:lang w:bidi="fa-IR"/>
        </w:rPr>
        <w:t> اشترکا</w:t>
      </w:r>
      <w:r>
        <w:rPr>
          <w:rStyle w:val="FootnoteAnchor"/>
          <w:rtl w:val="true"/>
        </w:rPr>
        <w:footnoteReference w:id="1574"/>
      </w:r>
      <w:r>
        <w:rPr>
          <w:rFonts w:ascii="IRNazanin" w:hAnsi="IRNazanin" w:eastAsia="IRNazanin"/>
          <w:color w:val="111111"/>
          <w:sz w:val="28"/>
          <w:sz w:val="28"/>
          <w:szCs w:val="28"/>
          <w:rtl w:val="true"/>
          <w:lang w:bidi="fa-IR"/>
        </w:rPr>
        <w:t xml:space="preserve">، وإن تحمّل أحدهما کفی عن </w:t>
      </w:r>
      <w:bookmarkStart w:id="743" w:name="pg13281_119975"/>
    </w:p>
    <w:p>
      <w:pPr>
        <w:pStyle w:val="BookText"/>
        <w:rPr/>
      </w:pPr>
      <w:bookmarkEnd w:id="743"/>
      <w:r>
        <w:rPr>
          <w:rFonts w:ascii="Amiri" w:hAnsi="Amiri" w:eastAsia="Amiri" w:cs="Amiri"/>
          <w:color w:val="111111"/>
          <w:sz w:val="28"/>
          <w:sz w:val="28"/>
          <w:szCs w:val="28"/>
          <w:rtl w:val="true"/>
          <w:lang w:bidi="ar-SA"/>
        </w:rPr>
        <w:t>الآخر، کما أنّه لو تبرّع أجنبیّ سقط عن الولیّ</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955378_2322387425"/>
      <w:bookmarkStart w:id="745" w:name="_Toc282"/>
      <w:bookmarkEnd w:id="744"/>
      <w:r>
        <w:rPr>
          <w:rtl w:val="true"/>
        </w:rPr>
        <w:t>فروع فی ما یجب علی الولی من قضاء الصوم عن المیّت</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للولیّ أن یستأجر مَن یصوم عن المیّت، وأن یأتی به مباشرةً، وإذا استأجر ولم یأتِ به المؤجَر</w:t>
      </w:r>
      <w:r>
        <w:rPr>
          <w:rStyle w:val="FootnoteAnchor"/>
          <w:rtl w:val="true"/>
        </w:rPr>
        <w:footnoteReference w:id="1575"/>
      </w:r>
      <w:r>
        <w:rPr>
          <w:rFonts w:ascii="IRNazanin" w:hAnsi="IRNazanin" w:eastAsia="IRNazanin"/>
          <w:color w:val="111111"/>
          <w:sz w:val="28"/>
          <w:sz w:val="28"/>
          <w:szCs w:val="28"/>
          <w:rtl w:val="true"/>
          <w:lang w:bidi="fa-IR"/>
        </w:rPr>
        <w:t> أو أتی به باطلاً لم یسقط عن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الولیّ فی اشتغال ذمّة المیّت وعدمه لم یجب</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علیه شیء، ولو علم به إجمالاً وتردّد بین الأقلّ والأکثر جاز له الاقتصار علی</w:t>
      </w:r>
      <w:r>
        <w:rPr>
          <w:rStyle w:val="FootnoteAnchor"/>
          <w:rtl w:val="true"/>
        </w:rPr>
        <w:footnoteReference w:id="1577"/>
      </w:r>
      <w:r>
        <w:rPr>
          <w:rFonts w:ascii="Amiri" w:hAnsi="Amiri" w:eastAsia="Amiri" w:cs="Amiri"/>
          <w:color w:val="111111"/>
          <w:sz w:val="28"/>
          <w:sz w:val="28"/>
          <w:szCs w:val="28"/>
          <w:rtl w:val="true"/>
          <w:lang w:bidi="ar-SA"/>
        </w:rPr>
        <w:t> 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المیّت باستئجار ما علیه من الصوم أو الصلاة سقط عن الولیّ، بشرط أداء</w:t>
      </w:r>
      <w:r>
        <w:rPr>
          <w:rStyle w:val="FootnoteAnchor"/>
          <w:rtl w:val="true"/>
        </w:rPr>
        <w:footnoteReference w:id="1578"/>
      </w:r>
      <w:r>
        <w:rPr>
          <w:rFonts w:ascii="IRNazanin" w:hAnsi="IRNazanin" w:eastAsia="IRNazanin"/>
          <w:color w:val="111111"/>
          <w:sz w:val="28"/>
          <w:sz w:val="28"/>
          <w:szCs w:val="28"/>
          <w:rtl w:val="true"/>
          <w:lang w:bidi="fa-IR"/>
        </w:rPr>
        <w:t> الأجیر</w:t>
      </w:r>
      <w:r>
        <w:rPr>
          <w:rStyle w:val="FootnoteAnchor"/>
          <w:rtl w:val="true"/>
        </w:rPr>
        <w:footnoteReference w:id="1579"/>
      </w:r>
      <w:r>
        <w:rPr>
          <w:rFonts w:ascii="Amiri" w:hAnsi="Amiri" w:eastAsia="Amiri" w:cs="Amiri"/>
          <w:color w:val="111111"/>
          <w:sz w:val="28"/>
          <w:sz w:val="28"/>
          <w:szCs w:val="28"/>
          <w:rtl w:val="true"/>
          <w:lang w:bidi="ar-SA"/>
        </w:rPr>
        <w:t> صحیحاً</w:t>
      </w:r>
      <w:r>
        <w:rPr>
          <w:rStyle w:val="FootnoteAnchor"/>
          <w:rtl w:val="true"/>
        </w:rPr>
        <w:footnoteReference w:id="1580"/>
      </w:r>
      <w:r>
        <w:rPr>
          <w:rFonts w:ascii="IRNazanin" w:hAnsi="IRNazanin" w:eastAsia="IRNazanin"/>
          <w:color w:val="111111"/>
          <w:sz w:val="28"/>
          <w:sz w:val="28"/>
          <w:szCs w:val="28"/>
          <w:rtl w:val="true"/>
          <w:lang w:bidi="fa-IR"/>
        </w:rPr>
        <w:t>، وإلّا وجب علیه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یجب علی الولیّ قضاء ما علم اشتغال ذمّة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المیّت به، أو شهدت به البیّنة، أو أقرّ به</w:t>
      </w:r>
      <w:r>
        <w:rPr>
          <w:rStyle w:val="FootnoteAnchor"/>
          <w:rtl w:val="true"/>
        </w:rPr>
        <w:footnoteReference w:id="1581"/>
      </w:r>
      <w:r>
        <w:rPr>
          <w:rFonts w:ascii="IRNazanin" w:hAnsi="IRNazanin" w:eastAsia="IRNazanin"/>
          <w:color w:val="111111"/>
          <w:sz w:val="28"/>
          <w:sz w:val="28"/>
          <w:szCs w:val="28"/>
          <w:rtl w:val="true"/>
          <w:lang w:bidi="fa-IR"/>
        </w:rPr>
        <w:t> عند</w:t>
      </w:r>
      <w:r>
        <w:rPr>
          <w:rStyle w:val="FootnoteAnchor"/>
          <w:rtl w:val="true"/>
        </w:rPr>
        <w:footnoteReference w:id="1582"/>
      </w:r>
      <w:r>
        <w:rPr>
          <w:rFonts w:ascii="IRNazanin" w:hAnsi="IRNazanin" w:eastAsia="IRNazanin"/>
          <w:color w:val="111111"/>
          <w:sz w:val="28"/>
          <w:sz w:val="28"/>
          <w:szCs w:val="28"/>
          <w:rtl w:val="true"/>
          <w:lang w:bidi="fa-IR"/>
        </w:rPr>
        <w:t> موته</w:t>
      </w:r>
      <w:r>
        <w:rPr>
          <w:rStyle w:val="FootnoteAnchor"/>
          <w:rtl w:val="true"/>
        </w:rPr>
        <w:footnoteReference w:id="1583"/>
      </w:r>
      <w:r>
        <w:rPr>
          <w:rFonts w:ascii="IRNazanin" w:hAnsi="IRNazanin" w:eastAsia="IRNazanin"/>
          <w:color w:val="111111"/>
          <w:sz w:val="28"/>
          <w:sz w:val="28"/>
          <w:szCs w:val="28"/>
          <w:rtl w:val="true"/>
          <w:lang w:bidi="fa-IR"/>
        </w:rPr>
        <w:t>، وأمّا لو علم أنّه کان علیه القضاء وشکّ فی إتیانه حال حیاته أو بقاء شغل ذمّته فالظاهر</w:t>
      </w:r>
      <w:r>
        <w:rPr>
          <w:rStyle w:val="FootnoteAnchor"/>
          <w:rtl w:val="true"/>
        </w:rPr>
        <w:footnoteReference w:id="1584"/>
      </w:r>
      <w:r>
        <w:rPr>
          <w:rFonts w:ascii="IRNazanin" w:hAnsi="IRNazanin" w:eastAsia="IRNazanin"/>
          <w:color w:val="111111"/>
          <w:sz w:val="28"/>
          <w:sz w:val="28"/>
          <w:szCs w:val="28"/>
          <w:rtl w:val="true"/>
          <w:lang w:bidi="fa-IR"/>
        </w:rPr>
        <w:t> عدم</w:t>
      </w:r>
      <w:r>
        <w:rPr>
          <w:rStyle w:val="FootnoteAnchor"/>
          <w:rtl w:val="true"/>
        </w:rPr>
        <w:footnoteReference w:id="1585"/>
      </w:r>
      <w:r>
        <w:rPr>
          <w:rFonts w:ascii="IRNazanin" w:hAnsi="IRNazanin" w:eastAsia="IRNazanin"/>
          <w:color w:val="111111"/>
          <w:sz w:val="28"/>
          <w:sz w:val="28"/>
          <w:szCs w:val="28"/>
          <w:rtl w:val="true"/>
          <w:lang w:bidi="fa-IR"/>
        </w:rPr>
        <w:t> الوجوب</w:t>
      </w:r>
      <w:r>
        <w:rPr>
          <w:rStyle w:val="FootnoteAnchor"/>
          <w:rtl w:val="true"/>
        </w:rPr>
        <w:footnoteReference w:id="158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1587"/>
      </w:r>
      <w:r>
        <w:rPr>
          <w:rFonts w:ascii="IRNazanin" w:hAnsi="IRNazanin" w:eastAsia="IRNazanin"/>
          <w:color w:val="111111"/>
          <w:sz w:val="28"/>
          <w:sz w:val="28"/>
          <w:szCs w:val="28"/>
          <w:rtl w:val="true"/>
          <w:lang w:bidi="fa-IR"/>
        </w:rPr>
        <w:t> باستصحاب</w:t>
      </w:r>
      <w:r>
        <w:rPr>
          <w:rStyle w:val="FootnoteAnchor"/>
          <w:rtl w:val="true"/>
        </w:rPr>
        <w:footnoteReference w:id="1588"/>
      </w:r>
      <w:r>
        <w:rPr>
          <w:rFonts w:ascii="IRNazanin" w:hAnsi="IRNazanin" w:eastAsia="IRNazanin"/>
          <w:color w:val="111111"/>
          <w:sz w:val="28"/>
          <w:sz w:val="28"/>
          <w:szCs w:val="28"/>
          <w:rtl w:val="true"/>
          <w:lang w:bidi="fa-IR"/>
        </w:rPr>
        <w:t xml:space="preserve"> بقائه، نعم، لو شکّ هو فی حال حیاته </w:t>
      </w:r>
      <w:bookmarkStart w:id="746" w:name="pg13281_119978"/>
    </w:p>
    <w:p>
      <w:pPr>
        <w:pStyle w:val="BookText"/>
        <w:rPr/>
      </w:pPr>
      <w:bookmarkEnd w:id="746"/>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وأجری</w:t>
      </w:r>
      <w:r>
        <w:rPr>
          <w:rStyle w:val="FootnoteAnchor"/>
          <w:rtl w:val="true"/>
        </w:rPr>
        <w:footnoteReference w:id="1589"/>
      </w:r>
      <w:r>
        <w:rPr>
          <w:rFonts w:ascii="IRNazanin" w:hAnsi="IRNazanin" w:eastAsia="IRNazanin"/>
          <w:color w:val="111111"/>
          <w:sz w:val="28"/>
          <w:sz w:val="28"/>
          <w:szCs w:val="28"/>
          <w:rtl w:val="true"/>
          <w:lang w:bidi="fa-IR"/>
        </w:rPr>
        <w:t> الاستصحاب أو قاعدة الشغل ولم یأتِ به حتّی مات فالظاهر وجوبه</w:t>
      </w:r>
      <w:r>
        <w:rPr>
          <w:rStyle w:val="FootnoteAnchor"/>
          <w:rtl w:val="true"/>
        </w:rPr>
        <w:footnoteReference w:id="1590"/>
      </w:r>
      <w:r>
        <w:rPr>
          <w:rFonts w:ascii="Amiri" w:hAnsi="Amiri" w:eastAsia="Amiri" w:cs="Amiri"/>
          <w:color w:val="111111"/>
          <w:sz w:val="28"/>
          <w:sz w:val="28"/>
          <w:szCs w:val="28"/>
          <w:rtl w:val="true"/>
          <w:lang w:bidi="ar-SA"/>
        </w:rPr>
        <w:t> علی الولیّ</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955380_2322387425"/>
      <w:bookmarkStart w:id="748" w:name="_Toc283"/>
      <w:bookmarkEnd w:id="747"/>
      <w:r>
        <w:rPr>
          <w:rtl w:val="true"/>
        </w:rPr>
        <w:t>قضاء غیر رمضان من الصوم الواجب علی المتوفّی</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اختصاص ما وجب علی الولیّ بقضاء شهر رمضان أو عمومه لکلّ صوم واجب قولان، مقتضی إطلاق بعض الأخبار الثانی، وهو الأحوط</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1955382_2322387425"/>
      <w:bookmarkStart w:id="750" w:name="_Toc284"/>
      <w:bookmarkEnd w:id="749"/>
      <w:r>
        <w:rPr>
          <w:rtl w:val="true"/>
        </w:rPr>
        <w:t>فروع فی قضاء شهر رمضان وغیره من الصوم الواجب عن نفسه وغیره</w:t>
      </w:r>
      <w:bookmarkEnd w:id="7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للصائم قضاء شهر رمضان إذا کان عن نفسه </w:t>
      </w:r>
    </w:p>
    <w:p>
      <w:pPr>
        <w:pStyle w:val="BookText"/>
        <w:rPr/>
      </w:pPr>
      <w:r>
        <w:rPr>
          <w:rFonts w:ascii="IRNazanin" w:hAnsi="IRNazanin" w:eastAsia="IRNazanin"/>
          <w:color w:val="111111"/>
          <w:sz w:val="28"/>
          <w:sz w:val="28"/>
          <w:szCs w:val="28"/>
          <w:rtl w:val="true"/>
          <w:lang w:bidi="fa-IR"/>
        </w:rPr>
        <w:t>الإفطار بعد الزوال، بل تجب</w:t>
      </w:r>
      <w:r>
        <w:rPr>
          <w:rStyle w:val="FootnoteAnchor"/>
          <w:rtl w:val="true"/>
        </w:rPr>
        <w:footnoteReference w:id="1593"/>
      </w:r>
      <w:r>
        <w:rPr>
          <w:rFonts w:ascii="IRNazanin" w:hAnsi="IRNazanin" w:eastAsia="IRNazanin"/>
          <w:color w:val="111111"/>
          <w:sz w:val="28"/>
          <w:sz w:val="28"/>
          <w:szCs w:val="28"/>
          <w:rtl w:val="true"/>
          <w:lang w:bidi="fa-IR"/>
        </w:rPr>
        <w:t> علیه الکفّارة به، وهی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w:t>
      </w:r>
    </w:p>
    <w:p>
      <w:pPr>
        <w:pStyle w:val="BookText"/>
        <w:rPr/>
      </w:pPr>
      <w:r>
        <w:rPr>
          <w:rFonts w:ascii="IRNazanin" w:hAnsi="IRNazanin" w:eastAsia="IRNazanin"/>
          <w:color w:val="111111"/>
          <w:sz w:val="28"/>
          <w:sz w:val="28"/>
          <w:szCs w:val="28"/>
          <w:rtl w:val="true"/>
          <w:lang w:bidi="fa-IR"/>
        </w:rPr>
        <w:t>عشرة مساکین لکلِّ مسکین مُدّ، ومع العجز عنه صیام ثلاثة أیّام، وأمّا إذا کان عن غیره بإجارة أو تبرّع فالأقوی جوازه</w:t>
      </w:r>
      <w:r>
        <w:rPr>
          <w:rStyle w:val="FootnoteAnchor"/>
          <w:rtl w:val="true"/>
        </w:rPr>
        <w:footnoteReference w:id="1594"/>
      </w:r>
      <w:r>
        <w:rPr>
          <w:rFonts w:ascii="IRNazanin" w:hAnsi="IRNazanin" w:eastAsia="IRNazanin"/>
          <w:color w:val="111111"/>
          <w:sz w:val="28"/>
          <w:sz w:val="28"/>
          <w:szCs w:val="28"/>
          <w:rtl w:val="true"/>
          <w:lang w:bidi="fa-IR"/>
        </w:rPr>
        <w:t>، وإن کان الأحوط</w:t>
      </w:r>
      <w:r>
        <w:rPr>
          <w:rStyle w:val="FootnoteAnchor"/>
          <w:rtl w:val="true"/>
        </w:rPr>
        <w:footnoteReference w:id="1595"/>
      </w:r>
      <w:r>
        <w:rPr>
          <w:rFonts w:ascii="IRNazanin" w:hAnsi="IRNazanin" w:eastAsia="IRNazanin"/>
          <w:color w:val="111111"/>
          <w:sz w:val="28"/>
          <w:sz w:val="28"/>
          <w:szCs w:val="28"/>
          <w:rtl w:val="true"/>
          <w:lang w:bidi="fa-IR"/>
        </w:rPr>
        <w:t>الترک</w:t>
      </w:r>
      <w:r>
        <w:rPr>
          <w:rStyle w:val="FootnoteAnchor"/>
          <w:rtl w:val="true"/>
        </w:rPr>
        <w:footnoteReference w:id="1596"/>
      </w:r>
      <w:r>
        <w:rPr>
          <w:rFonts w:ascii="IRNazanin" w:hAnsi="IRNazanin" w:eastAsia="IRNazanin"/>
          <w:color w:val="111111"/>
          <w:sz w:val="28"/>
          <w:sz w:val="28"/>
          <w:szCs w:val="28"/>
          <w:rtl w:val="true"/>
          <w:lang w:bidi="fa-IR"/>
        </w:rPr>
        <w:t>، کما أنّ الأقوی الجواز فی سائر أقسام الصوم الواجب الموسّع</w:t>
      </w:r>
      <w:r>
        <w:rPr>
          <w:rStyle w:val="FootnoteAnchor"/>
          <w:rtl w:val="true"/>
        </w:rPr>
        <w:footnoteReference w:id="1597"/>
      </w:r>
      <w:r>
        <w:rPr>
          <w:rFonts w:ascii="IRNazanin" w:hAnsi="IRNazanin" w:eastAsia="IRNazanin"/>
          <w:color w:val="111111"/>
          <w:sz w:val="28"/>
          <w:sz w:val="28"/>
          <w:szCs w:val="28"/>
          <w:rtl w:val="true"/>
          <w:lang w:bidi="fa-IR"/>
        </w:rPr>
        <w:t>، وإن کان الأحوط</w:t>
      </w:r>
      <w:r>
        <w:rPr>
          <w:rStyle w:val="FootnoteAnchor"/>
          <w:rtl w:val="true"/>
        </w:rPr>
        <w:footnoteReference w:id="1598"/>
      </w:r>
      <w:r>
        <w:rPr>
          <w:rFonts w:ascii="IRNazanin" w:hAnsi="IRNazanin" w:eastAsia="IRNazanin"/>
          <w:color w:val="111111"/>
          <w:sz w:val="28"/>
          <w:sz w:val="28"/>
          <w:szCs w:val="28"/>
          <w:rtl w:val="true"/>
          <w:lang w:bidi="fa-IR"/>
        </w:rPr>
        <w:t> الترک فیها</w:t>
      </w:r>
      <w:r>
        <w:rPr>
          <w:rStyle w:val="FootnoteAnchor"/>
          <w:rtl w:val="true"/>
        </w:rPr>
        <w:footnoteReference w:id="1599"/>
      </w:r>
      <w:r>
        <w:rPr>
          <w:rFonts w:ascii="Amiri" w:hAnsi="Amiri" w:eastAsia="Amiri" w:cs="Amiri"/>
          <w:color w:val="111111"/>
          <w:sz w:val="28"/>
          <w:sz w:val="28"/>
          <w:szCs w:val="28"/>
          <w:rtl w:val="true"/>
          <w:lang w:bidi="ar-SA"/>
        </w:rPr>
        <w:t> أیضاً</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الإفطار قبل الزوال فلا مانع منه حتّی فی قضاء شهر رمضان عن نفسه، إلّا مع التعیّن بالنذر أو الإجارة أو نحوهما، أو التضیّق بمجیء رمضان آخر إن قلنا بعدم جواز التأخیر إلیه، کما هو المشهور</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751" w:name="pg13281_119980"/>
    </w:p>
    <w:p>
      <w:pPr>
        <w:pStyle w:val="BookText"/>
        <w:rPr/>
      </w:pPr>
      <w:bookmarkEnd w:id="751"/>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الکفّارة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52" w:name="__RefHeading___Toc1955384_2322387425"/>
      <w:bookmarkStart w:id="753" w:name="_Toc285"/>
      <w:bookmarkEnd w:id="752"/>
      <w:r>
        <w:rPr>
          <w:rtl w:val="true"/>
        </w:rPr>
        <w:t>فصل</w:t>
      </w:r>
      <w:r>
        <w:rPr>
          <w:rtl w:val="true"/>
        </w:rPr>
        <w:t xml:space="preserve">: </w:t>
      </w:r>
      <w:r>
        <w:rPr>
          <w:rtl w:val="true"/>
        </w:rPr>
        <w:t>فی صوم الکفّارة</w:t>
      </w:r>
      <w:bookmarkEnd w:id="753"/>
    </w:p>
    <w:p>
      <w:pPr>
        <w:pStyle w:val="Heading3"/>
        <w:numPr>
          <w:ilvl w:val="2"/>
          <w:numId w:val="1"/>
        </w:numPr>
        <w:rPr/>
      </w:pPr>
      <w:bookmarkStart w:id="754" w:name="__RefHeading___Toc1955386_2322387425"/>
      <w:bookmarkStart w:id="755" w:name="_Toc286"/>
      <w:bookmarkEnd w:id="754"/>
      <w:r>
        <w:rPr>
          <w:rtl w:val="true"/>
        </w:rPr>
        <w:t>اشارة</w:t>
      </w:r>
      <w:bookmarkEnd w:id="75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Heading3"/>
        <w:numPr>
          <w:ilvl w:val="2"/>
          <w:numId w:val="1"/>
        </w:numPr>
        <w:rPr/>
      </w:pPr>
      <w:bookmarkStart w:id="756" w:name="__RefHeading___Toc1955388_2322387425"/>
      <w:bookmarkStart w:id="757" w:name="_Toc287"/>
      <w:bookmarkEnd w:id="756"/>
      <w:r>
        <w:rPr>
          <w:rtl w:val="true"/>
        </w:rPr>
        <w:t xml:space="preserve">منها </w:t>
      </w:r>
      <w:r>
        <w:rPr>
          <w:rtl w:val="true"/>
        </w:rPr>
        <w:t xml:space="preserve">: </w:t>
      </w:r>
      <w:r>
        <w:rPr>
          <w:rtl w:val="true"/>
        </w:rPr>
        <w:t>ما یجب الصوم مع غیره</w:t>
      </w:r>
      <w:bookmarkEnd w:id="757"/>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w:t>
      </w:r>
      <w:r>
        <w:rPr>
          <w:rStyle w:val="FootnoteAnchor"/>
          <w:rtl w:val="true"/>
        </w:rPr>
        <w:footnoteReference w:id="1602"/>
      </w:r>
      <w:r>
        <w:rPr>
          <w:rFonts w:ascii="IRNazanin" w:hAnsi="IRNazanin" w:eastAsia="IRNazanin"/>
          <w:color w:val="111111"/>
          <w:sz w:val="28"/>
          <w:sz w:val="28"/>
          <w:szCs w:val="28"/>
          <w:rtl w:val="true"/>
          <w:lang w:bidi="fa-IR"/>
        </w:rPr>
        <w:t> فیه الصوم مع غیره،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قتل العمد، وکفّارة مَن أفطر</w:t>
      </w:r>
      <w:r>
        <w:rPr>
          <w:rStyle w:val="FootnoteAnchor"/>
          <w:rtl w:val="true"/>
        </w:rPr>
        <w:footnoteReference w:id="1603"/>
      </w:r>
      <w:r>
        <w:rPr>
          <w:rFonts w:ascii="IRNazanin" w:hAnsi="IRNazanin" w:eastAsia="IRNazanin"/>
          <w:color w:val="111111"/>
          <w:sz w:val="28"/>
          <w:sz w:val="28"/>
          <w:szCs w:val="28"/>
          <w:rtl w:val="true"/>
          <w:lang w:bidi="fa-IR"/>
        </w:rPr>
        <w:t> علی</w:t>
      </w:r>
      <w:r>
        <w:rPr>
          <w:rStyle w:val="FootnoteAnchor"/>
          <w:rtl w:val="true"/>
        </w:rPr>
        <w:footnoteReference w:id="1604"/>
      </w:r>
      <w:r>
        <w:rPr>
          <w:rFonts w:ascii="Amiri" w:hAnsi="Amiri" w:eastAsia="Amiri" w:cs="Amiri"/>
          <w:color w:val="111111"/>
          <w:sz w:val="28"/>
          <w:sz w:val="28"/>
          <w:szCs w:val="28"/>
          <w:rtl w:val="true"/>
          <w:lang w:bidi="ar-SA"/>
        </w:rPr>
        <w:t> محرَّمٍ</w:t>
      </w:r>
      <w:r>
        <w:rPr>
          <w:rStyle w:val="FootnoteAnchor"/>
          <w:rtl w:val="true"/>
        </w:rPr>
        <w:footnoteReference w:id="1605"/>
      </w:r>
      <w:r>
        <w:rPr>
          <w:rFonts w:ascii="IRNazanin" w:hAnsi="IRNazanin" w:eastAsia="IRNazanin"/>
          <w:color w:val="111111"/>
          <w:sz w:val="28"/>
          <w:sz w:val="28"/>
          <w:szCs w:val="28"/>
          <w:rtl w:val="true"/>
          <w:lang w:bidi="fa-IR"/>
        </w:rPr>
        <w:t> فی شهر رمضان</w:t>
      </w:r>
      <w:r>
        <w:rPr>
          <w:rStyle w:val="FootnoteAnchor"/>
          <w:rtl w:val="true"/>
        </w:rPr>
        <w:footnoteReference w:id="1606"/>
      </w:r>
      <w:r>
        <w:rPr>
          <w:rFonts w:ascii="IRNazanin" w:hAnsi="IRNazanin" w:eastAsia="IRNazanin"/>
          <w:color w:val="111111"/>
          <w:sz w:val="28"/>
          <w:sz w:val="28"/>
          <w:szCs w:val="28"/>
          <w:rtl w:val="true"/>
          <w:lang w:bidi="fa-IR"/>
        </w:rPr>
        <w:t>، فإنّه تجب فیهما</w:t>
      </w:r>
      <w:r>
        <w:rPr>
          <w:rStyle w:val="FootnoteAnchor"/>
          <w:rtl w:val="true"/>
        </w:rPr>
        <w:footnoteReference w:id="1607"/>
      </w:r>
      <w:r>
        <w:rPr>
          <w:rFonts w:ascii="IRNazanin" w:hAnsi="IRNazanin" w:eastAsia="IRNazanin"/>
          <w:color w:val="111111"/>
          <w:sz w:val="28"/>
          <w:sz w:val="28"/>
          <w:szCs w:val="28"/>
          <w:rtl w:val="true"/>
          <w:lang w:bidi="fa-IR"/>
        </w:rPr>
        <w:t>الخصال</w:t>
      </w:r>
      <w:r>
        <w:rPr>
          <w:rStyle w:val="FootnoteAnchor"/>
          <w:rtl w:val="true"/>
        </w:rPr>
        <w:footnoteReference w:id="1608"/>
      </w:r>
      <w:r>
        <w:rPr>
          <w:rFonts w:ascii="IRNazanin" w:hAnsi="IRNazanin" w:eastAsia="IRNazanin"/>
          <w:color w:val="111111"/>
          <w:sz w:val="28"/>
          <w:sz w:val="28"/>
          <w:szCs w:val="28"/>
          <w:rtl w:val="true"/>
          <w:lang w:bidi="fa-IR"/>
        </w:rPr>
        <w:t> الثلاث</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955390_2322387425"/>
      <w:bookmarkStart w:id="759" w:name="_Toc288"/>
      <w:bookmarkEnd w:id="758"/>
      <w:r>
        <w:rPr>
          <w:rtl w:val="true"/>
        </w:rPr>
        <w:t xml:space="preserve">ومنها </w:t>
      </w:r>
      <w:r>
        <w:rPr>
          <w:rtl w:val="true"/>
        </w:rPr>
        <w:t xml:space="preserve">: </w:t>
      </w:r>
      <w:r>
        <w:rPr>
          <w:rtl w:val="true"/>
        </w:rPr>
        <w:t>ما یجب فیه الصوم بعد الفجر عن غیره</w:t>
      </w:r>
      <w:bookmarkEnd w:id="759"/>
    </w:p>
    <w:p>
      <w:pPr>
        <w:pStyle w:val="Heading4"/>
        <w:numPr>
          <w:ilvl w:val="3"/>
          <w:numId w:val="1"/>
        </w:numPr>
        <w:rPr/>
      </w:pPr>
      <w:bookmarkStart w:id="760" w:name="__RefHeading___Toc1955392_2322387425"/>
      <w:bookmarkStart w:id="761" w:name="_Toc289"/>
      <w:bookmarkEnd w:id="760"/>
      <w:r>
        <w:rPr>
          <w:rtl w:val="true"/>
        </w:rPr>
        <w:t>کفّارة الظهار وقتل الخطأ والإفطار فی قضاء شهر رمضان والیمین</w:t>
      </w:r>
      <w:bookmarkEnd w:id="76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بعد العجز عن غیره،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 وکفّارة قتل الخطأ فإنّ وجوب الصوم فیهما بعد العجز عن العتق</w:t>
      </w:r>
      <w:r>
        <w:rPr>
          <w:rFonts w:eastAsia="IRNazanin" w:cs="IRNazanin"/>
          <w:color w:val="111111"/>
          <w:sz w:val="28"/>
          <w:szCs w:val="28"/>
          <w:rtl w:val="true"/>
          <w:lang w:bidi="fa-IR"/>
        </w:rPr>
        <w:t xml:space="preserve">. </w:t>
      </w:r>
      <w:bookmarkStart w:id="762" w:name="pg13281_119981"/>
    </w:p>
    <w:p>
      <w:pPr>
        <w:pStyle w:val="BookText"/>
        <w:rPr/>
      </w:pPr>
      <w:bookmarkEnd w:id="762"/>
      <w:r>
        <w:rPr>
          <w:rFonts w:ascii="IRNazanin" w:hAnsi="IRNazanin" w:eastAsia="IRNazanin"/>
          <w:color w:val="111111"/>
          <w:sz w:val="28"/>
          <w:sz w:val="28"/>
          <w:szCs w:val="28"/>
          <w:rtl w:val="true"/>
          <w:lang w:bidi="fa-IR"/>
        </w:rPr>
        <w:t>وکفّارة الإفطار فی قضاء رمضان فإنّ الصوم فیها بعد العجز عن الإطعام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الیمین،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إطعام عشرة مساکین، أو کسوتهم، وبعد العجز عنها فصیام ثلاثة أیّام</w:t>
      </w:r>
      <w:r>
        <w:rPr>
          <w:rFonts w:eastAsia="IRNazanin" w:cs="IRNazanin"/>
          <w:color w:val="111111"/>
          <w:sz w:val="28"/>
          <w:szCs w:val="28"/>
          <w:rtl w:val="true"/>
          <w:lang w:bidi="fa-IR"/>
        </w:rPr>
        <w:t>.</w:t>
      </w:r>
    </w:p>
    <w:p>
      <w:pPr>
        <w:pStyle w:val="Heading3"/>
        <w:numPr>
          <w:ilvl w:val="2"/>
          <w:numId w:val="1"/>
        </w:numPr>
        <w:rPr/>
      </w:pPr>
      <w:bookmarkStart w:id="763" w:name="__RefHeading___Toc1955394_2322387425"/>
      <w:bookmarkStart w:id="764" w:name="_Toc290"/>
      <w:bookmarkEnd w:id="763"/>
      <w:r>
        <w:rPr>
          <w:rtl w:val="true"/>
        </w:rPr>
        <w:t>کفّارة صید النعامة والبقر الوحشی والغزال</w:t>
      </w:r>
      <w:bookmarkEnd w:id="7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وکفّارة صید النعامة</w:t>
      </w:r>
      <w:r>
        <w:rPr>
          <w:rStyle w:val="FootnoteAnchor"/>
          <w:rtl w:val="true"/>
        </w:rPr>
        <w:footnoteReference w:id="1610"/>
      </w:r>
      <w:r>
        <w:rPr>
          <w:rFonts w:ascii="IRNazanin" w:hAnsi="IRNazanin" w:eastAsia="IRNazanin"/>
          <w:color w:val="111111"/>
          <w:sz w:val="28"/>
          <w:sz w:val="28"/>
          <w:szCs w:val="28"/>
          <w:rtl w:val="true"/>
          <w:lang w:bidi="fa-IR"/>
        </w:rPr>
        <w:t>، وکفّارة صید البقر الوحشی، وکفّارة صید الغزال</w:t>
      </w:r>
      <w:r>
        <w:rPr>
          <w:rStyle w:val="FootnoteAnchor"/>
          <w:rtl w:val="true"/>
        </w:rPr>
        <w:footnoteReference w:id="1611"/>
      </w:r>
      <w:r>
        <w:rPr>
          <w:rFonts w:ascii="IRNazanin" w:hAnsi="IRNazanin" w:eastAsia="IRNazanin"/>
          <w:color w:val="111111"/>
          <w:sz w:val="28"/>
          <w:sz w:val="28"/>
          <w:szCs w:val="28"/>
          <w:rtl w:val="true"/>
          <w:lang w:bidi="fa-IR"/>
        </w:rPr>
        <w:t>، فإنَّ فی الأول تجب فیه بدنة</w:t>
      </w:r>
      <w:r>
        <w:rPr>
          <w:rStyle w:val="FootnoteAnchor"/>
          <w:rtl w:val="true"/>
        </w:rPr>
        <w:footnoteReference w:id="1612"/>
      </w:r>
      <w:r>
        <w:rPr>
          <w:rFonts w:ascii="IRNazanin" w:hAnsi="IRNazanin" w:eastAsia="IRNazanin"/>
          <w:color w:val="111111"/>
          <w:sz w:val="28"/>
          <w:sz w:val="28"/>
          <w:szCs w:val="28"/>
          <w:rtl w:val="true"/>
          <w:lang w:bidi="fa-IR"/>
        </w:rPr>
        <w:t>، ومع العجز عنها</w:t>
      </w:r>
      <w:r>
        <w:rPr>
          <w:rStyle w:val="FootnoteAnchor"/>
          <w:rtl w:val="true"/>
        </w:rPr>
        <w:footnoteReference w:id="1613"/>
      </w:r>
      <w:r>
        <w:rPr>
          <w:rFonts w:ascii="IRNazanin" w:hAnsi="IRNazanin" w:eastAsia="IRNazanin"/>
          <w:color w:val="111111"/>
          <w:sz w:val="28"/>
          <w:sz w:val="28"/>
          <w:szCs w:val="28"/>
          <w:rtl w:val="true"/>
          <w:lang w:bidi="fa-IR"/>
        </w:rPr>
        <w:t> صیام</w:t>
      </w:r>
      <w:r>
        <w:rPr>
          <w:rStyle w:val="FootnoteAnchor"/>
          <w:rtl w:val="true"/>
        </w:rPr>
        <w:footnoteReference w:id="161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ثمانیة عشر</w:t>
      </w:r>
      <w:r>
        <w:rPr>
          <w:rStyle w:val="FootnoteAnchor"/>
          <w:rtl w:val="true"/>
        </w:rPr>
        <w:footnoteReference w:id="1615"/>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یوماً</w:t>
      </w:r>
      <w:r>
        <w:rPr>
          <w:rStyle w:val="FootnoteAnchor"/>
          <w:rtl w:val="true"/>
        </w:rPr>
        <w:footnoteReference w:id="1616"/>
      </w:r>
      <w:r>
        <w:rPr>
          <w:rFonts w:ascii="IRNazanin" w:hAnsi="IRNazanin" w:eastAsia="IRNazanin"/>
          <w:color w:val="111111"/>
          <w:sz w:val="28"/>
          <w:sz w:val="28"/>
          <w:szCs w:val="28"/>
          <w:rtl w:val="true"/>
          <w:lang w:bidi="fa-IR"/>
        </w:rPr>
        <w:t>، وفی الثانی یجب ذبح بقرة</w:t>
      </w:r>
      <w:r>
        <w:rPr>
          <w:rStyle w:val="FootnoteAnchor"/>
          <w:rtl w:val="true"/>
        </w:rPr>
        <w:footnoteReference w:id="1617"/>
      </w:r>
      <w:r>
        <w:rPr>
          <w:rFonts w:ascii="IRNazanin" w:hAnsi="IRNazanin" w:eastAsia="IRNazanin"/>
          <w:color w:val="111111"/>
          <w:sz w:val="28"/>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العجز</w:t>
      </w:r>
      <w:r>
        <w:rPr>
          <w:rStyle w:val="FootnoteAnchor"/>
          <w:rtl w:val="true"/>
        </w:rPr>
        <w:footnoteReference w:id="1618"/>
      </w:r>
      <w:r>
        <w:rPr>
          <w:rFonts w:ascii="IRNazanin" w:hAnsi="IRNazanin" w:eastAsia="IRNazanin"/>
          <w:color w:val="111111"/>
          <w:sz w:val="28"/>
          <w:sz w:val="28"/>
          <w:szCs w:val="28"/>
          <w:rtl w:val="true"/>
          <w:lang w:bidi="fa-IR"/>
        </w:rPr>
        <w:t> عنها</w:t>
      </w:r>
      <w:r>
        <w:rPr>
          <w:rStyle w:val="FootnoteAnchor"/>
          <w:rtl w:val="true"/>
        </w:rPr>
        <w:footnoteReference w:id="1619"/>
      </w:r>
      <w:r>
        <w:rPr>
          <w:rFonts w:ascii="Amiri" w:hAnsi="Amiri" w:eastAsia="Amiri" w:cs="Amiri"/>
          <w:color w:val="111111"/>
          <w:sz w:val="28"/>
          <w:sz w:val="28"/>
          <w:szCs w:val="28"/>
          <w:rtl w:val="true"/>
          <w:lang w:bidi="ar-SA"/>
        </w:rPr>
        <w:t> صوم تسعة</w:t>
      </w:r>
      <w:r>
        <w:rPr>
          <w:rStyle w:val="FootnoteAnchor"/>
          <w:rtl w:val="true"/>
        </w:rPr>
        <w:footnoteReference w:id="1620"/>
      </w:r>
      <w:r>
        <w:rPr>
          <w:rFonts w:ascii="Amiri" w:hAnsi="Amiri" w:eastAsia="Amiri" w:cs="Amiri"/>
          <w:color w:val="111111"/>
          <w:sz w:val="28"/>
          <w:sz w:val="28"/>
          <w:szCs w:val="28"/>
          <w:rtl w:val="true"/>
          <w:lang w:bidi="ar-SA"/>
        </w:rPr>
        <w:t> أیّام</w:t>
      </w:r>
      <w:r>
        <w:rPr>
          <w:rStyle w:val="FootnoteAnchor"/>
          <w:rtl w:val="true"/>
        </w:rPr>
        <w:footnoteReference w:id="1621"/>
      </w:r>
      <w:r>
        <w:rPr>
          <w:rFonts w:ascii="IRNazanin" w:hAnsi="IRNazanin" w:eastAsia="IRNazanin"/>
          <w:color w:val="111111"/>
          <w:sz w:val="28"/>
          <w:sz w:val="28"/>
          <w:szCs w:val="28"/>
          <w:rtl w:val="true"/>
          <w:lang w:bidi="fa-IR"/>
        </w:rPr>
        <w:t xml:space="preserve">، وفی الثالث یجب فیه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شاة</w:t>
      </w:r>
      <w:r>
        <w:rPr>
          <w:rStyle w:val="FootnoteAnchor"/>
          <w:rtl w:val="true"/>
        </w:rPr>
        <w:footnoteReference w:id="1622"/>
      </w:r>
      <w:r>
        <w:rPr>
          <w:rFonts w:ascii="IRNazanin" w:hAnsi="IRNazanin" w:eastAsia="IRNazanin"/>
          <w:color w:val="111111"/>
          <w:sz w:val="28"/>
          <w:sz w:val="28"/>
          <w:szCs w:val="28"/>
          <w:rtl w:val="true"/>
          <w:lang w:bidi="fa-IR"/>
        </w:rPr>
        <w:t>، ومع العجز</w:t>
      </w:r>
      <w:r>
        <w:rPr>
          <w:rStyle w:val="FootnoteAnchor"/>
          <w:rtl w:val="true"/>
        </w:rPr>
        <w:footnoteReference w:id="1623"/>
      </w:r>
      <w:r>
        <w:rPr>
          <w:rFonts w:ascii="IRNazanin" w:hAnsi="IRNazanin" w:eastAsia="IRNazanin"/>
          <w:color w:val="111111"/>
          <w:sz w:val="28"/>
          <w:sz w:val="28"/>
          <w:szCs w:val="28"/>
          <w:rtl w:val="true"/>
          <w:lang w:bidi="fa-IR"/>
        </w:rPr>
        <w:t> عنها</w:t>
      </w:r>
      <w:r>
        <w:rPr>
          <w:rStyle w:val="FootnoteAnchor"/>
          <w:rtl w:val="true"/>
        </w:rPr>
        <w:footnoteReference w:id="1624"/>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w:t>
      </w:r>
      <w:bookmarkStart w:id="765" w:name="pg13281_119986"/>
    </w:p>
    <w:p>
      <w:pPr>
        <w:pStyle w:val="BookText"/>
        <w:rPr/>
      </w:pPr>
      <w:bookmarkEnd w:id="765"/>
      <w:r>
        <w:rPr>
          <w:rFonts w:ascii="Amiri" w:hAnsi="Amiri" w:eastAsia="Amiri" w:cs="Amiri"/>
          <w:color w:val="111111"/>
          <w:sz w:val="28"/>
          <w:sz w:val="28"/>
          <w:szCs w:val="28"/>
          <w:rtl w:val="true"/>
          <w:lang w:bidi="ar-SA"/>
        </w:rPr>
        <w:t>صوم ثلاثة</w:t>
      </w:r>
      <w:r>
        <w:rPr>
          <w:rStyle w:val="FootnoteAnchor"/>
          <w:rtl w:val="true"/>
        </w:rPr>
        <w:footnoteReference w:id="1625"/>
      </w:r>
      <w:r>
        <w:rPr>
          <w:rFonts w:ascii="Amiri" w:hAnsi="Amiri" w:eastAsia="Amiri" w:cs="Amiri"/>
          <w:color w:val="111111"/>
          <w:sz w:val="28"/>
          <w:sz w:val="28"/>
          <w:szCs w:val="28"/>
          <w:rtl w:val="true"/>
          <w:lang w:bidi="ar-SA"/>
        </w:rPr>
        <w:t> أیّام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1955396_2322387425"/>
      <w:bookmarkStart w:id="767" w:name="_Toc291"/>
      <w:bookmarkEnd w:id="766"/>
      <w:r>
        <w:rPr>
          <w:rtl w:val="true"/>
        </w:rPr>
        <w:t>کفّارة الإفاضة من عرفات قبل الغروب عامداً</w:t>
      </w:r>
      <w:bookmarkEnd w:id="767"/>
    </w:p>
    <w:p>
      <w:pPr>
        <w:pStyle w:val="BookText"/>
        <w:rPr/>
      </w:pPr>
      <w:r>
        <w:rPr>
          <w:rFonts w:ascii="IRNazanin" w:hAnsi="IRNazanin" w:eastAsia="IRNazanin"/>
          <w:color w:val="111111"/>
          <w:sz w:val="28"/>
          <w:sz w:val="28"/>
          <w:szCs w:val="28"/>
          <w:rtl w:val="true"/>
          <w:lang w:bidi="fa-IR"/>
        </w:rPr>
        <w:t>وکفّارة الإفاضة من عرفات قبل الغروب عمداً وهی بدنة</w:t>
      </w:r>
      <w:r>
        <w:rPr>
          <w:rStyle w:val="FootnoteAnchor"/>
          <w:rtl w:val="true"/>
        </w:rPr>
        <w:footnoteReference w:id="1627"/>
      </w:r>
      <w:r>
        <w:rPr>
          <w:rFonts w:ascii="IRNazanin" w:hAnsi="IRNazanin" w:eastAsia="IRNazanin"/>
          <w:color w:val="111111"/>
          <w:sz w:val="28"/>
          <w:sz w:val="28"/>
          <w:szCs w:val="28"/>
          <w:rtl w:val="true"/>
          <w:lang w:bidi="fa-IR"/>
        </w:rPr>
        <w:t>، وبعد العجز</w:t>
      </w:r>
      <w:r>
        <w:rPr>
          <w:rStyle w:val="FootnoteAnchor"/>
          <w:rtl w:val="true"/>
        </w:rPr>
        <w:footnoteReference w:id="1628"/>
      </w:r>
      <w:r>
        <w:rPr>
          <w:rFonts w:ascii="IRNazanin" w:hAnsi="IRNazanin" w:eastAsia="IRNazanin"/>
          <w:color w:val="111111"/>
          <w:sz w:val="28"/>
          <w:sz w:val="28"/>
          <w:szCs w:val="28"/>
          <w:rtl w:val="true"/>
          <w:lang w:bidi="fa-IR"/>
        </w:rPr>
        <w:t> عنها صیام ثمانیة عشر یوماً</w:t>
      </w:r>
      <w:r>
        <w:rPr>
          <w:rFonts w:eastAsia="IRNazanin" w:cs="IRNazanin"/>
          <w:color w:val="111111"/>
          <w:sz w:val="28"/>
          <w:szCs w:val="28"/>
          <w:rtl w:val="true"/>
          <w:lang w:bidi="fa-IR"/>
        </w:rPr>
        <w:t>.</w:t>
      </w:r>
    </w:p>
    <w:p>
      <w:pPr>
        <w:pStyle w:val="Heading3"/>
        <w:numPr>
          <w:ilvl w:val="2"/>
          <w:numId w:val="1"/>
        </w:numPr>
        <w:rPr/>
      </w:pPr>
      <w:bookmarkStart w:id="768" w:name="__RefHeading___Toc1955398_2322387425"/>
      <w:bookmarkStart w:id="769" w:name="_Toc292"/>
      <w:bookmarkEnd w:id="768"/>
      <w:r>
        <w:rPr>
          <w:rtl w:val="true"/>
        </w:rPr>
        <w:t>کفّارة خدش المرأة وجهها فی المصاب وشق الرجل ثوبه علی زوجته أو ولده</w:t>
      </w:r>
      <w:bookmarkEnd w:id="76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وکفّارة خدش</w:t>
      </w:r>
      <w:r>
        <w:rPr>
          <w:rStyle w:val="FootnoteAnchor"/>
          <w:rtl w:val="true"/>
        </w:rPr>
        <w:footnoteReference w:id="1629"/>
      </w:r>
      <w:r>
        <w:rPr>
          <w:rFonts w:ascii="Amiri" w:hAnsi="Amiri" w:eastAsia="Amiri" w:cs="Amiri"/>
          <w:color w:val="111111"/>
          <w:sz w:val="28"/>
          <w:sz w:val="28"/>
          <w:szCs w:val="28"/>
          <w:rtl w:val="true"/>
          <w:lang w:bidi="ar-SA"/>
        </w:rPr>
        <w:t> المرأة</w:t>
      </w:r>
      <w:r>
        <w:rPr>
          <w:rStyle w:val="FootnoteAnchor"/>
          <w:rtl w:val="true"/>
        </w:rPr>
        <w:footnoteReference w:id="1630"/>
      </w:r>
      <w:r>
        <w:rPr>
          <w:rFonts w:ascii="IRNazanin" w:hAnsi="IRNazanin" w:eastAsia="IRNazanin"/>
          <w:color w:val="111111"/>
          <w:sz w:val="28"/>
          <w:sz w:val="28"/>
          <w:szCs w:val="28"/>
          <w:rtl w:val="true"/>
          <w:lang w:bidi="fa-IR"/>
        </w:rPr>
        <w:t xml:space="preserve"> وجهها فی المصاب حتّی أدمته ونتفها </w:t>
      </w:r>
      <w:bookmarkStart w:id="770" w:name="pg13281_119987"/>
    </w:p>
    <w:p>
      <w:pPr>
        <w:pStyle w:val="BookText"/>
        <w:rPr/>
      </w:pPr>
      <w:bookmarkEnd w:id="770"/>
      <w:r>
        <w:rPr>
          <w:rFonts w:ascii="IRNazanin" w:hAnsi="IRNazanin" w:eastAsia="IRNazanin"/>
          <w:color w:val="111111"/>
          <w:sz w:val="28"/>
          <w:sz w:val="28"/>
          <w:szCs w:val="28"/>
          <w:rtl w:val="true"/>
          <w:lang w:bidi="fa-IR"/>
        </w:rPr>
        <w:t>رأسها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وکفّارة شقِّ الرجل ثوبه</w:t>
      </w:r>
      <w:r>
        <w:rPr>
          <w:rStyle w:val="FootnoteAnchor"/>
          <w:rtl w:val="true"/>
        </w:rPr>
        <w:footnoteReference w:id="1631"/>
      </w:r>
      <w:r>
        <w:rPr>
          <w:rFonts w:ascii="IRNazanin" w:hAnsi="IRNazanin" w:eastAsia="IRNazanin"/>
          <w:color w:val="111111"/>
          <w:sz w:val="28"/>
          <w:sz w:val="28"/>
          <w:szCs w:val="28"/>
          <w:rtl w:val="true"/>
          <w:lang w:bidi="fa-IR"/>
        </w:rPr>
        <w:t> علی زوجته أو ولده فإنّهما ککفّارة</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الیمین</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955400_2322387425"/>
      <w:bookmarkStart w:id="772" w:name="_Toc293"/>
      <w:bookmarkEnd w:id="771"/>
      <w:r>
        <w:rPr>
          <w:rtl w:val="true"/>
        </w:rPr>
        <w:t xml:space="preserve">ومنها </w:t>
      </w:r>
      <w:r>
        <w:rPr>
          <w:rtl w:val="true"/>
        </w:rPr>
        <w:t xml:space="preserve">: </w:t>
      </w:r>
      <w:r>
        <w:rPr>
          <w:rtl w:val="true"/>
        </w:rPr>
        <w:t>ما یجب فیه الصوم مخیّراً بینه وبین غیره</w:t>
      </w:r>
      <w:bookmarkEnd w:id="772"/>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مخیّراً بینه وبین غیره،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w:t>
      </w:r>
    </w:p>
    <w:p>
      <w:pPr>
        <w:pStyle w:val="Heading3"/>
        <w:numPr>
          <w:ilvl w:val="2"/>
          <w:numId w:val="1"/>
        </w:numPr>
        <w:rPr/>
      </w:pPr>
      <w:bookmarkStart w:id="773" w:name="__RefHeading___Toc1955402_2322387425"/>
      <w:bookmarkStart w:id="774" w:name="_Toc294"/>
      <w:bookmarkEnd w:id="773"/>
      <w:r>
        <w:rPr>
          <w:rtl w:val="true"/>
        </w:rPr>
        <w:t>کفّارة الإفطار فی شهر رمضان وکفّارة الاعتکاف وکفّارة النذر</w:t>
      </w:r>
      <w:bookmarkEnd w:id="774"/>
    </w:p>
    <w:p>
      <w:pPr>
        <w:pStyle w:val="BookText"/>
        <w:rPr/>
      </w:pPr>
      <w:r>
        <w:rPr>
          <w:rFonts w:ascii="IRNazanin" w:hAnsi="IRNazanin" w:eastAsia="IRNazanin"/>
          <w:color w:val="111111"/>
          <w:sz w:val="28"/>
          <w:sz w:val="28"/>
          <w:szCs w:val="28"/>
          <w:rtl w:val="true"/>
          <w:lang w:bidi="fa-IR"/>
        </w:rPr>
        <w:t>الإفطار فی شهر رمضان، وکفّارة الاعتکاف</w:t>
      </w:r>
      <w:r>
        <w:rPr>
          <w:rStyle w:val="FootnoteAnchor"/>
          <w:rtl w:val="true"/>
        </w:rPr>
        <w:footnoteReference w:id="1634"/>
      </w:r>
      <w:r>
        <w:rPr>
          <w:rFonts w:ascii="Amiri" w:hAnsi="Amiri" w:eastAsia="Amiri" w:cs="Amiri"/>
          <w:color w:val="111111"/>
          <w:sz w:val="28"/>
          <w:sz w:val="28"/>
          <w:szCs w:val="28"/>
          <w:rtl w:val="true"/>
          <w:lang w:bidi="ar-SA"/>
        </w:rPr>
        <w:t>، وکفّارة</w:t>
      </w:r>
      <w:r>
        <w:rPr>
          <w:rStyle w:val="FootnoteAnchor"/>
          <w:rtl w:val="true"/>
        </w:rPr>
        <w:footnoteReference w:id="1635"/>
      </w:r>
      <w:r>
        <w:rPr>
          <w:rFonts w:ascii="IRNazanin" w:hAnsi="IRNazanin" w:eastAsia="IRNazanin"/>
          <w:color w:val="111111"/>
          <w:sz w:val="28"/>
          <w:sz w:val="28"/>
          <w:szCs w:val="28"/>
          <w:rtl w:val="true"/>
          <w:lang w:bidi="fa-IR"/>
        </w:rPr>
        <w:t> النذر</w:t>
      </w:r>
      <w:r>
        <w:rPr>
          <w:rStyle w:val="FootnoteAnchor"/>
          <w:rtl w:val="true"/>
        </w:rPr>
        <w:footnoteReference w:id="163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5" w:name="pg13281_119988"/>
    </w:p>
    <w:p>
      <w:pPr>
        <w:pStyle w:val="BookText"/>
        <w:rPr/>
      </w:pPr>
      <w:bookmarkEnd w:id="775"/>
      <w:r>
        <w:rPr>
          <w:rFonts w:ascii="IRNazanin" w:hAnsi="IRNazanin" w:eastAsia="IRNazanin"/>
          <w:color w:val="111111"/>
          <w:sz w:val="28"/>
          <w:sz w:val="28"/>
          <w:szCs w:val="28"/>
          <w:rtl w:val="true"/>
          <w:lang w:bidi="fa-IR"/>
        </w:rPr>
        <w:t>والعهد</w:t>
      </w:r>
      <w:r>
        <w:rPr>
          <w:rStyle w:val="FootnoteAnchor"/>
          <w:rtl w:val="true"/>
        </w:rPr>
        <w:footnoteReference w:id="1637"/>
      </w:r>
      <w:r>
        <w:rPr>
          <w:rFonts w:ascii="Amiri" w:hAnsi="Amiri" w:eastAsia="Amiri" w:cs="Amiri"/>
          <w:color w:val="111111"/>
          <w:sz w:val="28"/>
          <w:sz w:val="28"/>
          <w:szCs w:val="28"/>
          <w:rtl w:val="true"/>
          <w:lang w:bidi="ar-SA"/>
        </w:rPr>
        <w:t>، وکفّارة جزّ المرأة</w:t>
      </w:r>
      <w:r>
        <w:rPr>
          <w:rStyle w:val="FootnoteAnchor"/>
          <w:rtl w:val="true"/>
        </w:rPr>
        <w:footnoteReference w:id="1638"/>
      </w:r>
      <w:r>
        <w:rPr>
          <w:rFonts w:ascii="IRNazanin" w:hAnsi="IRNazanin" w:eastAsia="IRNazanin"/>
          <w:color w:val="111111"/>
          <w:sz w:val="28"/>
          <w:sz w:val="28"/>
          <w:szCs w:val="28"/>
          <w:rtl w:val="true"/>
          <w:lang w:bidi="fa-IR"/>
        </w:rPr>
        <w:t> شعرها</w:t>
      </w:r>
      <w:r>
        <w:rPr>
          <w:rStyle w:val="FootnoteAnchor"/>
          <w:rtl w:val="true"/>
        </w:rPr>
        <w:footnoteReference w:id="1639"/>
      </w:r>
      <w:r>
        <w:rPr>
          <w:rFonts w:ascii="Amiri" w:hAnsi="Amiri" w:eastAsia="Amiri" w:cs="Amiri"/>
          <w:color w:val="111111"/>
          <w:sz w:val="28"/>
          <w:sz w:val="28"/>
          <w:szCs w:val="28"/>
          <w:rtl w:val="true"/>
          <w:lang w:bidi="ar-SA"/>
        </w:rPr>
        <w:t> فی المصاب، فإنّ کلّ هذه مخیّرة</w:t>
      </w:r>
    </w:p>
    <w:p>
      <w:pPr>
        <w:pStyle w:val="BookText"/>
        <w:rPr/>
      </w:pPr>
      <w:r>
        <w:rPr>
          <w:rFonts w:ascii="IRNazanin" w:hAnsi="IRNazanin" w:eastAsia="IRNazanin"/>
          <w:color w:val="111111"/>
          <w:sz w:val="28"/>
          <w:sz w:val="28"/>
          <w:szCs w:val="28"/>
          <w:rtl w:val="true"/>
          <w:lang w:bidi="fa-IR"/>
        </w:rPr>
        <w:t>بین الخصال الثلاث علی الأقوی</w:t>
      </w:r>
      <w:r>
        <w:rPr>
          <w:rFonts w:eastAsia="IRNazanin" w:cs="IRNazanin"/>
          <w:color w:val="111111"/>
          <w:sz w:val="28"/>
          <w:szCs w:val="28"/>
          <w:rtl w:val="true"/>
          <w:lang w:bidi="fa-IR"/>
        </w:rPr>
        <w:t>.</w:t>
      </w:r>
    </w:p>
    <w:p>
      <w:pPr>
        <w:pStyle w:val="Heading3"/>
        <w:numPr>
          <w:ilvl w:val="2"/>
          <w:numId w:val="1"/>
        </w:numPr>
        <w:rPr/>
      </w:pPr>
      <w:bookmarkStart w:id="776" w:name="__RefHeading___Toc1955404_2322387425"/>
      <w:bookmarkStart w:id="777" w:name="_Toc295"/>
      <w:bookmarkEnd w:id="776"/>
      <w:r>
        <w:rPr>
          <w:rtl w:val="true"/>
        </w:rPr>
        <w:t>کفّارة العهد وجزّ المرأة شعرها فی المصاب وحلق الرأس فی الإحرام</w:t>
      </w:r>
      <w:bookmarkEnd w:id="777"/>
    </w:p>
    <w:p>
      <w:pPr>
        <w:pStyle w:val="BookText"/>
        <w:rPr/>
      </w:pPr>
      <w:r>
        <w:rPr>
          <w:rFonts w:ascii="IRNazanin" w:hAnsi="IRNazanin" w:eastAsia="IRNazanin"/>
          <w:color w:val="111111"/>
          <w:sz w:val="28"/>
          <w:sz w:val="28"/>
          <w:szCs w:val="28"/>
          <w:rtl w:val="true"/>
          <w:lang w:bidi="fa-IR"/>
        </w:rPr>
        <w:t>وکفّارة حلق الرأس</w:t>
      </w:r>
      <w:r>
        <w:rPr>
          <w:rStyle w:val="FootnoteAnchor"/>
          <w:rtl w:val="true"/>
        </w:rPr>
        <w:footnoteReference w:id="1640"/>
      </w:r>
      <w:r>
        <w:rPr>
          <w:rFonts w:ascii="IRNazanin" w:hAnsi="IRNazanin" w:eastAsia="IRNazanin"/>
          <w:color w:val="111111"/>
          <w:sz w:val="28"/>
          <w:sz w:val="28"/>
          <w:szCs w:val="28"/>
          <w:rtl w:val="true"/>
          <w:lang w:bidi="fa-IR"/>
        </w:rPr>
        <w:t> فی الإحرام</w:t>
      </w:r>
      <w:r>
        <w:rPr>
          <w:rStyle w:val="FootnoteAnchor"/>
          <w:rtl w:val="true"/>
        </w:rPr>
        <w:footnoteReference w:id="1641"/>
      </w:r>
      <w:r>
        <w:rPr>
          <w:rFonts w:ascii="IRNazanin" w:hAnsi="IRNazanin" w:eastAsia="IRNazanin"/>
          <w:color w:val="111111"/>
          <w:sz w:val="28"/>
          <w:sz w:val="28"/>
          <w:szCs w:val="28"/>
          <w:rtl w:val="true"/>
          <w:lang w:bidi="fa-IR"/>
        </w:rPr>
        <w:t>، وهی دم شاة، أو صیام ثلاثة أیّام، أو التصدّق علی ستّة مساکین</w:t>
      </w:r>
      <w:r>
        <w:rPr>
          <w:rStyle w:val="FootnoteAnchor"/>
          <w:rtl w:val="true"/>
        </w:rPr>
        <w:footnoteReference w:id="1642"/>
      </w:r>
      <w:r>
        <w:rPr>
          <w:rFonts w:ascii="Amiri" w:hAnsi="Amiri" w:eastAsia="Amiri" w:cs="Amiri"/>
          <w:color w:val="111111"/>
          <w:sz w:val="28"/>
          <w:sz w:val="28"/>
          <w:szCs w:val="28"/>
          <w:rtl w:val="true"/>
          <w:lang w:bidi="ar-SA"/>
        </w:rPr>
        <w:t> لکلّ واحد مدّان</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955406_2322387425"/>
      <w:bookmarkStart w:id="779" w:name="_Toc296"/>
      <w:bookmarkEnd w:id="778"/>
      <w:r>
        <w:rPr>
          <w:rtl w:val="true"/>
        </w:rPr>
        <w:t xml:space="preserve">ومنها </w:t>
      </w:r>
      <w:r>
        <w:rPr>
          <w:rtl w:val="true"/>
        </w:rPr>
        <w:t xml:space="preserve">: </w:t>
      </w:r>
      <w:r>
        <w:rPr>
          <w:rtl w:val="true"/>
        </w:rPr>
        <w:t>ما یجب فیه الصوم مرتّباً علی غیره مخیّراً بینه وبین غیره</w:t>
      </w:r>
      <w:bookmarkEnd w:id="77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مرتّباً علی غیره مخیّراً بینه وبین غیره، وهی کفّارة الواطئ أمته المحرّمة بإذنه</w:t>
      </w:r>
      <w:r>
        <w:rPr>
          <w:rStyle w:val="FootnoteAnchor"/>
          <w:rtl w:val="true"/>
        </w:rPr>
        <w:footnoteReference w:id="1643"/>
      </w:r>
      <w:r>
        <w:rPr>
          <w:rFonts w:ascii="Amiri" w:hAnsi="Amiri" w:eastAsia="Amiri" w:cs="Amiri"/>
          <w:color w:val="111111"/>
          <w:sz w:val="28"/>
          <w:sz w:val="28"/>
          <w:szCs w:val="28"/>
          <w:rtl w:val="true"/>
          <w:lang w:bidi="ar-SA"/>
        </w:rPr>
        <w:t> فإنّها بدنة</w:t>
      </w:r>
      <w:r>
        <w:rPr>
          <w:rStyle w:val="FootnoteAnchor"/>
          <w:rtl w:val="true"/>
        </w:rPr>
        <w:footnoteReference w:id="1644"/>
      </w:r>
      <w:r>
        <w:rPr>
          <w:rFonts w:ascii="Amiri" w:hAnsi="Amiri" w:eastAsia="Amiri" w:cs="Amiri"/>
          <w:color w:val="111111"/>
          <w:sz w:val="28"/>
          <w:sz w:val="28"/>
          <w:szCs w:val="28"/>
          <w:rtl w:val="true"/>
          <w:lang w:bidi="ar-SA"/>
        </w:rPr>
        <w:t> أو بقرة</w:t>
      </w:r>
      <w:r>
        <w:rPr>
          <w:rStyle w:val="FootnoteAnchor"/>
          <w:rtl w:val="true"/>
        </w:rPr>
        <w:footnoteReference w:id="1645"/>
      </w:r>
      <w:r>
        <w:rPr>
          <w:rFonts w:ascii="IRNazanin" w:hAnsi="IRNazanin" w:eastAsia="IRNazanin"/>
          <w:color w:val="111111"/>
          <w:sz w:val="28"/>
          <w:sz w:val="28"/>
          <w:szCs w:val="28"/>
          <w:rtl w:val="true"/>
          <w:lang w:bidi="fa-IR"/>
        </w:rPr>
        <w:t xml:space="preserve">، ومع   </w:t>
      </w:r>
      <w:bookmarkStart w:id="780" w:name="pg13281_119989"/>
    </w:p>
    <w:p>
      <w:pPr>
        <w:pStyle w:val="BookText"/>
        <w:rPr/>
      </w:pPr>
      <w:bookmarkEnd w:id="780"/>
      <w:r>
        <w:rPr>
          <w:rFonts w:ascii="IRNazanin" w:hAnsi="IRNazanin" w:eastAsia="IRNazanin"/>
          <w:color w:val="111111"/>
          <w:sz w:val="28"/>
          <w:sz w:val="28"/>
          <w:szCs w:val="28"/>
          <w:rtl w:val="true"/>
          <w:lang w:bidi="fa-IR"/>
        </w:rPr>
        <w:t>العجز</w:t>
      </w:r>
      <w:r>
        <w:rPr>
          <w:rStyle w:val="FootnoteAnchor"/>
          <w:rtl w:val="true"/>
        </w:rPr>
        <w:footnoteReference w:id="1646"/>
      </w:r>
      <w:r>
        <w:rPr>
          <w:rFonts w:ascii="IRNazanin" w:hAnsi="IRNazanin" w:eastAsia="IRNazanin"/>
          <w:color w:val="111111"/>
          <w:sz w:val="28"/>
          <w:sz w:val="28"/>
          <w:szCs w:val="28"/>
          <w:rtl w:val="true"/>
          <w:lang w:bidi="fa-IR"/>
        </w:rPr>
        <w:t> فشاة أو صیام ثلاثة</w:t>
      </w:r>
      <w:r>
        <w:rPr>
          <w:rStyle w:val="FootnoteAnchor"/>
          <w:rtl w:val="true"/>
        </w:rPr>
        <w:footnoteReference w:id="1647"/>
      </w:r>
      <w:r>
        <w:rPr>
          <w:rFonts w:ascii="Amiri" w:hAnsi="Amiri" w:eastAsia="Amiri" w:cs="Amiri"/>
          <w:color w:val="111111"/>
          <w:sz w:val="28"/>
          <w:sz w:val="28"/>
          <w:szCs w:val="28"/>
          <w:rtl w:val="true"/>
          <w:lang w:bidi="ar-SA"/>
        </w:rPr>
        <w:t> أیّام</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955408_2322387425"/>
      <w:bookmarkStart w:id="782" w:name="_Toc297"/>
      <w:bookmarkEnd w:id="781"/>
      <w:r>
        <w:rPr>
          <w:rtl w:val="true"/>
        </w:rPr>
        <w:t>وجوب التتابع فیما وجب فی کفّارته صوم شهرین</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التتابع</w:t>
      </w:r>
      <w:r>
        <w:rPr>
          <w:rStyle w:val="FootnoteAnchor"/>
          <w:rtl w:val="true"/>
        </w:rPr>
        <w:footnoteReference w:id="1648"/>
      </w:r>
      <w:r>
        <w:rPr>
          <w:rFonts w:ascii="IRNazanin" w:hAnsi="IRNazanin" w:eastAsia="IRNazanin"/>
          <w:color w:val="111111"/>
          <w:sz w:val="28"/>
          <w:sz w:val="28"/>
          <w:szCs w:val="28"/>
          <w:rtl w:val="true"/>
          <w:lang w:bidi="fa-IR"/>
        </w:rPr>
        <w:t> فی</w:t>
      </w:r>
      <w:r>
        <w:rPr>
          <w:rStyle w:val="FootnoteAnchor"/>
          <w:rtl w:val="true"/>
        </w:rPr>
        <w:footnoteReference w:id="1649"/>
      </w:r>
      <w:r>
        <w:rPr>
          <w:rFonts w:ascii="IRNazanin" w:hAnsi="IRNazanin" w:eastAsia="IRNazanin"/>
          <w:color w:val="111111"/>
          <w:sz w:val="28"/>
          <w:sz w:val="28"/>
          <w:szCs w:val="28"/>
          <w:rtl w:val="true"/>
          <w:lang w:bidi="fa-IR"/>
        </w:rPr>
        <w:t> صوم شهرین من کفّارة</w:t>
      </w:r>
      <w:r>
        <w:rPr>
          <w:rStyle w:val="FootnoteAnchor"/>
          <w:rtl w:val="true"/>
        </w:rPr>
        <w:footnoteReference w:id="1650"/>
      </w:r>
      <w:r>
        <w:rPr>
          <w:rFonts w:ascii="IRNazanin" w:hAnsi="IRNazanin" w:eastAsia="IRNazanin"/>
          <w:color w:val="111111"/>
          <w:sz w:val="28"/>
          <w:sz w:val="28"/>
          <w:szCs w:val="28"/>
          <w:rtl w:val="true"/>
          <w:lang w:bidi="fa-IR"/>
        </w:rPr>
        <w:t> الجمع</w:t>
      </w:r>
      <w:r>
        <w:rPr>
          <w:rStyle w:val="FootnoteAnchor"/>
          <w:rtl w:val="true"/>
        </w:rPr>
        <w:footnoteReference w:id="1651"/>
      </w:r>
      <w:r>
        <w:rPr>
          <w:rFonts w:ascii="IRNazanin" w:hAnsi="IRNazanin" w:eastAsia="IRNazanin"/>
          <w:color w:val="111111"/>
          <w:sz w:val="28"/>
          <w:sz w:val="28"/>
          <w:szCs w:val="28"/>
          <w:rtl w:val="true"/>
          <w:lang w:bidi="fa-IR"/>
        </w:rPr>
        <w:t>أو کفّارة التخییر</w:t>
      </w:r>
      <w:r>
        <w:rPr>
          <w:rStyle w:val="FootnoteAnchor"/>
          <w:rtl w:val="true"/>
        </w:rPr>
        <w:footnoteReference w:id="1652"/>
      </w:r>
      <w:r>
        <w:rPr>
          <w:rFonts w:ascii="IRNazanin" w:hAnsi="IRNazanin" w:eastAsia="IRNazanin"/>
          <w:color w:val="111111"/>
          <w:sz w:val="28"/>
          <w:sz w:val="28"/>
          <w:szCs w:val="28"/>
          <w:rtl w:val="true"/>
          <w:lang w:bidi="fa-IR"/>
        </w:rPr>
        <w:t>، ویکفی فی حصول التتابع فیهما صوم الشهر الأوّل ویوم من الشهر الثانی</w:t>
      </w:r>
      <w:r>
        <w:rPr>
          <w:rFonts w:eastAsia="IRNazanin" w:cs="IRNazanin"/>
          <w:color w:val="111111"/>
          <w:sz w:val="28"/>
          <w:szCs w:val="28"/>
          <w:rtl w:val="true"/>
          <w:lang w:bidi="fa-IR"/>
        </w:rPr>
        <w:t>.</w:t>
      </w:r>
    </w:p>
    <w:p>
      <w:pPr>
        <w:pStyle w:val="Heading3"/>
        <w:numPr>
          <w:ilvl w:val="2"/>
          <w:numId w:val="1"/>
        </w:numPr>
        <w:rPr/>
      </w:pPr>
      <w:bookmarkStart w:id="783" w:name="__RefHeading___Toc1955410_2322387425"/>
      <w:bookmarkStart w:id="784" w:name="_Toc298"/>
      <w:bookmarkEnd w:id="783"/>
      <w:r>
        <w:rPr>
          <w:rtl w:val="true"/>
        </w:rPr>
        <w:t>التتابع فی الثمانیة عشر بدل الشهرین بل فی جمیع صوم الکفّارة</w:t>
      </w:r>
      <w:bookmarkEnd w:id="78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یجب</w:t>
      </w:r>
      <w:r>
        <w:rPr>
          <w:rStyle w:val="FootnoteAnchor"/>
          <w:rtl w:val="true"/>
        </w:rPr>
        <w:footnoteReference w:id="165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التتابع</w:t>
      </w:r>
      <w:r>
        <w:rPr>
          <w:rStyle w:val="FootnoteAnchor"/>
          <w:rtl w:val="true"/>
        </w:rPr>
        <w:footnoteReference w:id="1654"/>
      </w:r>
      <w:r>
        <w:rPr>
          <w:rFonts w:ascii="IRNazanin" w:hAnsi="IRNazanin" w:eastAsia="IRNazanin"/>
          <w:color w:val="111111"/>
          <w:sz w:val="28"/>
          <w:sz w:val="28"/>
          <w:szCs w:val="28"/>
          <w:rtl w:val="true"/>
          <w:lang w:bidi="fa-IR"/>
        </w:rPr>
        <w:t> فی الثمانیة عشر</w:t>
      </w:r>
      <w:r>
        <w:rPr>
          <w:rStyle w:val="FootnoteAnchor"/>
          <w:rtl w:val="true"/>
        </w:rPr>
        <w:footnoteReference w:id="1655"/>
      </w:r>
      <w:r>
        <w:rPr>
          <w:rFonts w:ascii="IRNazanin" w:hAnsi="IRNazanin" w:eastAsia="IRNazanin"/>
          <w:color w:val="111111"/>
          <w:sz w:val="28"/>
          <w:sz w:val="28"/>
          <w:szCs w:val="28"/>
          <w:rtl w:val="true"/>
          <w:lang w:bidi="fa-IR"/>
        </w:rPr>
        <w:t> بدل الشهرین</w:t>
      </w:r>
      <w:r>
        <w:rPr>
          <w:rStyle w:val="FootnoteAnchor"/>
          <w:rtl w:val="true"/>
        </w:rPr>
        <w:footnoteReference w:id="1656"/>
      </w:r>
      <w:r>
        <w:rPr>
          <w:rFonts w:ascii="IRNazanin" w:hAnsi="IRNazanin" w:eastAsia="IRNazanin"/>
          <w:color w:val="111111"/>
          <w:sz w:val="28"/>
          <w:sz w:val="28"/>
          <w:szCs w:val="28"/>
          <w:rtl w:val="true"/>
          <w:lang w:bidi="fa-IR"/>
        </w:rPr>
        <w:t>، بل هو الأحوط</w:t>
      </w:r>
      <w:r>
        <w:rPr>
          <w:rStyle w:val="FootnoteAnchor"/>
          <w:rtl w:val="true"/>
        </w:rPr>
        <w:footnoteReference w:id="1657"/>
      </w:r>
      <w:r>
        <w:rPr>
          <w:rFonts w:ascii="IRNazanin" w:hAnsi="IRNazanin" w:eastAsia="IRNazanin"/>
          <w:color w:val="111111"/>
          <w:sz w:val="28"/>
          <w:sz w:val="28"/>
          <w:szCs w:val="28"/>
          <w:rtl w:val="true"/>
          <w:lang w:bidi="fa-IR"/>
        </w:rPr>
        <w:t> فی صیام سائر الکفّارات</w:t>
      </w:r>
      <w:r>
        <w:rPr>
          <w:rStyle w:val="FootnoteAnchor"/>
          <w:rtl w:val="true"/>
        </w:rPr>
        <w:footnoteReference w:id="1658"/>
      </w:r>
      <w:r>
        <w:rPr>
          <w:rFonts w:ascii="IRNazanin" w:hAnsi="IRNazanin" w:eastAsia="IRNazanin"/>
          <w:color w:val="111111"/>
          <w:sz w:val="28"/>
          <w:sz w:val="28"/>
          <w:szCs w:val="28"/>
          <w:rtl w:val="true"/>
          <w:lang w:bidi="fa-IR"/>
        </w:rPr>
        <w:t>، وإن کان فی وجوبه فیها تأمّل</w:t>
      </w:r>
      <w:r>
        <w:rPr>
          <w:rStyle w:val="FootnoteAnchor"/>
          <w:rtl w:val="true"/>
        </w:rPr>
        <w:footnoteReference w:id="1659"/>
      </w:r>
      <w:r>
        <w:rPr>
          <w:rFonts w:ascii="IRNazanin" w:hAnsi="IRNazanin" w:eastAsia="IRNazanin"/>
          <w:color w:val="111111"/>
          <w:sz w:val="28"/>
          <w:sz w:val="28"/>
          <w:szCs w:val="28"/>
          <w:rtl w:val="true"/>
          <w:lang w:bidi="fa-IR"/>
        </w:rPr>
        <w:t> وإشکال</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bookmarkStart w:id="785" w:name="pg13281_119991"/>
    </w:p>
    <w:p>
      <w:pPr>
        <w:pStyle w:val="Heading3"/>
        <w:numPr>
          <w:ilvl w:val="2"/>
          <w:numId w:val="1"/>
        </w:numPr>
        <w:rPr/>
      </w:pPr>
      <w:bookmarkStart w:id="786" w:name="__RefHeading___Toc1955412_2322387425"/>
      <w:bookmarkStart w:id="787" w:name="_Toc299"/>
      <w:bookmarkEnd w:id="785"/>
      <w:bookmarkEnd w:id="786"/>
      <w:r>
        <w:rPr>
          <w:rtl w:val="true"/>
        </w:rPr>
        <w:t>التتابع فی صوم النذر مع الاشتراط</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صوم شهر</w:t>
      </w:r>
      <w:r>
        <w:rPr>
          <w:rStyle w:val="FootnoteAnchor"/>
          <w:rtl w:val="true"/>
        </w:rPr>
        <w:footnoteReference w:id="1661"/>
      </w:r>
      <w:r>
        <w:rPr>
          <w:rFonts w:ascii="IRNazanin" w:hAnsi="IRNazanin" w:eastAsia="IRNazanin"/>
          <w:color w:val="111111"/>
          <w:sz w:val="28"/>
          <w:sz w:val="28"/>
          <w:szCs w:val="28"/>
          <w:rtl w:val="true"/>
          <w:lang w:bidi="fa-IR"/>
        </w:rPr>
        <w:t> أو أقلّ أو أزید لم یجب</w:t>
      </w:r>
      <w:r>
        <w:rPr>
          <w:rStyle w:val="FootnoteAnchor"/>
          <w:rtl w:val="true"/>
        </w:rPr>
        <w:footnoteReference w:id="1662"/>
      </w:r>
      <w:r>
        <w:rPr>
          <w:rFonts w:ascii="IRNazanin" w:hAnsi="IRNazanin" w:eastAsia="IRNazanin"/>
          <w:color w:val="111111"/>
          <w:sz w:val="28"/>
          <w:sz w:val="28"/>
          <w:szCs w:val="28"/>
          <w:rtl w:val="true"/>
          <w:lang w:bidi="fa-IR"/>
        </w:rPr>
        <w:t> التتابع إلّا مع الانصراف</w:t>
      </w:r>
      <w:r>
        <w:rPr>
          <w:rStyle w:val="FootnoteAnchor"/>
          <w:rtl w:val="true"/>
        </w:rPr>
        <w:footnoteReference w:id="1663"/>
      </w:r>
      <w:r>
        <w:rPr>
          <w:rFonts w:ascii="IRNazanin" w:hAnsi="IRNazanin" w:eastAsia="IRNazanin"/>
          <w:color w:val="111111"/>
          <w:sz w:val="28"/>
          <w:sz w:val="28"/>
          <w:szCs w:val="28"/>
          <w:rtl w:val="true"/>
          <w:lang w:bidi="fa-IR"/>
        </w:rPr>
        <w:t>، أو اشتراط التتابع فیه</w:t>
      </w:r>
      <w:r>
        <w:rPr>
          <w:rFonts w:eastAsia="IRNazanin" w:cs="IRNazanin"/>
          <w:color w:val="111111"/>
          <w:sz w:val="28"/>
          <w:szCs w:val="28"/>
          <w:rtl w:val="true"/>
          <w:lang w:bidi="fa-IR"/>
        </w:rPr>
        <w:t>.</w:t>
      </w:r>
    </w:p>
    <w:p>
      <w:pPr>
        <w:pStyle w:val="Heading3"/>
        <w:numPr>
          <w:ilvl w:val="2"/>
          <w:numId w:val="1"/>
        </w:numPr>
        <w:rPr/>
      </w:pPr>
      <w:bookmarkStart w:id="788" w:name="__RefHeading___Toc1955414_2322387425"/>
      <w:bookmarkStart w:id="789" w:name="_Toc300"/>
      <w:bookmarkEnd w:id="788"/>
      <w:r>
        <w:rPr>
          <w:rtl w:val="true"/>
        </w:rPr>
        <w:t>التتابع فی قضاء الصوم المنذور المشروط فیه التتابع</w:t>
      </w:r>
      <w:bookmarkEnd w:id="7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فاته النذر المعیّن أو المشروط فیه التتابع فالأحوط</w:t>
      </w:r>
      <w:r>
        <w:rPr>
          <w:rStyle w:val="FootnoteAnchor"/>
          <w:rtl w:val="true"/>
        </w:rPr>
        <w:footnoteReference w:id="1664"/>
      </w:r>
      <w:bookmarkStart w:id="790" w:name="pg13281_119992"/>
    </w:p>
    <w:p>
      <w:pPr>
        <w:pStyle w:val="BookText"/>
        <w:rPr/>
      </w:pPr>
      <w:bookmarkEnd w:id="790"/>
      <w:r>
        <w:rPr>
          <w:rFonts w:ascii="IRNazanin" w:hAnsi="IRNazanin" w:eastAsia="IRNazanin"/>
          <w:color w:val="111111"/>
          <w:sz w:val="28"/>
          <w:sz w:val="28"/>
          <w:szCs w:val="28"/>
          <w:rtl w:val="true"/>
          <w:lang w:bidi="fa-IR"/>
        </w:rPr>
        <w:t>فی قضائه</w:t>
      </w:r>
      <w:r>
        <w:rPr>
          <w:rStyle w:val="FootnoteAnchor"/>
          <w:rtl w:val="true"/>
        </w:rPr>
        <w:footnoteReference w:id="1665"/>
      </w:r>
      <w:r>
        <w:rPr>
          <w:rFonts w:ascii="IRNazanin" w:hAnsi="IRNazanin" w:eastAsia="IRNazanin"/>
          <w:color w:val="111111"/>
          <w:sz w:val="28"/>
          <w:sz w:val="28"/>
          <w:szCs w:val="28"/>
          <w:rtl w:val="true"/>
          <w:lang w:bidi="fa-IR"/>
        </w:rPr>
        <w:t> التتابع</w:t>
      </w:r>
      <w:r>
        <w:rPr>
          <w:rStyle w:val="FootnoteAnchor"/>
          <w:rtl w:val="true"/>
        </w:rPr>
        <w:footnoteReference w:id="1666"/>
      </w:r>
      <w:r>
        <w:rPr>
          <w:rFonts w:ascii="Amiri" w:hAnsi="Amiri" w:eastAsia="Amiri" w:cs="Amiri"/>
          <w:color w:val="111111"/>
          <w:sz w:val="28"/>
          <w:sz w:val="28"/>
          <w:szCs w:val="28"/>
          <w:rtl w:val="true"/>
          <w:lang w:bidi="ar-SA"/>
        </w:rPr>
        <w:t> أیضاً</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1955416_2322387425"/>
      <w:bookmarkStart w:id="792" w:name="_Toc301"/>
      <w:bookmarkEnd w:id="791"/>
      <w:r>
        <w:rPr>
          <w:rtl w:val="true"/>
        </w:rPr>
        <w:t>الشروع فی صوم التتابع فی وقت لا یسلم فیه</w:t>
      </w:r>
      <w:bookmarkEnd w:id="79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 علیه الصوم اللازم فیه التتابع لا یجوز</w:t>
      </w:r>
      <w:r>
        <w:rPr>
          <w:rStyle w:val="FootnoteAnchor"/>
          <w:rtl w:val="true"/>
        </w:rPr>
        <w:footnoteReference w:id="1668"/>
      </w:r>
      <w:r>
        <w:rPr>
          <w:rFonts w:ascii="IRNazanin" w:hAnsi="IRNazanin" w:eastAsia="IRNazanin"/>
          <w:color w:val="111111"/>
          <w:sz w:val="28"/>
          <w:sz w:val="28"/>
          <w:szCs w:val="28"/>
          <w:rtl w:val="true"/>
          <w:lang w:bidi="fa-IR"/>
        </w:rPr>
        <w:t>أن یشرع فیه فی زمان یعلم أنّه لا یسلم له بتخلّل العید</w:t>
      </w:r>
      <w:r>
        <w:rPr>
          <w:rStyle w:val="FootnoteAnchor"/>
          <w:rtl w:val="true"/>
        </w:rPr>
        <w:footnoteReference w:id="1669"/>
      </w:r>
      <w:r>
        <w:rPr>
          <w:rFonts w:ascii="IRNazanin" w:hAnsi="IRNazanin" w:eastAsia="IRNazanin"/>
          <w:color w:val="111111"/>
          <w:sz w:val="28"/>
          <w:sz w:val="28"/>
          <w:szCs w:val="28"/>
          <w:rtl w:val="true"/>
          <w:lang w:bidi="fa-IR"/>
        </w:rPr>
        <w:t> أو تخلّل یوم یجب فیه صوم آخر من نذر أو إجارة أو شهر رمضان، فمَن وجب علیه شهران متتابعان لا یجوز له أن یبتدئ بشعبان، بل یجب أن یصوم قبله یوماً أو أزید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أن یقتصر علی شوّال مع یوم من ذی القعدة أو علی ذی الحجّة مع یوم من المحرّم؛ لنقصان الشهرین بالعیدَین، نعم، لو لم یعلم</w:t>
      </w:r>
      <w:r>
        <w:rPr>
          <w:rStyle w:val="FootnoteAnchor"/>
          <w:rtl w:val="true"/>
        </w:rPr>
        <w:footnoteReference w:id="1670"/>
      </w:r>
      <w:r>
        <w:rPr>
          <w:rFonts w:ascii="IRNazanin" w:hAnsi="IRNazanin" w:eastAsia="IRNazanin"/>
          <w:color w:val="111111"/>
          <w:sz w:val="28"/>
          <w:sz w:val="28"/>
          <w:szCs w:val="28"/>
          <w:rtl w:val="true"/>
          <w:lang w:bidi="fa-IR"/>
        </w:rPr>
        <w:t xml:space="preserve"> من حین الشروع عدم السلامة فاتّفق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بأس</w:t>
      </w:r>
      <w:r>
        <w:rPr>
          <w:rStyle w:val="FootnoteAnchor"/>
          <w:rtl w:val="true"/>
        </w:rPr>
        <w:footnoteReference w:id="1671"/>
      </w:r>
      <w:r>
        <w:rPr>
          <w:rFonts w:ascii="Amiri" w:hAnsi="Amiri" w:eastAsia="Amiri" w:cs="Amiri"/>
          <w:color w:val="111111"/>
          <w:sz w:val="28"/>
          <w:sz w:val="28"/>
          <w:szCs w:val="28"/>
          <w:rtl w:val="true"/>
          <w:lang w:bidi="ar-SA"/>
        </w:rPr>
        <w:t> علی الأصحّ</w:t>
      </w:r>
      <w:r>
        <w:rPr>
          <w:rStyle w:val="FootnoteAnchor"/>
          <w:rtl w:val="true"/>
        </w:rPr>
        <w:footnoteReference w:id="1672"/>
      </w:r>
      <w:r>
        <w:rPr>
          <w:rFonts w:ascii="IRNazanin" w:hAnsi="IRNazanin" w:eastAsia="IRNazanin"/>
          <w:color w:val="111111"/>
          <w:sz w:val="28"/>
          <w:sz w:val="28"/>
          <w:szCs w:val="28"/>
          <w:rtl w:val="true"/>
          <w:lang w:bidi="fa-IR"/>
        </w:rPr>
        <w:t>، وإن کان الأحوط</w:t>
      </w:r>
      <w:r>
        <w:rPr>
          <w:rStyle w:val="FootnoteAnchor"/>
          <w:rtl w:val="true"/>
        </w:rPr>
        <w:footnoteReference w:id="1673"/>
      </w:r>
      <w:r>
        <w:rPr>
          <w:rFonts w:ascii="IRNazanin" w:hAnsi="IRNazanin" w:eastAsia="IRNazanin"/>
          <w:color w:val="111111"/>
          <w:sz w:val="28"/>
          <w:sz w:val="28"/>
          <w:szCs w:val="28"/>
          <w:rtl w:val="true"/>
          <w:lang w:bidi="fa-IR"/>
        </w:rPr>
        <w:t> عدم الإجزاء</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bookmarkStart w:id="793" w:name="pg13281_119994"/>
    </w:p>
    <w:p>
      <w:pPr>
        <w:pStyle w:val="BookText"/>
        <w:rPr/>
      </w:pPr>
      <w:bookmarkEnd w:id="79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ویستثنی ممّا ذکرنا</w:t>
      </w:r>
      <w:r>
        <w:rPr>
          <w:rStyle w:val="FootnoteAnchor"/>
          <w:rtl w:val="true"/>
        </w:rPr>
        <w:footnoteReference w:id="1675"/>
      </w:r>
      <w:r>
        <w:rPr>
          <w:rFonts w:ascii="IRNazanin" w:hAnsi="IRNazanin" w:eastAsia="IRNazanin"/>
          <w:color w:val="111111"/>
          <w:sz w:val="28"/>
          <w:sz w:val="28"/>
          <w:szCs w:val="28"/>
          <w:rtl w:val="true"/>
          <w:lang w:bidi="fa-IR"/>
        </w:rPr>
        <w:t> من عدم الجواز مورد واحد</w:t>
      </w:r>
      <w:r>
        <w:rPr>
          <w:rStyle w:val="FootnoteAnchor"/>
          <w:rtl w:val="true"/>
        </w:rPr>
        <w:footnoteReference w:id="1676"/>
      </w:r>
      <w:r>
        <w:rPr>
          <w:rFonts w:ascii="IRNazanin" w:hAnsi="IRNazanin" w:eastAsia="IRNazanin"/>
          <w:color w:val="111111"/>
          <w:sz w:val="28"/>
          <w:sz w:val="28"/>
          <w:szCs w:val="28"/>
          <w:rtl w:val="true"/>
          <w:lang w:bidi="fa-IR"/>
        </w:rPr>
        <w:t>، وهو صوم ثلاثة أیّام بدل هدی التمتّع إذا شرع فیه یوم الترویة، فإنّه یصحّ وإن تخلّل بینها العید، فیأتی بالثالث بعد العید بلا فصل</w:t>
      </w:r>
      <w:r>
        <w:rPr>
          <w:rStyle w:val="FootnoteAnchor"/>
          <w:rtl w:val="true"/>
        </w:rPr>
        <w:footnoteReference w:id="1677"/>
      </w:r>
      <w:r>
        <w:rPr>
          <w:rFonts w:ascii="IRNazanin" w:hAnsi="IRNazanin" w:eastAsia="IRNazanin"/>
          <w:color w:val="111111"/>
          <w:sz w:val="28"/>
          <w:sz w:val="28"/>
          <w:szCs w:val="28"/>
          <w:rtl w:val="true"/>
          <w:lang w:bidi="fa-IR"/>
        </w:rPr>
        <w:t>، أو بعد أیّام التشریق بلا فصل</w:t>
      </w:r>
      <w:r>
        <w:rPr>
          <w:rStyle w:val="FootnoteAnchor"/>
          <w:rtl w:val="true"/>
        </w:rPr>
        <w:footnoteReference w:id="1678"/>
      </w:r>
      <w:r>
        <w:rPr>
          <w:rFonts w:ascii="IRNazanin" w:hAnsi="IRNazanin" w:eastAsia="IRNazanin"/>
          <w:color w:val="111111"/>
          <w:sz w:val="28"/>
          <w:sz w:val="28"/>
          <w:szCs w:val="28"/>
          <w:rtl w:val="true"/>
          <w:lang w:bidi="fa-IR"/>
        </w:rPr>
        <w:t> لمن کان بمنی، وأمّا لو شرع فیه یوم عرفة أو صام یوم السابع والترویة وترکه فی عرفة لم یصحّ، ووجب الاستئناف کسائر موارد وجوب التتابع</w:t>
      </w:r>
      <w:r>
        <w:rPr>
          <w:rFonts w:eastAsia="IRNazanin" w:cs="IRNazanin"/>
          <w:color w:val="111111"/>
          <w:sz w:val="28"/>
          <w:szCs w:val="28"/>
          <w:rtl w:val="true"/>
          <w:lang w:bidi="fa-IR"/>
        </w:rPr>
        <w:t>.</w:t>
      </w:r>
    </w:p>
    <w:p>
      <w:pPr>
        <w:pStyle w:val="Heading3"/>
        <w:numPr>
          <w:ilvl w:val="2"/>
          <w:numId w:val="1"/>
        </w:numPr>
        <w:rPr/>
      </w:pPr>
      <w:bookmarkStart w:id="794" w:name="__RefHeading___Toc1955418_2322387425"/>
      <w:bookmarkStart w:id="795" w:name="_Toc302"/>
      <w:bookmarkEnd w:id="794"/>
      <w:r>
        <w:rPr>
          <w:rtl w:val="true"/>
        </w:rPr>
        <w:t>الإفطار فی أثناء الصوم الذی یشترط فیه التتابع لا لعذر</w:t>
      </w:r>
      <w:bookmarkEnd w:id="79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صوم یشترط فیه التتابع إذا أفطر فی أثنائه لا لعذر اختیاراً یجب استئنافه، وکذا</w:t>
      </w:r>
      <w:r>
        <w:rPr>
          <w:rStyle w:val="FootnoteAnchor"/>
          <w:rtl w:val="true"/>
        </w:rPr>
        <w:footnoteReference w:id="1679"/>
      </w:r>
      <w:r>
        <w:rPr>
          <w:rFonts w:ascii="IRNazanin" w:hAnsi="IRNazanin" w:eastAsia="IRNazanin"/>
          <w:color w:val="111111"/>
          <w:sz w:val="28"/>
          <w:sz w:val="28"/>
          <w:szCs w:val="28"/>
          <w:rtl w:val="true"/>
          <w:lang w:bidi="fa-IR"/>
        </w:rPr>
        <w:t xml:space="preserve"> إذا شرع فیه فی زمان یتخلّل فیه صوم </w:t>
      </w:r>
      <w:bookmarkStart w:id="796" w:name="pg13281_119995"/>
    </w:p>
    <w:p>
      <w:pPr>
        <w:pStyle w:val="BookText"/>
        <w:rPr/>
      </w:pPr>
      <w:bookmarkEnd w:id="796"/>
      <w:r>
        <w:rPr>
          <w:rFonts w:ascii="IRNazanin" w:hAnsi="IRNazanin" w:eastAsia="IRNazanin"/>
          <w:color w:val="111111"/>
          <w:sz w:val="28"/>
          <w:sz w:val="28"/>
          <w:szCs w:val="28"/>
          <w:rtl w:val="true"/>
          <w:lang w:bidi="fa-IR"/>
        </w:rPr>
        <w:t>واجب آخر من نذر ونحوه، وأمّا ما لم یشترط فیه التتابع وإن وجب فیه بنذر أو نحوه</w:t>
      </w:r>
      <w:r>
        <w:rPr>
          <w:rStyle w:val="FootnoteAnchor"/>
          <w:rtl w:val="true"/>
        </w:rPr>
        <w:footnoteReference w:id="1680"/>
      </w:r>
      <w:r>
        <w:rPr>
          <w:rFonts w:ascii="IRNazanin" w:hAnsi="IRNazanin" w:eastAsia="IRNazanin"/>
          <w:color w:val="111111"/>
          <w:sz w:val="28"/>
          <w:sz w:val="28"/>
          <w:szCs w:val="28"/>
          <w:rtl w:val="true"/>
          <w:lang w:bidi="fa-IR"/>
        </w:rPr>
        <w:t> فلا یجب استئنافه وإن أثم بالإفطار، کما إذا نذر التتابع فی قضاء رمضان فإنّه لو خالف وأتی به متفرّقاً صحّ وإن عصی من جهة خلف النذر</w:t>
      </w:r>
      <w:r>
        <w:rPr>
          <w:rFonts w:eastAsia="IRNazanin" w:cs="IRNazanin"/>
          <w:color w:val="111111"/>
          <w:sz w:val="28"/>
          <w:szCs w:val="28"/>
          <w:rtl w:val="true"/>
          <w:lang w:bidi="fa-IR"/>
        </w:rPr>
        <w:t>.</w:t>
      </w:r>
    </w:p>
    <w:p>
      <w:pPr>
        <w:pStyle w:val="Heading3"/>
        <w:numPr>
          <w:ilvl w:val="2"/>
          <w:numId w:val="1"/>
        </w:numPr>
        <w:rPr/>
      </w:pPr>
      <w:bookmarkStart w:id="797" w:name="__RefHeading___Toc1955420_2322387425"/>
      <w:bookmarkStart w:id="798" w:name="_Toc303"/>
      <w:bookmarkEnd w:id="797"/>
      <w:r>
        <w:rPr>
          <w:rtl w:val="true"/>
        </w:rPr>
        <w:t>الإفطار فی أثناء الصوم الذی یشترط فیه التتابع لعذر</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w:t>
      </w:r>
      <w:r>
        <w:rPr>
          <w:rStyle w:val="FootnoteAnchor"/>
          <w:rtl w:val="true"/>
        </w:rPr>
        <w:footnoteReference w:id="1681"/>
      </w:r>
      <w:r>
        <w:rPr>
          <w:rFonts w:ascii="IRNazanin" w:hAnsi="IRNazanin" w:eastAsia="IRNazanin"/>
          <w:color w:val="111111"/>
          <w:sz w:val="28"/>
          <w:sz w:val="28"/>
          <w:szCs w:val="28"/>
          <w:rtl w:val="true"/>
          <w:lang w:bidi="fa-IR"/>
        </w:rPr>
        <w:t> فی أثناء ما یشترط فیه التتابع لعذر من    </w:t>
      </w:r>
    </w:p>
    <w:p>
      <w:pPr>
        <w:pStyle w:val="BookText"/>
        <w:rPr/>
      </w:pPr>
      <w:r>
        <w:rPr>
          <w:rFonts w:ascii="IRNazanin" w:hAnsi="IRNazanin" w:eastAsia="IRNazanin"/>
          <w:color w:val="111111"/>
          <w:sz w:val="28"/>
          <w:sz w:val="28"/>
          <w:szCs w:val="28"/>
          <w:rtl w:val="true"/>
          <w:lang w:bidi="fa-IR"/>
        </w:rPr>
        <w:t>الأعذار کالمرض والحیض</w:t>
      </w:r>
      <w:r>
        <w:rPr>
          <w:rStyle w:val="FootnoteAnchor"/>
          <w:rtl w:val="true"/>
        </w:rPr>
        <w:footnoteReference w:id="1682"/>
      </w:r>
      <w:r>
        <w:rPr>
          <w:rFonts w:ascii="IRNazanin" w:hAnsi="IRNazanin" w:eastAsia="IRNazanin"/>
          <w:color w:val="111111"/>
          <w:sz w:val="28"/>
          <w:sz w:val="28"/>
          <w:szCs w:val="28"/>
          <w:rtl w:val="true"/>
          <w:lang w:bidi="fa-IR"/>
        </w:rPr>
        <w:t> والنفاس</w:t>
      </w:r>
      <w:r>
        <w:rPr>
          <w:rStyle w:val="FootnoteAnchor"/>
          <w:rtl w:val="true"/>
        </w:rPr>
        <w:footnoteReference w:id="1683"/>
      </w:r>
      <w:r>
        <w:rPr>
          <w:rFonts w:ascii="IRNazanin" w:hAnsi="IRNazanin" w:eastAsia="IRNazanin"/>
          <w:color w:val="111111"/>
          <w:sz w:val="28"/>
          <w:sz w:val="28"/>
          <w:szCs w:val="28"/>
          <w:rtl w:val="true"/>
          <w:lang w:bidi="fa-IR"/>
        </w:rPr>
        <w:t> والسفر الاضطراریّ</w:t>
      </w:r>
      <w:r>
        <w:rPr>
          <w:rStyle w:val="FootnoteAnchor"/>
          <w:rtl w:val="true"/>
        </w:rPr>
        <w:footnoteReference w:id="1684"/>
      </w:r>
      <w:r>
        <w:rPr>
          <w:rFonts w:ascii="IRNazanin" w:hAnsi="IRNazanin" w:eastAsia="IRNazanin"/>
          <w:color w:val="111111"/>
          <w:sz w:val="28"/>
          <w:sz w:val="28"/>
          <w:szCs w:val="28"/>
          <w:rtl w:val="true"/>
          <w:lang w:bidi="fa-IR"/>
        </w:rPr>
        <w:t> دون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9" w:name="pg13281_119996"/>
    </w:p>
    <w:p>
      <w:pPr>
        <w:pStyle w:val="BookText"/>
        <w:rPr/>
      </w:pPr>
      <w:bookmarkEnd w:id="799"/>
      <w:r>
        <w:rPr>
          <w:rFonts w:ascii="Amiri" w:hAnsi="Amiri" w:eastAsia="Amiri" w:cs="Amiri"/>
          <w:color w:val="111111"/>
          <w:sz w:val="28"/>
          <w:sz w:val="28"/>
          <w:szCs w:val="28"/>
          <w:rtl w:val="true"/>
          <w:lang w:bidi="ar-SA"/>
        </w:rPr>
        <w:t>الاختیاریّ</w:t>
      </w:r>
      <w:r>
        <w:rPr>
          <w:rStyle w:val="FootnoteAnchor"/>
          <w:rtl w:val="true"/>
        </w:rPr>
        <w:footnoteReference w:id="1685"/>
      </w:r>
      <w:r>
        <w:rPr>
          <w:rFonts w:ascii="IRNazanin" w:hAnsi="IRNazanin" w:eastAsia="IRNazanin"/>
          <w:color w:val="111111"/>
          <w:sz w:val="28"/>
          <w:sz w:val="28"/>
          <w:szCs w:val="28"/>
          <w:rtl w:val="true"/>
          <w:lang w:bidi="fa-IR"/>
        </w:rPr>
        <w:t> لم یجب استئنافه، بل یبنی علی ما مضی</w:t>
      </w:r>
      <w:r>
        <w:rPr>
          <w:rFonts w:eastAsia="IRNazanin" w:cs="IRNazanin"/>
          <w:color w:val="111111"/>
          <w:sz w:val="28"/>
          <w:szCs w:val="28"/>
          <w:rtl w:val="true"/>
          <w:lang w:bidi="fa-IR"/>
        </w:rPr>
        <w:t>.</w:t>
      </w:r>
    </w:p>
    <w:p>
      <w:pPr>
        <w:pStyle w:val="Heading3"/>
        <w:numPr>
          <w:ilvl w:val="2"/>
          <w:numId w:val="1"/>
        </w:numPr>
        <w:rPr/>
      </w:pPr>
      <w:bookmarkStart w:id="800" w:name="__RefHeading___Toc1955422_2322387425"/>
      <w:bookmarkStart w:id="801" w:name="_Toc304"/>
      <w:bookmarkEnd w:id="800"/>
      <w:r>
        <w:rPr>
          <w:rtl w:val="true"/>
        </w:rPr>
        <w:t>من أمثلة ما فیه العذر</w:t>
      </w:r>
      <w:bookmarkEnd w:id="801"/>
    </w:p>
    <w:p>
      <w:pPr>
        <w:pStyle w:val="BookText"/>
        <w:rPr/>
      </w:pPr>
      <w:r>
        <w:rPr>
          <w:rFonts w:ascii="Amiri" w:hAnsi="Amiri" w:eastAsia="Amiri" w:cs="Amiri"/>
          <w:color w:val="111111"/>
          <w:sz w:val="28"/>
          <w:sz w:val="28"/>
          <w:szCs w:val="28"/>
          <w:rtl w:val="true"/>
          <w:lang w:bidi="ar-SA"/>
        </w:rPr>
        <w:t>ومِن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Style w:val="FootnoteAnchor"/>
          <w:rtl w:val="true"/>
        </w:rPr>
        <w:footnoteReference w:id="1686"/>
      </w:r>
      <w:r>
        <w:rPr>
          <w:rFonts w:ascii="IRNazanin" w:hAnsi="IRNazanin" w:eastAsia="IRNazanin"/>
          <w:color w:val="111111"/>
          <w:sz w:val="28"/>
          <w:sz w:val="28"/>
          <w:szCs w:val="28"/>
          <w:rtl w:val="true"/>
          <w:lang w:bidi="fa-IR"/>
        </w:rPr>
        <w:t> إذانسی النیّة حتّی فات وقتها بأن تذکّر بعد الزوال</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نسی فنوی صوماً آخر ولم یتذکّر إلّا بعد الزوال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نذر قبل تعلّق الکفّارة</w:t>
      </w:r>
      <w:r>
        <w:rPr>
          <w:rStyle w:val="FootnoteAnchor"/>
          <w:rtl w:val="true"/>
        </w:rPr>
        <w:footnoteReference w:id="1688"/>
      </w:r>
      <w:r>
        <w:rPr>
          <w:rFonts w:ascii="Amiri" w:hAnsi="Amiri" w:eastAsia="Amiri" w:cs="Amiri"/>
          <w:color w:val="111111"/>
          <w:sz w:val="28"/>
          <w:sz w:val="28"/>
          <w:szCs w:val="28"/>
          <w:rtl w:val="true"/>
          <w:lang w:bidi="ar-SA"/>
        </w:rPr>
        <w:t> صوم کلّ خمیس</w:t>
      </w:r>
      <w:r>
        <w:rPr>
          <w:rStyle w:val="FootnoteAnchor"/>
          <w:rtl w:val="true"/>
        </w:rPr>
        <w:footnoteReference w:id="1689"/>
      </w:r>
      <w:r>
        <w:rPr>
          <w:rFonts w:ascii="IRNazanin" w:hAnsi="IRNazanin" w:eastAsia="IRNazanin"/>
          <w:color w:val="111111"/>
          <w:sz w:val="28"/>
          <w:sz w:val="28"/>
          <w:szCs w:val="28"/>
          <w:rtl w:val="true"/>
          <w:lang w:bidi="fa-IR"/>
        </w:rPr>
        <w:t> فإنّ تخلّله فی أثناء التتابع لا یضرّ به</w:t>
      </w:r>
      <w:r>
        <w:rPr>
          <w:rStyle w:val="FootnoteAnchor"/>
          <w:rtl w:val="true"/>
        </w:rPr>
        <w:footnoteReference w:id="1690"/>
      </w:r>
      <w:r>
        <w:rPr>
          <w:rFonts w:ascii="IRNazanin" w:hAnsi="IRNazanin" w:eastAsia="IRNazanin"/>
          <w:color w:val="111111"/>
          <w:sz w:val="28"/>
          <w:sz w:val="28"/>
          <w:szCs w:val="28"/>
          <w:rtl w:val="true"/>
          <w:lang w:bidi="fa-IR"/>
        </w:rPr>
        <w:t xml:space="preserve">، ولا یجب علیه الانتقال إلی غیر   </w:t>
      </w:r>
      <w:bookmarkStart w:id="802" w:name="pg13281_119997"/>
    </w:p>
    <w:p>
      <w:pPr>
        <w:pStyle w:val="BookText"/>
        <w:rPr/>
      </w:pPr>
      <w:bookmarkEnd w:id="802"/>
      <w:r>
        <w:rPr>
          <w:rFonts w:ascii="IRNazanin" w:hAnsi="IRNazanin" w:eastAsia="IRNazanin"/>
          <w:color w:val="111111"/>
          <w:sz w:val="28"/>
          <w:sz w:val="28"/>
          <w:szCs w:val="28"/>
          <w:rtl w:val="true"/>
          <w:lang w:bidi="fa-IR"/>
        </w:rPr>
        <w:t>الصوم من الخصال فی صوم الشهرین لأجل هذا التعذّر، نعم، لو کان قد نذر صوم الدهر قبل تعلّق الکفّارة اتّجه الانتقال</w:t>
      </w:r>
      <w:r>
        <w:rPr>
          <w:rStyle w:val="FootnoteAnchor"/>
          <w:rtl w:val="true"/>
        </w:rPr>
        <w:footnoteReference w:id="1691"/>
      </w:r>
      <w:r>
        <w:rPr>
          <w:rFonts w:ascii="IRNazanin" w:hAnsi="IRNazanin" w:eastAsia="IRNazanin"/>
          <w:color w:val="111111"/>
          <w:sz w:val="28"/>
          <w:sz w:val="28"/>
          <w:szCs w:val="28"/>
          <w:rtl w:val="true"/>
          <w:lang w:bidi="fa-IR"/>
        </w:rPr>
        <w:t> إلی سائر الخصال</w:t>
      </w:r>
      <w:r>
        <w:rPr>
          <w:rFonts w:eastAsia="IRNazanin" w:cs="IRNazanin"/>
          <w:color w:val="111111"/>
          <w:sz w:val="28"/>
          <w:szCs w:val="28"/>
          <w:rtl w:val="true"/>
          <w:lang w:bidi="fa-IR"/>
        </w:rPr>
        <w:t>.</w:t>
      </w:r>
    </w:p>
    <w:p>
      <w:pPr>
        <w:pStyle w:val="Heading3"/>
        <w:numPr>
          <w:ilvl w:val="2"/>
          <w:numId w:val="1"/>
        </w:numPr>
        <w:rPr/>
      </w:pPr>
      <w:bookmarkStart w:id="803" w:name="__RefHeading___Toc1955424_2322387425"/>
      <w:bookmarkStart w:id="804" w:name="_Toc305"/>
      <w:bookmarkEnd w:id="803"/>
      <w:r>
        <w:rPr>
          <w:rtl w:val="true"/>
        </w:rPr>
        <w:t>المقدار اللازم من التتابع فی الصوم</w:t>
      </w:r>
      <w:bookmarkEnd w:id="80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وجب علیه شهران متتابعان من کفّارة معیّنة أو مخیّرة إذا صام شهراً ویوماً متتابعاً یجوز له التفریق فی البقیّة ولو اختیاراً لا لعذر</w:t>
      </w:r>
      <w:r>
        <w:rPr>
          <w:rStyle w:val="FootnoteAnchor"/>
          <w:rtl w:val="true"/>
        </w:rPr>
        <w:footnoteReference w:id="1692"/>
      </w:r>
      <w:r>
        <w:rPr>
          <w:rFonts w:ascii="IRNazanin" w:hAnsi="IRNazanin" w:eastAsia="IRNazanin"/>
          <w:color w:val="111111"/>
          <w:sz w:val="28"/>
          <w:sz w:val="28"/>
          <w:szCs w:val="28"/>
          <w:rtl w:val="true"/>
          <w:lang w:bidi="fa-IR"/>
        </w:rPr>
        <w:t>، وکذا لو کان من نذر</w:t>
      </w:r>
      <w:r>
        <w:rPr>
          <w:rStyle w:val="FootnoteAnchor"/>
          <w:rtl w:val="true"/>
        </w:rPr>
        <w:footnoteReference w:id="1693"/>
      </w:r>
      <w:r>
        <w:rPr>
          <w:rFonts w:ascii="IRNazanin" w:hAnsi="IRNazanin" w:eastAsia="IRNazanin"/>
          <w:color w:val="111111"/>
          <w:sz w:val="28"/>
          <w:sz w:val="28"/>
          <w:szCs w:val="28"/>
          <w:rtl w:val="true"/>
          <w:lang w:bidi="fa-IR"/>
        </w:rPr>
        <w:t> أو عهد</w:t>
      </w:r>
      <w:r>
        <w:rPr>
          <w:rStyle w:val="FootnoteAnchor"/>
          <w:rtl w:val="true"/>
        </w:rPr>
        <w:footnoteReference w:id="1694"/>
      </w:r>
      <w:r>
        <w:rPr>
          <w:rFonts w:ascii="IRNazanin" w:hAnsi="IRNazanin" w:eastAsia="IRNazanin"/>
          <w:color w:val="111111"/>
          <w:sz w:val="28"/>
          <w:sz w:val="28"/>
          <w:szCs w:val="28"/>
          <w:rtl w:val="true"/>
          <w:lang w:bidi="fa-IR"/>
        </w:rPr>
        <w:t> لم یشترط</w:t>
      </w:r>
      <w:r>
        <w:rPr>
          <w:rStyle w:val="FootnoteAnchor"/>
          <w:rtl w:val="true"/>
        </w:rPr>
        <w:footnoteReference w:id="1695"/>
      </w:r>
      <w:r>
        <w:rPr>
          <w:rFonts w:ascii="IRNazanin" w:hAnsi="IRNazanin" w:eastAsia="IRNazanin"/>
          <w:color w:val="111111"/>
          <w:sz w:val="28"/>
          <w:sz w:val="28"/>
          <w:szCs w:val="28"/>
          <w:rtl w:val="true"/>
          <w:lang w:bidi="fa-IR"/>
        </w:rPr>
        <w:t> فیه تتابع</w:t>
      </w:r>
      <w:r>
        <w:rPr>
          <w:rStyle w:val="FootnoteAnchor"/>
          <w:rtl w:val="true"/>
        </w:rPr>
        <w:footnoteReference w:id="1696"/>
      </w:r>
      <w:r>
        <w:rPr>
          <w:rFonts w:ascii="IRNazanin" w:hAnsi="IRNazanin" w:eastAsia="IRNazanin"/>
          <w:color w:val="111111"/>
          <w:sz w:val="28"/>
          <w:sz w:val="28"/>
          <w:szCs w:val="28"/>
          <w:rtl w:val="true"/>
          <w:lang w:bidi="fa-IR"/>
        </w:rPr>
        <w:t>الأیّام جمیعها، ولم یکن المنساق منه ذلک</w:t>
      </w:r>
      <w:r>
        <w:rPr>
          <w:rStyle w:val="FootnoteAnchor"/>
          <w:rtl w:val="true"/>
        </w:rPr>
        <w:footnoteReference w:id="1697"/>
      </w:r>
      <w:r>
        <w:rPr>
          <w:rFonts w:ascii="IRNazanin" w:hAnsi="IRNazanin" w:eastAsia="IRNazanin"/>
          <w:color w:val="111111"/>
          <w:sz w:val="28"/>
          <w:sz w:val="28"/>
          <w:szCs w:val="28"/>
          <w:rtl w:val="true"/>
          <w:lang w:bidi="fa-IR"/>
        </w:rPr>
        <w:t xml:space="preserve">، وألحق المشهور بالشهرین </w:t>
      </w:r>
      <w:bookmarkStart w:id="805" w:name="pg13281_119998"/>
    </w:p>
    <w:p>
      <w:pPr>
        <w:pStyle w:val="BookText"/>
        <w:rPr/>
      </w:pPr>
      <w:bookmarkEnd w:id="805"/>
      <w:r>
        <w:rPr>
          <w:rFonts w:ascii="IRNazanin" w:hAnsi="IRNazanin" w:eastAsia="IRNazanin"/>
          <w:color w:val="111111"/>
          <w:sz w:val="28"/>
          <w:sz w:val="28"/>
          <w:szCs w:val="28"/>
          <w:rtl w:val="true"/>
          <w:lang w:bidi="fa-IR"/>
        </w:rPr>
        <w:t>الشهر المنذور فیه التتابع،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تابع فی خمسة عشر یوماً منه یجوز له التفریق فی البقیّة اختیاراً، وهو مشکل</w:t>
      </w:r>
      <w:r>
        <w:rPr>
          <w:rStyle w:val="FootnoteAnchor"/>
          <w:rtl w:val="true"/>
        </w:rPr>
        <w:footnoteReference w:id="1698"/>
      </w:r>
      <w:r>
        <w:rPr>
          <w:rFonts w:ascii="IRNazanin" w:hAnsi="IRNazanin" w:eastAsia="IRNazanin"/>
          <w:color w:val="111111"/>
          <w:sz w:val="28"/>
          <w:sz w:val="28"/>
          <w:szCs w:val="28"/>
          <w:rtl w:val="true"/>
          <w:lang w:bidi="fa-IR"/>
        </w:rPr>
        <w:t>، فلا یُترک الاحتیاط فیه بالاستئناف مع تخلّل الإفطار عمداً وإن بقی منه یوم، کما لا إشکال فی عدم جوازالتفریق اختیاراًمع تجاوزالنصف فی سائر أقسام الصوم المتتابع</w:t>
      </w:r>
      <w:r>
        <w:rPr>
          <w:rFonts w:eastAsia="IRNazanin" w:cs="IRNazanin"/>
          <w:color w:val="111111"/>
          <w:sz w:val="28"/>
          <w:szCs w:val="28"/>
          <w:rtl w:val="true"/>
          <w:lang w:bidi="fa-IR"/>
        </w:rPr>
        <w:t>.</w:t>
      </w:r>
    </w:p>
    <w:p>
      <w:pPr>
        <w:pStyle w:val="Heading3"/>
        <w:numPr>
          <w:ilvl w:val="2"/>
          <w:numId w:val="1"/>
        </w:numPr>
        <w:rPr/>
      </w:pPr>
      <w:bookmarkStart w:id="806" w:name="__RefHeading___Toc1955426_2322387425"/>
      <w:bookmarkStart w:id="807" w:name="_Toc306"/>
      <w:bookmarkEnd w:id="806"/>
      <w:r>
        <w:rPr>
          <w:rtl w:val="true"/>
        </w:rPr>
        <w:t>بطلان التتابع فی الأثناء لا یکشف عن بطلان ما سبق من الأیام </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بطل التتابع فی الأثناء لا یکشف</w:t>
      </w:r>
      <w:r>
        <w:rPr>
          <w:rStyle w:val="FootnoteAnchor"/>
          <w:rtl w:val="true"/>
        </w:rPr>
        <w:footnoteReference w:id="1699"/>
      </w:r>
      <w:r>
        <w:rPr>
          <w:rFonts w:ascii="IRNazanin" w:hAnsi="IRNazanin" w:eastAsia="IRNazanin"/>
          <w:color w:val="111111"/>
          <w:sz w:val="28"/>
          <w:sz w:val="28"/>
          <w:szCs w:val="28"/>
          <w:rtl w:val="true"/>
          <w:lang w:bidi="fa-IR"/>
        </w:rPr>
        <w:t> عن بطلان الأیّام السابقة، فهی صحیحة</w:t>
      </w:r>
      <w:r>
        <w:rPr>
          <w:rStyle w:val="FootnoteAnchor"/>
          <w:rtl w:val="true"/>
        </w:rPr>
        <w:footnoteReference w:id="1700"/>
      </w:r>
      <w:r>
        <w:rPr>
          <w:rFonts w:ascii="IRNazanin" w:hAnsi="IRNazanin" w:eastAsia="IRNazanin"/>
          <w:color w:val="111111"/>
          <w:sz w:val="28"/>
          <w:sz w:val="28"/>
          <w:szCs w:val="28"/>
          <w:rtl w:val="true"/>
          <w:lang w:bidi="fa-IR"/>
        </w:rPr>
        <w:t> وإن لم تکن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امتثالاً</w:t>
      </w:r>
      <w:r>
        <w:rPr>
          <w:rStyle w:val="FootnoteAnchor"/>
          <w:rtl w:val="true"/>
        </w:rPr>
        <w:footnoteReference w:id="1701"/>
      </w:r>
      <w:r>
        <w:rPr>
          <w:rFonts w:ascii="IRNazanin" w:hAnsi="IRNazanin" w:eastAsia="IRNazanin"/>
          <w:color w:val="111111"/>
          <w:sz w:val="28"/>
          <w:sz w:val="28"/>
          <w:szCs w:val="28"/>
          <w:rtl w:val="true"/>
          <w:lang w:bidi="fa-IR"/>
        </w:rPr>
        <w:t> للأمر الوجوبی ولا الندبی</w:t>
      </w:r>
      <w:r>
        <w:rPr>
          <w:rStyle w:val="FootnoteAnchor"/>
          <w:rtl w:val="true"/>
        </w:rPr>
        <w:footnoteReference w:id="1702"/>
      </w:r>
      <w:r>
        <w:rPr>
          <w:rFonts w:ascii="IRNazanin" w:hAnsi="IRNazanin" w:eastAsia="IRNazanin"/>
          <w:color w:val="111111"/>
          <w:sz w:val="28"/>
          <w:sz w:val="28"/>
          <w:szCs w:val="28"/>
          <w:rtl w:val="true"/>
          <w:lang w:bidi="fa-IR"/>
        </w:rPr>
        <w:t>؛ لکونها محبوبة</w:t>
      </w:r>
      <w:r>
        <w:rPr>
          <w:rStyle w:val="FootnoteAnchor"/>
          <w:rtl w:val="true"/>
        </w:rPr>
        <w:footnoteReference w:id="1703"/>
      </w:r>
      <w:r>
        <w:rPr>
          <w:rFonts w:ascii="IRNazanin" w:hAnsi="IRNazanin" w:eastAsia="IRNazanin"/>
          <w:color w:val="111111"/>
          <w:sz w:val="28"/>
          <w:sz w:val="28"/>
          <w:szCs w:val="28"/>
          <w:rtl w:val="true"/>
          <w:lang w:bidi="fa-IR"/>
        </w:rPr>
        <w:t> فی حدّ نفسها من حیث إنّها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الصلاة إذا بطلت فی الأثناء فإنّ الأذکار والقراءة صحیحة فی حدّ نفسها من حیث محبوبیّتها لذاتها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808" w:name="pg13281_120000"/>
    </w:p>
    <w:p>
      <w:pPr>
        <w:pStyle w:val="BookText"/>
        <w:rPr/>
      </w:pPr>
      <w:bookmarkEnd w:id="808"/>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          </w:t>
      </w:r>
    </w:p>
    <w:p>
      <w:pPr>
        <w:pStyle w:val="Heading2"/>
        <w:numPr>
          <w:ilvl w:val="1"/>
          <w:numId w:val="1"/>
        </w:numPr>
        <w:rPr/>
      </w:pPr>
      <w:bookmarkStart w:id="809" w:name="__RefHeading___Toc1955428_2322387425"/>
      <w:bookmarkStart w:id="810" w:name="_Toc307"/>
      <w:bookmarkEnd w:id="809"/>
      <w:r>
        <w:rPr>
          <w:rtl w:val="true"/>
        </w:rPr>
        <w:t>فصل</w:t>
      </w:r>
      <w:r>
        <w:rPr>
          <w:rtl w:val="true"/>
        </w:rPr>
        <w:t xml:space="preserve">: </w:t>
      </w:r>
      <w:r>
        <w:rPr>
          <w:rtl w:val="true"/>
        </w:rPr>
        <w:t>فی أقسام الصوم</w:t>
      </w:r>
      <w:bookmarkEnd w:id="810"/>
    </w:p>
    <w:p>
      <w:pPr>
        <w:pStyle w:val="Heading3"/>
        <w:numPr>
          <w:ilvl w:val="2"/>
          <w:numId w:val="1"/>
        </w:numPr>
        <w:rPr/>
      </w:pPr>
      <w:bookmarkStart w:id="811" w:name="__RefHeading___Toc1955430_2322387425"/>
      <w:bookmarkStart w:id="812" w:name="_Toc308"/>
      <w:bookmarkEnd w:id="811"/>
      <w:r>
        <w:rPr>
          <w:rtl w:val="true"/>
        </w:rPr>
        <w:t>أقسام الصوم </w:t>
      </w:r>
      <w:bookmarkEnd w:id="812"/>
    </w:p>
    <w:p>
      <w:pPr>
        <w:pStyle w:val="BookText"/>
        <w:rPr/>
      </w:pPr>
      <w:r>
        <w:rPr>
          <w:rFonts w:ascii="Amiri" w:hAnsi="Amiri" w:eastAsia="Amiri" w:cs="Amiri"/>
          <w:color w:val="111111"/>
          <w:sz w:val="28"/>
          <w:sz w:val="28"/>
          <w:szCs w:val="28"/>
          <w:rtl w:val="true"/>
          <w:lang w:bidi="ar-SA"/>
        </w:rPr>
        <w:t>أقسام الصوم أربعة</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Style w:val="FootnoteAnchor"/>
          <w:rtl w:val="true"/>
        </w:rPr>
        <w:footnoteReference w:id="1705"/>
      </w:r>
      <w:r>
        <w:rPr>
          <w:rFonts w:ascii="IRNazanin" w:hAnsi="IRNazanin" w:eastAsia="IRNazanin"/>
          <w:color w:val="111111"/>
          <w:sz w:val="28"/>
          <w:sz w:val="28"/>
          <w:szCs w:val="28"/>
          <w:rtl w:val="true"/>
          <w:lang w:bidi="fa-IR"/>
        </w:rPr>
        <w:t>، وندب، ومکروه کراهة عبادة، ومحظور</w:t>
      </w:r>
      <w:r>
        <w:rPr>
          <w:rFonts w:eastAsia="IRNazanin" w:cs="IRNazanin"/>
          <w:color w:val="111111"/>
          <w:sz w:val="28"/>
          <w:szCs w:val="28"/>
          <w:rtl w:val="true"/>
          <w:lang w:bidi="fa-IR"/>
        </w:rPr>
        <w:t>.</w:t>
      </w:r>
    </w:p>
    <w:p>
      <w:pPr>
        <w:pStyle w:val="Heading3"/>
        <w:numPr>
          <w:ilvl w:val="2"/>
          <w:numId w:val="1"/>
        </w:numPr>
        <w:rPr/>
      </w:pPr>
      <w:bookmarkStart w:id="813" w:name="__RefHeading___Toc1955432_2322387425"/>
      <w:bookmarkStart w:id="814" w:name="_Toc309"/>
      <w:bookmarkEnd w:id="813"/>
      <w:r>
        <w:rPr>
          <w:rtl w:val="true"/>
        </w:rPr>
        <w:t>أقسام الصوم الواجب</w:t>
      </w:r>
      <w:bookmarkEnd w:id="81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w:t>
      </w:r>
      <w:r>
        <w:rPr>
          <w:rStyle w:val="FootnoteAnchor"/>
          <w:rtl w:val="true"/>
        </w:rPr>
        <w:footnoteReference w:id="1706"/>
      </w:r>
      <w:r>
        <w:rPr>
          <w:rFonts w:ascii="IRNazanin" w:hAnsi="IRNazanin" w:eastAsia="IRNazanin"/>
          <w:color w:val="111111"/>
          <w:sz w:val="28"/>
          <w:sz w:val="28"/>
          <w:szCs w:val="28"/>
          <w:rtl w:val="true"/>
          <w:lang w:bidi="fa-IR"/>
        </w:rPr>
        <w:t>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وصوم الکفّارة، وصوم القضاء</w:t>
      </w:r>
      <w:r>
        <w:rPr>
          <w:rStyle w:val="FootnoteAnchor"/>
          <w:rtl w:val="true"/>
        </w:rPr>
        <w:footnoteReference w:id="1707"/>
      </w:r>
      <w:r>
        <w:rPr>
          <w:rFonts w:ascii="IRNazanin" w:hAnsi="IRNazanin" w:eastAsia="IRNazanin"/>
          <w:color w:val="111111"/>
          <w:sz w:val="28"/>
          <w:sz w:val="28"/>
          <w:szCs w:val="28"/>
          <w:rtl w:val="true"/>
          <w:lang w:bidi="fa-IR"/>
        </w:rPr>
        <w:t>، وصوم بدل الهدی فی حجّ التمتّع، وصوم النذر</w:t>
      </w:r>
      <w:r>
        <w:rPr>
          <w:rStyle w:val="FootnoteAnchor"/>
          <w:rtl w:val="true"/>
        </w:rPr>
        <w:footnoteReference w:id="1708"/>
      </w:r>
      <w:r>
        <w:rPr>
          <w:rFonts w:ascii="IRNazanin" w:hAnsi="IRNazanin" w:eastAsia="IRNazanin"/>
          <w:color w:val="111111"/>
          <w:sz w:val="28"/>
          <w:sz w:val="28"/>
          <w:szCs w:val="28"/>
          <w:rtl w:val="true"/>
          <w:lang w:bidi="fa-IR"/>
        </w:rPr>
        <w:t> والعهد</w:t>
      </w:r>
      <w:r>
        <w:rPr>
          <w:rStyle w:val="FootnoteAnchor"/>
          <w:rtl w:val="true"/>
        </w:rPr>
        <w:footnoteReference w:id="1709"/>
      </w:r>
      <w:r>
        <w:rPr>
          <w:rFonts w:ascii="IRNazanin" w:hAnsi="IRNazanin" w:eastAsia="IRNazanin"/>
          <w:color w:val="111111"/>
          <w:sz w:val="28"/>
          <w:sz w:val="28"/>
          <w:szCs w:val="28"/>
          <w:rtl w:val="true"/>
          <w:lang w:bidi="fa-IR"/>
        </w:rPr>
        <w:t> والیمین، والملتزم بشرط أو إجارة، وصوم الیوم الثالث</w:t>
      </w:r>
      <w:r>
        <w:rPr>
          <w:rStyle w:val="FootnoteAnchor"/>
          <w:rtl w:val="true"/>
        </w:rPr>
        <w:footnoteReference w:id="1710"/>
      </w:r>
      <w:r>
        <w:rPr>
          <w:rFonts w:ascii="IRNazanin" w:hAnsi="IRNazanin" w:eastAsia="IRNazanin"/>
          <w:color w:val="111111"/>
          <w:sz w:val="28"/>
          <w:sz w:val="28"/>
          <w:szCs w:val="28"/>
          <w:rtl w:val="true"/>
          <w:lang w:bidi="fa-IR"/>
        </w:rPr>
        <w:t> من أیّام الاعتکاف</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bookmarkStart w:id="815" w:name="pg13281_120001"/>
    </w:p>
    <w:p>
      <w:pPr>
        <w:pStyle w:val="BookText"/>
        <w:rPr/>
      </w:pPr>
      <w:bookmarkEnd w:id="815"/>
      <w:r>
        <w:rPr>
          <w:rFonts w:ascii="Amiri" w:hAnsi="Amiri" w:eastAsia="Amiri" w:cs="Amiri"/>
          <w:color w:val="111111"/>
          <w:sz w:val="28"/>
          <w:sz w:val="28"/>
          <w:szCs w:val="28"/>
          <w:rtl w:val="true"/>
          <w:lang w:bidi="ar-SA"/>
        </w:rPr>
        <w:t>أمّا الواجب فقد مرّ</w:t>
      </w:r>
      <w:r>
        <w:rPr>
          <w:rStyle w:val="FootnoteAnchor"/>
          <w:rtl w:val="true"/>
        </w:rPr>
        <w:footnoteReference w:id="1712"/>
      </w:r>
      <w:r>
        <w:rPr>
          <w:rFonts w:ascii="Amiri" w:hAnsi="Amiri" w:eastAsia="Amiri" w:cs="Amiri"/>
          <w:color w:val="111111"/>
          <w:sz w:val="28"/>
          <w:sz w:val="28"/>
          <w:szCs w:val="28"/>
          <w:rtl w:val="true"/>
          <w:lang w:bidi="ar-SA"/>
        </w:rPr>
        <w:t> جملة منه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955434_2322387425"/>
      <w:bookmarkStart w:id="817" w:name="_Toc310"/>
      <w:bookmarkEnd w:id="816"/>
      <w:r>
        <w:rPr>
          <w:rtl w:val="true"/>
        </w:rPr>
        <w:t>أقسام الصوم المندوب</w:t>
      </w:r>
      <w:bookmarkEnd w:id="817"/>
    </w:p>
    <w:p>
      <w:pPr>
        <w:pStyle w:val="BookText"/>
        <w:rPr/>
      </w:pPr>
      <w:r>
        <w:rPr>
          <w:rFonts w:ascii="IRNazanin" w:hAnsi="IRNazanin" w:eastAsia="IRNazanin"/>
          <w:color w:val="111111"/>
          <w:sz w:val="28"/>
          <w:sz w:val="28"/>
          <w:szCs w:val="28"/>
          <w:rtl w:val="true"/>
          <w:lang w:bidi="fa-IR"/>
        </w:rPr>
        <w:t>وأمّا المندوب</w:t>
      </w:r>
      <w:r>
        <w:rPr>
          <w:rStyle w:val="FootnoteAnchor"/>
          <w:rtl w:val="true"/>
        </w:rPr>
        <w:footnoteReference w:id="1713"/>
      </w:r>
      <w:r>
        <w:rPr>
          <w:rFonts w:ascii="IRNazanin" w:hAnsi="IRNazanin" w:eastAsia="IRNazanin"/>
          <w:color w:val="111111"/>
          <w:sz w:val="28"/>
          <w:sz w:val="28"/>
          <w:szCs w:val="28"/>
          <w:rtl w:val="true"/>
          <w:lang w:bidi="fa-IR"/>
        </w:rPr>
        <w:t xml:space="preserve"> منه فأقسام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لایختصّ بسبب مخصوص ولا زمان معیّن، کصوم أیّام السنة عدا ما استثنی من العیدین وأیّام التشریق لمن کان بمنی، فقد وردت الأخبار الکثیرة فی فضله من حیث هو ومحبوبیّته وفوائده، ویکفی فیه ما ورد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دعائم الإسلام للمغربی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عنهالوسائل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 ح</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وأنا اُجازی</w:t>
      </w:r>
      <w:r>
        <w:rPr>
          <w:rStyle w:val="FootnoteAnchor"/>
          <w:rtl w:val="true"/>
        </w:rPr>
        <w:footnoteReference w:id="1714"/>
      </w:r>
      <w:r>
        <w:rPr>
          <w:rFonts w:ascii="IRNazanin" w:hAnsi="IRNazanin" w:eastAsia="IRNazanin"/>
          <w:color w:val="111111"/>
          <w:sz w:val="28"/>
          <w:sz w:val="28"/>
          <w:szCs w:val="28"/>
          <w:rtl w:val="true"/>
          <w:lang w:bidi="fa-IR"/>
        </w:rPr>
        <w:t> به</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للبرقی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أبوابالصوم المندوب،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فضائل الأشهر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الصائم عبادة، وصمته تسبیح، وعمله متقبّل ودعاوه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عنه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 بعض العلماء من أنّه لو لم یکن فی الصوم إلّا الارتقاء عن حضیض حظوظ النفس البهیمیّة إلی ذروة التشبّه بالملائکة الروحانیّة لکفی به فضلاً ومنقبةً وشرفاً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بسبب مخصوص، وهی کثیرة مذکورة فی کتب الأدعیة</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یختصّ بوقت معیّن، وهو فی مواضع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أیّام من کلّ شهر،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عنه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یعادل صوم الدهر ویذهب بوحر الصدر</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کیفیّاته ما عن المشهور، ویدلّ علیه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یصوم أوّل خمیس من الشهر، وآخر خمیس منه، وأوّل أربعاء فی العشر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ترکه یستحبّ له قضاوه، ومع العجز عن صومه لِکِبَرٍ ونحوه یستحبّ أن یتصدّق عن کلّ یومٍ بمدٍّ من طعام، أو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أیّام البیض من کلّ شهر،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والرابع عشر والخامس عشر علی الأصحِّ</w:t>
      </w:r>
      <w:r>
        <w:rPr>
          <w:rStyle w:val="FootnoteAnchor"/>
          <w:rtl w:val="true"/>
        </w:rPr>
        <w:footnoteReference w:id="1718"/>
      </w:r>
      <w:r>
        <w:rPr>
          <w:rFonts w:ascii="Amiri" w:hAnsi="Amiri" w:eastAsia="Amiri" w:cs="Amiri"/>
          <w:color w:val="111111"/>
          <w:sz w:val="28"/>
          <w:sz w:val="28"/>
          <w:szCs w:val="28"/>
          <w:rtl w:val="true"/>
          <w:lang w:bidi="ar-SA"/>
        </w:rPr>
        <w:t>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الثلاثة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مولد النبی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وهو السابع عشر من ربیع الأول علی الأصحّ، وعن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للکلینی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الثانی عشر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الغدیر، وهو الثامن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مبعث النبی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وهو السابع والعشرون من رجب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دَحو الأرض من تحت الکعبة، وهو الیوم الخامس والعشرون من ذی القعدة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لمن لا یُضعِفُه الصوم عن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المباهلة</w:t>
      </w:r>
      <w:r>
        <w:rPr>
          <w:rStyle w:val="FootnoteAnchor"/>
          <w:rtl w:val="true"/>
        </w:rPr>
        <w:footnoteReference w:id="1719"/>
      </w:r>
      <w:r>
        <w:rPr>
          <w:rFonts w:ascii="IRNazanin" w:hAnsi="IRNazanin" w:eastAsia="IRNazanin"/>
          <w:color w:val="111111"/>
          <w:sz w:val="28"/>
          <w:sz w:val="28"/>
          <w:szCs w:val="28"/>
          <w:rtl w:val="true"/>
          <w:lang w:bidi="fa-IR"/>
        </w:rPr>
        <w:t>، وهو الرابع والعشرون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خمیس وجمعة معاً، أو الجمعة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ذی الحجّة، بل کلّ یوم من التسع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وشعبان کلّاً أو بعضاً ولو یوماً من کلٍّ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یومٍ من المحرّم وثالثه وسابعه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والعشرون من ذی القعدة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ستّة</w:t>
      </w:r>
      <w:r>
        <w:rPr>
          <w:rStyle w:val="FootnoteAnchor"/>
          <w:rtl w:val="true"/>
        </w:rPr>
        <w:footnoteReference w:id="1722"/>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p>
    <w:p>
      <w:pPr>
        <w:pStyle w:val="BookText"/>
        <w:rPr/>
      </w:pPr>
      <w:r>
        <w:rPr>
          <w:rFonts w:ascii="Amiri" w:hAnsi="Amiri" w:eastAsia="Amiri" w:cs="Amiri"/>
          <w:color w:val="111111"/>
          <w:sz w:val="28"/>
          <w:sz w:val="28"/>
          <w:szCs w:val="28"/>
          <w:rtl w:val="true"/>
          <w:lang w:bidi="ar-SA"/>
        </w:rPr>
        <w:t>أیّام</w:t>
      </w:r>
      <w:r>
        <w:rPr>
          <w:rStyle w:val="FootnoteAnchor"/>
          <w:rtl w:val="true"/>
        </w:rPr>
        <w:footnoteReference w:id="1723"/>
      </w:r>
      <w:r>
        <w:rPr>
          <w:rFonts w:ascii="IRNazanin" w:hAnsi="IRNazanin" w:eastAsia="IRNazanin"/>
          <w:color w:val="111111"/>
          <w:sz w:val="28"/>
          <w:sz w:val="28"/>
          <w:szCs w:val="28"/>
          <w:rtl w:val="true"/>
          <w:lang w:bidi="fa-IR"/>
        </w:rPr>
        <w:t> بعد عید الفطر</w:t>
      </w:r>
      <w:r>
        <w:rPr>
          <w:rStyle w:val="FootnoteAnchor"/>
          <w:rtl w:val="true"/>
        </w:rPr>
        <w:footnoteReference w:id="1724"/>
      </w:r>
      <w:r>
        <w:rPr>
          <w:rFonts w:ascii="IRNazanin" w:hAnsi="IRNazanin" w:eastAsia="IRNazanin"/>
          <w:color w:val="111111"/>
          <w:sz w:val="28"/>
          <w:sz w:val="28"/>
          <w:szCs w:val="28"/>
          <w:rtl w:val="true"/>
          <w:lang w:bidi="fa-IR"/>
        </w:rPr>
        <w:t> بثلاثة أیّام أحدها العید</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النصف</w:t>
      </w:r>
      <w:r>
        <w:rPr>
          <w:rStyle w:val="FootnoteAnchor"/>
          <w:rtl w:val="true"/>
        </w:rPr>
        <w:footnoteReference w:id="1726"/>
      </w:r>
      <w:r>
        <w:rPr>
          <w:rFonts w:ascii="IRNazanin" w:hAnsi="IRNazanin" w:eastAsia="IRNazanin"/>
          <w:color w:val="111111"/>
          <w:sz w:val="28"/>
          <w:sz w:val="28"/>
          <w:szCs w:val="28"/>
          <w:rtl w:val="true"/>
          <w:lang w:bidi="fa-IR"/>
        </w:rPr>
        <w:t> من جمادی الاُولی</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إتمام صوم التطوّع بالشروع فیه، بل یجوز له الإفطار إلی الغروب وإن کان یکره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للصائم تطوّعاً قطع الصوم إذا دعاه</w:t>
      </w:r>
      <w:r>
        <w:rPr>
          <w:rStyle w:val="FootnoteAnchor"/>
          <w:rtl w:val="true"/>
        </w:rPr>
        <w:footnoteReference w:id="1728"/>
      </w:r>
      <w:r>
        <w:rPr>
          <w:rFonts w:ascii="IRNazanin" w:hAnsi="IRNazanin" w:eastAsia="IRNazanin"/>
          <w:color w:val="111111"/>
          <w:sz w:val="28"/>
          <w:sz w:val="28"/>
          <w:szCs w:val="28"/>
          <w:rtl w:val="true"/>
          <w:lang w:bidi="fa-IR"/>
        </w:rPr>
        <w:t> أخوه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المومن إلی الطعام، بل قیل بکراهته حینئذٍ</w:t>
      </w:r>
      <w:r>
        <w:rPr>
          <w:rFonts w:eastAsia="IRNazanin" w:cs="IRNazanin"/>
          <w:color w:val="111111"/>
          <w:sz w:val="28"/>
          <w:szCs w:val="28"/>
          <w:rtl w:val="true"/>
          <w:lang w:bidi="fa-IR"/>
        </w:rPr>
        <w:t xml:space="preserve">. </w:t>
      </w:r>
      <w:bookmarkStart w:id="818" w:name="pg13281_120006"/>
    </w:p>
    <w:p>
      <w:pPr>
        <w:pStyle w:val="Heading3"/>
        <w:numPr>
          <w:ilvl w:val="2"/>
          <w:numId w:val="1"/>
        </w:numPr>
        <w:rPr/>
      </w:pPr>
      <w:bookmarkStart w:id="819" w:name="__RefHeading___Toc1955436_2322387425"/>
      <w:bookmarkStart w:id="820" w:name="_Toc311"/>
      <w:bookmarkEnd w:id="818"/>
      <w:bookmarkEnd w:id="819"/>
      <w:r>
        <w:rPr>
          <w:rtl w:val="true"/>
        </w:rPr>
        <w:t>المکروه من الصوم</w:t>
      </w:r>
      <w:bookmarkEnd w:id="820"/>
    </w:p>
    <w:p>
      <w:pPr>
        <w:pStyle w:val="BookText"/>
        <w:rPr/>
      </w:pPr>
      <w:r>
        <w:rPr>
          <w:rFonts w:ascii="IRNazanin" w:hAnsi="IRNazanin" w:eastAsia="IRNazanin"/>
          <w:color w:val="111111"/>
          <w:sz w:val="28"/>
          <w:sz w:val="28"/>
          <w:szCs w:val="28"/>
          <w:rtl w:val="true"/>
          <w:lang w:bidi="fa-IR"/>
        </w:rPr>
        <w:t>وأمّا المکروه</w:t>
      </w:r>
      <w:r>
        <w:rPr>
          <w:rStyle w:val="FootnoteAnchor"/>
          <w:rtl w:val="true"/>
        </w:rPr>
        <w:footnoteReference w:id="1729"/>
      </w:r>
      <w:r>
        <w:rPr>
          <w:rFonts w:ascii="IRNazanin" w:hAnsi="IRNazanin" w:eastAsia="IRNazanin"/>
          <w:color w:val="111111"/>
          <w:sz w:val="28"/>
          <w:sz w:val="28"/>
          <w:szCs w:val="28"/>
          <w:rtl w:val="true"/>
          <w:lang w:bidi="fa-IR"/>
        </w:rPr>
        <w:t xml:space="preserve">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Style w:val="FootnoteAnchor"/>
          <w:rtl w:val="true"/>
        </w:rPr>
        <w:footnoteReference w:id="1730"/>
      </w:r>
      <w:r>
        <w:rPr>
          <w:rFonts w:ascii="Amiri" w:hAnsi="Amiri" w:eastAsia="Amiri" w:cs="Amiri"/>
          <w:color w:val="111111"/>
          <w:sz w:val="28"/>
          <w:sz w:val="28"/>
          <w:szCs w:val="28"/>
          <w:rtl w:val="true"/>
          <w:lang w:bidi="ar-SA"/>
        </w:rPr>
        <w:t> قلّة الثواب</w:t>
      </w:r>
      <w:r>
        <w:rPr>
          <w:rStyle w:val="FootnoteAnchor"/>
          <w:rtl w:val="true"/>
        </w:rPr>
        <w:footnoteReference w:id="1731"/>
      </w:r>
      <w:r>
        <w:rPr>
          <w:rFonts w:ascii="IRNazanin" w:hAnsi="IRNazanin" w:eastAsia="IRNazanin"/>
          <w:color w:val="111111"/>
          <w:sz w:val="28"/>
          <w:sz w:val="28"/>
          <w:szCs w:val="28"/>
          <w:rtl w:val="true"/>
          <w:lang w:bidi="fa-IR"/>
        </w:rPr>
        <w:t xml:space="preserve"> ففی مواضع أیضاً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عاشوراء</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عرفة لمن خاف أن یُضعِفَه عن الدعاء الّذی هو أفضل من الصوم، وکذا مع الشکّ</w:t>
      </w:r>
      <w:r>
        <w:rPr>
          <w:rStyle w:val="FootnoteAnchor"/>
          <w:rtl w:val="true"/>
        </w:rPr>
        <w:footnoteReference w:id="1733"/>
      </w:r>
      <w:r>
        <w:rPr>
          <w:rFonts w:ascii="IRNazanin" w:hAnsi="IRNazanin" w:eastAsia="IRNazanin"/>
          <w:color w:val="111111"/>
          <w:sz w:val="28"/>
          <w:sz w:val="28"/>
          <w:szCs w:val="28"/>
          <w:rtl w:val="true"/>
          <w:lang w:bidi="fa-IR"/>
        </w:rPr>
        <w:t> فی هلال ذی الحجّة خوفاً من</w:t>
      </w:r>
      <w:r>
        <w:rPr>
          <w:rStyle w:val="FootnoteAnchor"/>
          <w:rtl w:val="true"/>
        </w:rPr>
        <w:footnoteReference w:id="1734"/>
      </w:r>
      <w:r>
        <w:rPr>
          <w:rFonts w:ascii="IRNazanin" w:hAnsi="IRNazanin" w:eastAsia="IRNazanin"/>
          <w:color w:val="111111"/>
          <w:sz w:val="28"/>
          <w:sz w:val="28"/>
          <w:szCs w:val="28"/>
          <w:rtl w:val="true"/>
          <w:lang w:bidi="fa-IR"/>
        </w:rPr>
        <w:t> أن یکون یوم العید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الضیف</w:t>
      </w:r>
      <w:r>
        <w:rPr>
          <w:rStyle w:val="FootnoteAnchor"/>
          <w:rtl w:val="true"/>
        </w:rPr>
        <w:footnoteReference w:id="1735"/>
      </w:r>
      <w:r>
        <w:rPr>
          <w:rFonts w:ascii="IRNazanin" w:hAnsi="IRNazanin" w:eastAsia="IRNazanin"/>
          <w:color w:val="111111"/>
          <w:sz w:val="28"/>
          <w:sz w:val="28"/>
          <w:szCs w:val="28"/>
          <w:rtl w:val="true"/>
          <w:lang w:bidi="fa-IR"/>
        </w:rPr>
        <w:t> بدون إذن</w:t>
      </w:r>
      <w:r>
        <w:rPr>
          <w:rStyle w:val="FootnoteAnchor"/>
          <w:rtl w:val="true"/>
        </w:rPr>
        <w:footnoteReference w:id="1736"/>
      </w:r>
      <w:r>
        <w:rPr>
          <w:rFonts w:ascii="Amiri" w:hAnsi="Amiri" w:eastAsia="Amiri" w:cs="Amiri"/>
          <w:color w:val="111111"/>
          <w:sz w:val="28"/>
          <w:sz w:val="28"/>
          <w:szCs w:val="28"/>
          <w:rtl w:val="true"/>
          <w:lang w:bidi="ar-SA"/>
        </w:rPr>
        <w:t> مضیِّفه</w:t>
      </w:r>
      <w:r>
        <w:rPr>
          <w:rStyle w:val="FootnoteAnchor"/>
          <w:rtl w:val="true"/>
        </w:rPr>
        <w:footnoteReference w:id="1737"/>
      </w:r>
      <w:r>
        <w:rPr>
          <w:rFonts w:ascii="IRNazanin" w:hAnsi="IRNazanin" w:eastAsia="IRNazanin"/>
          <w:color w:val="111111"/>
          <w:sz w:val="28"/>
          <w:sz w:val="28"/>
          <w:szCs w:val="28"/>
          <w:rtl w:val="true"/>
          <w:lang w:bidi="fa-IR"/>
        </w:rPr>
        <w:t>، والأحوط ترکه</w:t>
      </w:r>
      <w:r>
        <w:rPr>
          <w:rStyle w:val="FootnoteAnchor"/>
          <w:rtl w:val="true"/>
        </w:rPr>
        <w:footnoteReference w:id="1738"/>
      </w:r>
      <w:r>
        <w:rPr>
          <w:rFonts w:ascii="IRNazanin" w:hAnsi="IRNazanin" w:eastAsia="IRNazanin"/>
          <w:color w:val="111111"/>
          <w:sz w:val="28"/>
          <w:sz w:val="28"/>
          <w:szCs w:val="28"/>
          <w:rtl w:val="true"/>
          <w:lang w:bidi="fa-IR"/>
        </w:rPr>
        <w:t> مع نهیه، بل الأحوط</w:t>
      </w:r>
      <w:r>
        <w:rPr>
          <w:rStyle w:val="FootnoteAnchor"/>
          <w:rtl w:val="true"/>
        </w:rPr>
        <w:footnoteReference w:id="1739"/>
      </w:r>
      <w:r>
        <w:rPr>
          <w:rFonts w:ascii="IRNazanin" w:hAnsi="IRNazanin" w:eastAsia="IRNazanin"/>
          <w:color w:val="111111"/>
          <w:sz w:val="28"/>
          <w:sz w:val="28"/>
          <w:szCs w:val="28"/>
          <w:rtl w:val="true"/>
          <w:lang w:bidi="fa-IR"/>
        </w:rPr>
        <w:t> ترکه</w:t>
      </w:r>
      <w:r>
        <w:rPr>
          <w:rStyle w:val="FootnoteAnchor"/>
          <w:rtl w:val="true"/>
        </w:rPr>
        <w:footnoteReference w:id="1740"/>
      </w:r>
      <w:r>
        <w:rPr>
          <w:rFonts w:ascii="IRNazanin" w:hAnsi="IRNazanin" w:eastAsia="IRNazanin"/>
          <w:color w:val="111111"/>
          <w:sz w:val="28"/>
          <w:sz w:val="28"/>
          <w:szCs w:val="28"/>
          <w:rtl w:val="true"/>
          <w:lang w:bidi="fa-IR"/>
        </w:rPr>
        <w:t> مع عدم إذنه أیضاً</w:t>
      </w:r>
      <w:r>
        <w:rPr>
          <w:rFonts w:eastAsia="IRNazanin" w:cs="IRNazanin"/>
          <w:color w:val="111111"/>
          <w:sz w:val="28"/>
          <w:szCs w:val="28"/>
          <w:rtl w:val="true"/>
          <w:lang w:bidi="fa-IR"/>
        </w:rPr>
        <w:t xml:space="preserve">. </w:t>
      </w:r>
      <w:bookmarkStart w:id="821" w:name="pg13281_120008"/>
    </w:p>
    <w:p>
      <w:pPr>
        <w:pStyle w:val="BookText"/>
        <w:rPr/>
      </w:pPr>
      <w:bookmarkEnd w:id="821"/>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الولد بدون إذن والده</w:t>
      </w:r>
      <w:r>
        <w:rPr>
          <w:rStyle w:val="FootnoteAnchor"/>
          <w:rtl w:val="true"/>
        </w:rPr>
        <w:footnoteReference w:id="1741"/>
      </w:r>
      <w:r>
        <w:rPr>
          <w:rFonts w:ascii="IRNazanin" w:hAnsi="IRNazanin" w:eastAsia="IRNazanin"/>
          <w:color w:val="111111"/>
          <w:sz w:val="28"/>
          <w:sz w:val="28"/>
          <w:szCs w:val="28"/>
          <w:rtl w:val="true"/>
          <w:lang w:bidi="fa-IR"/>
        </w:rPr>
        <w:t>، بل الأحوط</w:t>
      </w:r>
      <w:r>
        <w:rPr>
          <w:rStyle w:val="FootnoteAnchor"/>
          <w:rtl w:val="true"/>
        </w:rPr>
        <w:footnoteReference w:id="1742"/>
      </w:r>
      <w:r>
        <w:rPr>
          <w:rFonts w:ascii="IRNazanin" w:hAnsi="IRNazanin" w:eastAsia="IRNazanin"/>
          <w:color w:val="111111"/>
          <w:sz w:val="28"/>
          <w:sz w:val="28"/>
          <w:szCs w:val="28"/>
          <w:rtl w:val="true"/>
          <w:lang w:bidi="fa-IR"/>
        </w:rPr>
        <w:t> ترکه خصوصاً مع النهی</w:t>
      </w:r>
      <w:r>
        <w:rPr>
          <w:rStyle w:val="FootnoteAnchor"/>
          <w:rtl w:val="true"/>
        </w:rPr>
        <w:footnoteReference w:id="1743"/>
      </w:r>
      <w:r>
        <w:rPr>
          <w:rFonts w:ascii="IRNazanin" w:hAnsi="IRNazanin" w:eastAsia="IRNazanin"/>
          <w:color w:val="111111"/>
          <w:sz w:val="28"/>
          <w:sz w:val="28"/>
          <w:szCs w:val="28"/>
          <w:rtl w:val="true"/>
          <w:lang w:bidi="fa-IR"/>
        </w:rPr>
        <w:t>، بل یحرم إذا کان إیذاءً له</w:t>
      </w:r>
      <w:r>
        <w:rPr>
          <w:rStyle w:val="FootnoteAnchor"/>
          <w:rtl w:val="true"/>
        </w:rPr>
        <w:footnoteReference w:id="1744"/>
      </w:r>
      <w:r>
        <w:rPr>
          <w:rFonts w:ascii="IRNazanin" w:hAnsi="IRNazanin" w:eastAsia="IRNazanin"/>
          <w:color w:val="111111"/>
          <w:sz w:val="28"/>
          <w:sz w:val="28"/>
          <w:szCs w:val="28"/>
          <w:rtl w:val="true"/>
          <w:lang w:bidi="fa-IR"/>
        </w:rPr>
        <w:t> من حیث شفقته علیه، والظاهر</w:t>
      </w:r>
    </w:p>
    <w:p>
      <w:pPr>
        <w:pStyle w:val="BookText"/>
        <w:rPr/>
      </w:pPr>
      <w:r>
        <w:rPr>
          <w:rFonts w:ascii="IRNazanin" w:hAnsi="IRNazanin" w:eastAsia="IRNazanin"/>
          <w:color w:val="111111"/>
          <w:sz w:val="28"/>
          <w:sz w:val="28"/>
          <w:szCs w:val="28"/>
          <w:rtl w:val="true"/>
          <w:lang w:bidi="fa-IR"/>
        </w:rPr>
        <w:t>جریان الحکم فی ولد الولد بالنسبة إلی الجَدّ، والأولی مراعاة إذن الوالدة، ومع کونه إیذاءً لها یحرم، کما فی الوالد</w:t>
      </w:r>
      <w:r>
        <w:rPr>
          <w:rFonts w:eastAsia="IRNazanin" w:cs="IRNazanin"/>
          <w:color w:val="111111"/>
          <w:sz w:val="28"/>
          <w:szCs w:val="28"/>
          <w:rtl w:val="true"/>
          <w:lang w:bidi="fa-IR"/>
        </w:rPr>
        <w:t>.</w:t>
      </w:r>
    </w:p>
    <w:p>
      <w:pPr>
        <w:pStyle w:val="Heading3"/>
        <w:numPr>
          <w:ilvl w:val="2"/>
          <w:numId w:val="1"/>
        </w:numPr>
        <w:rPr/>
      </w:pPr>
      <w:bookmarkStart w:id="822" w:name="__RefHeading___Toc1955438_2322387425"/>
      <w:bookmarkStart w:id="823" w:name="_Toc312"/>
      <w:bookmarkEnd w:id="822"/>
      <w:r>
        <w:rPr>
          <w:rtl w:val="true"/>
        </w:rPr>
        <w:t>أقسام الصوم المحظور</w:t>
      </w:r>
      <w:bookmarkEnd w:id="823"/>
    </w:p>
    <w:p>
      <w:pPr>
        <w:pStyle w:val="BookText"/>
        <w:rPr/>
      </w:pPr>
      <w:r>
        <w:rPr>
          <w:rFonts w:ascii="IRNazanin" w:hAnsi="IRNazanin" w:eastAsia="IRNazanin"/>
          <w:color w:val="111111"/>
          <w:sz w:val="28"/>
          <w:sz w:val="28"/>
          <w:szCs w:val="28"/>
          <w:rtl w:val="true"/>
          <w:lang w:bidi="fa-IR"/>
        </w:rPr>
        <w:t>وأمّا المحظور منه</w:t>
      </w:r>
      <w:r>
        <w:rPr>
          <w:rStyle w:val="FootnoteAnchor"/>
          <w:rtl w:val="true"/>
        </w:rPr>
        <w:footnoteReference w:id="1745"/>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مواضع</w:t>
      </w:r>
      <w:r>
        <w:rPr>
          <w:rStyle w:val="FootnoteAnchor"/>
          <w:rtl w:val="true"/>
        </w:rPr>
        <w:footnoteReference w:id="1746"/>
      </w:r>
      <w:r>
        <w:rPr>
          <w:rFonts w:ascii="Amiri" w:hAnsi="Amiri" w:eastAsia="Amiri" w:cs="Amiri"/>
          <w:color w:val="111111"/>
          <w:sz w:val="28"/>
          <w:sz w:val="28"/>
          <w:szCs w:val="28"/>
          <w:rtl w:val="true"/>
          <w:lang w:bidi="ar-SA"/>
        </w:rPr>
        <w:t> أیضاً</w:t>
      </w:r>
      <w:r>
        <w:rPr>
          <w:rStyle w:val="FootnoteAnchor"/>
          <w:rtl w:val="true"/>
        </w:rPr>
        <w:footnoteReference w:id="1747"/>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العیدین الفطر والأضحی وإن کان عن کفّارة القتل فی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الأشهُرِ الحُرُم</w:t>
      </w:r>
      <w:r>
        <w:rPr>
          <w:rStyle w:val="FootnoteAnchor"/>
          <w:rtl w:val="true"/>
        </w:rPr>
        <w:footnoteReference w:id="1748"/>
      </w:r>
      <w:r>
        <w:rPr>
          <w:rFonts w:ascii="IRNazanin" w:hAnsi="IRNazanin" w:eastAsia="IRNazanin"/>
          <w:color w:val="111111"/>
          <w:sz w:val="28"/>
          <w:sz w:val="28"/>
          <w:szCs w:val="28"/>
          <w:rtl w:val="true"/>
          <w:lang w:bidi="fa-IR"/>
        </w:rPr>
        <w:t>، والقول بجوازه للقاتل شاذّ، والروایة الدالّة علیه ضعیفة</w:t>
      </w:r>
      <w:r>
        <w:rPr>
          <w:rStyle w:val="FootnoteAnchor"/>
          <w:rtl w:val="true"/>
        </w:rPr>
        <w:footnoteReference w:id="1749"/>
      </w:r>
      <w:r>
        <w:rPr>
          <w:rFonts w:ascii="Amiri" w:hAnsi="Amiri" w:eastAsia="Amiri" w:cs="Amiri"/>
          <w:color w:val="111111"/>
          <w:sz w:val="28"/>
          <w:sz w:val="28"/>
          <w:szCs w:val="28"/>
          <w:rtl w:val="true"/>
          <w:lang w:bidi="ar-SA"/>
        </w:rPr>
        <w:t> سنداً</w:t>
      </w:r>
      <w:r>
        <w:rPr>
          <w:rStyle w:val="FootnoteAnchor"/>
          <w:rtl w:val="true"/>
        </w:rPr>
        <w:footnoteReference w:id="1750"/>
      </w:r>
      <w:r>
        <w:rPr>
          <w:rFonts w:ascii="Amiri" w:hAnsi="Amiri" w:eastAsia="Amiri" w:cs="Amiri"/>
          <w:color w:val="111111"/>
          <w:sz w:val="28"/>
          <w:sz w:val="28"/>
          <w:szCs w:val="28"/>
          <w:rtl w:val="true"/>
          <w:lang w:bidi="ar-SA"/>
        </w:rPr>
        <w:t> ودلالةً</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أیّام التشریق، وهی الحادی عشر والثانی عشر والثالث عشر من ذی الحجّة لمن کان بمنی، ولا فرق علی الأقوی</w:t>
      </w:r>
      <w:r>
        <w:rPr>
          <w:rStyle w:val="FootnoteAnchor"/>
          <w:rtl w:val="true"/>
        </w:rPr>
        <w:footnoteReference w:id="1752"/>
      </w:r>
      <w:r>
        <w:rPr>
          <w:rFonts w:ascii="IRNazanin" w:hAnsi="IRNazanin" w:eastAsia="IRNazanin"/>
          <w:color w:val="111111"/>
          <w:sz w:val="28"/>
          <w:sz w:val="28"/>
          <w:szCs w:val="28"/>
          <w:rtl w:val="true"/>
          <w:lang w:bidi="fa-IR"/>
        </w:rPr>
        <w:t> بین الناسک</w:t>
      </w:r>
      <w:r>
        <w:rPr>
          <w:rStyle w:val="FootnoteAnchor"/>
          <w:rtl w:val="true"/>
        </w:rPr>
        <w:footnoteReference w:id="1753"/>
      </w:r>
      <w:r>
        <w:rPr>
          <w:rFonts w:ascii="IRNazanin" w:hAnsi="IRNazanin" w:eastAsia="IRNazanin"/>
          <w:color w:val="111111"/>
          <w:sz w:val="28"/>
          <w:sz w:val="28"/>
          <w:szCs w:val="28"/>
          <w:rtl w:val="true"/>
          <w:lang w:bidi="fa-IR"/>
        </w:rPr>
        <w:t> وغیره</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الشکّ فی أنّه من شعبان أو رمضان بنیّة أنّه من رمضان، وأمّا بنیّة أنّه من شعبان فلا مانع منه،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وفاء نذر المعصیة، بأن ینذر الصوم إذا تمکّن من الحرام الفلانیّ، أو إذا ترک الواجب الفلانیّ ویقصد بذلک الشکر علی تیسّره، وأمّا إذا کان بقصد الزجر عنه فلا بأس به، نعم، یلحق بالأوّل فی الحرمة ما إذا نذر الصوم زجراً عن طاعة صدرت منه أو عن معصیة ترکها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الصمت</w:t>
      </w:r>
      <w:r>
        <w:rPr>
          <w:rStyle w:val="FootnoteAnchor"/>
          <w:rtl w:val="true"/>
        </w:rPr>
        <w:footnoteReference w:id="1755"/>
      </w:r>
      <w:r>
        <w:rPr>
          <w:rFonts w:ascii="IRNazanin" w:hAnsi="IRNazanin" w:eastAsia="IRNazanin"/>
          <w:color w:val="111111"/>
          <w:sz w:val="28"/>
          <w:sz w:val="28"/>
          <w:szCs w:val="28"/>
          <w:rtl w:val="true"/>
          <w:lang w:bidi="fa-IR"/>
        </w:rPr>
        <w:t xml:space="preserve">، بأن ینوی فی صومه السکوت عن الکلام </w:t>
      </w:r>
    </w:p>
    <w:p>
      <w:pPr>
        <w:pStyle w:val="BookText"/>
        <w:rPr/>
      </w:pPr>
      <w:r>
        <w:rPr>
          <w:rFonts w:ascii="IRNazanin" w:hAnsi="IRNazanin" w:eastAsia="IRNazanin"/>
          <w:color w:val="111111"/>
          <w:sz w:val="28"/>
          <w:sz w:val="28"/>
          <w:szCs w:val="28"/>
          <w:rtl w:val="true"/>
          <w:lang w:bidi="fa-IR"/>
        </w:rPr>
        <w:t>فی تمام النهار أو بعضه بجعله فی نیّته من قیود صومه، وأمّا إذا لم یجعله قیداً وإن صمت فلا بأس به، بل وإن کان فی حال النیّة بانیاً علی ذلک إذا لم یجعل الکلام جزءاً من المفطِرات وترکه قیداً فی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الوصال</w:t>
      </w:r>
      <w:r>
        <w:rPr>
          <w:rStyle w:val="FootnoteAnchor"/>
          <w:rtl w:val="true"/>
        </w:rPr>
        <w:footnoteReference w:id="1756"/>
      </w:r>
      <w:r>
        <w:rPr>
          <w:rFonts w:ascii="IRNazanin" w:hAnsi="IRNazanin" w:eastAsia="IRNazanin"/>
          <w:color w:val="111111"/>
          <w:sz w:val="28"/>
          <w:sz w:val="28"/>
          <w:szCs w:val="28"/>
          <w:rtl w:val="true"/>
          <w:lang w:bidi="fa-IR"/>
        </w:rPr>
        <w:t>، وهو صوم یوم ولیلة إلی السَحَر، أو صوم</w:t>
      </w:r>
    </w:p>
    <w:p>
      <w:pPr>
        <w:pStyle w:val="BookText"/>
        <w:rPr/>
      </w:pPr>
      <w:r>
        <w:rPr>
          <w:rFonts w:ascii="IRNazanin" w:hAnsi="IRNazanin" w:eastAsia="IRNazanin"/>
          <w:color w:val="111111"/>
          <w:sz w:val="28"/>
          <w:sz w:val="28"/>
          <w:szCs w:val="28"/>
          <w:rtl w:val="true"/>
          <w:lang w:bidi="fa-IR"/>
        </w:rPr>
        <w:t>یومَین بلا إفطار فی البَین</w:t>
      </w:r>
      <w:r>
        <w:rPr>
          <w:rStyle w:val="FootnoteAnchor"/>
          <w:rtl w:val="true"/>
        </w:rPr>
        <w:footnoteReference w:id="1757"/>
      </w:r>
      <w:r>
        <w:rPr>
          <w:rFonts w:ascii="IRNazanin" w:hAnsi="IRNazanin" w:eastAsia="IRNazanin"/>
          <w:color w:val="111111"/>
          <w:sz w:val="28"/>
          <w:sz w:val="28"/>
          <w:szCs w:val="28"/>
          <w:rtl w:val="true"/>
          <w:lang w:bidi="fa-IR"/>
        </w:rPr>
        <w:t>، وأمّا لو أخّر الإفطار إلی السَحَر أو إلی اللیلة الثانیة مع عدم قصد جعل ترکه جزءاً من الصوم فلا بأس به، وإن کان الأحوط عدم</w:t>
      </w:r>
      <w:r>
        <w:rPr>
          <w:rStyle w:val="FootnoteAnchor"/>
          <w:rtl w:val="true"/>
        </w:rPr>
        <w:footnoteReference w:id="1758"/>
      </w:r>
      <w:r>
        <w:rPr>
          <w:rFonts w:ascii="Amiri" w:hAnsi="Amiri" w:eastAsia="Amiri" w:cs="Amiri"/>
          <w:color w:val="111111"/>
          <w:sz w:val="28"/>
          <w:sz w:val="28"/>
          <w:szCs w:val="28"/>
          <w:rtl w:val="true"/>
          <w:lang w:bidi="ar-SA"/>
        </w:rPr>
        <w:t> التأخیر إلی السَحَر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الزوجة</w:t>
      </w:r>
      <w:r>
        <w:rPr>
          <w:rStyle w:val="FootnoteAnchor"/>
          <w:rtl w:val="true"/>
        </w:rPr>
        <w:footnoteReference w:id="1759"/>
      </w:r>
      <w:r>
        <w:rPr>
          <w:rFonts w:ascii="Amiri" w:hAnsi="Amiri" w:eastAsia="Amiri" w:cs="Amiri"/>
          <w:color w:val="111111"/>
          <w:sz w:val="28"/>
          <w:sz w:val="28"/>
          <w:szCs w:val="28"/>
          <w:rtl w:val="true"/>
          <w:lang w:bidi="ar-SA"/>
        </w:rPr>
        <w:t> مع المزاحمة لحقّ الزوج، والأحوط</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ترکه</w:t>
      </w:r>
      <w:r>
        <w:rPr>
          <w:rStyle w:val="FootnoteAnchor"/>
          <w:rtl w:val="true"/>
        </w:rPr>
        <w:footnoteReference w:id="1761"/>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بلا</w:t>
      </w:r>
      <w:r>
        <w:rPr>
          <w:rStyle w:val="FootnoteAnchor"/>
          <w:rtl w:val="true"/>
        </w:rPr>
        <w:footnoteReference w:id="1762"/>
      </w:r>
      <w:r>
        <w:rPr>
          <w:rFonts w:ascii="IRNazanin" w:hAnsi="IRNazanin" w:eastAsia="IRNazanin"/>
          <w:color w:val="111111"/>
          <w:sz w:val="28"/>
          <w:sz w:val="28"/>
          <w:szCs w:val="28"/>
          <w:rtl w:val="true"/>
          <w:lang w:bidi="fa-IR"/>
        </w:rPr>
        <w:t> إذن</w:t>
      </w:r>
      <w:r>
        <w:rPr>
          <w:rStyle w:val="FootnoteAnchor"/>
          <w:rtl w:val="true"/>
        </w:rPr>
        <w:footnoteReference w:id="1763"/>
      </w:r>
      <w:r>
        <w:rPr>
          <w:rFonts w:ascii="IRNazanin" w:hAnsi="IRNazanin" w:eastAsia="IRNazanin"/>
          <w:color w:val="111111"/>
          <w:sz w:val="28"/>
          <w:sz w:val="28"/>
          <w:szCs w:val="28"/>
          <w:rtl w:val="true"/>
          <w:lang w:bidi="fa-IR"/>
        </w:rPr>
        <w:t> منه</w:t>
      </w:r>
      <w:r>
        <w:rPr>
          <w:rStyle w:val="FootnoteAnchor"/>
          <w:rtl w:val="true"/>
        </w:rPr>
        <w:footnoteReference w:id="1764"/>
      </w:r>
      <w:r>
        <w:rPr>
          <w:rFonts w:ascii="IRNazanin" w:hAnsi="IRNazanin" w:eastAsia="IRNazanin"/>
          <w:color w:val="111111"/>
          <w:sz w:val="28"/>
          <w:sz w:val="28"/>
          <w:szCs w:val="28"/>
          <w:rtl w:val="true"/>
          <w:lang w:bidi="fa-IR"/>
        </w:rPr>
        <w:t>، بل لا یُترک الاحتیاط</w:t>
      </w:r>
      <w:r>
        <w:rPr>
          <w:rStyle w:val="FootnoteAnchor"/>
          <w:rtl w:val="true"/>
        </w:rPr>
        <w:footnoteReference w:id="1765"/>
      </w:r>
      <w:r>
        <w:rPr>
          <w:rFonts w:ascii="IRNazanin" w:hAnsi="IRNazanin" w:eastAsia="IRNazanin"/>
          <w:color w:val="111111"/>
          <w:sz w:val="28"/>
          <w:sz w:val="28"/>
          <w:szCs w:val="28"/>
          <w:rtl w:val="true"/>
          <w:lang w:bidi="fa-IR"/>
        </w:rPr>
        <w:t> مع نهیه عنه</w:t>
      </w:r>
      <w:r>
        <w:rPr>
          <w:rStyle w:val="FootnoteAnchor"/>
          <w:rtl w:val="true"/>
        </w:rPr>
        <w:footnoteReference w:id="1766"/>
      </w:r>
      <w:r>
        <w:rPr>
          <w:rFonts w:ascii="Amiri" w:hAnsi="Amiri" w:eastAsia="Amiri" w:cs="Amiri"/>
          <w:color w:val="111111"/>
          <w:sz w:val="28"/>
          <w:sz w:val="28"/>
          <w:szCs w:val="28"/>
          <w:rtl w:val="true"/>
          <w:lang w:bidi="ar-SA"/>
        </w:rPr>
        <w:t> وإن لم یکن مزاحماً لحقّه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المملوک مع المزاحمة لحقّ المولی، والأحوط</w:t>
      </w:r>
      <w:r>
        <w:rPr>
          <w:rStyle w:val="FootnoteAnchor"/>
          <w:rtl w:val="true"/>
        </w:rPr>
        <w:footnoteReference w:id="1767"/>
      </w:r>
      <w:r>
        <w:rPr>
          <w:rFonts w:ascii="IRNazanin" w:hAnsi="IRNazanin" w:eastAsia="IRNazanin"/>
          <w:color w:val="111111"/>
          <w:sz w:val="28"/>
          <w:sz w:val="28"/>
          <w:szCs w:val="28"/>
          <w:rtl w:val="true"/>
          <w:lang w:bidi="fa-IR"/>
        </w:rPr>
        <w:t> ترکه</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1769"/>
      </w:r>
      <w:r>
        <w:rPr>
          <w:rFonts w:ascii="IRNazanin" w:hAnsi="IRNazanin" w:eastAsia="IRNazanin"/>
          <w:color w:val="111111"/>
          <w:sz w:val="28"/>
          <w:sz w:val="28"/>
          <w:szCs w:val="28"/>
          <w:rtl w:val="true"/>
          <w:lang w:bidi="fa-IR"/>
        </w:rPr>
        <w:t> دون إذنه</w:t>
      </w:r>
      <w:r>
        <w:rPr>
          <w:rStyle w:val="FootnoteAnchor"/>
          <w:rtl w:val="true"/>
        </w:rPr>
        <w:footnoteReference w:id="1770"/>
      </w:r>
      <w:r>
        <w:rPr>
          <w:rFonts w:ascii="IRNazanin" w:hAnsi="IRNazanin" w:eastAsia="IRNazanin"/>
          <w:color w:val="111111"/>
          <w:sz w:val="28"/>
          <w:sz w:val="28"/>
          <w:szCs w:val="28"/>
          <w:rtl w:val="true"/>
          <w:lang w:bidi="fa-IR"/>
        </w:rPr>
        <w:t>، بل لا یُترک الاحتیاط مع نهیه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الولد مع کونه موجباً لتألّم الوالدین وأذیّتهما</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المریض</w:t>
      </w:r>
      <w:r>
        <w:rPr>
          <w:rStyle w:val="FootnoteAnchor"/>
          <w:rtl w:val="true"/>
        </w:rPr>
        <w:footnoteReference w:id="1773"/>
      </w:r>
      <w:r>
        <w:rPr>
          <w:rFonts w:ascii="Amiri" w:hAnsi="Amiri" w:eastAsia="Amiri" w:cs="Amiri"/>
          <w:color w:val="111111"/>
          <w:sz w:val="28"/>
          <w:sz w:val="28"/>
          <w:szCs w:val="28"/>
          <w:rtl w:val="true"/>
          <w:lang w:bidi="ar-SA"/>
        </w:rPr>
        <w:t>، ومَن کان یضرّه الصوم</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bookmarkStart w:id="824" w:name="pg13281_120013"/>
    </w:p>
    <w:p>
      <w:pPr>
        <w:pStyle w:val="BookText"/>
        <w:rPr/>
      </w:pPr>
      <w:bookmarkEnd w:id="824"/>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المسافر إلّا فی الصور المستثناة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الدهر حتّی العیدین علی ما فی الخبر، وإن کان یمکن أن یکون</w:t>
      </w:r>
      <w:r>
        <w:rPr>
          <w:rStyle w:val="FootnoteAnchor"/>
          <w:rtl w:val="true"/>
        </w:rPr>
        <w:footnoteReference w:id="1775"/>
      </w:r>
      <w:r>
        <w:rPr>
          <w:rFonts w:ascii="IRNazanin" w:hAnsi="IRNazanin" w:eastAsia="IRNazanin"/>
          <w:color w:val="111111"/>
          <w:sz w:val="28"/>
          <w:sz w:val="28"/>
          <w:szCs w:val="28"/>
          <w:rtl w:val="true"/>
          <w:lang w:bidi="fa-IR"/>
        </w:rPr>
        <w:t> من حیث اشتماله علیهما، لا لکونه صوم الدهر من</w:t>
      </w:r>
    </w:p>
    <w:p>
      <w:pPr>
        <w:pStyle w:val="BookText"/>
        <w:rPr/>
      </w:pPr>
      <w:r>
        <w:rPr>
          <w:rFonts w:ascii="IRNazanin" w:hAnsi="IRNazanin" w:eastAsia="IRNazanin"/>
          <w:color w:val="111111"/>
          <w:sz w:val="28"/>
          <w:sz w:val="28"/>
          <w:szCs w:val="28"/>
          <w:rtl w:val="true"/>
          <w:lang w:bidi="fa-IR"/>
        </w:rPr>
        <w:t>حیث هو</w:t>
      </w:r>
      <w:r>
        <w:rPr>
          <w:rFonts w:eastAsia="IRNazanin" w:cs="IRNazanin"/>
          <w:color w:val="111111"/>
          <w:sz w:val="28"/>
          <w:szCs w:val="28"/>
          <w:rtl w:val="true"/>
          <w:lang w:bidi="fa-IR"/>
        </w:rPr>
        <w:t>.</w:t>
      </w:r>
    </w:p>
    <w:p>
      <w:pPr>
        <w:pStyle w:val="Heading3"/>
        <w:numPr>
          <w:ilvl w:val="2"/>
          <w:numId w:val="1"/>
        </w:numPr>
        <w:rPr/>
      </w:pPr>
      <w:bookmarkStart w:id="825" w:name="__RefHeading___Toc1955440_2322387425"/>
      <w:bookmarkStart w:id="826" w:name="_Toc313"/>
      <w:bookmarkEnd w:id="825"/>
      <w:r>
        <w:rPr>
          <w:rtl w:val="true"/>
        </w:rPr>
        <w:t>مواضع استحباب الإمساک تأدّباً</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الإمساک</w:t>
      </w:r>
      <w:r>
        <w:rPr>
          <w:rStyle w:val="FootnoteAnchor"/>
          <w:rtl w:val="true"/>
        </w:rPr>
        <w:footnoteReference w:id="1776"/>
      </w:r>
      <w:r>
        <w:rPr>
          <w:rFonts w:ascii="IRNazanin" w:hAnsi="IRNazanin" w:eastAsia="IRNazanin"/>
          <w:color w:val="111111"/>
          <w:sz w:val="28"/>
          <w:sz w:val="28"/>
          <w:szCs w:val="28"/>
          <w:rtl w:val="true"/>
          <w:lang w:bidi="fa-IR"/>
        </w:rPr>
        <w:t> تأدّباً فی شهر رمضان وإن لم یکن  </w:t>
      </w:r>
    </w:p>
    <w:p>
      <w:pPr>
        <w:pStyle w:val="BookText"/>
        <w:rPr/>
      </w:pPr>
      <w:r>
        <w:rPr>
          <w:rFonts w:ascii="IRNazanin" w:hAnsi="IRNazanin" w:eastAsia="IRNazanin"/>
          <w:color w:val="111111"/>
          <w:sz w:val="28"/>
          <w:sz w:val="28"/>
          <w:szCs w:val="28"/>
          <w:rtl w:val="true"/>
          <w:lang w:bidi="fa-IR"/>
        </w:rPr>
        <w:t xml:space="preserve">صوماً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ورد أهله أو محلّ الإقامة بعد الزوال مطلقاً أو قبله وقد أفطر، وأمّا إذا ورد قبله ولم یفطر فقد مرّ أنّه یجب علیه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بَرِئَ فی أثناء النهار</w:t>
      </w:r>
      <w:r>
        <w:rPr>
          <w:rStyle w:val="FootnoteAnchor"/>
          <w:rtl w:val="true"/>
        </w:rPr>
        <w:footnoteReference w:id="1777"/>
      </w:r>
      <w:r>
        <w:rPr>
          <w:rFonts w:ascii="IRNazanin" w:hAnsi="IRNazanin" w:eastAsia="IRNazanin"/>
          <w:color w:val="111111"/>
          <w:sz w:val="28"/>
          <w:sz w:val="28"/>
          <w:szCs w:val="28"/>
          <w:rtl w:val="true"/>
          <w:lang w:bidi="fa-IR"/>
        </w:rPr>
        <w:t> وقد أفطر، وکذا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یفطر</w:t>
      </w:r>
      <w:r>
        <w:rPr>
          <w:rStyle w:val="FootnoteAnchor"/>
          <w:rtl w:val="true"/>
        </w:rPr>
        <w:footnoteReference w:id="1778"/>
      </w:r>
      <w:r>
        <w:rPr>
          <w:rFonts w:ascii="IRNazanin" w:hAnsi="IRNazanin" w:eastAsia="IRNazanin"/>
          <w:color w:val="111111"/>
          <w:sz w:val="28"/>
          <w:sz w:val="28"/>
          <w:szCs w:val="28"/>
          <w:rtl w:val="true"/>
          <w:lang w:bidi="fa-IR"/>
        </w:rPr>
        <w:t> إذا کان بعد الزوال، بل قبله</w:t>
      </w:r>
      <w:r>
        <w:rPr>
          <w:rStyle w:val="FootnoteAnchor"/>
          <w:rtl w:val="true"/>
        </w:rPr>
        <w:footnoteReference w:id="1779"/>
      </w:r>
      <w:r>
        <w:rPr>
          <w:rFonts w:ascii="Amiri" w:hAnsi="Amiri" w:eastAsia="Amiri" w:cs="Amiri"/>
          <w:color w:val="111111"/>
          <w:sz w:val="28"/>
          <w:sz w:val="28"/>
          <w:szCs w:val="28"/>
          <w:rtl w:val="true"/>
          <w:lang w:bidi="ar-SA"/>
        </w:rPr>
        <w:t> أیضاً</w:t>
      </w:r>
      <w:r>
        <w:rPr>
          <w:rStyle w:val="FootnoteAnchor"/>
          <w:rtl w:val="true"/>
        </w:rPr>
        <w:footnoteReference w:id="1780"/>
      </w:r>
      <w:r>
        <w:rPr>
          <w:rFonts w:ascii="IRNazanin" w:hAnsi="IRNazanin" w:eastAsia="IRNazanin"/>
          <w:color w:val="111111"/>
          <w:sz w:val="28"/>
          <w:sz w:val="28"/>
          <w:szCs w:val="28"/>
          <w:rtl w:val="true"/>
          <w:lang w:bidi="fa-IR"/>
        </w:rPr>
        <w:t> علی ما مرّ من عدم صحّة صومه، وإن کان الأحوط</w:t>
      </w:r>
      <w:r>
        <w:rPr>
          <w:rStyle w:val="FootnoteAnchor"/>
          <w:rtl w:val="true"/>
        </w:rPr>
        <w:footnoteReference w:id="178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تجدید</w:t>
      </w:r>
      <w:r>
        <w:rPr>
          <w:rStyle w:val="FootnoteAnchor"/>
          <w:rtl w:val="true"/>
        </w:rPr>
        <w:footnoteReference w:id="1782"/>
      </w:r>
      <w:r>
        <w:rPr>
          <w:rFonts w:ascii="Amiri" w:hAnsi="Amiri" w:eastAsia="Amiri" w:cs="Amiri"/>
          <w:color w:val="111111"/>
          <w:sz w:val="28"/>
          <w:sz w:val="28"/>
          <w:szCs w:val="28"/>
          <w:rtl w:val="true"/>
          <w:lang w:bidi="ar-SA"/>
        </w:rPr>
        <w:t> النیّة</w:t>
      </w:r>
      <w:r>
        <w:rPr>
          <w:rStyle w:val="FootnoteAnchor"/>
          <w:rtl w:val="true"/>
        </w:rPr>
        <w:footnoteReference w:id="1783"/>
      </w:r>
      <w:r>
        <w:rPr>
          <w:rFonts w:ascii="IRNazanin" w:hAnsi="IRNazanin" w:eastAsia="IRNazanin"/>
          <w:color w:val="111111"/>
          <w:sz w:val="28"/>
          <w:sz w:val="28"/>
          <w:szCs w:val="28"/>
          <w:rtl w:val="true"/>
          <w:lang w:bidi="fa-IR"/>
        </w:rPr>
        <w:t> والإتمام ثمّ القضاء</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والنُفَساء إذا طَهُرتا فی أثناء النهار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أسلم</w:t>
      </w:r>
      <w:r>
        <w:rPr>
          <w:rStyle w:val="FootnoteAnchor"/>
          <w:rtl w:val="true"/>
        </w:rPr>
        <w:footnoteReference w:id="1785"/>
      </w:r>
      <w:r>
        <w:rPr>
          <w:rFonts w:ascii="IRNazanin" w:hAnsi="IRNazanin" w:eastAsia="IRNazanin"/>
          <w:color w:val="111111"/>
          <w:sz w:val="28"/>
          <w:sz w:val="28"/>
          <w:szCs w:val="28"/>
          <w:rtl w:val="true"/>
          <w:lang w:bidi="fa-IR"/>
        </w:rPr>
        <w:t> فی أثناء</w:t>
      </w:r>
      <w:r>
        <w:rPr>
          <w:rStyle w:val="FootnoteAnchor"/>
          <w:rtl w:val="true"/>
        </w:rPr>
        <w:footnoteReference w:id="1786"/>
      </w:r>
      <w:r>
        <w:rPr>
          <w:rFonts w:ascii="IRNazanin" w:hAnsi="IRNazanin" w:eastAsia="IRNazanin"/>
          <w:color w:val="111111"/>
          <w:sz w:val="28"/>
          <w:sz w:val="28"/>
          <w:szCs w:val="28"/>
          <w:rtl w:val="true"/>
          <w:lang w:bidi="fa-IR"/>
        </w:rPr>
        <w:t> النهار</w:t>
      </w:r>
      <w:r>
        <w:rPr>
          <w:rStyle w:val="FootnoteAnchor"/>
          <w:rtl w:val="true"/>
        </w:rPr>
        <w:footnoteReference w:id="1787"/>
      </w:r>
      <w:r>
        <w:rPr>
          <w:rFonts w:ascii="IRNazanin" w:hAnsi="IRNazanin" w:eastAsia="IRNazanin"/>
          <w:color w:val="111111"/>
          <w:sz w:val="28"/>
          <w:sz w:val="28"/>
          <w:szCs w:val="28"/>
          <w:rtl w:val="true"/>
          <w:lang w:bidi="fa-IR"/>
        </w:rPr>
        <w:t> أتی بالمفطِر</w:t>
      </w:r>
      <w:r>
        <w:rPr>
          <w:rStyle w:val="FootnoteAnchor"/>
          <w:rtl w:val="true"/>
        </w:rPr>
        <w:footnoteReference w:id="1788"/>
      </w:r>
      <w:r>
        <w:rPr>
          <w:rFonts w:ascii="IRNazanin" w:hAnsi="IRNazanin" w:eastAsia="IRNazanin"/>
          <w:color w:val="111111"/>
          <w:sz w:val="28"/>
          <w:sz w:val="28"/>
          <w:szCs w:val="28"/>
          <w:rtl w:val="true"/>
          <w:lang w:bidi="fa-IR"/>
        </w:rPr>
        <w:t> أم لا</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w:t>
      </w:r>
      <w:r>
        <w:rPr>
          <w:rStyle w:val="FootnoteAnchor"/>
          <w:rtl w:val="true"/>
        </w:rPr>
        <w:footnoteReference w:id="1790"/>
      </w:r>
      <w:r>
        <w:rPr>
          <w:rFonts w:ascii="IRNazanin" w:hAnsi="IRNazanin" w:eastAsia="IRNazanin"/>
          <w:color w:val="111111"/>
          <w:sz w:val="28"/>
          <w:sz w:val="28"/>
          <w:szCs w:val="28"/>
          <w:rtl w:val="true"/>
          <w:lang w:bidi="fa-IR"/>
        </w:rPr>
        <w:t> إذا بلغ فی أثناء النهار</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والمُغمی علیه</w:t>
      </w:r>
      <w:r>
        <w:rPr>
          <w:rStyle w:val="FootnoteAnchor"/>
          <w:rtl w:val="true"/>
        </w:rPr>
        <w:footnoteReference w:id="1792"/>
      </w:r>
      <w:r>
        <w:rPr>
          <w:rFonts w:ascii="Amiri" w:hAnsi="Amiri" w:eastAsia="Amiri" w:cs="Amiri"/>
          <w:color w:val="111111"/>
          <w:sz w:val="28"/>
          <w:sz w:val="28"/>
          <w:szCs w:val="28"/>
          <w:rtl w:val="true"/>
          <w:lang w:bidi="ar-SA"/>
        </w:rPr>
        <w:t> إذا أفَاقَا</w:t>
      </w:r>
      <w:r>
        <w:rPr>
          <w:rStyle w:val="FootnoteAnchor"/>
          <w:rtl w:val="true"/>
        </w:rPr>
        <w:footnoteReference w:id="1793"/>
      </w:r>
      <w:r>
        <w:rPr>
          <w:rFonts w:ascii="IRNazanin" w:hAnsi="IRNazanin" w:eastAsia="IRNazanin"/>
          <w:color w:val="111111"/>
          <w:sz w:val="28"/>
          <w:sz w:val="28"/>
          <w:szCs w:val="28"/>
          <w:rtl w:val="true"/>
          <w:lang w:bidi="fa-IR"/>
        </w:rPr>
        <w:t> فی أثنائه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ویلیه کتاب الاعتکاف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 لاْ عْتِکا ف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3281_120018"/>
      <w:bookmarkStart w:id="828" w:name="pg13281_120018"/>
      <w:bookmarkEnd w:id="828"/>
    </w:p>
    <w:p>
      <w:pPr>
        <w:pStyle w:val="BookText"/>
        <w:rPr/>
      </w:pPr>
      <w:bookmarkStart w:id="829" w:name="pg13281_120018"/>
      <w:bookmarkEnd w:id="82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الاعتکاف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30" w:name="__RefHeading___Toc1955442_2322387425"/>
      <w:bookmarkStart w:id="831" w:name="_Toc314"/>
      <w:bookmarkEnd w:id="830"/>
      <w:r>
        <w:rPr>
          <w:rtl w:val="true"/>
        </w:rPr>
        <w:t>کتاب الاعتکاف</w:t>
      </w:r>
      <w:bookmarkEnd w:id="831"/>
    </w:p>
    <w:p>
      <w:pPr>
        <w:pStyle w:val="Heading3"/>
        <w:numPr>
          <w:ilvl w:val="2"/>
          <w:numId w:val="1"/>
        </w:numPr>
        <w:rPr/>
      </w:pPr>
      <w:bookmarkStart w:id="832" w:name="__RefHeading___Toc1955444_2322387425"/>
      <w:bookmarkStart w:id="833" w:name="_Toc315"/>
      <w:bookmarkEnd w:id="832"/>
      <w:r>
        <w:rPr>
          <w:rtl w:val="true"/>
        </w:rPr>
        <w:t>معناه وأفضل أوقاته وأقسامه</w:t>
      </w:r>
      <w:bookmarkEnd w:id="833"/>
    </w:p>
    <w:p>
      <w:pPr>
        <w:pStyle w:val="BookText"/>
        <w:rPr/>
      </w:pPr>
      <w:r>
        <w:rPr>
          <w:rFonts w:ascii="IRNazanin" w:hAnsi="IRNazanin" w:eastAsia="IRNazanin"/>
          <w:color w:val="111111"/>
          <w:sz w:val="28"/>
          <w:sz w:val="28"/>
          <w:szCs w:val="28"/>
          <w:rtl w:val="true"/>
          <w:lang w:bidi="fa-IR"/>
        </w:rPr>
        <w:t>وهو اللَبثُ فی المسجد بقصد العبادة</w:t>
      </w:r>
      <w:r>
        <w:rPr>
          <w:rStyle w:val="FootnoteAnchor"/>
          <w:rtl w:val="true"/>
        </w:rPr>
        <w:footnoteReference w:id="1795"/>
      </w:r>
      <w:r>
        <w:rPr>
          <w:rFonts w:ascii="IRNazanin" w:hAnsi="IRNazanin" w:eastAsia="IRNazanin"/>
          <w:color w:val="111111"/>
          <w:sz w:val="28"/>
          <w:sz w:val="28"/>
          <w:szCs w:val="28"/>
          <w:rtl w:val="true"/>
          <w:lang w:bidi="fa-IR"/>
        </w:rPr>
        <w:t>، بل لا یبعد</w:t>
      </w:r>
      <w:r>
        <w:rPr>
          <w:rStyle w:val="FootnoteAnchor"/>
          <w:rtl w:val="true"/>
        </w:rPr>
        <w:footnoteReference w:id="1796"/>
      </w:r>
      <w:r>
        <w:rPr>
          <w:rFonts w:ascii="IRNazanin" w:hAnsi="IRNazanin" w:eastAsia="IRNazanin"/>
          <w:color w:val="111111"/>
          <w:sz w:val="28"/>
          <w:sz w:val="28"/>
          <w:szCs w:val="28"/>
          <w:rtl w:val="true"/>
          <w:lang w:bidi="fa-IR"/>
        </w:rPr>
        <w:t> کفایة</w:t>
      </w:r>
      <w:r>
        <w:rPr>
          <w:rStyle w:val="FootnoteAnchor"/>
          <w:rtl w:val="true"/>
        </w:rPr>
        <w:footnoteReference w:id="1797"/>
      </w:r>
      <w:r>
        <w:rPr>
          <w:rFonts w:ascii="IRNazanin" w:hAnsi="IRNazanin" w:eastAsia="IRNazanin"/>
          <w:color w:val="111111"/>
          <w:sz w:val="28"/>
          <w:sz w:val="28"/>
          <w:szCs w:val="28"/>
          <w:rtl w:val="true"/>
          <w:lang w:bidi="fa-IR"/>
        </w:rPr>
        <w:t> قصد التعبّد بنفس اللَبث، وإن لم یضمّ إلیه قصد عبادةٍ اُخری خارجةٍ عنه، لکنّ الأحوط الأول</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فی کلّ وقت یصحّ فیه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أوقاته شهر رمضان، وأفضله العشر</w:t>
      </w:r>
      <w:r>
        <w:rPr>
          <w:rStyle w:val="FootnoteAnchor"/>
          <w:rtl w:val="true"/>
        </w:rPr>
        <w:footnoteReference w:id="1799"/>
      </w:r>
      <w:r>
        <w:rPr>
          <w:rFonts w:ascii="IRNazanin" w:hAnsi="IRNazanin" w:eastAsia="IRNazanin"/>
          <w:color w:val="111111"/>
          <w:sz w:val="28"/>
          <w:sz w:val="28"/>
          <w:szCs w:val="28"/>
          <w:rtl w:val="true"/>
          <w:lang w:bidi="fa-IR"/>
        </w:rPr>
        <w:t> الأواخر منه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وینقسم إلی واجب</w:t>
      </w:r>
      <w:r>
        <w:rPr>
          <w:rStyle w:val="FootnoteAnchor"/>
          <w:rtl w:val="true"/>
        </w:rPr>
        <w:footnoteReference w:id="1800"/>
      </w:r>
      <w:r>
        <w:rPr>
          <w:rFonts w:ascii="IRNazanin" w:hAnsi="IRNazanin" w:eastAsia="IRNazanin"/>
          <w:color w:val="111111"/>
          <w:sz w:val="28"/>
          <w:sz w:val="28"/>
          <w:szCs w:val="28"/>
          <w:rtl w:val="true"/>
          <w:lang w:bidi="fa-IR"/>
        </w:rPr>
        <w:t> ومندوب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بنذر</w:t>
      </w:r>
      <w:r>
        <w:rPr>
          <w:rStyle w:val="FootnoteAnchor"/>
          <w:rtl w:val="true"/>
        </w:rPr>
        <w:footnoteReference w:id="1801"/>
      </w:r>
      <w:r>
        <w:rPr>
          <w:rFonts w:ascii="IRNazanin" w:hAnsi="IRNazanin" w:eastAsia="IRNazanin"/>
          <w:color w:val="111111"/>
          <w:sz w:val="28"/>
          <w:sz w:val="28"/>
          <w:szCs w:val="28"/>
          <w:rtl w:val="true"/>
          <w:lang w:bidi="fa-IR"/>
        </w:rPr>
        <w:t>أو عهد أو یمین، أو شرط فی ضمن عقد أو إجارة، أو نحو ذلک، وإلّا ففی أصل الشرع مستحبّ، ویجوز الإتیان به عن نفسه وعن غیره المیّت، وفی جوازه نیابةً عن الحَیّ قولان</w:t>
      </w:r>
      <w:r>
        <w:rPr>
          <w:rStyle w:val="FootnoteAnchor"/>
          <w:rtl w:val="true"/>
        </w:rPr>
        <w:footnoteReference w:id="180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1803"/>
      </w:r>
      <w:r>
        <w:rPr>
          <w:rFonts w:ascii="IRNazanin" w:hAnsi="IRNazanin" w:eastAsia="IRNazanin"/>
          <w:color w:val="111111"/>
          <w:sz w:val="28"/>
          <w:sz w:val="28"/>
          <w:szCs w:val="28"/>
          <w:rtl w:val="true"/>
          <w:lang w:bidi="fa-IR"/>
        </w:rPr>
        <w:t> ذلک</w:t>
      </w:r>
      <w:r>
        <w:rPr>
          <w:rStyle w:val="FootnoteAnchor"/>
          <w:rtl w:val="true"/>
        </w:rPr>
        <w:footnoteReference w:id="1804"/>
      </w:r>
      <w:r>
        <w:rPr>
          <w:rFonts w:ascii="IRNazanin" w:hAnsi="IRNazanin" w:eastAsia="IRNazanin"/>
          <w:color w:val="111111"/>
          <w:sz w:val="28"/>
          <w:sz w:val="28"/>
          <w:szCs w:val="28"/>
          <w:rtl w:val="true"/>
          <w:lang w:bidi="fa-IR"/>
        </w:rPr>
        <w:t>، بل هو الأقوی</w:t>
      </w:r>
      <w:r>
        <w:rPr>
          <w:rStyle w:val="FootnoteAnchor"/>
          <w:rtl w:val="true"/>
        </w:rPr>
        <w:footnoteReference w:id="1805"/>
      </w:r>
      <w:r>
        <w:rPr>
          <w:rFonts w:ascii="Amiri" w:hAnsi="Amiri" w:eastAsia="Amiri" w:cs="Amiri"/>
          <w:color w:val="111111"/>
          <w:sz w:val="28"/>
          <w:sz w:val="28"/>
          <w:szCs w:val="28"/>
          <w:rtl w:val="true"/>
          <w:lang w:bidi="ar-SA"/>
        </w:rPr>
        <w:t>، ولا یضرّ اشتراط الصوم فیه ؛ فإنّه تَبَعِیّ، فهو کالصلاة</w:t>
      </w:r>
      <w:r>
        <w:rPr>
          <w:rStyle w:val="FootnoteAnchor"/>
          <w:rtl w:val="true"/>
        </w:rPr>
        <w:footnoteReference w:id="1806"/>
      </w:r>
      <w:r>
        <w:rPr>
          <w:rFonts w:ascii="IRNazanin" w:hAnsi="IRNazanin" w:eastAsia="IRNazanin"/>
          <w:color w:val="111111"/>
          <w:sz w:val="28"/>
          <w:sz w:val="28"/>
          <w:szCs w:val="28"/>
          <w:rtl w:val="true"/>
          <w:lang w:bidi="fa-IR"/>
        </w:rPr>
        <w:t> فی الطواف الّذی یجوز فیه النیابة عن الحیّ</w:t>
      </w:r>
      <w:r>
        <w:rPr>
          <w:rFonts w:eastAsia="IRNazanin" w:cs="IRNazanin"/>
          <w:color w:val="111111"/>
          <w:sz w:val="28"/>
          <w:szCs w:val="28"/>
          <w:rtl w:val="true"/>
          <w:lang w:bidi="fa-IR"/>
        </w:rPr>
        <w:t xml:space="preserve">. </w:t>
      </w:r>
      <w:bookmarkStart w:id="834" w:name="pg13281_120020"/>
    </w:p>
    <w:p>
      <w:pPr>
        <w:pStyle w:val="Heading3"/>
        <w:numPr>
          <w:ilvl w:val="2"/>
          <w:numId w:val="1"/>
        </w:numPr>
        <w:rPr/>
      </w:pPr>
      <w:bookmarkStart w:id="835" w:name="__RefHeading___Toc1955446_2322387425"/>
      <w:bookmarkStart w:id="836" w:name="_Toc316"/>
      <w:bookmarkEnd w:id="834"/>
      <w:bookmarkEnd w:id="835"/>
      <w:r>
        <w:rPr>
          <w:rtl w:val="true"/>
        </w:rPr>
        <w:t>شرائط صحة الاعتکاف</w:t>
      </w:r>
      <w:bookmarkEnd w:id="836"/>
    </w:p>
    <w:p>
      <w:pPr>
        <w:pStyle w:val="BookText"/>
        <w:rPr/>
      </w:pPr>
      <w:r>
        <w:rPr>
          <w:rFonts w:ascii="Amiri" w:hAnsi="Amiri" w:eastAsia="Amiri" w:cs="Amiri"/>
          <w:color w:val="111111"/>
          <w:sz w:val="28"/>
          <w:sz w:val="28"/>
          <w:szCs w:val="28"/>
          <w:rtl w:val="true"/>
          <w:lang w:bidi="ar-SA"/>
        </w:rPr>
        <w:t>ویشترط فی صحّته اُمور</w:t>
      </w:r>
      <w:r>
        <w:rPr>
          <w:rStyle w:val="FootnoteAnchor"/>
          <w:rtl w:val="true"/>
        </w:rPr>
        <w:footnoteReference w:id="1807"/>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1955448_2322387425"/>
      <w:bookmarkStart w:id="838" w:name="_Toc317"/>
      <w:bookmarkEnd w:id="837"/>
      <w:r>
        <w:rPr>
          <w:rtl w:val="true"/>
        </w:rPr>
        <w:t>الأول</w:t>
      </w:r>
      <w:r>
        <w:rPr>
          <w:rtl w:val="true"/>
        </w:rPr>
        <w:t xml:space="preserve">: </w:t>
      </w:r>
      <w:r>
        <w:rPr>
          <w:rtl w:val="true"/>
        </w:rPr>
        <w:t>الإیمان، فلا یصحّ من غیره</w:t>
      </w:r>
      <w:bookmarkEnd w:id="838"/>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Style w:val="FootnoteAnchor"/>
          <w:rtl w:val="true"/>
        </w:rPr>
        <w:footnoteReference w:id="1808"/>
      </w:r>
      <w:r>
        <w:rPr>
          <w:rFonts w:ascii="IRNazanin" w:hAnsi="IRNazanin" w:eastAsia="IRNazanin"/>
          <w:color w:val="111111"/>
          <w:sz w:val="28"/>
          <w:sz w:val="28"/>
          <w:szCs w:val="28"/>
          <w:rtl w:val="true"/>
          <w:lang w:bidi="fa-IR"/>
        </w:rPr>
        <w:t>، فلا یصحّ من غیره</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955450_2322387425"/>
      <w:bookmarkStart w:id="840" w:name="_Toc318"/>
      <w:bookmarkEnd w:id="839"/>
      <w:r>
        <w:rPr>
          <w:rtl w:val="true"/>
        </w:rPr>
        <w:t xml:space="preserve">الثانی </w:t>
      </w:r>
      <w:r>
        <w:rPr>
          <w:rtl w:val="true"/>
        </w:rPr>
        <w:t xml:space="preserve">: </w:t>
      </w:r>
      <w:r>
        <w:rPr>
          <w:rtl w:val="true"/>
        </w:rPr>
        <w:t>العقل، فلا یصحّ من المجنون</w:t>
      </w:r>
      <w:bookmarkEnd w:id="84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من المجنون</w:t>
      </w:r>
      <w:r>
        <w:rPr>
          <w:rStyle w:val="FootnoteAnchor"/>
          <w:rtl w:val="true"/>
        </w:rPr>
        <w:footnoteReference w:id="1810"/>
      </w:r>
      <w:r>
        <w:rPr>
          <w:rFonts w:ascii="IRNazanin" w:hAnsi="IRNazanin" w:eastAsia="IRNazanin"/>
          <w:color w:val="111111"/>
          <w:sz w:val="28"/>
          <w:sz w:val="28"/>
          <w:szCs w:val="28"/>
          <w:rtl w:val="true"/>
          <w:lang w:bidi="fa-IR"/>
        </w:rPr>
        <w:t> ولو أدواراً فی دوره، ولا من السَکران وغیره</w:t>
      </w:r>
      <w:r>
        <w:rPr>
          <w:rStyle w:val="FootnoteAnchor"/>
          <w:rtl w:val="true"/>
        </w:rPr>
        <w:footnoteReference w:id="1811"/>
      </w:r>
      <w:r>
        <w:rPr>
          <w:rFonts w:ascii="Amiri" w:hAnsi="Amiri" w:eastAsia="Amiri" w:cs="Amiri"/>
          <w:color w:val="111111"/>
          <w:sz w:val="28"/>
          <w:sz w:val="28"/>
          <w:szCs w:val="28"/>
          <w:rtl w:val="true"/>
          <w:lang w:bidi="ar-SA"/>
        </w:rPr>
        <w:t> من فاقِدِی العقل</w:t>
      </w:r>
      <w:r>
        <w:rPr>
          <w:rFonts w:eastAsia="Amiri" w:cs="Amiri" w:ascii="Amiri" w:hAnsi="Amiri"/>
          <w:color w:val="111111"/>
          <w:sz w:val="28"/>
          <w:szCs w:val="28"/>
          <w:rtl w:val="true"/>
          <w:lang w:bidi="ar-SA"/>
        </w:rPr>
        <w:t xml:space="preserve">. </w:t>
      </w:r>
      <w:bookmarkStart w:id="841" w:name="pg13281_120021"/>
    </w:p>
    <w:p>
      <w:pPr>
        <w:pStyle w:val="Heading3"/>
        <w:numPr>
          <w:ilvl w:val="2"/>
          <w:numId w:val="1"/>
        </w:numPr>
        <w:rPr/>
      </w:pPr>
      <w:bookmarkStart w:id="842" w:name="__RefHeading___Toc1955452_2322387425"/>
      <w:bookmarkStart w:id="843" w:name="_Toc319"/>
      <w:bookmarkEnd w:id="841"/>
      <w:bookmarkEnd w:id="842"/>
      <w:r>
        <w:rPr>
          <w:rtl w:val="true"/>
        </w:rPr>
        <w:t xml:space="preserve">الثالث </w:t>
      </w:r>
      <w:r>
        <w:rPr>
          <w:rtl w:val="true"/>
        </w:rPr>
        <w:t xml:space="preserve">: </w:t>
      </w:r>
      <w:r>
        <w:rPr>
          <w:rtl w:val="true"/>
        </w:rPr>
        <w:t>نیّة القربة العبادیة</w:t>
      </w:r>
      <w:bookmarkEnd w:id="843"/>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القربة، کما فی غیره من العبادات، والتعیین</w:t>
      </w:r>
      <w:r>
        <w:rPr>
          <w:rStyle w:val="FootnoteAnchor"/>
          <w:rtl w:val="true"/>
        </w:rPr>
        <w:footnoteReference w:id="1812"/>
      </w:r>
      <w:r>
        <w:rPr>
          <w:rFonts w:ascii="Amiri" w:hAnsi="Amiri" w:eastAsia="Amiri" w:cs="Amiri"/>
          <w:color w:val="111111"/>
          <w:sz w:val="28"/>
          <w:sz w:val="28"/>
          <w:szCs w:val="28"/>
          <w:rtl w:val="true"/>
          <w:lang w:bidi="ar-SA"/>
        </w:rPr>
        <w:t> إذا تعدّد</w:t>
      </w:r>
      <w:r>
        <w:rPr>
          <w:rStyle w:val="FootnoteAnchor"/>
          <w:rtl w:val="true"/>
        </w:rPr>
        <w:footnoteReference w:id="1813"/>
      </w:r>
      <w:r>
        <w:rPr>
          <w:rFonts w:ascii="IRNazanin" w:hAnsi="IRNazanin" w:eastAsia="IRNazanin"/>
          <w:color w:val="111111"/>
          <w:sz w:val="28"/>
          <w:sz w:val="28"/>
          <w:szCs w:val="28"/>
          <w:rtl w:val="true"/>
          <w:lang w:bidi="fa-IR"/>
        </w:rPr>
        <w:t>ولو إجمالاً، ولا یعتبر فیه قصد الوجه کما فی غیره من العبادات</w:t>
      </w:r>
      <w:r>
        <w:rPr>
          <w:rStyle w:val="FootnoteAnchor"/>
          <w:rtl w:val="true"/>
        </w:rPr>
        <w:footnoteReference w:id="1814"/>
      </w:r>
      <w:r>
        <w:rPr>
          <w:rFonts w:ascii="IRNazanin" w:hAnsi="IRNazanin" w:eastAsia="IRNazanin"/>
          <w:color w:val="111111"/>
          <w:sz w:val="28"/>
          <w:sz w:val="28"/>
          <w:szCs w:val="28"/>
          <w:rtl w:val="true"/>
          <w:lang w:bidi="fa-IR"/>
        </w:rPr>
        <w:t>، وإن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أن ینوی الوجه ففی الواجب منه</w:t>
      </w:r>
      <w:r>
        <w:rPr>
          <w:rStyle w:val="FootnoteAnchor"/>
          <w:rtl w:val="true"/>
        </w:rPr>
        <w:footnoteReference w:id="1815"/>
      </w:r>
      <w:r>
        <w:rPr>
          <w:rFonts w:ascii="IRNazanin" w:hAnsi="IRNazanin" w:eastAsia="IRNazanin"/>
          <w:color w:val="111111"/>
          <w:sz w:val="28"/>
          <w:sz w:val="28"/>
          <w:szCs w:val="28"/>
          <w:rtl w:val="true"/>
          <w:lang w:bidi="fa-IR"/>
        </w:rPr>
        <w:t> ینوی الوجوب</w:t>
      </w:r>
      <w:r>
        <w:rPr>
          <w:rStyle w:val="FootnoteAnchor"/>
          <w:rtl w:val="true"/>
        </w:rPr>
        <w:footnoteReference w:id="1816"/>
      </w:r>
      <w:r>
        <w:rPr>
          <w:rFonts w:ascii="IRNazanin" w:hAnsi="IRNazanin" w:eastAsia="IRNazanin"/>
          <w:color w:val="111111"/>
          <w:sz w:val="28"/>
          <w:sz w:val="28"/>
          <w:szCs w:val="28"/>
          <w:rtl w:val="true"/>
          <w:lang w:bidi="fa-IR"/>
        </w:rPr>
        <w:t xml:space="preserve">، وفی المندوب    </w:t>
      </w:r>
    </w:p>
    <w:p>
      <w:pPr>
        <w:pStyle w:val="BookText"/>
        <w:rPr/>
      </w:pPr>
      <w:r>
        <w:rPr>
          <w:rFonts w:ascii="IRNazanin" w:hAnsi="IRNazanin" w:eastAsia="IRNazanin"/>
          <w:color w:val="111111"/>
          <w:sz w:val="28"/>
          <w:sz w:val="28"/>
          <w:szCs w:val="28"/>
          <w:rtl w:val="true"/>
          <w:lang w:bidi="fa-IR"/>
        </w:rPr>
        <w:t>الندب، ولا یقدح فی ذلک کون الیوم الثالث الّذی هو جزء منه واجباً؛ لأنّه من أحکامه</w:t>
      </w:r>
      <w:r>
        <w:rPr>
          <w:rStyle w:val="FootnoteAnchor"/>
          <w:rtl w:val="true"/>
        </w:rPr>
        <w:footnoteReference w:id="1817"/>
      </w:r>
      <w:r>
        <w:rPr>
          <w:rFonts w:ascii="IRNazanin" w:hAnsi="IRNazanin" w:eastAsia="IRNazanin"/>
          <w:color w:val="111111"/>
          <w:sz w:val="28"/>
          <w:sz w:val="28"/>
          <w:szCs w:val="28"/>
          <w:rtl w:val="true"/>
          <w:lang w:bidi="fa-IR"/>
        </w:rPr>
        <w:t>، فهو نظیر النافلة</w:t>
      </w:r>
      <w:r>
        <w:rPr>
          <w:rStyle w:val="FootnoteAnchor"/>
          <w:rtl w:val="true"/>
        </w:rPr>
        <w:footnoteReference w:id="1818"/>
      </w:r>
      <w:r>
        <w:rPr>
          <w:rFonts w:ascii="IRNazanin" w:hAnsi="IRNazanin" w:eastAsia="IRNazanin"/>
          <w:color w:val="111111"/>
          <w:sz w:val="28"/>
          <w:sz w:val="28"/>
          <w:szCs w:val="28"/>
          <w:rtl w:val="true"/>
          <w:lang w:bidi="fa-IR"/>
        </w:rPr>
        <w:t> إذا قلنا بوجوبها بعد الشروع فیها، ولکنّ الأولی</w:t>
      </w:r>
      <w:r>
        <w:rPr>
          <w:rStyle w:val="FootnoteAnchor"/>
          <w:rtl w:val="true"/>
        </w:rPr>
        <w:footnoteReference w:id="1819"/>
      </w:r>
      <w:r>
        <w:rPr>
          <w:rFonts w:ascii="IRNazanin" w:hAnsi="IRNazanin" w:eastAsia="IRNazanin"/>
          <w:color w:val="111111"/>
          <w:sz w:val="28"/>
          <w:sz w:val="28"/>
          <w:szCs w:val="28"/>
          <w:rtl w:val="true"/>
          <w:lang w:bidi="fa-IR"/>
        </w:rPr>
        <w:t> ملاحظة ذلک حین الشروع فیه، بل</w:t>
      </w:r>
      <w:r>
        <w:rPr>
          <w:rStyle w:val="FootnoteAnchor"/>
          <w:rtl w:val="true"/>
        </w:rPr>
        <w:footnoteReference w:id="1820"/>
      </w:r>
      <w:r>
        <w:rPr>
          <w:rFonts w:ascii="IRNazanin" w:hAnsi="IRNazanin" w:eastAsia="IRNazanin"/>
          <w:color w:val="111111"/>
          <w:sz w:val="28"/>
          <w:sz w:val="28"/>
          <w:szCs w:val="28"/>
          <w:rtl w:val="true"/>
          <w:lang w:bidi="fa-IR"/>
        </w:rPr>
        <w:t> تجدید نیّة الوجوب 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النیّة</w:t>
      </w:r>
      <w:r>
        <w:rPr>
          <w:rStyle w:val="FootnoteAnchor"/>
          <w:rtl w:val="true"/>
        </w:rPr>
        <w:footnoteReference w:id="1821"/>
      </w:r>
      <w:r>
        <w:rPr>
          <w:rFonts w:ascii="IRNazanin" w:hAnsi="IRNazanin" w:eastAsia="IRNazanin"/>
          <w:color w:val="111111"/>
          <w:sz w:val="28"/>
          <w:sz w:val="28"/>
          <w:szCs w:val="28"/>
          <w:rtl w:val="true"/>
          <w:lang w:bidi="fa-IR"/>
        </w:rPr>
        <w:t> قبل الفجر</w:t>
      </w:r>
      <w:r>
        <w:rPr>
          <w:rStyle w:val="FootnoteAnchor"/>
          <w:rtl w:val="true"/>
        </w:rPr>
        <w:footnoteReference w:id="1822"/>
      </w:r>
      <w:r>
        <w:rPr>
          <w:rFonts w:ascii="IRNazanin" w:hAnsi="IRNazanin" w:eastAsia="IRNazanin"/>
          <w:color w:val="111111"/>
          <w:sz w:val="28"/>
          <w:sz w:val="28"/>
          <w:szCs w:val="28"/>
          <w:rtl w:val="true"/>
          <w:lang w:bidi="fa-IR"/>
        </w:rPr>
        <w:t>، وفی کفایة النیّة فی أوّل اللیل کما فی صوم شهر رمضان</w:t>
      </w:r>
      <w:r>
        <w:rPr>
          <w:rStyle w:val="FootnoteAnchor"/>
          <w:rtl w:val="true"/>
        </w:rPr>
        <w:footnoteReference w:id="1823"/>
      </w:r>
      <w:r>
        <w:rPr>
          <w:rFonts w:ascii="IRNazanin" w:hAnsi="IRNazanin" w:eastAsia="IRNazanin"/>
          <w:color w:val="111111"/>
          <w:sz w:val="28"/>
          <w:sz w:val="28"/>
          <w:szCs w:val="28"/>
          <w:rtl w:val="true"/>
          <w:lang w:bidi="fa-IR"/>
        </w:rPr>
        <w:t> إشکال</w:t>
      </w:r>
      <w:r>
        <w:rPr>
          <w:rStyle w:val="FootnoteAnchor"/>
          <w:rtl w:val="true"/>
        </w:rPr>
        <w:footnoteReference w:id="1824"/>
      </w:r>
      <w:r>
        <w:rPr>
          <w:rFonts w:ascii="IRNazanin" w:hAnsi="IRNazanin" w:eastAsia="IRNazanin"/>
          <w:color w:val="111111"/>
          <w:sz w:val="28"/>
          <w:sz w:val="28"/>
          <w:szCs w:val="28"/>
          <w:rtl w:val="true"/>
          <w:lang w:bidi="fa-IR"/>
        </w:rPr>
        <w:t>، نعم، لو کان الشروع فیه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4" w:name="pg13281_120023"/>
    </w:p>
    <w:p>
      <w:pPr>
        <w:pStyle w:val="BookText"/>
        <w:rPr/>
      </w:pPr>
      <w:bookmarkEnd w:id="84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أوّل اللیل أو فی أثنائه نوی فی ذلک الوقت، ولو نوی الوجوب فی المندوب أو الندب فی الواجب اشتباهاً لم یضرّ، إلّا إذا کان علی وجه التقیید</w:t>
      </w:r>
      <w:r>
        <w:rPr>
          <w:rStyle w:val="FootnoteAnchor"/>
          <w:rtl w:val="true"/>
        </w:rPr>
        <w:footnoteReference w:id="1825"/>
      </w:r>
      <w:r>
        <w:rPr>
          <w:rFonts w:ascii="IRNazanin" w:hAnsi="IRNazanin" w:eastAsia="IRNazanin"/>
          <w:color w:val="111111"/>
          <w:sz w:val="28"/>
          <w:sz w:val="28"/>
          <w:szCs w:val="28"/>
          <w:rtl w:val="true"/>
          <w:lang w:bidi="fa-IR"/>
        </w:rPr>
        <w:t> لا الاشتباه فی التطبیق</w:t>
      </w:r>
      <w:r>
        <w:rPr>
          <w:rFonts w:eastAsia="IRNazanin" w:cs="IRNazanin"/>
          <w:color w:val="111111"/>
          <w:sz w:val="28"/>
          <w:szCs w:val="28"/>
          <w:rtl w:val="true"/>
          <w:lang w:bidi="fa-IR"/>
        </w:rPr>
        <w:t>.</w:t>
      </w:r>
    </w:p>
    <w:p>
      <w:pPr>
        <w:pStyle w:val="Heading3"/>
        <w:numPr>
          <w:ilvl w:val="2"/>
          <w:numId w:val="1"/>
        </w:numPr>
        <w:rPr/>
      </w:pPr>
      <w:bookmarkStart w:id="845" w:name="__RefHeading___Toc1955454_2322387425"/>
      <w:bookmarkStart w:id="846" w:name="_Toc320"/>
      <w:bookmarkEnd w:id="845"/>
      <w:r>
        <w:rPr>
          <w:rtl w:val="true"/>
        </w:rPr>
        <w:t xml:space="preserve">الرابع </w:t>
      </w:r>
      <w:r>
        <w:rPr>
          <w:rtl w:val="true"/>
        </w:rPr>
        <w:t xml:space="preserve">: </w:t>
      </w:r>
      <w:r>
        <w:rPr>
          <w:rtl w:val="true"/>
        </w:rPr>
        <w:t>الصوم فلا یصحّ بدونه</w:t>
      </w:r>
      <w:bookmarkEnd w:id="84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فلا یصحّ بدونه، وعلی هذا فلا یصحّ وقوعه من المسافر</w:t>
      </w:r>
      <w:r>
        <w:rPr>
          <w:rStyle w:val="FootnoteAnchor"/>
          <w:rtl w:val="true"/>
        </w:rPr>
        <w:footnoteReference w:id="1826"/>
      </w:r>
      <w:r>
        <w:rPr>
          <w:rFonts w:ascii="IRNazanin" w:hAnsi="IRNazanin" w:eastAsia="IRNazanin"/>
          <w:color w:val="111111"/>
          <w:sz w:val="28"/>
          <w:sz w:val="28"/>
          <w:szCs w:val="28"/>
          <w:rtl w:val="true"/>
          <w:lang w:bidi="fa-IR"/>
        </w:rPr>
        <w:t xml:space="preserve"> فی غیر المواضع التی یجوز له الصوم فیها، ولا من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الحائض</w:t>
      </w:r>
      <w:r>
        <w:rPr>
          <w:rStyle w:val="FootnoteAnchor"/>
          <w:rtl w:val="true"/>
        </w:rPr>
        <w:footnoteReference w:id="1827"/>
      </w:r>
      <w:r>
        <w:rPr>
          <w:rFonts w:ascii="Amiri" w:hAnsi="Amiri" w:eastAsia="Amiri" w:cs="Amiri"/>
          <w:color w:val="111111"/>
          <w:sz w:val="28"/>
          <w:sz w:val="28"/>
          <w:szCs w:val="28"/>
          <w:rtl w:val="true"/>
          <w:lang w:bidi="ar-SA"/>
        </w:rPr>
        <w:t> والنُفَساء</w:t>
      </w:r>
      <w:r>
        <w:rPr>
          <w:rStyle w:val="FootnoteAnchor"/>
          <w:rtl w:val="true"/>
        </w:rPr>
        <w:footnoteReference w:id="1828"/>
      </w:r>
      <w:r>
        <w:rPr>
          <w:rFonts w:ascii="IRNazanin" w:hAnsi="IRNazanin" w:eastAsia="IRNazanin"/>
          <w:color w:val="111111"/>
          <w:sz w:val="28"/>
          <w:sz w:val="28"/>
          <w:szCs w:val="28"/>
          <w:rtl w:val="true"/>
          <w:lang w:bidi="fa-IR"/>
        </w:rPr>
        <w:t>، ولا فی العیدین، بل لو دخل فیه قبل العید بیومین لم یصحّ وإن کان غافلاً حین الدخول، نعم، لو نوی</w:t>
      </w:r>
      <w:r>
        <w:rPr>
          <w:rStyle w:val="FootnoteAnchor"/>
          <w:rtl w:val="true"/>
        </w:rPr>
        <w:footnoteReference w:id="1829"/>
      </w:r>
      <w:r>
        <w:rPr>
          <w:rFonts w:ascii="IRNazanin" w:hAnsi="IRNazanin" w:eastAsia="IRNazanin"/>
          <w:color w:val="111111"/>
          <w:sz w:val="28"/>
          <w:sz w:val="28"/>
          <w:szCs w:val="28"/>
          <w:rtl w:val="true"/>
          <w:lang w:bidi="fa-IR"/>
        </w:rPr>
        <w:t> اعتکاف زمانٍ یکون الیوم الرابع أو الخامس منه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وجه التقیید بالتتابع لم یصحّ، وإن کان علی وجه الإطلاق</w:t>
      </w:r>
      <w:r>
        <w:rPr>
          <w:rStyle w:val="FootnoteAnchor"/>
          <w:rtl w:val="true"/>
        </w:rPr>
        <w:footnoteReference w:id="1830"/>
      </w:r>
      <w:r>
        <w:rPr>
          <w:rFonts w:ascii="IRNazanin" w:hAnsi="IRNazanin" w:eastAsia="IRNazanin"/>
          <w:color w:val="111111"/>
          <w:sz w:val="28"/>
          <w:sz w:val="28"/>
          <w:szCs w:val="28"/>
          <w:rtl w:val="true"/>
          <w:lang w:bidi="fa-IR"/>
        </w:rPr>
        <w:t> لا یبعد صحّته</w:t>
      </w:r>
      <w:r>
        <w:rPr>
          <w:rStyle w:val="FootnoteAnchor"/>
          <w:rtl w:val="true"/>
        </w:rPr>
        <w:footnoteReference w:id="1831"/>
      </w:r>
      <w:r>
        <w:rPr>
          <w:rFonts w:ascii="IRNazanin" w:hAnsi="IRNazanin" w:eastAsia="IRNazanin"/>
          <w:color w:val="111111"/>
          <w:sz w:val="28"/>
          <w:sz w:val="28"/>
          <w:szCs w:val="28"/>
          <w:rtl w:val="true"/>
          <w:lang w:bidi="fa-IR"/>
        </w:rPr>
        <w:t xml:space="preserve">، فیکون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العید</w:t>
      </w:r>
      <w:r>
        <w:rPr>
          <w:rStyle w:val="FootnoteAnchor"/>
          <w:rtl w:val="true"/>
        </w:rPr>
        <w:footnoteReference w:id="1832"/>
      </w:r>
      <w:r>
        <w:rPr>
          <w:rFonts w:ascii="Amiri" w:hAnsi="Amiri" w:eastAsia="Amiri" w:cs="Amiri"/>
          <w:color w:val="111111"/>
          <w:sz w:val="28"/>
          <w:sz w:val="28"/>
          <w:szCs w:val="28"/>
          <w:rtl w:val="true"/>
          <w:lang w:bidi="ar-SA"/>
        </w:rPr>
        <w:t> فاصلاً</w:t>
      </w:r>
      <w:r>
        <w:rPr>
          <w:rStyle w:val="FootnoteAnchor"/>
          <w:rtl w:val="true"/>
        </w:rPr>
        <w:footnoteReference w:id="1833"/>
      </w:r>
      <w:r>
        <w:rPr>
          <w:rFonts w:ascii="IRNazanin" w:hAnsi="IRNazanin" w:eastAsia="IRNazanin"/>
          <w:color w:val="111111"/>
          <w:sz w:val="28"/>
          <w:sz w:val="28"/>
          <w:szCs w:val="28"/>
          <w:rtl w:val="true"/>
          <w:lang w:bidi="fa-IR"/>
        </w:rPr>
        <w:t> بین</w:t>
      </w:r>
      <w:r>
        <w:rPr>
          <w:rStyle w:val="FootnoteAnchor"/>
          <w:rtl w:val="true"/>
        </w:rPr>
        <w:footnoteReference w:id="1834"/>
      </w:r>
      <w:r>
        <w:rPr>
          <w:rFonts w:ascii="IRNazanin" w:hAnsi="IRNazanin" w:eastAsia="IRNazanin"/>
          <w:color w:val="111111"/>
          <w:sz w:val="28"/>
          <w:sz w:val="28"/>
          <w:szCs w:val="28"/>
          <w:rtl w:val="true"/>
          <w:lang w:bidi="fa-IR"/>
        </w:rPr>
        <w:t> أیّام الاعتکاف</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bookmarkStart w:id="847" w:name="pg13281_120026"/>
    </w:p>
    <w:p>
      <w:pPr>
        <w:pStyle w:val="Heading3"/>
        <w:numPr>
          <w:ilvl w:val="2"/>
          <w:numId w:val="1"/>
        </w:numPr>
        <w:rPr/>
      </w:pPr>
      <w:bookmarkStart w:id="848" w:name="__RefHeading___Toc1955456_2322387425"/>
      <w:bookmarkStart w:id="849" w:name="_Toc321"/>
      <w:bookmarkEnd w:id="847"/>
      <w:bookmarkEnd w:id="848"/>
      <w:r>
        <w:rPr>
          <w:rtl w:val="true"/>
        </w:rPr>
        <w:t xml:space="preserve">الخامس </w:t>
      </w:r>
      <w:r>
        <w:rPr>
          <w:rtl w:val="true"/>
        </w:rPr>
        <w:t xml:space="preserve">: </w:t>
      </w:r>
      <w:r>
        <w:rPr>
          <w:rtl w:val="true"/>
        </w:rPr>
        <w:t>ألّا یقلّ الاعتکاف عن ثلاثة أیام</w:t>
      </w:r>
      <w:bookmarkEnd w:id="84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أقلّ من ثلاثة أیّام، فلو نواه کذلک بطل، وأمّا الأزید فلا بأس به، وإن کان الزائد یوماً</w:t>
      </w:r>
      <w:r>
        <w:rPr>
          <w:rStyle w:val="FootnoteAnchor"/>
          <w:rtl w:val="true"/>
        </w:rPr>
        <w:footnoteReference w:id="1836"/>
      </w:r>
      <w:r>
        <w:rPr>
          <w:rFonts w:ascii="IRNazanin" w:hAnsi="IRNazanin" w:eastAsia="IRNazanin"/>
          <w:color w:val="111111"/>
          <w:sz w:val="28"/>
          <w:sz w:val="28"/>
          <w:szCs w:val="28"/>
          <w:rtl w:val="true"/>
          <w:lang w:bidi="fa-IR"/>
        </w:rPr>
        <w:t> أو بعضه</w:t>
      </w:r>
      <w:r>
        <w:rPr>
          <w:rStyle w:val="FootnoteAnchor"/>
          <w:rtl w:val="true"/>
        </w:rPr>
        <w:footnoteReference w:id="1837"/>
      </w:r>
      <w:r>
        <w:rPr>
          <w:rFonts w:ascii="IRNazanin" w:hAnsi="IRNazanin" w:eastAsia="IRNazanin"/>
          <w:color w:val="111111"/>
          <w:sz w:val="28"/>
          <w:sz w:val="28"/>
          <w:szCs w:val="28"/>
          <w:rtl w:val="true"/>
          <w:lang w:bidi="fa-IR"/>
        </w:rPr>
        <w:t xml:space="preserve"> أو لیلة أو بعضها، ولا حدّ لأکثره، نعم، لو اعتکف خمسة أیّام وجب السادس، بل ذکر بعضهم </w:t>
      </w:r>
      <w:r>
        <w:rPr>
          <w:rFonts w:eastAsia="IRNazanin" w:cs="IRNazanin"/>
          <w:color w:val="111111"/>
          <w:sz w:val="28"/>
          <w:szCs w:val="28"/>
          <w:rtl w:val="true"/>
          <w:lang w:bidi="fa-IR"/>
        </w:rPr>
        <w:t>:</w:t>
      </w:r>
      <w:r>
        <w:rPr>
          <w:rStyle w:val="FootnoteAnchor"/>
          <w:rtl w:val="true"/>
        </w:rPr>
        <w:footnoteReference w:id="1838"/>
      </w:r>
      <w:r>
        <w:rPr>
          <w:rFonts w:ascii="Amiri" w:hAnsi="Amiri" w:eastAsia="Amiri" w:cs="Amiri"/>
          <w:color w:val="111111"/>
          <w:sz w:val="28"/>
          <w:sz w:val="28"/>
          <w:szCs w:val="28"/>
          <w:rtl w:val="true"/>
          <w:lang w:bidi="ar-SA"/>
        </w:rPr>
        <w:t>أنّه کلّما زاد یومَین</w:t>
      </w:r>
      <w:r>
        <w:rPr>
          <w:rStyle w:val="FootnoteAnchor"/>
          <w:rtl w:val="true"/>
        </w:rPr>
        <w:footnoteReference w:id="1839"/>
      </w:r>
      <w:r>
        <w:rPr>
          <w:rFonts w:ascii="IRNazanin" w:hAnsi="IRNazanin" w:eastAsia="IRNazanin"/>
          <w:color w:val="111111"/>
          <w:sz w:val="28"/>
          <w:sz w:val="28"/>
          <w:szCs w:val="28"/>
          <w:rtl w:val="true"/>
          <w:lang w:bidi="fa-IR"/>
        </w:rPr>
        <w:t> وجب الثالث</w:t>
      </w:r>
      <w:r>
        <w:rPr>
          <w:rStyle w:val="FootnoteAnchor"/>
          <w:rtl w:val="true"/>
        </w:rPr>
        <w:footnoteReference w:id="1840"/>
      </w:r>
      <w:r>
        <w:rPr>
          <w:rFonts w:ascii="IRNazanin" w:hAnsi="IRNazanin" w:eastAsia="IRNazanin"/>
          <w:color w:val="111111"/>
          <w:sz w:val="28"/>
          <w:sz w:val="28"/>
          <w:szCs w:val="28"/>
          <w:rtl w:val="true"/>
          <w:lang w:bidi="fa-IR"/>
        </w:rPr>
        <w:t>، فلو اعتکف ثمانیة أیّام وجب الیوم التاسع، وهکذا</w:t>
      </w:r>
      <w:r>
        <w:rPr>
          <w:rStyle w:val="FootnoteAnchor"/>
          <w:rtl w:val="true"/>
        </w:rPr>
        <w:footnoteReference w:id="1841"/>
      </w:r>
      <w:r>
        <w:rPr>
          <w:rFonts w:ascii="Amiri" w:hAnsi="Amiri" w:eastAsia="Amiri" w:cs="Amiri"/>
          <w:color w:val="111111"/>
          <w:sz w:val="28"/>
          <w:sz w:val="28"/>
          <w:szCs w:val="28"/>
          <w:rtl w:val="true"/>
          <w:lang w:bidi="ar-SA"/>
        </w:rPr>
        <w:t>، وفیه تأمّل</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 من طلوع الفجر</w:t>
      </w:r>
      <w:r>
        <w:rPr>
          <w:rStyle w:val="FootnoteAnchor"/>
          <w:rtl w:val="true"/>
        </w:rPr>
        <w:footnoteReference w:id="1843"/>
      </w:r>
      <w:r>
        <w:rPr>
          <w:rFonts w:ascii="Amiri" w:hAnsi="Amiri" w:eastAsia="Amiri" w:cs="Amiri"/>
          <w:color w:val="111111"/>
          <w:sz w:val="28"/>
          <w:sz w:val="28"/>
          <w:szCs w:val="28"/>
          <w:rtl w:val="true"/>
          <w:lang w:bidi="ar-SA"/>
        </w:rPr>
        <w:t> إلی غروب الحُمرَة</w:t>
      </w:r>
      <w:r>
        <w:rPr>
          <w:rStyle w:val="FootnoteAnchor"/>
          <w:rtl w:val="true"/>
        </w:rPr>
        <w:footnoteReference w:id="1844"/>
      </w:r>
      <w:r>
        <w:rPr>
          <w:rFonts w:ascii="Amiri" w:hAnsi="Amiri" w:eastAsia="Amiri" w:cs="Amiri"/>
          <w:color w:val="111111"/>
          <w:sz w:val="28"/>
          <w:sz w:val="28"/>
          <w:szCs w:val="28"/>
          <w:rtl w:val="true"/>
          <w:lang w:bidi="ar-SA"/>
        </w:rPr>
        <w:t> المشرقیّة</w:t>
      </w:r>
      <w:r>
        <w:rPr>
          <w:rStyle w:val="FootnoteAnchor"/>
          <w:rtl w:val="true"/>
        </w:rPr>
        <w:footnoteReference w:id="1845"/>
      </w:r>
      <w:r>
        <w:rPr>
          <w:rFonts w:ascii="IRNazanin" w:hAnsi="IRNazanin" w:eastAsia="IRNazanin"/>
          <w:color w:val="111111"/>
          <w:sz w:val="28"/>
          <w:sz w:val="28"/>
          <w:szCs w:val="28"/>
          <w:rtl w:val="true"/>
          <w:lang w:bidi="fa-IR"/>
        </w:rPr>
        <w:t>، فلا یشترط إدخال اللیلة الاُولی، ولا الرابعة وإن جاز ذلک، کما عرفت، ویدخل فیه اللیلتان المتوسّطان، وفی کفایة</w:t>
      </w:r>
      <w:r>
        <w:rPr>
          <w:rStyle w:val="FootnoteAnchor"/>
          <w:rtl w:val="true"/>
        </w:rPr>
        <w:footnoteReference w:id="1846"/>
      </w:r>
      <w:r>
        <w:rPr>
          <w:rFonts w:ascii="Amiri" w:hAnsi="Amiri" w:eastAsia="Amiri" w:cs="Amiri"/>
          <w:color w:val="111111"/>
          <w:sz w:val="28"/>
          <w:sz w:val="28"/>
          <w:szCs w:val="28"/>
          <w:rtl w:val="true"/>
          <w:lang w:bidi="ar-SA"/>
        </w:rPr>
        <w:t> الثلاثة</w:t>
      </w:r>
      <w:r>
        <w:rPr>
          <w:rStyle w:val="FootnoteAnchor"/>
          <w:rtl w:val="true"/>
        </w:rPr>
        <w:footnoteReference w:id="1847"/>
      </w:r>
      <w:r>
        <w:rPr>
          <w:rFonts w:ascii="IRNazanin" w:hAnsi="IRNazanin" w:eastAsia="IRNazanin"/>
          <w:color w:val="111111"/>
          <w:sz w:val="28"/>
          <w:sz w:val="28"/>
          <w:szCs w:val="28"/>
          <w:rtl w:val="true"/>
          <w:lang w:bidi="fa-IR"/>
        </w:rPr>
        <w:t> التلفیقیّة إشکال</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bookmarkStart w:id="850" w:name="pg13281_120028"/>
    </w:p>
    <w:p>
      <w:pPr>
        <w:pStyle w:val="Heading3"/>
        <w:numPr>
          <w:ilvl w:val="2"/>
          <w:numId w:val="1"/>
        </w:numPr>
        <w:rPr/>
      </w:pPr>
      <w:bookmarkStart w:id="851" w:name="__RefHeading___Toc1955458_2322387425"/>
      <w:bookmarkStart w:id="852" w:name="_Toc322"/>
      <w:bookmarkEnd w:id="850"/>
      <w:bookmarkEnd w:id="851"/>
      <w:r>
        <w:rPr>
          <w:rtl w:val="true"/>
        </w:rPr>
        <w:t xml:space="preserve">السادس </w:t>
      </w:r>
      <w:r>
        <w:rPr>
          <w:rtl w:val="true"/>
        </w:rPr>
        <w:t xml:space="preserve">: </w:t>
      </w:r>
      <w:r>
        <w:rPr>
          <w:rtl w:val="true"/>
        </w:rPr>
        <w:t>لزوم الکون فی المسجد وبیان المراد من المسجد</w:t>
      </w:r>
      <w:bookmarkEnd w:id="85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المسجد الجامع</w:t>
      </w:r>
      <w:r>
        <w:rPr>
          <w:rStyle w:val="FootnoteAnchor"/>
          <w:rtl w:val="true"/>
        </w:rPr>
        <w:footnoteReference w:id="1849"/>
      </w:r>
      <w:r>
        <w:rPr>
          <w:rFonts w:ascii="IRNazanin" w:hAnsi="IRNazanin" w:eastAsia="IRNazanin"/>
          <w:color w:val="111111"/>
          <w:sz w:val="28"/>
          <w:sz w:val="28"/>
          <w:szCs w:val="28"/>
          <w:rtl w:val="true"/>
          <w:lang w:bidi="fa-IR"/>
        </w:rPr>
        <w:t xml:space="preserve">، فلا یکفی فی غیر المسجد،   </w:t>
      </w:r>
      <w:bookmarkStart w:id="853" w:name="pg13281_120029"/>
    </w:p>
    <w:p>
      <w:pPr>
        <w:pStyle w:val="BookText"/>
        <w:rPr/>
      </w:pPr>
      <w:bookmarkEnd w:id="853"/>
      <w:r>
        <w:rPr>
          <w:rFonts w:ascii="IRNazanin" w:hAnsi="IRNazanin" w:eastAsia="IRNazanin"/>
          <w:color w:val="111111"/>
          <w:sz w:val="28"/>
          <w:sz w:val="28"/>
          <w:szCs w:val="28"/>
          <w:rtl w:val="true"/>
          <w:lang w:bidi="fa-IR"/>
        </w:rPr>
        <w:t>ولا فی مسجد القبیلة والسوق، ولو تعدّد الجامع تخیّر بینها، ولکنّ الأحوط</w:t>
      </w:r>
      <w:r>
        <w:rPr>
          <w:rStyle w:val="FootnoteAnchor"/>
          <w:rtl w:val="true"/>
        </w:rPr>
        <w:footnoteReference w:id="1850"/>
      </w:r>
      <w:r>
        <w:rPr>
          <w:rFonts w:ascii="IRNazanin" w:hAnsi="IRNazanin" w:eastAsia="IRNazanin"/>
          <w:color w:val="111111"/>
          <w:sz w:val="28"/>
          <w:sz w:val="28"/>
          <w:szCs w:val="28"/>
          <w:rtl w:val="true"/>
          <w:lang w:bidi="fa-IR"/>
        </w:rPr>
        <w:t xml:space="preserve"> مع الإمکان کونه فی أحد المساجد الأربعة </w:t>
      </w:r>
      <w:r>
        <w:rPr>
          <w:rFonts w:eastAsia="IRNazanin" w:cs="IRNazanin"/>
          <w:color w:val="111111"/>
          <w:sz w:val="28"/>
          <w:szCs w:val="28"/>
          <w:rtl w:val="true"/>
          <w:lang w:bidi="fa-IR"/>
        </w:rPr>
        <w:t>:</w:t>
      </w:r>
      <w:r>
        <w:rPr>
          <w:rStyle w:val="FootnoteAnchor"/>
          <w:rtl w:val="true"/>
        </w:rPr>
        <w:footnoteReference w:id="18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الحرام ومسجد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الکوفة ومسجد البصرة</w:t>
      </w:r>
      <w:r>
        <w:rPr>
          <w:rFonts w:eastAsia="IRNazanin" w:cs="IRNazanin"/>
          <w:color w:val="111111"/>
          <w:sz w:val="28"/>
          <w:szCs w:val="28"/>
          <w:rtl w:val="true"/>
          <w:lang w:bidi="fa-IR"/>
        </w:rPr>
        <w:t>.</w:t>
      </w:r>
    </w:p>
    <w:p>
      <w:pPr>
        <w:pStyle w:val="Heading3"/>
        <w:numPr>
          <w:ilvl w:val="2"/>
          <w:numId w:val="1"/>
        </w:numPr>
        <w:rPr/>
      </w:pPr>
      <w:bookmarkStart w:id="854" w:name="__RefHeading___Toc1955460_2322387425"/>
      <w:bookmarkStart w:id="855" w:name="_Toc323"/>
      <w:bookmarkEnd w:id="854"/>
      <w:r>
        <w:rPr>
          <w:rtl w:val="true"/>
        </w:rPr>
        <w:t xml:space="preserve">السابع </w:t>
      </w:r>
      <w:r>
        <w:rPr>
          <w:rtl w:val="true"/>
        </w:rPr>
        <w:t xml:space="preserve">: </w:t>
      </w:r>
      <w:r>
        <w:rPr>
          <w:rtl w:val="true"/>
        </w:rPr>
        <w:t>إذن السید لمملوکه والمستأجر لأجیره الخاص</w:t>
      </w:r>
      <w:bookmarkEnd w:id="855"/>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السیّد بالنسبة إلی مملوکه</w:t>
      </w:r>
      <w:r>
        <w:rPr>
          <w:rStyle w:val="FootnoteAnchor"/>
          <w:rtl w:val="true"/>
        </w:rPr>
        <w:footnoteReference w:id="1852"/>
      </w:r>
      <w:r>
        <w:rPr>
          <w:rFonts w:ascii="Amiri" w:hAnsi="Amiri" w:eastAsia="Amiri" w:cs="Amiri"/>
          <w:color w:val="111111"/>
          <w:sz w:val="28"/>
          <w:sz w:val="28"/>
          <w:szCs w:val="28"/>
          <w:rtl w:val="true"/>
          <w:lang w:bidi="ar-SA"/>
        </w:rPr>
        <w:t>، سواء کان قِنّاً أو مُدبَّراً أو اُمّ ولد أو مکاتباً لم یتحرّر منه شیء، ولم یکن اعتکافه اکتساباً،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اکتساباً فلا مانع منه، کما أنّه إذا کان مبعَّضاً، فیجوز منه فی نوبته إذا هایاه مولاه من دون إذن، بل مع المنع</w:t>
      </w:r>
      <w:r>
        <w:rPr>
          <w:rStyle w:val="FootnoteAnchor"/>
          <w:rtl w:val="true"/>
        </w:rPr>
        <w:footnoteReference w:id="1853"/>
      </w:r>
      <w:r>
        <w:rPr>
          <w:rFonts w:ascii="Amiri" w:hAnsi="Amiri" w:eastAsia="Amiri" w:cs="Amiri"/>
          <w:color w:val="111111"/>
          <w:sz w:val="28"/>
          <w:sz w:val="28"/>
          <w:szCs w:val="28"/>
          <w:rtl w:val="true"/>
          <w:lang w:bidi="ar-SA"/>
        </w:rPr>
        <w:t> منه أیضاً</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یعتبر إذن المستأجر</w:t>
      </w:r>
      <w:r>
        <w:rPr>
          <w:rStyle w:val="FootnoteAnchor"/>
          <w:rtl w:val="true"/>
        </w:rPr>
        <w:footnoteReference w:id="1855"/>
      </w:r>
      <w:r>
        <w:rPr>
          <w:rFonts w:ascii="IRNazanin" w:hAnsi="IRNazanin" w:eastAsia="IRNazanin"/>
          <w:color w:val="111111"/>
          <w:sz w:val="28"/>
          <w:sz w:val="28"/>
          <w:szCs w:val="28"/>
          <w:rtl w:val="true"/>
          <w:lang w:bidi="fa-IR"/>
        </w:rPr>
        <w:t> بالنسبة إلی أجیره الخاصّ</w:t>
      </w:r>
      <w:r>
        <w:rPr>
          <w:rStyle w:val="FootnoteAnchor"/>
          <w:rtl w:val="true"/>
        </w:rPr>
        <w:footnoteReference w:id="1856"/>
      </w:r>
      <w:r>
        <w:rPr>
          <w:rFonts w:ascii="IRNazanin" w:hAnsi="IRNazanin" w:eastAsia="IRNazanin"/>
          <w:color w:val="111111"/>
          <w:sz w:val="28"/>
          <w:sz w:val="28"/>
          <w:szCs w:val="28"/>
          <w:rtl w:val="true"/>
          <w:lang w:bidi="fa-IR"/>
        </w:rPr>
        <w:t xml:space="preserve">، </w:t>
      </w:r>
      <w:bookmarkStart w:id="856" w:name="pg13281_120030"/>
    </w:p>
    <w:p>
      <w:pPr>
        <w:pStyle w:val="Heading3"/>
        <w:numPr>
          <w:ilvl w:val="2"/>
          <w:numId w:val="1"/>
        </w:numPr>
        <w:rPr/>
      </w:pPr>
      <w:bookmarkStart w:id="857" w:name="__RefHeading___Toc1955462_2322387425"/>
      <w:bookmarkStart w:id="858" w:name="_Toc324"/>
      <w:bookmarkEnd w:id="856"/>
      <w:bookmarkEnd w:id="857"/>
      <w:r>
        <w:rPr>
          <w:rtl w:val="true"/>
        </w:rPr>
        <w:t>إذن الزوج للزوجة</w:t>
      </w:r>
      <w:bookmarkEnd w:id="858"/>
    </w:p>
    <w:p>
      <w:pPr>
        <w:pStyle w:val="BookText"/>
        <w:rPr/>
      </w:pPr>
      <w:r>
        <w:rPr>
          <w:rFonts w:ascii="IRNazanin" w:hAnsi="IRNazanin" w:eastAsia="IRNazanin"/>
          <w:color w:val="111111"/>
          <w:sz w:val="28"/>
          <w:sz w:val="28"/>
          <w:szCs w:val="28"/>
          <w:rtl w:val="true"/>
          <w:lang w:bidi="fa-IR"/>
        </w:rPr>
        <w:t>وإذن الزوج</w:t>
      </w:r>
      <w:r>
        <w:rPr>
          <w:rStyle w:val="FootnoteAnchor"/>
          <w:rtl w:val="true"/>
        </w:rPr>
        <w:footnoteReference w:id="1857"/>
      </w:r>
      <w:r>
        <w:rPr>
          <w:rFonts w:ascii="IRNazanin" w:hAnsi="IRNazanin" w:eastAsia="IRNazanin"/>
          <w:color w:val="111111"/>
          <w:sz w:val="28"/>
          <w:sz w:val="28"/>
          <w:szCs w:val="28"/>
          <w:rtl w:val="true"/>
          <w:lang w:bidi="fa-IR"/>
        </w:rPr>
        <w:t> بالنسبة إلی الزوجة إذا کان منافیاً لحقّه</w:t>
      </w:r>
      <w:r>
        <w:rPr>
          <w:rStyle w:val="FootnoteAnchor"/>
          <w:rtl w:val="true"/>
        </w:rPr>
        <w:footnoteReference w:id="1858"/>
      </w:r>
      <w:r>
        <w:rPr>
          <w:rFonts w:ascii="IRNazanin" w:hAnsi="IRNazanin" w:eastAsia="IRNazanin"/>
          <w:color w:val="111111"/>
          <w:sz w:val="28"/>
          <w:sz w:val="28"/>
          <w:szCs w:val="28"/>
          <w:rtl w:val="true"/>
          <w:lang w:bidi="fa-IR"/>
        </w:rPr>
        <w:t>،</w:t>
      </w:r>
    </w:p>
    <w:p>
      <w:pPr>
        <w:pStyle w:val="Heading3"/>
        <w:numPr>
          <w:ilvl w:val="2"/>
          <w:numId w:val="1"/>
        </w:numPr>
        <w:rPr/>
      </w:pPr>
      <w:bookmarkStart w:id="859" w:name="__RefHeading___Toc1955464_2322387425"/>
      <w:bookmarkStart w:id="860" w:name="_Toc325"/>
      <w:bookmarkEnd w:id="859"/>
      <w:r>
        <w:rPr>
          <w:rtl w:val="true"/>
        </w:rPr>
        <w:t>إذن الوالد لولده</w:t>
      </w:r>
      <w:bookmarkEnd w:id="86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وإذن الوالد أو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الوالدة بالنسبة إلی ولدهما إذا کان مستلزماً لإیذائهما</w:t>
      </w:r>
      <w:r>
        <w:rPr>
          <w:rStyle w:val="FootnoteAnchor"/>
          <w:rtl w:val="true"/>
        </w:rPr>
        <w:footnoteReference w:id="1859"/>
      </w:r>
      <w:r>
        <w:rPr>
          <w:rFonts w:ascii="Amiri" w:hAnsi="Amiri" w:eastAsia="Amiri" w:cs="Amiri"/>
          <w:color w:val="111111"/>
          <w:sz w:val="28"/>
          <w:sz w:val="28"/>
          <w:szCs w:val="28"/>
          <w:rtl w:val="true"/>
          <w:lang w:bidi="ar-SA"/>
        </w:rPr>
        <w:t>، وأمّا مع عدم المنافاة</w:t>
      </w:r>
      <w:r>
        <w:rPr>
          <w:rStyle w:val="FootnoteAnchor"/>
          <w:rtl w:val="true"/>
        </w:rPr>
        <w:footnoteReference w:id="1860"/>
      </w:r>
      <w:r>
        <w:rPr>
          <w:rFonts w:ascii="IRNazanin" w:hAnsi="IRNazanin" w:eastAsia="IRNazanin"/>
          <w:color w:val="111111"/>
          <w:sz w:val="28"/>
          <w:sz w:val="28"/>
          <w:szCs w:val="28"/>
          <w:rtl w:val="true"/>
          <w:lang w:bidi="fa-IR"/>
        </w:rPr>
        <w:t> وعدم الإیذاء فلا یعتبر إذنهم</w:t>
      </w:r>
      <w:r>
        <w:rPr>
          <w:rStyle w:val="FootnoteAnchor"/>
          <w:rtl w:val="true"/>
        </w:rPr>
        <w:footnoteReference w:id="1861"/>
      </w:r>
      <w:r>
        <w:rPr>
          <w:rFonts w:ascii="IRNazanin" w:hAnsi="IRNazanin" w:eastAsia="IRNazanin"/>
          <w:color w:val="111111"/>
          <w:sz w:val="28"/>
          <w:sz w:val="28"/>
          <w:szCs w:val="28"/>
          <w:rtl w:val="true"/>
          <w:lang w:bidi="fa-IR"/>
        </w:rPr>
        <w:t>، وإن کان أحوط</w:t>
      </w:r>
      <w:r>
        <w:rPr>
          <w:rStyle w:val="FootnoteAnchor"/>
          <w:rtl w:val="true"/>
        </w:rPr>
        <w:footnoteReference w:id="1862"/>
      </w:r>
      <w:r>
        <w:rPr>
          <w:rFonts w:ascii="IRNazanin" w:hAnsi="IRNazanin" w:eastAsia="IRNazanin"/>
          <w:color w:val="111111"/>
          <w:sz w:val="28"/>
          <w:sz w:val="28"/>
          <w:szCs w:val="28"/>
          <w:rtl w:val="true"/>
          <w:lang w:bidi="fa-IR"/>
        </w:rPr>
        <w:t xml:space="preserve">، </w:t>
      </w:r>
      <w:bookmarkStart w:id="861" w:name="pg13281_120032"/>
    </w:p>
    <w:p>
      <w:pPr>
        <w:pStyle w:val="BookText"/>
        <w:rPr/>
      </w:pPr>
      <w:bookmarkEnd w:id="861"/>
      <w:r>
        <w:rPr>
          <w:rFonts w:ascii="Amiri" w:hAnsi="Amiri" w:eastAsia="Amiri" w:cs="Amiri"/>
          <w:color w:val="111111"/>
          <w:sz w:val="28"/>
          <w:sz w:val="28"/>
          <w:szCs w:val="28"/>
          <w:rtl w:val="true"/>
          <w:lang w:bidi="ar-SA"/>
        </w:rPr>
        <w:t>خصوصاً</w:t>
      </w:r>
      <w:r>
        <w:rPr>
          <w:rStyle w:val="FootnoteAnchor"/>
          <w:rtl w:val="true"/>
        </w:rPr>
        <w:footnoteReference w:id="1863"/>
      </w:r>
      <w:r>
        <w:rPr>
          <w:rFonts w:ascii="IRNazanin" w:hAnsi="IRNazanin" w:eastAsia="IRNazanin"/>
          <w:color w:val="111111"/>
          <w:sz w:val="28"/>
          <w:sz w:val="28"/>
          <w:szCs w:val="28"/>
          <w:rtl w:val="true"/>
          <w:lang w:bidi="fa-IR"/>
        </w:rPr>
        <w:t> بالنسبة إلی الزوج</w:t>
      </w:r>
      <w:r>
        <w:rPr>
          <w:rStyle w:val="FootnoteAnchor"/>
          <w:rtl w:val="true"/>
        </w:rPr>
        <w:footnoteReference w:id="1864"/>
      </w:r>
      <w:r>
        <w:rPr>
          <w:rFonts w:ascii="IRNazanin" w:hAnsi="IRNazanin" w:eastAsia="IRNazanin"/>
          <w:color w:val="111111"/>
          <w:sz w:val="28"/>
          <w:sz w:val="28"/>
          <w:szCs w:val="28"/>
          <w:rtl w:val="true"/>
          <w:lang w:bidi="fa-IR"/>
        </w:rPr>
        <w:t> والوالد</w:t>
      </w:r>
      <w:r>
        <w:rPr>
          <w:rFonts w:eastAsia="IRNazanin" w:cs="IRNazanin"/>
          <w:color w:val="111111"/>
          <w:sz w:val="28"/>
          <w:szCs w:val="28"/>
          <w:rtl w:val="true"/>
          <w:lang w:bidi="fa-IR"/>
        </w:rPr>
        <w:t>.</w:t>
      </w:r>
    </w:p>
    <w:p>
      <w:pPr>
        <w:pStyle w:val="Heading3"/>
        <w:numPr>
          <w:ilvl w:val="2"/>
          <w:numId w:val="1"/>
        </w:numPr>
        <w:rPr/>
      </w:pPr>
      <w:bookmarkStart w:id="862" w:name="__RefHeading___Toc1955466_2322387425"/>
      <w:bookmarkStart w:id="863" w:name="_Toc326"/>
      <w:bookmarkEnd w:id="862"/>
      <w:r>
        <w:rPr>
          <w:rtl w:val="true"/>
        </w:rPr>
        <w:t xml:space="preserve">الثامن </w:t>
      </w:r>
      <w:r>
        <w:rPr>
          <w:rtl w:val="true"/>
        </w:rPr>
        <w:t xml:space="preserve">: </w:t>
      </w:r>
      <w:r>
        <w:rPr>
          <w:rtl w:val="true"/>
        </w:rPr>
        <w:t>استدامة اللبث فی المسجد</w:t>
      </w:r>
      <w:bookmarkEnd w:id="86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اللَبث فی المسجد، فلو خرج عمداً اختیاراً لغیر الأسباب المبیحة بطل، من غیر فرقٍ بین العالم بالحکم والجاهل به، وأمّا لو خرج</w:t>
      </w:r>
      <w:r>
        <w:rPr>
          <w:rStyle w:val="FootnoteAnchor"/>
          <w:rtl w:val="true"/>
        </w:rPr>
        <w:footnoteReference w:id="1865"/>
      </w:r>
      <w:r>
        <w:rPr>
          <w:rFonts w:ascii="Amiri" w:hAnsi="Amiri" w:eastAsia="Amiri" w:cs="Amiri"/>
          <w:color w:val="111111"/>
          <w:sz w:val="28"/>
          <w:sz w:val="28"/>
          <w:szCs w:val="28"/>
          <w:rtl w:val="true"/>
          <w:lang w:bidi="ar-SA"/>
        </w:rPr>
        <w:t> ناسیاً</w:t>
      </w:r>
      <w:r>
        <w:rPr>
          <w:rStyle w:val="FootnoteAnchor"/>
          <w:rtl w:val="true"/>
        </w:rPr>
        <w:footnoteReference w:id="1866"/>
      </w:r>
      <w:r>
        <w:rPr>
          <w:rFonts w:ascii="Amiri" w:hAnsi="Amiri" w:eastAsia="Amiri" w:cs="Amiri"/>
          <w:color w:val="111111"/>
          <w:sz w:val="28"/>
          <w:sz w:val="28"/>
          <w:szCs w:val="28"/>
          <w:rtl w:val="true"/>
          <w:lang w:bidi="ar-SA"/>
        </w:rPr>
        <w:t> أو مُکرَهاً</w:t>
      </w:r>
      <w:r>
        <w:rPr>
          <w:rStyle w:val="FootnoteAnchor"/>
          <w:rtl w:val="true"/>
        </w:rPr>
        <w:footnoteReference w:id="186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یبطل</w:t>
      </w:r>
      <w:r>
        <w:rPr>
          <w:rStyle w:val="FootnoteAnchor"/>
          <w:rtl w:val="true"/>
        </w:rPr>
        <w:footnoteReference w:id="1868"/>
      </w:r>
      <w:r>
        <w:rPr>
          <w:rFonts w:ascii="Amiri" w:hAnsi="Amiri" w:eastAsia="Amiri" w:cs="Amiri"/>
          <w:color w:val="111111"/>
          <w:sz w:val="28"/>
          <w:sz w:val="28"/>
          <w:szCs w:val="28"/>
          <w:rtl w:val="true"/>
          <w:lang w:bidi="ar-SA"/>
        </w:rPr>
        <w:t>، وکذا لو خرج لضرورةٍ عقلاً أو شرعاً</w:t>
      </w:r>
      <w:r>
        <w:rPr>
          <w:rStyle w:val="FootnoteAnchor"/>
          <w:rtl w:val="true"/>
        </w:rPr>
        <w:footnoteReference w:id="1869"/>
      </w:r>
      <w:r>
        <w:rPr>
          <w:rFonts w:ascii="IRNazanin" w:hAnsi="IRNazanin" w:eastAsia="IRNazanin"/>
          <w:color w:val="111111"/>
          <w:sz w:val="28"/>
          <w:sz w:val="28"/>
          <w:szCs w:val="28"/>
          <w:rtl w:val="true"/>
          <w:lang w:bidi="fa-IR"/>
        </w:rPr>
        <w:t> أو عادةً، کقضاء الحاجة من بولٍ أو غائطٍ أو للاغتسال من الجنابة أو الاستحاضة ونحو ذلک</w:t>
      </w:r>
      <w:r>
        <w:rPr>
          <w:rStyle w:val="FootnoteAnchor"/>
          <w:rtl w:val="true"/>
        </w:rPr>
        <w:footnoteReference w:id="1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w:t>
      </w:r>
      <w:r>
        <w:rPr>
          <w:rStyle w:val="FootnoteAnchor"/>
          <w:rtl w:val="true"/>
        </w:rPr>
        <w:footnoteReference w:id="1871"/>
      </w:r>
      <w:r>
        <w:rPr>
          <w:rFonts w:ascii="IRNazanin" w:hAnsi="IRNazanin" w:eastAsia="IRNazanin"/>
          <w:color w:val="111111"/>
          <w:sz w:val="28"/>
          <w:sz w:val="28"/>
          <w:szCs w:val="28"/>
          <w:rtl w:val="true"/>
          <w:lang w:bidi="fa-IR"/>
        </w:rPr>
        <w:t> الاغتسال</w:t>
      </w:r>
      <w:r>
        <w:rPr>
          <w:rStyle w:val="FootnoteAnchor"/>
          <w:rtl w:val="true"/>
        </w:rPr>
        <w:footnoteReference w:id="1872"/>
      </w:r>
      <w:r>
        <w:rPr>
          <w:rFonts w:ascii="IRNazanin" w:hAnsi="IRNazanin" w:eastAsia="IRNazanin"/>
          <w:color w:val="111111"/>
          <w:sz w:val="28"/>
          <w:sz w:val="28"/>
          <w:szCs w:val="28"/>
          <w:rtl w:val="true"/>
          <w:lang w:bidi="fa-IR"/>
        </w:rPr>
        <w:t xml:space="preserve"> فی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w:t>
      </w:r>
      <w:r>
        <w:rPr>
          <w:rStyle w:val="FootnoteAnchor"/>
          <w:rtl w:val="true"/>
        </w:rPr>
        <w:footnoteReference w:id="1873"/>
      </w:r>
      <w:r>
        <w:rPr>
          <w:rFonts w:ascii="IRNazanin" w:hAnsi="IRNazanin" w:eastAsia="IRNazanin"/>
          <w:color w:val="111111"/>
          <w:sz w:val="28"/>
          <w:sz w:val="28"/>
          <w:szCs w:val="28"/>
          <w:rtl w:val="true"/>
          <w:lang w:bidi="fa-IR"/>
        </w:rPr>
        <w:t xml:space="preserve"> وإن أمکن من دون      </w:t>
      </w:r>
      <w:r>
        <w:rPr>
          <w:rFonts w:eastAsia="IRNazanin" w:cs="IRNazanin"/>
          <w:color w:val="111111"/>
          <w:sz w:val="28"/>
          <w:szCs w:val="28"/>
          <w:rtl w:val="true"/>
          <w:lang w:bidi="fa-IR"/>
        </w:rPr>
        <w:t xml:space="preserve">.      .      .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تلویث</w:t>
      </w:r>
      <w:r>
        <w:rPr>
          <w:rStyle w:val="FootnoteAnchor"/>
          <w:rtl w:val="true"/>
        </w:rPr>
        <w:footnoteReference w:id="1874"/>
      </w:r>
      <w:r>
        <w:rPr>
          <w:rFonts w:ascii="IRNazanin" w:hAnsi="IRNazanin" w:eastAsia="IRNazanin"/>
          <w:color w:val="111111"/>
          <w:sz w:val="28"/>
          <w:sz w:val="28"/>
          <w:szCs w:val="28"/>
          <w:rtl w:val="true"/>
          <w:lang w:bidi="fa-IR"/>
        </w:rPr>
        <w:t> وإن کان أحوط</w:t>
      </w:r>
      <w:r>
        <w:rPr>
          <w:rStyle w:val="FootnoteAnchor"/>
          <w:rtl w:val="true"/>
        </w:rPr>
        <w:footnoteReference w:id="1875"/>
      </w:r>
      <w:r>
        <w:rPr>
          <w:rFonts w:ascii="IRNazanin" w:hAnsi="IRNazanin" w:eastAsia="IRNazanin"/>
          <w:color w:val="111111"/>
          <w:sz w:val="28"/>
          <w:sz w:val="28"/>
          <w:szCs w:val="28"/>
          <w:rtl w:val="true"/>
          <w:lang w:bidi="fa-IR"/>
        </w:rPr>
        <w:t xml:space="preserve">، والمدار علی صدق اللَبث، فلا ینافیه </w:t>
      </w:r>
      <w:bookmarkStart w:id="864" w:name="pg13281_120036"/>
    </w:p>
    <w:p>
      <w:pPr>
        <w:pStyle w:val="BookText"/>
        <w:rPr/>
      </w:pPr>
      <w:bookmarkEnd w:id="864"/>
      <w:r>
        <w:rPr>
          <w:rFonts w:ascii="IRNazanin" w:hAnsi="IRNazanin" w:eastAsia="IRNazanin"/>
          <w:color w:val="111111"/>
          <w:sz w:val="28"/>
          <w:sz w:val="28"/>
          <w:szCs w:val="28"/>
          <w:rtl w:val="true"/>
          <w:lang w:bidi="fa-IR"/>
        </w:rPr>
        <w:t>خروج</w:t>
      </w:r>
      <w:r>
        <w:rPr>
          <w:rStyle w:val="FootnoteAnchor"/>
          <w:rtl w:val="true"/>
        </w:rPr>
        <w:footnoteReference w:id="1876"/>
      </w:r>
      <w:r>
        <w:rPr>
          <w:rFonts w:ascii="IRNazanin" w:hAnsi="IRNazanin" w:eastAsia="IRNazanin"/>
          <w:color w:val="111111"/>
          <w:sz w:val="28"/>
          <w:sz w:val="28"/>
          <w:szCs w:val="28"/>
          <w:rtl w:val="true"/>
          <w:lang w:bidi="fa-IR"/>
        </w:rPr>
        <w:t> بعض أجزاء بدنه من یده أو رأسه أو نحوهما</w:t>
      </w:r>
      <w:r>
        <w:rPr>
          <w:rFonts w:eastAsia="IRNazanin" w:cs="IRNazanin"/>
          <w:color w:val="111111"/>
          <w:sz w:val="28"/>
          <w:szCs w:val="28"/>
          <w:rtl w:val="true"/>
          <w:lang w:bidi="fa-IR"/>
        </w:rPr>
        <w:t>.</w:t>
      </w:r>
    </w:p>
    <w:p>
      <w:pPr>
        <w:pStyle w:val="Heading3"/>
        <w:numPr>
          <w:ilvl w:val="2"/>
          <w:numId w:val="1"/>
        </w:numPr>
        <w:rPr/>
      </w:pPr>
      <w:bookmarkStart w:id="865" w:name="__RefHeading___Toc1955468_2322387425"/>
      <w:bookmarkStart w:id="866" w:name="_Toc327"/>
      <w:bookmarkEnd w:id="865"/>
      <w:r>
        <w:rPr>
          <w:rtl w:val="true"/>
        </w:rPr>
        <w:t>بطلان الاعتکاف بالارتداد </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ارتدّ المعتکِف فی أثناء اعتکافه بطل، وإن تاب بعد ذلک إذا کان ذلک فی أثناء النهار، بل مطلقاً علی الأحوط</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955470_2322387425"/>
      <w:bookmarkStart w:id="868" w:name="_Toc328"/>
      <w:bookmarkEnd w:id="867"/>
      <w:r>
        <w:rPr>
          <w:rtl w:val="true"/>
        </w:rPr>
        <w:t>عدم جواز العدول بالنیّة فی الاعتکاف</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العدول بالنیّة من اعتکافٍ إلی غیره وإن اتّحدا فی الوجوب والندب، ولا عن نیابةِ میّتٍ إلی آخر، أو إلی حیّ، أو عن نیابة غیره إلی نفسه، أو العکس</w:t>
      </w:r>
      <w:r>
        <w:rPr>
          <w:rFonts w:eastAsia="IRNazanin" w:cs="IRNazanin"/>
          <w:color w:val="111111"/>
          <w:sz w:val="28"/>
          <w:szCs w:val="28"/>
          <w:rtl w:val="true"/>
          <w:lang w:bidi="fa-IR"/>
        </w:rPr>
        <w:t>.</w:t>
      </w:r>
    </w:p>
    <w:p>
      <w:pPr>
        <w:pStyle w:val="Heading3"/>
        <w:numPr>
          <w:ilvl w:val="2"/>
          <w:numId w:val="1"/>
        </w:numPr>
        <w:rPr/>
      </w:pPr>
      <w:bookmarkStart w:id="869" w:name="__RefHeading___Toc1955472_2322387425"/>
      <w:bookmarkStart w:id="870" w:name="_Toc329"/>
      <w:bookmarkEnd w:id="869"/>
      <w:r>
        <w:rPr>
          <w:rtl w:val="true"/>
        </w:rPr>
        <w:t>النیابة عن أکثر من واحد</w:t>
      </w:r>
      <w:bookmarkEnd w:id="87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w:t>
      </w:r>
      <w:r>
        <w:rPr>
          <w:rStyle w:val="FootnoteAnchor"/>
          <w:rtl w:val="true"/>
        </w:rPr>
        <w:footnoteReference w:id="1878"/>
      </w:r>
      <w:r>
        <w:rPr>
          <w:rFonts w:ascii="IRNazanin" w:hAnsi="IRNazanin" w:eastAsia="IRNazanin"/>
          <w:color w:val="111111"/>
          <w:sz w:val="28"/>
          <w:sz w:val="28"/>
          <w:szCs w:val="28"/>
          <w:rtl w:val="true"/>
          <w:lang w:bidi="fa-IR"/>
        </w:rPr>
        <w:t> جواز</w:t>
      </w:r>
      <w:r>
        <w:rPr>
          <w:rStyle w:val="FootnoteAnchor"/>
          <w:rtl w:val="true"/>
        </w:rPr>
        <w:footnoteReference w:id="1879"/>
      </w:r>
      <w:r>
        <w:rPr>
          <w:rFonts w:ascii="IRNazanin" w:hAnsi="IRNazanin" w:eastAsia="IRNazanin"/>
          <w:color w:val="111111"/>
          <w:sz w:val="28"/>
          <w:sz w:val="28"/>
          <w:szCs w:val="28"/>
          <w:rtl w:val="true"/>
          <w:lang w:bidi="fa-IR"/>
        </w:rPr>
        <w:t xml:space="preserve"> النیابة عن أکثر من واحد فی </w:t>
      </w:r>
      <w:bookmarkStart w:id="871" w:name="pg13281_120037"/>
    </w:p>
    <w:p>
      <w:pPr>
        <w:pStyle w:val="BookText"/>
        <w:rPr/>
      </w:pPr>
      <w:bookmarkEnd w:id="871"/>
      <w:r>
        <w:rPr>
          <w:rFonts w:ascii="IRNazanin" w:hAnsi="IRNazanin" w:eastAsia="IRNazanin"/>
          <w:color w:val="111111"/>
          <w:sz w:val="28"/>
          <w:sz w:val="28"/>
          <w:szCs w:val="28"/>
          <w:rtl w:val="true"/>
          <w:lang w:bidi="fa-IR"/>
        </w:rPr>
        <w:t>اعتکاف واحد، نعم، یجوز ذلک بعنوان إهداء الثواب، فیصحّ إهداوه إلی متعدِّدِینَ، أحیاءً أو أمواتاً أو مختلِفِین</w:t>
      </w:r>
      <w:r>
        <w:rPr>
          <w:rFonts w:eastAsia="IRNazanin" w:cs="IRNazanin"/>
          <w:color w:val="111111"/>
          <w:sz w:val="28"/>
          <w:szCs w:val="28"/>
          <w:rtl w:val="true"/>
          <w:lang w:bidi="fa-IR"/>
        </w:rPr>
        <w:t>.</w:t>
      </w:r>
    </w:p>
    <w:p>
      <w:pPr>
        <w:pStyle w:val="Heading3"/>
        <w:numPr>
          <w:ilvl w:val="2"/>
          <w:numId w:val="1"/>
        </w:numPr>
        <w:rPr/>
      </w:pPr>
      <w:bookmarkStart w:id="872" w:name="__RefHeading___Toc1955474_2322387425"/>
      <w:bookmarkStart w:id="873" w:name="_Toc330"/>
      <w:bookmarkEnd w:id="872"/>
      <w:r>
        <w:rPr>
          <w:rtl w:val="true"/>
        </w:rPr>
        <w:t>کفایة مطلق الصوم فی الاعتکاف</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صوم الاعتکاف أن یکون لأجله، بل یعتبر فیه أن یکون صائماً أیّ صوم کان، فیجوز الاعتکاف مع کون الصوم استئجاریاً</w:t>
      </w:r>
      <w:r>
        <w:rPr>
          <w:rStyle w:val="FootnoteAnchor"/>
          <w:rtl w:val="true"/>
        </w:rPr>
        <w:footnoteReference w:id="1880"/>
      </w:r>
      <w:r>
        <w:rPr>
          <w:rFonts w:ascii="Amiri" w:hAnsi="Amiri" w:eastAsia="Amiri" w:cs="Amiri"/>
          <w:color w:val="111111"/>
          <w:sz w:val="28"/>
          <w:sz w:val="28"/>
          <w:szCs w:val="28"/>
          <w:rtl w:val="true"/>
          <w:lang w:bidi="ar-SA"/>
        </w:rPr>
        <w:t> أو واجباً من جهة النذر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بل لو نذر</w:t>
      </w:r>
      <w:r>
        <w:rPr>
          <w:rStyle w:val="FootnoteAnchor"/>
          <w:rtl w:val="true"/>
        </w:rPr>
        <w:footnoteReference w:id="1881"/>
      </w:r>
      <w:r>
        <w:rPr>
          <w:rFonts w:ascii="IRNazanin" w:hAnsi="IRNazanin" w:eastAsia="IRNazanin"/>
          <w:color w:val="111111"/>
          <w:sz w:val="28"/>
          <w:sz w:val="28"/>
          <w:szCs w:val="28"/>
          <w:rtl w:val="true"/>
          <w:lang w:bidi="fa-IR"/>
        </w:rPr>
        <w:t> الاعتکاف</w:t>
      </w:r>
      <w:r>
        <w:rPr>
          <w:rStyle w:val="FootnoteAnchor"/>
          <w:rtl w:val="true"/>
        </w:rPr>
        <w:footnoteReference w:id="1882"/>
      </w:r>
      <w:r>
        <w:rPr>
          <w:rFonts w:ascii="IRNazanin" w:hAnsi="IRNazanin" w:eastAsia="IRNazanin"/>
          <w:color w:val="111111"/>
          <w:sz w:val="28"/>
          <w:sz w:val="28"/>
          <w:szCs w:val="28"/>
          <w:rtl w:val="true"/>
          <w:lang w:bidi="fa-IR"/>
        </w:rPr>
        <w:t> یجوز</w:t>
      </w:r>
      <w:r>
        <w:rPr>
          <w:rStyle w:val="FootnoteAnchor"/>
          <w:rtl w:val="true"/>
        </w:rPr>
        <w:footnoteReference w:id="1883"/>
      </w:r>
      <w:r>
        <w:rPr>
          <w:rFonts w:ascii="IRNazanin" w:hAnsi="IRNazanin" w:eastAsia="IRNazanin"/>
          <w:color w:val="111111"/>
          <w:sz w:val="28"/>
          <w:sz w:val="28"/>
          <w:szCs w:val="28"/>
          <w:rtl w:val="true"/>
          <w:lang w:bidi="fa-IR"/>
        </w:rPr>
        <w:t xml:space="preserve"> له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w:t>
      </w:r>
      <w:r>
        <w:rPr>
          <w:rStyle w:val="FootnoteAnchor"/>
          <w:rtl w:val="true"/>
        </w:rPr>
        <w:footnoteReference w:id="1884"/>
      </w:r>
      <w:r>
        <w:rPr>
          <w:rFonts w:ascii="Amiri" w:hAnsi="Amiri" w:eastAsia="Amiri" w:cs="Amiri"/>
          <w:color w:val="111111"/>
          <w:sz w:val="28"/>
          <w:sz w:val="28"/>
          <w:szCs w:val="28"/>
          <w:rtl w:val="true"/>
          <w:lang w:bidi="ar-SA"/>
        </w:rPr>
        <w:t> أن یُؤجِرَ نفسه</w:t>
      </w:r>
      <w:r>
        <w:rPr>
          <w:rStyle w:val="FootnoteAnchor"/>
          <w:rtl w:val="true"/>
        </w:rPr>
        <w:footnoteReference w:id="1885"/>
      </w:r>
      <w:r>
        <w:rPr>
          <w:rFonts w:ascii="IRNazanin" w:hAnsi="IRNazanin" w:eastAsia="IRNazanin"/>
          <w:color w:val="111111"/>
          <w:sz w:val="28"/>
          <w:sz w:val="28"/>
          <w:szCs w:val="28"/>
          <w:rtl w:val="true"/>
          <w:lang w:bidi="fa-IR"/>
        </w:rPr>
        <w:t> للصوم</w:t>
      </w:r>
      <w:r>
        <w:rPr>
          <w:rStyle w:val="FootnoteAnchor"/>
          <w:rtl w:val="true"/>
        </w:rPr>
        <w:footnoteReference w:id="1886"/>
      </w:r>
      <w:r>
        <w:rPr>
          <w:rFonts w:ascii="IRNazanin" w:hAnsi="IRNazanin" w:eastAsia="IRNazanin"/>
          <w:color w:val="111111"/>
          <w:sz w:val="28"/>
          <w:sz w:val="28"/>
          <w:szCs w:val="28"/>
          <w:rtl w:val="true"/>
          <w:lang w:bidi="fa-IR"/>
        </w:rPr>
        <w:t> ویعتکف فی ذلک الصوم، ولا یضرّه وجوب الصوم علیه بعد نذر الاعتکاف؛ فإنّ الّذی یجب لأجله هو الصوم الأعمّ من کونه له أو بعنوان آخر، بل لا بأس بالاعتکاف</w:t>
      </w:r>
      <w:r>
        <w:rPr>
          <w:rStyle w:val="FootnoteAnchor"/>
          <w:rtl w:val="true"/>
        </w:rPr>
        <w:footnoteReference w:id="1887"/>
      </w:r>
      <w:r>
        <w:rPr>
          <w:rFonts w:ascii="IRNazanin" w:hAnsi="IRNazanin" w:eastAsia="IRNazanin"/>
          <w:color w:val="111111"/>
          <w:sz w:val="28"/>
          <w:sz w:val="28"/>
          <w:szCs w:val="28"/>
          <w:rtl w:val="true"/>
          <w:lang w:bidi="fa-IR"/>
        </w:rPr>
        <w:t> المنذور</w:t>
      </w:r>
      <w:r>
        <w:rPr>
          <w:rStyle w:val="FootnoteAnchor"/>
          <w:rtl w:val="true"/>
        </w:rPr>
        <w:footnoteReference w:id="1888"/>
      </w:r>
      <w:r>
        <w:rPr>
          <w:rFonts w:ascii="IRNazanin" w:hAnsi="IRNazanin" w:eastAsia="IRNazanin"/>
          <w:color w:val="111111"/>
          <w:sz w:val="28"/>
          <w:sz w:val="28"/>
          <w:szCs w:val="28"/>
          <w:rtl w:val="true"/>
          <w:lang w:bidi="fa-IR"/>
        </w:rPr>
        <w:t> مطلقاً فی الصوم</w:t>
      </w:r>
      <w:r>
        <w:rPr>
          <w:rStyle w:val="FootnoteAnchor"/>
          <w:rtl w:val="true"/>
        </w:rPr>
        <w:footnoteReference w:id="1889"/>
      </w:r>
      <w:r>
        <w:rPr>
          <w:rFonts w:ascii="IRNazanin" w:hAnsi="IRNazanin" w:eastAsia="IRNazanin"/>
          <w:color w:val="111111"/>
          <w:sz w:val="28"/>
          <w:sz w:val="28"/>
          <w:szCs w:val="28"/>
          <w:rtl w:val="true"/>
          <w:lang w:bidi="fa-IR"/>
        </w:rPr>
        <w:t> المندوب</w:t>
      </w:r>
      <w:r>
        <w:rPr>
          <w:rStyle w:val="FootnoteAnchor"/>
          <w:rtl w:val="true"/>
        </w:rPr>
        <w:footnoteReference w:id="1890"/>
      </w:r>
      <w:r>
        <w:rPr>
          <w:rFonts w:ascii="IRNazanin" w:hAnsi="IRNazanin" w:eastAsia="IRNazanin"/>
          <w:color w:val="111111"/>
          <w:sz w:val="28"/>
          <w:sz w:val="28"/>
          <w:szCs w:val="28"/>
          <w:rtl w:val="true"/>
          <w:lang w:bidi="fa-IR"/>
        </w:rPr>
        <w:t xml:space="preserve"> الّذی یجوز له </w:t>
      </w:r>
      <w:bookmarkStart w:id="874" w:name="pg13281_120039"/>
    </w:p>
    <w:p>
      <w:pPr>
        <w:pStyle w:val="BookText"/>
        <w:rPr/>
      </w:pPr>
      <w:bookmarkEnd w:id="874"/>
      <w:r>
        <w:rPr>
          <w:rFonts w:ascii="IRNazanin" w:hAnsi="IRNazanin" w:eastAsia="IRNazanin"/>
          <w:color w:val="111111"/>
          <w:sz w:val="28"/>
          <w:sz w:val="28"/>
          <w:szCs w:val="28"/>
          <w:rtl w:val="true"/>
          <w:lang w:bidi="fa-IR"/>
        </w:rPr>
        <w:t>قطعه</w:t>
      </w:r>
      <w:r>
        <w:rPr>
          <w:rStyle w:val="FootnoteAnchor"/>
          <w:rtl w:val="true"/>
        </w:rPr>
        <w:footnoteReference w:id="1891"/>
      </w:r>
      <w:r>
        <w:rPr>
          <w:rFonts w:ascii="IRNazanin" w:hAnsi="IRNazanin" w:eastAsia="IRNazanin"/>
          <w:color w:val="111111"/>
          <w:sz w:val="28"/>
          <w:sz w:val="28"/>
          <w:szCs w:val="28"/>
          <w:rtl w:val="true"/>
          <w:lang w:bidi="fa-IR"/>
        </w:rPr>
        <w:t>، فإن لم یقطعه تمّ اعتکافه، وإن قطعه انقطع</w:t>
      </w:r>
      <w:r>
        <w:rPr>
          <w:rStyle w:val="FootnoteAnchor"/>
          <w:rtl w:val="true"/>
        </w:rPr>
        <w:footnoteReference w:id="1892"/>
      </w:r>
      <w:r>
        <w:rPr>
          <w:rFonts w:ascii="IRNazanin" w:hAnsi="IRNazanin" w:eastAsia="IRNazanin"/>
          <w:color w:val="111111"/>
          <w:sz w:val="28"/>
          <w:sz w:val="28"/>
          <w:szCs w:val="28"/>
          <w:rtl w:val="true"/>
          <w:lang w:bidi="fa-IR"/>
        </w:rPr>
        <w:t> ووجب علیه الاستئناف</w:t>
      </w:r>
      <w:r>
        <w:rPr>
          <w:rFonts w:eastAsia="IRNazanin" w:cs="IRNazanin"/>
          <w:color w:val="111111"/>
          <w:sz w:val="28"/>
          <w:szCs w:val="28"/>
          <w:rtl w:val="true"/>
          <w:lang w:bidi="fa-IR"/>
        </w:rPr>
        <w:t>.</w:t>
      </w:r>
    </w:p>
    <w:p>
      <w:pPr>
        <w:pStyle w:val="Heading3"/>
        <w:numPr>
          <w:ilvl w:val="2"/>
          <w:numId w:val="1"/>
        </w:numPr>
        <w:rPr/>
      </w:pPr>
      <w:bookmarkStart w:id="875" w:name="__RefHeading___Toc1955476_2322387425"/>
      <w:bookmarkStart w:id="876" w:name="_Toc331"/>
      <w:bookmarkEnd w:id="875"/>
      <w:r>
        <w:rPr>
          <w:rtl w:val="true"/>
        </w:rPr>
        <w:t>جواز قطع الاعتکاف فی الیومین الأوّلین</w:t>
      </w:r>
      <w:bookmarkEnd w:id="876"/>
    </w:p>
    <w:p>
      <w:pPr>
        <w:pStyle w:val="Heading4"/>
        <w:numPr>
          <w:ilvl w:val="3"/>
          <w:numId w:val="1"/>
        </w:numPr>
        <w:rPr/>
      </w:pPr>
      <w:bookmarkStart w:id="877" w:name="__RefHeading___Toc1955478_2322387425"/>
      <w:bookmarkStart w:id="878" w:name="_Toc332"/>
      <w:bookmarkEnd w:id="877"/>
      <w:r>
        <w:rPr>
          <w:rtl w:val="true"/>
        </w:rPr>
        <w:t>حکم قطع الاعتکاف المنذور المعیّن</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قطع الاعتکاف المندوب فی الیومَین الأوَّلَین، ومع تمامهما یجب الثالث، وأمّا 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معیّناً فلا یجوز قطعه مطلقاً، وإلّا فکالمندوب</w:t>
      </w:r>
      <w:r>
        <w:rPr>
          <w:rFonts w:eastAsia="IRNazanin" w:cs="IRNazanin"/>
          <w:color w:val="111111"/>
          <w:sz w:val="28"/>
          <w:szCs w:val="28"/>
          <w:rtl w:val="true"/>
          <w:lang w:bidi="fa-IR"/>
        </w:rPr>
        <w:t>.</w:t>
      </w:r>
    </w:p>
    <w:p>
      <w:pPr>
        <w:pStyle w:val="Heading3"/>
        <w:numPr>
          <w:ilvl w:val="2"/>
          <w:numId w:val="1"/>
        </w:numPr>
        <w:rPr/>
      </w:pPr>
      <w:bookmarkStart w:id="879" w:name="__RefHeading___Toc1955480_2322387425"/>
      <w:bookmarkStart w:id="880" w:name="_Toc333"/>
      <w:bookmarkEnd w:id="879"/>
      <w:r>
        <w:rPr>
          <w:rtl w:val="true"/>
        </w:rPr>
        <w:t>صوم نذر الاعتکاف فی یوم علیه فیه صوم واجب</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الاعتکاف فی أیّام معیّنة وکان علیه صوم منذور أو واجب لأجل الإجارة</w:t>
      </w:r>
      <w:r>
        <w:rPr>
          <w:rStyle w:val="FootnoteAnchor"/>
          <w:rtl w:val="true"/>
        </w:rPr>
        <w:footnoteReference w:id="1893"/>
      </w:r>
      <w:r>
        <w:rPr>
          <w:rFonts w:ascii="IRNazanin" w:hAnsi="IRNazanin" w:eastAsia="IRNazanin"/>
          <w:color w:val="111111"/>
          <w:sz w:val="28"/>
          <w:sz w:val="28"/>
          <w:szCs w:val="28"/>
          <w:rtl w:val="true"/>
          <w:lang w:bidi="fa-IR"/>
        </w:rPr>
        <w:t> یجوز له أن یصوم</w:t>
      </w:r>
      <w:r>
        <w:rPr>
          <w:rStyle w:val="FootnoteAnchor"/>
          <w:rtl w:val="true"/>
        </w:rPr>
        <w:footnoteReference w:id="1894"/>
      </w:r>
      <w:r>
        <w:rPr>
          <w:rFonts w:ascii="IRNazanin" w:hAnsi="IRNazanin" w:eastAsia="IRNazanin"/>
          <w:color w:val="111111"/>
          <w:sz w:val="28"/>
          <w:sz w:val="28"/>
          <w:szCs w:val="28"/>
          <w:rtl w:val="true"/>
          <w:lang w:bidi="fa-IR"/>
        </w:rPr>
        <w:t> فی تلک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الأیّام وفاءً عن النذر أو الإجارة، نعم، لو نذر الاعتکاف فی أیّامٍ مع قصد کون الصوم له ولأجله لم یَجْزِ عن النذر</w:t>
      </w:r>
      <w:r>
        <w:rPr>
          <w:rStyle w:val="FootnoteAnchor"/>
          <w:rtl w:val="true"/>
        </w:rPr>
        <w:footnoteReference w:id="1895"/>
      </w:r>
      <w:bookmarkStart w:id="881" w:name="pg13281_120040"/>
    </w:p>
    <w:p>
      <w:pPr>
        <w:pStyle w:val="BookText"/>
        <w:rPr/>
      </w:pPr>
      <w:bookmarkEnd w:id="881"/>
      <w:r>
        <w:rPr>
          <w:rFonts w:ascii="Amiri" w:hAnsi="Amiri" w:eastAsia="Amiri" w:cs="Amiri"/>
          <w:color w:val="111111"/>
          <w:sz w:val="28"/>
          <w:sz w:val="28"/>
          <w:szCs w:val="28"/>
          <w:rtl w:val="true"/>
          <w:lang w:bidi="ar-SA"/>
        </w:rPr>
        <w:t>أو الإجارة</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1955482_2322387425"/>
      <w:bookmarkStart w:id="883" w:name="_Toc334"/>
      <w:bookmarkEnd w:id="882"/>
      <w:r>
        <w:rPr>
          <w:rtl w:val="true"/>
        </w:rPr>
        <w:t>نذر الاعتکاف لیوم أو یومین</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w:t>
      </w:r>
      <w:r>
        <w:rPr>
          <w:rStyle w:val="FootnoteAnchor"/>
          <w:rtl w:val="true"/>
        </w:rPr>
        <w:footnoteReference w:id="1897"/>
      </w:r>
      <w:r>
        <w:rPr>
          <w:rFonts w:ascii="Amiri" w:hAnsi="Amiri" w:eastAsia="Amiri" w:cs="Amiri"/>
          <w:color w:val="111111"/>
          <w:sz w:val="28"/>
          <w:sz w:val="28"/>
          <w:szCs w:val="28"/>
          <w:rtl w:val="true"/>
          <w:lang w:bidi="ar-SA"/>
        </w:rPr>
        <w:t> یومٍ أو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قیّد بعدم الزیادة بطل نذره</w:t>
      </w:r>
      <w:r>
        <w:rPr>
          <w:rStyle w:val="FootnoteAnchor"/>
          <w:rtl w:val="true"/>
        </w:rPr>
        <w:footnoteReference w:id="1898"/>
      </w:r>
      <w:r>
        <w:rPr>
          <w:rFonts w:ascii="Amiri" w:hAnsi="Amiri" w:eastAsia="Amiri" w:cs="Amiri"/>
          <w:color w:val="111111"/>
          <w:sz w:val="28"/>
          <w:sz w:val="28"/>
          <w:szCs w:val="28"/>
          <w:rtl w:val="true"/>
          <w:lang w:bidi="ar-SA"/>
        </w:rPr>
        <w:t>، وإن لم یقیّده صحّ ووجب ضمّ یوم أو یومَین</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955484_2322387425"/>
      <w:bookmarkStart w:id="885" w:name="_Toc335"/>
      <w:bookmarkEnd w:id="884"/>
      <w:r>
        <w:rPr>
          <w:rtl w:val="true"/>
        </w:rPr>
        <w:t>لو صادف النذر مانع من الصوم کالعید</w:t>
      </w:r>
      <w:bookmarkEnd w:id="88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ثلاثة أیّام معیّنة أو أزید فاتّفق کون الثالث</w:t>
      </w:r>
      <w:r>
        <w:rPr>
          <w:rStyle w:val="FootnoteAnchor"/>
          <w:rtl w:val="true"/>
        </w:rPr>
        <w:footnoteReference w:id="1899"/>
      </w:r>
      <w:r>
        <w:rPr>
          <w:rFonts w:ascii="IRNazanin" w:hAnsi="IRNazanin" w:eastAsia="IRNazanin"/>
          <w:color w:val="111111"/>
          <w:sz w:val="28"/>
          <w:sz w:val="28"/>
          <w:szCs w:val="28"/>
          <w:rtl w:val="true"/>
          <w:lang w:bidi="fa-IR"/>
        </w:rPr>
        <w:t xml:space="preserve"> عیداً بطل من أصله، ولا یجب علیه قضاوه؛ لعدم انعقاد نذره       </w:t>
      </w:r>
      <w:bookmarkStart w:id="886" w:name="pg13281_120041"/>
    </w:p>
    <w:p>
      <w:pPr>
        <w:pStyle w:val="BookText"/>
        <w:rPr/>
      </w:pPr>
      <w:bookmarkEnd w:id="886"/>
      <w:r>
        <w:rPr>
          <w:rFonts w:ascii="Amiri" w:hAnsi="Amiri" w:eastAsia="Amiri" w:cs="Amiri"/>
          <w:color w:val="111111"/>
          <w:sz w:val="28"/>
          <w:sz w:val="28"/>
          <w:szCs w:val="28"/>
          <w:rtl w:val="true"/>
          <w:lang w:bidi="ar-SA"/>
        </w:rPr>
        <w:t>لکنّه أحوط</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955486_2322387425"/>
      <w:bookmarkStart w:id="888" w:name="_Toc336"/>
      <w:bookmarkEnd w:id="887"/>
      <w:r>
        <w:rPr>
          <w:rtl w:val="true"/>
        </w:rPr>
        <w:t>نذر الاعتکاف یوم قدوم شخصٍ معیّن</w:t>
      </w:r>
      <w:bookmarkEnd w:id="88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یومِ قدومِ زیدٍ بطل</w:t>
      </w:r>
      <w:r>
        <w:rPr>
          <w:rStyle w:val="FootnoteAnchor"/>
          <w:rtl w:val="true"/>
        </w:rPr>
        <w:footnoteReference w:id="1901"/>
      </w:r>
      <w:r>
        <w:rPr>
          <w:rFonts w:ascii="Amiri" w:hAnsi="Amiri" w:eastAsia="Amiri" w:cs="Amiri"/>
          <w:color w:val="111111"/>
          <w:sz w:val="28"/>
          <w:sz w:val="28"/>
          <w:szCs w:val="28"/>
          <w:rtl w:val="true"/>
          <w:lang w:bidi="ar-SA"/>
        </w:rPr>
        <w:t xml:space="preserve">، إلّا أن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w:t>
      </w:r>
      <w:r>
        <w:rPr>
          <w:rStyle w:val="FootnoteAnchor"/>
          <w:rtl w:val="true"/>
        </w:rPr>
        <w:footnoteReference w:id="1902"/>
      </w:r>
      <w:r>
        <w:rPr>
          <w:rFonts w:ascii="IRNazanin" w:hAnsi="IRNazanin" w:eastAsia="IRNazanin"/>
          <w:color w:val="111111"/>
          <w:sz w:val="28"/>
          <w:sz w:val="28"/>
          <w:szCs w:val="28"/>
          <w:rtl w:val="true"/>
          <w:lang w:bidi="fa-IR"/>
        </w:rPr>
        <w:t> یوم قدومه</w:t>
      </w:r>
      <w:r>
        <w:rPr>
          <w:rStyle w:val="FootnoteAnchor"/>
          <w:rtl w:val="true"/>
        </w:rPr>
        <w:footnoteReference w:id="1903"/>
      </w:r>
      <w:r>
        <w:rPr>
          <w:rFonts w:ascii="IRNazanin" w:hAnsi="IRNazanin" w:eastAsia="IRNazanin"/>
          <w:color w:val="111111"/>
          <w:sz w:val="28"/>
          <w:sz w:val="28"/>
          <w:szCs w:val="28"/>
          <w:rtl w:val="true"/>
          <w:lang w:bidi="fa-IR"/>
        </w:rPr>
        <w:t xml:space="preserve"> قبل      </w:t>
      </w:r>
      <w:r>
        <w:rPr>
          <w:rFonts w:eastAsia="IRNazanin" w:cs="IRNazanin"/>
          <w:color w:val="111111"/>
          <w:sz w:val="28"/>
          <w:szCs w:val="28"/>
          <w:rtl w:val="true"/>
          <w:lang w:bidi="fa-IR"/>
        </w:rPr>
        <w:t xml:space="preserve">.      .      .      .      . </w:t>
      </w:r>
      <w:bookmarkStart w:id="889" w:name="pg13281_120043"/>
    </w:p>
    <w:p>
      <w:pPr>
        <w:pStyle w:val="BookText"/>
        <w:rPr/>
      </w:pPr>
      <w:bookmarkEnd w:id="889"/>
      <w:r>
        <w:rPr>
          <w:rFonts w:ascii="IRNazanin" w:hAnsi="IRNazanin" w:eastAsia="IRNazanin"/>
          <w:color w:val="111111"/>
          <w:sz w:val="28"/>
          <w:sz w:val="28"/>
          <w:szCs w:val="28"/>
          <w:rtl w:val="true"/>
          <w:lang w:bidi="fa-IR"/>
        </w:rPr>
        <w:t>الفجر</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اعتکاف ثانِیَ یومِ قدومِهِ صحّ ووجب علیه ضمّ یومَین آخَرَین</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955488_2322387425"/>
      <w:bookmarkStart w:id="891" w:name="_Toc337"/>
      <w:bookmarkEnd w:id="890"/>
      <w:r>
        <w:rPr>
          <w:rtl w:val="true"/>
        </w:rPr>
        <w:t>حکم اللیلتین المتوسّطتین واللیلة الاُولی فی الاعتکاف المنذور</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ثلاثة أیّام من دون اللیلتین المتوسّطتین لم ینعقد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ثلاثة أیّام أو أزید لم یجب إدخال</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اللیلة الاُولی فیه، بخلاف ما إذا نذر اعتکاف شهر</w:t>
      </w:r>
      <w:r>
        <w:rPr>
          <w:rStyle w:val="FootnoteAnchor"/>
          <w:rtl w:val="true"/>
        </w:rPr>
        <w:footnoteReference w:id="1906"/>
      </w:r>
      <w:r>
        <w:rPr>
          <w:rFonts w:ascii="Amiri" w:hAnsi="Amiri" w:eastAsia="Amiri" w:cs="Amiri"/>
          <w:color w:val="111111"/>
          <w:sz w:val="28"/>
          <w:sz w:val="28"/>
          <w:szCs w:val="28"/>
          <w:rtl w:val="true"/>
          <w:lang w:bidi="ar-SA"/>
        </w:rPr>
        <w:t> فإنّ اللیلة الاُولی  </w:t>
      </w:r>
    </w:p>
    <w:p>
      <w:pPr>
        <w:pStyle w:val="BookText"/>
        <w:rPr/>
      </w:pPr>
      <w:r>
        <w:rPr>
          <w:rFonts w:ascii="IRNazanin" w:hAnsi="IRNazanin" w:eastAsia="IRNazanin"/>
          <w:color w:val="111111"/>
          <w:sz w:val="28"/>
          <w:sz w:val="28"/>
          <w:szCs w:val="28"/>
          <w:rtl w:val="true"/>
          <w:lang w:bidi="fa-IR"/>
        </w:rPr>
        <w:t>جزء من الشهر</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1955490_2322387425"/>
      <w:bookmarkStart w:id="893" w:name="_Toc338"/>
      <w:bookmarkEnd w:id="892"/>
      <w:r>
        <w:rPr>
          <w:rtl w:val="true"/>
        </w:rPr>
        <w:t>المراد من الشهر فی المقام</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شهر یجزیه</w:t>
      </w:r>
      <w:r>
        <w:rPr>
          <w:rStyle w:val="FootnoteAnchor"/>
          <w:rtl w:val="true"/>
        </w:rPr>
        <w:footnoteReference w:id="1908"/>
      </w:r>
      <w:r>
        <w:rPr>
          <w:rFonts w:ascii="IRNazanin" w:hAnsi="IRNazanin" w:eastAsia="IRNazanin"/>
          <w:color w:val="111111"/>
          <w:sz w:val="28"/>
          <w:sz w:val="28"/>
          <w:szCs w:val="28"/>
          <w:rtl w:val="true"/>
          <w:lang w:bidi="fa-IR"/>
        </w:rPr>
        <w:t> ما بین</w:t>
      </w:r>
      <w:r>
        <w:rPr>
          <w:rStyle w:val="FootnoteAnchor"/>
          <w:rtl w:val="true"/>
        </w:rPr>
        <w:footnoteReference w:id="1909"/>
      </w:r>
      <w:r>
        <w:rPr>
          <w:rFonts w:ascii="Amiri" w:hAnsi="Amiri" w:eastAsia="Amiri" w:cs="Amiri"/>
          <w:color w:val="111111"/>
          <w:sz w:val="28"/>
          <w:sz w:val="28"/>
          <w:szCs w:val="28"/>
          <w:rtl w:val="true"/>
          <w:lang w:bidi="ar-SA"/>
        </w:rPr>
        <w:t> الهِلالَین</w:t>
      </w:r>
      <w:r>
        <w:rPr>
          <w:rStyle w:val="FootnoteAnchor"/>
          <w:rtl w:val="true"/>
        </w:rPr>
        <w:footnoteReference w:id="1910"/>
      </w:r>
      <w:r>
        <w:rPr>
          <w:rFonts w:ascii="IRNazanin" w:hAnsi="IRNazanin" w:eastAsia="IRNazanin"/>
          <w:color w:val="111111"/>
          <w:sz w:val="28"/>
          <w:sz w:val="28"/>
          <w:szCs w:val="28"/>
          <w:rtl w:val="true"/>
          <w:lang w:bidi="fa-IR"/>
        </w:rPr>
        <w:t> وإن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ناقصاً</w:t>
      </w:r>
      <w:r>
        <w:rPr>
          <w:rStyle w:val="FootnoteAnchor"/>
          <w:rtl w:val="true"/>
        </w:rPr>
        <w:footnoteReference w:id="1911"/>
      </w:r>
      <w:r>
        <w:rPr>
          <w:rFonts w:ascii="IRNazanin" w:hAnsi="IRNazanin" w:eastAsia="IRNazanin"/>
          <w:color w:val="111111"/>
          <w:sz w:val="28"/>
          <w:sz w:val="28"/>
          <w:szCs w:val="28"/>
          <w:rtl w:val="true"/>
          <w:lang w:bidi="fa-IR"/>
        </w:rPr>
        <w:t>، ولو کان مراده مقدار شهر وجب ثلاثون یوماً</w:t>
      </w:r>
      <w:r>
        <w:rPr>
          <w:rFonts w:eastAsia="IRNazanin" w:cs="IRNazanin"/>
          <w:color w:val="111111"/>
          <w:sz w:val="28"/>
          <w:szCs w:val="28"/>
          <w:rtl w:val="true"/>
          <w:lang w:bidi="fa-IR"/>
        </w:rPr>
        <w:t xml:space="preserve">. </w:t>
      </w:r>
      <w:bookmarkStart w:id="894" w:name="pg13281_120045"/>
    </w:p>
    <w:p>
      <w:pPr>
        <w:pStyle w:val="Heading3"/>
        <w:numPr>
          <w:ilvl w:val="2"/>
          <w:numId w:val="1"/>
        </w:numPr>
        <w:rPr/>
      </w:pPr>
      <w:bookmarkStart w:id="895" w:name="__RefHeading___Toc1955492_2322387425"/>
      <w:bookmarkStart w:id="896" w:name="_Toc339"/>
      <w:bookmarkEnd w:id="894"/>
      <w:bookmarkEnd w:id="895"/>
      <w:r>
        <w:rPr>
          <w:rtl w:val="true"/>
        </w:rPr>
        <w:t>لو نذر اعتکاف شهر أو مقدار شهر والفرق بینهما</w:t>
      </w:r>
      <w:bookmarkEnd w:id="89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شهر وجب التتابع</w:t>
      </w:r>
      <w:r>
        <w:rPr>
          <w:rStyle w:val="FootnoteAnchor"/>
          <w:rtl w:val="true"/>
        </w:rPr>
        <w:footnoteReference w:id="1912"/>
      </w:r>
      <w:r>
        <w:rPr>
          <w:rFonts w:ascii="IRNazanin" w:hAnsi="IRNazanin" w:eastAsia="IRNazanin"/>
          <w:color w:val="111111"/>
          <w:sz w:val="28"/>
          <w:sz w:val="28"/>
          <w:szCs w:val="28"/>
          <w:rtl w:val="true"/>
          <w:lang w:bidi="fa-IR"/>
        </w:rPr>
        <w:t>، وأمّا لو نذر مقدار الشهر جاز له التفریق ثلاثةً ثلاثةً إلی أن یَکمُلَ ثلاثون، بل لا یبعد جواز التفریق</w:t>
      </w:r>
      <w:r>
        <w:rPr>
          <w:rStyle w:val="FootnoteAnchor"/>
          <w:rtl w:val="true"/>
        </w:rPr>
        <w:footnoteReference w:id="1913"/>
      </w:r>
      <w:r>
        <w:rPr>
          <w:rFonts w:ascii="Amiri" w:hAnsi="Amiri" w:eastAsia="Amiri" w:cs="Amiri"/>
          <w:color w:val="111111"/>
          <w:sz w:val="28"/>
          <w:sz w:val="28"/>
          <w:szCs w:val="28"/>
          <w:rtl w:val="true"/>
          <w:lang w:bidi="ar-SA"/>
        </w:rPr>
        <w:t> یوماً فیوماً</w:t>
      </w:r>
      <w:r>
        <w:rPr>
          <w:rStyle w:val="FootnoteAnchor"/>
          <w:rtl w:val="true"/>
        </w:rPr>
        <w:footnoteReference w:id="1914"/>
      </w:r>
      <w:r>
        <w:rPr>
          <w:rFonts w:ascii="Amiri" w:hAnsi="Amiri" w:eastAsia="Amiri" w:cs="Amiri"/>
          <w:color w:val="111111"/>
          <w:sz w:val="28"/>
          <w:sz w:val="28"/>
          <w:szCs w:val="28"/>
          <w:rtl w:val="true"/>
          <w:lang w:bidi="ar-SA"/>
        </w:rPr>
        <w:t> ویضمّ</w:t>
      </w:r>
      <w:r>
        <w:rPr>
          <w:rStyle w:val="FootnoteAnchor"/>
          <w:rtl w:val="true"/>
        </w:rPr>
        <w:footnoteReference w:id="1915"/>
      </w:r>
      <w:r>
        <w:rPr>
          <w:rFonts w:ascii="Amiri" w:hAnsi="Amiri" w:eastAsia="Amiri" w:cs="Amiri"/>
          <w:color w:val="111111"/>
          <w:sz w:val="28"/>
          <w:sz w:val="28"/>
          <w:szCs w:val="28"/>
          <w:rtl w:val="true"/>
          <w:lang w:bidi="ar-SA"/>
        </w:rPr>
        <w:t xml:space="preserve"> إلی کلّ واحد </w:t>
      </w:r>
      <w:bookmarkStart w:id="897" w:name="pg13281_120046"/>
    </w:p>
    <w:p>
      <w:pPr>
        <w:pStyle w:val="BookText"/>
        <w:rPr/>
      </w:pPr>
      <w:bookmarkEnd w:id="897"/>
      <w:r>
        <w:rPr>
          <w:rFonts w:ascii="Amiri" w:hAnsi="Amiri" w:eastAsia="Amiri" w:cs="Amiri"/>
          <w:color w:val="111111"/>
          <w:sz w:val="28"/>
          <w:sz w:val="28"/>
          <w:szCs w:val="28"/>
          <w:rtl w:val="true"/>
          <w:lang w:bidi="ar-SA"/>
        </w:rPr>
        <w:t>یومَین</w:t>
      </w:r>
      <w:r>
        <w:rPr>
          <w:rStyle w:val="FootnoteAnchor"/>
          <w:rtl w:val="true"/>
        </w:rPr>
        <w:footnoteReference w:id="1916"/>
      </w:r>
      <w:r>
        <w:rPr>
          <w:rFonts w:ascii="Amiri" w:hAnsi="Amiri" w:eastAsia="Amiri" w:cs="Amiri"/>
          <w:color w:val="111111"/>
          <w:sz w:val="28"/>
          <w:sz w:val="28"/>
          <w:szCs w:val="28"/>
          <w:rtl w:val="true"/>
          <w:lang w:bidi="ar-SA"/>
        </w:rPr>
        <w:t> آخَرَین</w:t>
      </w:r>
      <w:r>
        <w:rPr>
          <w:rStyle w:val="FootnoteAnchor"/>
          <w:rtl w:val="true"/>
        </w:rPr>
        <w:footnoteReference w:id="1917"/>
      </w:r>
      <w:r>
        <w:rPr>
          <w:rFonts w:ascii="IRNazanin" w:hAnsi="IRNazanin" w:eastAsia="IRNazanin"/>
          <w:color w:val="111111"/>
          <w:sz w:val="28"/>
          <w:sz w:val="28"/>
          <w:szCs w:val="28"/>
          <w:rtl w:val="true"/>
          <w:lang w:bidi="fa-IR"/>
        </w:rPr>
        <w:t>، بل الأمر کذلک فی کلّ مورد لم یکن المنساق منه هو التتابع</w:t>
      </w:r>
      <w:r>
        <w:rPr>
          <w:rFonts w:eastAsia="IRNazanin" w:cs="IRNazanin"/>
          <w:color w:val="111111"/>
          <w:sz w:val="28"/>
          <w:szCs w:val="28"/>
          <w:rtl w:val="true"/>
          <w:lang w:bidi="fa-IR"/>
        </w:rPr>
        <w:t>.</w:t>
      </w:r>
    </w:p>
    <w:p>
      <w:pPr>
        <w:pStyle w:val="Heading3"/>
        <w:numPr>
          <w:ilvl w:val="2"/>
          <w:numId w:val="1"/>
        </w:numPr>
        <w:rPr/>
      </w:pPr>
      <w:bookmarkStart w:id="898" w:name="__RefHeading___Toc1955494_2322387425"/>
      <w:bookmarkStart w:id="899" w:name="_Toc340"/>
      <w:bookmarkEnd w:id="898"/>
      <w:r>
        <w:rPr>
          <w:rtl w:val="true"/>
        </w:rPr>
        <w:t>فروع فیما یرتبط بالتتابع فی صوم الاعتکاف</w:t>
      </w:r>
      <w:bookmarkEnd w:id="89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الاعتکاف شهراً أو زماناً علی وجه التتابع ـ سواء شرطه لفظاً أو کان المنساق منه</w:t>
      </w:r>
      <w:r>
        <w:rPr>
          <w:rStyle w:val="FootnoteAnchor"/>
          <w:rtl w:val="true"/>
        </w:rPr>
        <w:footnoteReference w:id="1918"/>
      </w:r>
      <w:r>
        <w:rPr>
          <w:rFonts w:ascii="IRNazanin" w:hAnsi="IRNazanin" w:eastAsia="IRNazanin"/>
          <w:color w:val="111111"/>
          <w:sz w:val="28"/>
          <w:sz w:val="28"/>
          <w:szCs w:val="28"/>
          <w:rtl w:val="true"/>
          <w:lang w:bidi="fa-IR"/>
        </w:rPr>
        <w:t> ذلک ـ فأخلّ بیومٍ أو أزید بطل وإن کان ما مضی ثلاثة فصاعداً واستأنف آخر مع مراعاة التتابع فیه وإن کان معیّناً</w:t>
      </w:r>
      <w:r>
        <w:rPr>
          <w:rStyle w:val="FootnoteAnchor"/>
          <w:rtl w:val="true"/>
        </w:rPr>
        <w:footnoteReference w:id="1919"/>
      </w:r>
      <w:r>
        <w:rPr>
          <w:rFonts w:ascii="IRNazanin" w:hAnsi="IRNazanin" w:eastAsia="IRNazanin"/>
          <w:color w:val="111111"/>
          <w:sz w:val="28"/>
          <w:sz w:val="28"/>
          <w:szCs w:val="28"/>
          <w:rtl w:val="true"/>
          <w:lang w:bidi="fa-IR"/>
        </w:rPr>
        <w:t> وقد أخلّ بیوم أو أزید وجب قضاوه</w:t>
      </w:r>
      <w:r>
        <w:rPr>
          <w:rStyle w:val="FootnoteAnchor"/>
          <w:rtl w:val="true"/>
        </w:rPr>
        <w:footnoteReference w:id="1920"/>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1921"/>
      </w:r>
      <w:r>
        <w:rPr>
          <w:rFonts w:ascii="IRNazanin" w:hAnsi="IRNazanin" w:eastAsia="IRNazanin"/>
          <w:color w:val="111111"/>
          <w:sz w:val="28"/>
          <w:sz w:val="28"/>
          <w:szCs w:val="28"/>
          <w:rtl w:val="true"/>
          <w:lang w:bidi="fa-IR"/>
        </w:rPr>
        <w:t> التتابع</w:t>
      </w:r>
      <w:r>
        <w:rPr>
          <w:rStyle w:val="FootnoteAnchor"/>
          <w:rtl w:val="true"/>
        </w:rPr>
        <w:footnoteReference w:id="1922"/>
      </w:r>
      <w:r>
        <w:rPr>
          <w:rFonts w:ascii="IRNazanin" w:hAnsi="IRNazanin" w:eastAsia="IRNazanin"/>
          <w:color w:val="111111"/>
          <w:sz w:val="28"/>
          <w:sz w:val="28"/>
          <w:szCs w:val="28"/>
          <w:rtl w:val="true"/>
          <w:lang w:bidi="fa-IR"/>
        </w:rPr>
        <w:t> فیه أیضاً، وإن بقی شیء من ذلک الزمان المعیَّن بعد الإبطال بالإخلال فالأحوط ابتداء</w:t>
      </w:r>
      <w:r>
        <w:rPr>
          <w:rStyle w:val="FootnoteAnchor"/>
          <w:rtl w:val="true"/>
        </w:rPr>
        <w:footnoteReference w:id="1923"/>
      </w:r>
      <w:r>
        <w:rPr>
          <w:rFonts w:ascii="IRNazanin" w:hAnsi="IRNazanin" w:eastAsia="IRNazanin"/>
          <w:color w:val="111111"/>
          <w:sz w:val="28"/>
          <w:sz w:val="28"/>
          <w:szCs w:val="28"/>
          <w:rtl w:val="true"/>
          <w:lang w:bidi="fa-IR"/>
        </w:rPr>
        <w:t> القضاء منه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أربعة أیّام فأخلّ بالرابع ولم یشترط التتابع ولا کان منساقاً من نذره وجب قضاء ذلک الیوم</w:t>
      </w:r>
      <w:r>
        <w:rPr>
          <w:rStyle w:val="FootnoteAnchor"/>
          <w:rtl w:val="true"/>
        </w:rPr>
        <w:footnoteReference w:id="1925"/>
      </w:r>
      <w:r>
        <w:rPr>
          <w:rFonts w:ascii="Amiri" w:hAnsi="Amiri" w:eastAsia="Amiri" w:cs="Amiri"/>
          <w:color w:val="111111"/>
          <w:sz w:val="28"/>
          <w:sz w:val="28"/>
          <w:szCs w:val="28"/>
          <w:rtl w:val="true"/>
          <w:lang w:bidi="ar-SA"/>
        </w:rPr>
        <w:t>، وضمّ یومَین آخَرَین، والأولی</w:t>
      </w:r>
      <w:r>
        <w:rPr>
          <w:rStyle w:val="FootnoteAnchor"/>
          <w:rtl w:val="true"/>
        </w:rPr>
        <w:footnoteReference w:id="1926"/>
      </w:r>
      <w:r>
        <w:rPr>
          <w:rFonts w:ascii="Amiri" w:hAnsi="Amiri" w:eastAsia="Amiri" w:cs="Amiri"/>
          <w:color w:val="111111"/>
          <w:sz w:val="28"/>
          <w:sz w:val="28"/>
          <w:szCs w:val="28"/>
          <w:rtl w:val="true"/>
          <w:lang w:bidi="ar-SA"/>
        </w:rPr>
        <w:t> جعل المقضیّ</w:t>
      </w:r>
      <w:r>
        <w:rPr>
          <w:rStyle w:val="FootnoteAnchor"/>
          <w:rtl w:val="true"/>
        </w:rPr>
        <w:footnoteReference w:id="1927"/>
      </w:r>
      <w:r>
        <w:rPr>
          <w:rFonts w:ascii="Amiri" w:hAnsi="Amiri" w:eastAsia="Amiri" w:cs="Amiri"/>
          <w:color w:val="111111"/>
          <w:sz w:val="28"/>
          <w:sz w:val="28"/>
          <w:szCs w:val="28"/>
          <w:rtl w:val="true"/>
          <w:lang w:bidi="ar-SA"/>
        </w:rPr>
        <w:t xml:space="preserve"> أوّل </w:t>
      </w:r>
      <w:bookmarkStart w:id="900" w:name="pg13281_120048"/>
    </w:p>
    <w:p>
      <w:pPr>
        <w:pStyle w:val="BookText"/>
        <w:rPr/>
      </w:pPr>
      <w:bookmarkEnd w:id="900"/>
      <w:r>
        <w:rPr>
          <w:rFonts w:ascii="Amiri" w:hAnsi="Amiri" w:eastAsia="Amiri" w:cs="Amiri"/>
          <w:color w:val="111111"/>
          <w:sz w:val="28"/>
          <w:sz w:val="28"/>
          <w:szCs w:val="28"/>
          <w:rtl w:val="true"/>
          <w:lang w:bidi="ar-SA"/>
        </w:rPr>
        <w:t>الثلاثة</w:t>
      </w:r>
      <w:r>
        <w:rPr>
          <w:rStyle w:val="FootnoteAnchor"/>
          <w:rtl w:val="true"/>
        </w:rPr>
        <w:footnoteReference w:id="1928"/>
      </w:r>
      <w:r>
        <w:rPr>
          <w:rFonts w:ascii="IRNazanin" w:hAnsi="IRNazanin" w:eastAsia="IRNazanin"/>
          <w:color w:val="111111"/>
          <w:sz w:val="28"/>
          <w:sz w:val="28"/>
          <w:szCs w:val="28"/>
          <w:rtl w:val="true"/>
          <w:lang w:bidi="fa-IR"/>
        </w:rPr>
        <w:t>، وإن کان مختاراً فی جعله أیّاً منها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خمسة أیّام وجب أن یضمّ إلیها سادساً</w:t>
      </w:r>
      <w:r>
        <w:rPr>
          <w:rStyle w:val="FootnoteAnchor"/>
          <w:rtl w:val="true"/>
        </w:rPr>
        <w:footnoteReference w:id="1929"/>
      </w:r>
      <w:r>
        <w:rPr>
          <w:rFonts w:ascii="Amiri" w:hAnsi="Amiri" w:eastAsia="Amiri" w:cs="Amiri"/>
          <w:color w:val="111111"/>
          <w:sz w:val="28"/>
          <w:sz w:val="28"/>
          <w:szCs w:val="28"/>
          <w:rtl w:val="true"/>
          <w:lang w:bidi="ar-SA"/>
        </w:rPr>
        <w:t>، سواء تابَعَ أو</w:t>
      </w:r>
      <w:r>
        <w:rPr>
          <w:rStyle w:val="FootnoteAnchor"/>
          <w:rtl w:val="true"/>
        </w:rPr>
        <w:footnoteReference w:id="1930"/>
      </w:r>
      <w:r>
        <w:rPr>
          <w:rFonts w:ascii="Amiri" w:hAnsi="Amiri" w:eastAsia="Amiri" w:cs="Amiri"/>
          <w:color w:val="111111"/>
          <w:sz w:val="28"/>
          <w:sz w:val="28"/>
          <w:szCs w:val="28"/>
          <w:rtl w:val="true"/>
          <w:lang w:bidi="ar-SA"/>
        </w:rPr>
        <w:t> فَرَّقَ بین الثلاثَتَینِ</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955496_2322387425"/>
      <w:bookmarkStart w:id="902" w:name="_Toc341"/>
      <w:bookmarkEnd w:id="901"/>
      <w:r>
        <w:rPr>
          <w:rtl w:val="true"/>
        </w:rPr>
        <w:t>قضاء ما ترک من الاعتکاف الواجب وحکم ما لو غمّت الشهور</w:t>
      </w:r>
      <w:bookmarkEnd w:id="90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زماناً معیّناً شهراً أو غیره وترکه نسیاناً أو عصیاناً أو اضطراراً وجب قضاوه</w:t>
      </w:r>
      <w:r>
        <w:rPr>
          <w:rStyle w:val="FootnoteAnchor"/>
          <w:rtl w:val="true"/>
        </w:rPr>
        <w:footnoteReference w:id="1931"/>
      </w:r>
      <w:r>
        <w:rPr>
          <w:rFonts w:ascii="IRNazanin" w:hAnsi="IRNazanin" w:eastAsia="IRNazanin"/>
          <w:color w:val="111111"/>
          <w:sz w:val="28"/>
          <w:sz w:val="28"/>
          <w:szCs w:val="28"/>
          <w:rtl w:val="true"/>
          <w:lang w:bidi="fa-IR"/>
        </w:rPr>
        <w:t>، ولو غمّت الشهور فلم یتعیّن عنده ذلک المعیّن عمل بالظنّ</w:t>
      </w:r>
      <w:r>
        <w:rPr>
          <w:rStyle w:val="FootnoteAnchor"/>
          <w:rtl w:val="true"/>
        </w:rPr>
        <w:footnoteReference w:id="1932"/>
      </w:r>
      <w:r>
        <w:rPr>
          <w:rFonts w:ascii="IRNazanin" w:hAnsi="IRNazanin" w:eastAsia="IRNazanin"/>
          <w:color w:val="111111"/>
          <w:sz w:val="28"/>
          <w:sz w:val="28"/>
          <w:szCs w:val="28"/>
          <w:rtl w:val="true"/>
          <w:lang w:bidi="fa-IR"/>
        </w:rPr>
        <w:t xml:space="preserve">، ومع عدمه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3" w:name="pg13281_120050"/>
      <w:bookmarkStart w:id="904" w:name="pg13281_120050"/>
      <w:bookmarkEnd w:id="904"/>
    </w:p>
    <w:p>
      <w:pPr>
        <w:pStyle w:val="BookText"/>
        <w:rPr/>
      </w:pPr>
      <w:bookmarkStart w:id="905" w:name="pg13281_120050"/>
      <w:bookmarkEnd w:id="905"/>
      <w:r>
        <w:rPr>
          <w:rFonts w:ascii="Amiri" w:hAnsi="Amiri" w:eastAsia="Amiri" w:cs="Amiri"/>
          <w:color w:val="111111"/>
          <w:sz w:val="28"/>
          <w:sz w:val="28"/>
          <w:szCs w:val="28"/>
          <w:rtl w:val="true"/>
          <w:lang w:bidi="ar-SA"/>
        </w:rPr>
        <w:t>یتخیّر</w:t>
      </w:r>
      <w:r>
        <w:rPr>
          <w:rStyle w:val="FootnoteAnchor"/>
          <w:rtl w:val="true"/>
        </w:rPr>
        <w:footnoteReference w:id="1933"/>
      </w:r>
      <w:r>
        <w:rPr>
          <w:rFonts w:ascii="IRNazanin" w:hAnsi="IRNazanin" w:eastAsia="IRNazanin"/>
          <w:color w:val="111111"/>
          <w:sz w:val="28"/>
          <w:sz w:val="28"/>
          <w:szCs w:val="28"/>
          <w:rtl w:val="true"/>
          <w:lang w:bidi="fa-IR"/>
        </w:rPr>
        <w:t> بین موارد</w:t>
      </w:r>
      <w:r>
        <w:rPr>
          <w:rStyle w:val="FootnoteAnchor"/>
          <w:rtl w:val="true"/>
        </w:rPr>
        <w:footnoteReference w:id="1934"/>
      </w:r>
      <w:r>
        <w:rPr>
          <w:rFonts w:ascii="IRNazanin" w:hAnsi="IRNazanin" w:eastAsia="IRNazanin"/>
          <w:color w:val="111111"/>
          <w:sz w:val="28"/>
          <w:sz w:val="28"/>
          <w:szCs w:val="28"/>
          <w:rtl w:val="true"/>
          <w:lang w:bidi="fa-IR"/>
        </w:rPr>
        <w:t> الاحتمال</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1955498_2322387425"/>
      <w:bookmarkStart w:id="907" w:name="_Toc342"/>
      <w:bookmarkEnd w:id="906"/>
      <w:r>
        <w:rPr>
          <w:rtl w:val="true"/>
        </w:rPr>
        <w:t>اعتبار وحدة المسجد فی الاعتکاف الواحد </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الاعتکاف</w:t>
      </w:r>
      <w:r>
        <w:rPr>
          <w:rStyle w:val="FootnoteAnchor"/>
          <w:rtl w:val="true"/>
        </w:rPr>
        <w:footnoteReference w:id="1936"/>
      </w:r>
      <w:r>
        <w:rPr>
          <w:rFonts w:ascii="Amiri" w:hAnsi="Amiri" w:eastAsia="Amiri" w:cs="Amiri"/>
          <w:color w:val="111111"/>
          <w:sz w:val="28"/>
          <w:sz w:val="28"/>
          <w:szCs w:val="28"/>
          <w:rtl w:val="true"/>
          <w:lang w:bidi="ar-SA"/>
        </w:rPr>
        <w:t> الواحد وحدة المسجد، فلا یجوز أن یجعله فی مسجدَین، سواء کانا مُتّصلَین أو مُنفَصِلَین، نعم، لو کانا متّصلین</w:t>
      </w:r>
      <w:r>
        <w:rPr>
          <w:rStyle w:val="FootnoteAnchor"/>
          <w:rtl w:val="true"/>
        </w:rPr>
        <w:footnoteReference w:id="1937"/>
      </w:r>
      <w:r>
        <w:rPr>
          <w:rFonts w:ascii="Amiri" w:hAnsi="Amiri" w:eastAsia="Amiri" w:cs="Amiri"/>
          <w:color w:val="111111"/>
          <w:sz w:val="28"/>
          <w:sz w:val="28"/>
          <w:szCs w:val="28"/>
          <w:rtl w:val="true"/>
          <w:lang w:bidi="ar-SA"/>
        </w:rPr>
        <w:t> علی وجه یُعدّ مسجداً واحداً فلا مانع</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1955500_2322387425"/>
      <w:bookmarkStart w:id="909" w:name="_Toc343"/>
      <w:bookmarkEnd w:id="908"/>
      <w:r>
        <w:rPr>
          <w:rtl w:val="true"/>
        </w:rPr>
        <w:t>حکم ما لو اتفق مانع من إتمام الاعتکاف</w:t>
      </w:r>
      <w:bookmarkEnd w:id="90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اعتکف فی مسجد ثمّ اتّفق مانع من إتمامه فیه من خوف أو هدم أو نحو ذلک بطل، ووجب استئنافه</w:t>
      </w:r>
      <w:r>
        <w:rPr>
          <w:rStyle w:val="FootnoteAnchor"/>
          <w:rtl w:val="true"/>
        </w:rPr>
        <w:footnoteReference w:id="1939"/>
      </w:r>
      <w:r>
        <w:rPr>
          <w:rFonts w:ascii="IRNazanin" w:hAnsi="IRNazanin" w:eastAsia="IRNazanin"/>
          <w:color w:val="111111"/>
          <w:sz w:val="28"/>
          <w:sz w:val="28"/>
          <w:szCs w:val="28"/>
          <w:rtl w:val="true"/>
          <w:lang w:bidi="fa-IR"/>
        </w:rPr>
        <w:t> أو قضاوه</w:t>
      </w:r>
      <w:r>
        <w:rPr>
          <w:rStyle w:val="FootnoteAnchor"/>
          <w:rtl w:val="true"/>
        </w:rPr>
        <w:footnoteReference w:id="1940"/>
      </w:r>
      <w:r>
        <w:rPr>
          <w:rFonts w:ascii="IRNazanin" w:hAnsi="IRNazanin" w:eastAsia="IRNazanin"/>
          <w:color w:val="111111"/>
          <w:sz w:val="28"/>
          <w:sz w:val="28"/>
          <w:szCs w:val="28"/>
          <w:rtl w:val="true"/>
          <w:lang w:bidi="fa-IR"/>
        </w:rPr>
        <w:t xml:space="preserve"> إن کان </w:t>
      </w:r>
      <w:bookmarkStart w:id="910" w:name="pg13281_120051"/>
    </w:p>
    <w:p>
      <w:pPr>
        <w:pStyle w:val="BookText"/>
        <w:rPr/>
      </w:pPr>
      <w:bookmarkEnd w:id="910"/>
      <w:r>
        <w:rPr>
          <w:rFonts w:ascii="IRNazanin" w:hAnsi="IRNazanin" w:eastAsia="IRNazanin"/>
          <w:color w:val="111111"/>
          <w:sz w:val="28"/>
          <w:sz w:val="28"/>
          <w:szCs w:val="28"/>
          <w:rtl w:val="true"/>
          <w:lang w:bidi="fa-IR"/>
        </w:rPr>
        <w:t>واجباً فی مسجد آخر أو ذلک المسجد إذا ارتفع عنه المانع، ولیس له البناء</w:t>
      </w:r>
      <w:r>
        <w:rPr>
          <w:rStyle w:val="FootnoteAnchor"/>
          <w:rtl w:val="true"/>
        </w:rPr>
        <w:footnoteReference w:id="1941"/>
      </w:r>
      <w:r>
        <w:rPr>
          <w:rFonts w:ascii="IRNazanin" w:hAnsi="IRNazanin" w:eastAsia="IRNazanin"/>
          <w:color w:val="111111"/>
          <w:sz w:val="28"/>
          <w:sz w:val="28"/>
          <w:szCs w:val="28"/>
          <w:rtl w:val="true"/>
          <w:lang w:bidi="fa-IR"/>
        </w:rPr>
        <w:t>، سواء کان</w:t>
      </w:r>
      <w:r>
        <w:rPr>
          <w:rStyle w:val="FootnoteAnchor"/>
          <w:rtl w:val="true"/>
        </w:rPr>
        <w:footnoteReference w:id="1942"/>
      </w:r>
      <w:r>
        <w:rPr>
          <w:rFonts w:ascii="IRNazanin" w:hAnsi="IRNazanin" w:eastAsia="IRNazanin"/>
          <w:color w:val="111111"/>
          <w:sz w:val="28"/>
          <w:sz w:val="28"/>
          <w:szCs w:val="28"/>
          <w:rtl w:val="true"/>
          <w:lang w:bidi="fa-IR"/>
        </w:rPr>
        <w:t> فی مسجدٍ آخر أو فی ذلک المسجد بعد رفع</w:t>
      </w:r>
    </w:p>
    <w:p>
      <w:pPr>
        <w:pStyle w:val="BookText"/>
        <w:rPr/>
      </w:pPr>
      <w:r>
        <w:rPr>
          <w:rFonts w:ascii="IRNazanin" w:hAnsi="IRNazanin" w:eastAsia="IRNazanin"/>
          <w:color w:val="111111"/>
          <w:sz w:val="28"/>
          <w:sz w:val="28"/>
          <w:szCs w:val="28"/>
          <w:rtl w:val="true"/>
          <w:lang w:bidi="fa-IR"/>
        </w:rPr>
        <w:t>المانع</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955502_2322387425"/>
      <w:bookmarkStart w:id="912" w:name="_Toc344"/>
      <w:bookmarkEnd w:id="911"/>
      <w:r>
        <w:rPr>
          <w:rtl w:val="true"/>
        </w:rPr>
        <w:t>أحکام فی توابع المسجد ومنه مسجد الکوفة المعظّم وفروع ذلک</w:t>
      </w:r>
      <w:bookmarkEnd w:id="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المسجد وسِردابه ومحرابه منه ما لم یعلم خروجها</w:t>
      </w:r>
      <w:r>
        <w:rPr>
          <w:rStyle w:val="FootnoteAnchor"/>
          <w:rtl w:val="true"/>
        </w:rPr>
        <w:footnoteReference w:id="1944"/>
      </w:r>
      <w:r>
        <w:rPr>
          <w:rFonts w:ascii="IRNazanin" w:hAnsi="IRNazanin" w:eastAsia="IRNazanin"/>
          <w:color w:val="111111"/>
          <w:sz w:val="28"/>
          <w:sz w:val="28"/>
          <w:szCs w:val="28"/>
          <w:rtl w:val="true"/>
          <w:lang w:bidi="fa-IR"/>
        </w:rPr>
        <w:t>، وکذا مضافاته</w:t>
      </w:r>
      <w:r>
        <w:rPr>
          <w:rStyle w:val="FootnoteAnchor"/>
          <w:rtl w:val="true"/>
        </w:rPr>
        <w:footnoteReference w:id="1945"/>
      </w:r>
      <w:r>
        <w:rPr>
          <w:rFonts w:ascii="Amiri" w:hAnsi="Amiri" w:eastAsia="Amiri" w:cs="Amiri"/>
          <w:color w:val="111111"/>
          <w:sz w:val="28"/>
          <w:sz w:val="28"/>
          <w:szCs w:val="28"/>
          <w:rtl w:val="true"/>
          <w:lang w:bidi="ar-SA"/>
        </w:rPr>
        <w:t> إذا جعلت جزءاً منه، کما لو وُسِّعَ فیه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عیّن موضعاً</w:t>
      </w:r>
      <w:r>
        <w:rPr>
          <w:rStyle w:val="FootnoteAnchor"/>
          <w:rtl w:val="true"/>
        </w:rPr>
        <w:footnoteReference w:id="1946"/>
      </w:r>
      <w:r>
        <w:rPr>
          <w:rFonts w:ascii="Amiri" w:hAnsi="Amiri" w:eastAsia="Amiri" w:cs="Amiri"/>
          <w:color w:val="111111"/>
          <w:sz w:val="28"/>
          <w:sz w:val="28"/>
          <w:szCs w:val="28"/>
          <w:rtl w:val="true"/>
          <w:lang w:bidi="ar-SA"/>
        </w:rPr>
        <w:t> خاصّاً من المسجد محلّاً لاعتکافه لم یتعیّن</w:t>
      </w:r>
      <w:r>
        <w:rPr>
          <w:rStyle w:val="FootnoteAnchor"/>
          <w:rtl w:val="true"/>
        </w:rPr>
        <w:footnoteReference w:id="19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      .      . </w:t>
      </w:r>
    </w:p>
    <w:p>
      <w:pPr>
        <w:pStyle w:val="BookText"/>
        <w:rPr/>
      </w:pPr>
      <w:r>
        <w:rPr>
          <w:rFonts w:ascii="IRNazanin" w:hAnsi="IRNazanin" w:eastAsia="IRNazanin"/>
          <w:color w:val="111111"/>
          <w:sz w:val="28"/>
          <w:sz w:val="28"/>
          <w:szCs w:val="28"/>
          <w:rtl w:val="true"/>
          <w:lang w:bidi="fa-IR"/>
        </w:rPr>
        <w:t>وکان</w:t>
      </w:r>
      <w:r>
        <w:rPr>
          <w:rStyle w:val="FootnoteAnchor"/>
          <w:rtl w:val="true"/>
        </w:rPr>
        <w:footnoteReference w:id="1948"/>
      </w:r>
      <w:r>
        <w:rPr>
          <w:rFonts w:ascii="Amiri" w:hAnsi="Amiri" w:eastAsia="Amiri" w:cs="Amiri"/>
          <w:color w:val="111111"/>
          <w:sz w:val="28"/>
          <w:sz w:val="28"/>
          <w:szCs w:val="28"/>
          <w:rtl w:val="true"/>
          <w:lang w:bidi="ar-SA"/>
        </w:rPr>
        <w:t> قصده لغواً</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مسلم وهانی لیس جزءاً</w:t>
      </w:r>
      <w:r>
        <w:rPr>
          <w:rStyle w:val="FootnoteAnchor"/>
          <w:rtl w:val="true"/>
        </w:rPr>
        <w:footnoteReference w:id="1950"/>
      </w:r>
      <w:r>
        <w:rPr>
          <w:rFonts w:ascii="IRNazanin" w:hAnsi="IRNazanin" w:eastAsia="IRNazanin"/>
          <w:color w:val="111111"/>
          <w:sz w:val="28"/>
          <w:sz w:val="28"/>
          <w:szCs w:val="28"/>
          <w:rtl w:val="true"/>
          <w:lang w:bidi="fa-IR"/>
        </w:rPr>
        <w:t> من مسجد الکوفة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موضع من المسجد أنّه جزء منه أو من مرافقه لم یجر علیه حکم المسجد</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ثبوت کونه مسجداً وجامعاً بالعلم الوجدانیِّ،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الشیاع المفید للعلم</w:t>
      </w:r>
      <w:r>
        <w:rPr>
          <w:rStyle w:val="FootnoteAnchor"/>
          <w:rtl w:val="true"/>
        </w:rPr>
        <w:footnoteReference w:id="1952"/>
      </w:r>
      <w:r>
        <w:rPr>
          <w:rFonts w:ascii="IRNazanin" w:hAnsi="IRNazanin" w:eastAsia="IRNazanin"/>
          <w:color w:val="111111"/>
          <w:sz w:val="28"/>
          <w:sz w:val="28"/>
          <w:szCs w:val="28"/>
          <w:rtl w:val="true"/>
          <w:lang w:bidi="fa-IR"/>
        </w:rPr>
        <w:t>، أو البیّنة الشرعیّة، وفی کفایة خبر العَدل الواحد إشکال</w:t>
      </w:r>
      <w:r>
        <w:rPr>
          <w:rStyle w:val="FootnoteAnchor"/>
          <w:rtl w:val="true"/>
        </w:rPr>
        <w:footnoteReference w:id="1953"/>
      </w:r>
      <w:r>
        <w:rPr>
          <w:rFonts w:ascii="IRNazanin" w:hAnsi="IRNazanin" w:eastAsia="IRNazanin"/>
          <w:color w:val="111111"/>
          <w:sz w:val="28"/>
          <w:sz w:val="28"/>
          <w:szCs w:val="28"/>
          <w:rtl w:val="true"/>
          <w:lang w:bidi="fa-IR"/>
        </w:rPr>
        <w:t>، والظاهر کفایة</w:t>
      </w:r>
      <w:r>
        <w:rPr>
          <w:rStyle w:val="FootnoteAnchor"/>
          <w:rtl w:val="true"/>
        </w:rPr>
        <w:footnoteReference w:id="1954"/>
      </w:r>
      <w:r>
        <w:rPr>
          <w:rFonts w:ascii="IRNazanin" w:hAnsi="IRNazanin" w:eastAsia="IRNazanin"/>
          <w:color w:val="111111"/>
          <w:sz w:val="28"/>
          <w:sz w:val="28"/>
          <w:szCs w:val="28"/>
          <w:rtl w:val="true"/>
          <w:lang w:bidi="fa-IR"/>
        </w:rPr>
        <w:t> حکم الحاکم</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الشرعی</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اعتکف فی مکان باعتقاد المسجدیّة أو الجامعیّة فبان </w:t>
      </w:r>
      <w:bookmarkStart w:id="913" w:name="pg13281_120055"/>
    </w:p>
    <w:p>
      <w:pPr>
        <w:pStyle w:val="BookText"/>
        <w:rPr/>
      </w:pPr>
      <w:bookmarkEnd w:id="913"/>
      <w:r>
        <w:rPr>
          <w:rFonts w:ascii="IRNazanin" w:hAnsi="IRNazanin" w:eastAsia="IRNazanin"/>
          <w:color w:val="111111"/>
          <w:sz w:val="28"/>
          <w:sz w:val="28"/>
          <w:szCs w:val="28"/>
          <w:rtl w:val="true"/>
          <w:lang w:bidi="fa-IR"/>
        </w:rPr>
        <w:t>الخلاف تبیّن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وجوب کون الاعتکاف فی المسجد الجامع</w:t>
      </w:r>
      <w:r>
        <w:rPr>
          <w:rStyle w:val="FootnoteAnchor"/>
          <w:rtl w:val="true"/>
        </w:rPr>
        <w:footnoteReference w:id="1957"/>
      </w:r>
      <w:r>
        <w:rPr>
          <w:rFonts w:ascii="IRNazanin" w:hAnsi="IRNazanin" w:eastAsia="IRNazanin"/>
          <w:color w:val="111111"/>
          <w:sz w:val="28"/>
          <w:sz w:val="28"/>
          <w:szCs w:val="28"/>
          <w:rtl w:val="true"/>
          <w:lang w:bidi="fa-IR"/>
        </w:rPr>
        <w:t> بین الرجل والمرأة، فلیس لها الاعتکاف فی المکان الّذی أعدّته للصلاة فی بیتها، بل ولا فی مسجد القبیلة</w:t>
      </w:r>
      <w:r>
        <w:rPr>
          <w:rStyle w:val="FootnoteAnchor"/>
          <w:rtl w:val="true"/>
        </w:rPr>
        <w:footnoteReference w:id="1958"/>
      </w:r>
      <w:r>
        <w:rPr>
          <w:rFonts w:ascii="IRNazanin" w:hAnsi="IRNazanin" w:eastAsia="IRNazanin"/>
          <w:color w:val="111111"/>
          <w:sz w:val="28"/>
          <w:sz w:val="28"/>
          <w:szCs w:val="28"/>
          <w:rtl w:val="true"/>
          <w:lang w:bidi="fa-IR"/>
        </w:rPr>
        <w:t> ونحوها</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955504_2322387425"/>
      <w:bookmarkStart w:id="915" w:name="_Toc345"/>
      <w:bookmarkEnd w:id="914"/>
      <w:r>
        <w:rPr>
          <w:rtl w:val="true"/>
        </w:rPr>
        <w:t>صحة اعتکاف الصبی الممیز</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صحّة اعتکاف الصبیّ</w:t>
      </w:r>
      <w:r>
        <w:rPr>
          <w:rStyle w:val="FootnoteAnchor"/>
          <w:rtl w:val="true"/>
        </w:rPr>
        <w:footnoteReference w:id="1960"/>
      </w:r>
      <w:r>
        <w:rPr>
          <w:rFonts w:ascii="IRNazanin" w:hAnsi="IRNazanin" w:eastAsia="IRNazanin"/>
          <w:color w:val="111111"/>
          <w:sz w:val="28"/>
          <w:sz w:val="28"/>
          <w:szCs w:val="28"/>
          <w:rtl w:val="true"/>
          <w:lang w:bidi="fa-IR"/>
        </w:rPr>
        <w:t> الممیّز، فلا یشترط فیه</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Heading3"/>
        <w:numPr>
          <w:ilvl w:val="2"/>
          <w:numId w:val="1"/>
        </w:numPr>
        <w:rPr/>
      </w:pPr>
      <w:bookmarkStart w:id="916" w:name="__RefHeading___Toc1955506_2322387425"/>
      <w:bookmarkStart w:id="917" w:name="_Toc346"/>
      <w:bookmarkEnd w:id="916"/>
      <w:r>
        <w:rPr>
          <w:rtl w:val="true"/>
        </w:rPr>
        <w:t>اعتکاف العبد وشرطیة إذن المولی</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اعتکف العبد بدون إذن المولی بطل</w:t>
      </w:r>
      <w:r>
        <w:rPr>
          <w:rStyle w:val="FootnoteAnchor"/>
          <w:rtl w:val="true"/>
        </w:rPr>
        <w:footnoteReference w:id="1961"/>
      </w:r>
      <w:r>
        <w:rPr>
          <w:rFonts w:ascii="IRNazanin" w:hAnsi="IRNazanin" w:eastAsia="IRNazanin"/>
          <w:color w:val="111111"/>
          <w:sz w:val="28"/>
          <w:sz w:val="28"/>
          <w:szCs w:val="28"/>
          <w:rtl w:val="true"/>
          <w:lang w:bidi="fa-IR"/>
        </w:rPr>
        <w:t xml:space="preserve">، ولو اُعتق فی أثنائه لم یجب علیه إتمامه، ولو شرع فیه بإذن المولی ثمّ اُعتق فی الأثناء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الیوم الأول أو الثانی لم یجب علیه الإتمام، إلّا أن یکون من الاعتکاف الواجب</w:t>
      </w:r>
      <w:r>
        <w:rPr>
          <w:rStyle w:val="FootnoteAnchor"/>
          <w:rtl w:val="true"/>
        </w:rPr>
        <w:footnoteReference w:id="1962"/>
      </w:r>
      <w:r>
        <w:rPr>
          <w:rFonts w:ascii="IRNazanin" w:hAnsi="IRNazanin" w:eastAsia="IRNazanin"/>
          <w:color w:val="111111"/>
          <w:sz w:val="28"/>
          <w:sz w:val="28"/>
          <w:szCs w:val="28"/>
          <w:rtl w:val="true"/>
          <w:lang w:bidi="fa-IR"/>
        </w:rPr>
        <w:t>، وإن کان بعد تمام الیومَین وجب علیه الثالث، وإن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کان بعد تمام الخمسة وجب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أذن المولی لعبده فی الاعتکاف جاز له الرجوع عن إذنه ما لم یمضِ یومان، ولیس له الرجوع</w:t>
      </w:r>
      <w:r>
        <w:rPr>
          <w:rStyle w:val="FootnoteAnchor"/>
          <w:rtl w:val="true"/>
        </w:rPr>
        <w:footnoteReference w:id="1963"/>
      </w:r>
      <w:r>
        <w:rPr>
          <w:rFonts w:ascii="IRNazanin" w:hAnsi="IRNazanin" w:eastAsia="IRNazanin"/>
          <w:color w:val="111111"/>
          <w:sz w:val="28"/>
          <w:sz w:val="28"/>
          <w:szCs w:val="28"/>
          <w:rtl w:val="true"/>
          <w:lang w:bidi="fa-IR"/>
        </w:rPr>
        <w:t>بعدهما؛ لوجوب إتمامه</w:t>
      </w:r>
      <w:r>
        <w:rPr>
          <w:rStyle w:val="FootnoteAnchor"/>
          <w:rtl w:val="true"/>
        </w:rPr>
        <w:footnoteReference w:id="1964"/>
      </w:r>
      <w:r>
        <w:rPr>
          <w:rFonts w:ascii="IRNazanin" w:hAnsi="IRNazanin" w:eastAsia="IRNazanin"/>
          <w:color w:val="111111"/>
          <w:sz w:val="28"/>
          <w:sz w:val="28"/>
          <w:szCs w:val="28"/>
          <w:rtl w:val="true"/>
          <w:lang w:bidi="fa-IR"/>
        </w:rPr>
        <w:t> حینئذٍ، وکذا لا یجوز</w:t>
      </w:r>
      <w:r>
        <w:rPr>
          <w:rStyle w:val="FootnoteAnchor"/>
          <w:rtl w:val="true"/>
        </w:rPr>
        <w:footnoteReference w:id="1965"/>
      </w:r>
      <w:r>
        <w:rPr>
          <w:rFonts w:ascii="IRNazanin" w:hAnsi="IRNazanin" w:eastAsia="IRNazanin"/>
          <w:color w:val="111111"/>
          <w:sz w:val="28"/>
          <w:sz w:val="28"/>
          <w:szCs w:val="28"/>
          <w:rtl w:val="true"/>
          <w:lang w:bidi="fa-IR"/>
        </w:rPr>
        <w:t> له الرجوع إذا کان الاعتکاف واجباً بعد الشروع</w:t>
      </w:r>
      <w:r>
        <w:rPr>
          <w:rStyle w:val="FootnoteAnchor"/>
          <w:rtl w:val="true"/>
        </w:rPr>
        <w:footnoteReference w:id="1966"/>
      </w:r>
      <w:r>
        <w:rPr>
          <w:rFonts w:ascii="IRNazanin" w:hAnsi="IRNazanin" w:eastAsia="IRNazanin"/>
          <w:color w:val="111111"/>
          <w:sz w:val="28"/>
          <w:sz w:val="28"/>
          <w:szCs w:val="28"/>
          <w:rtl w:val="true"/>
          <w:lang w:bidi="fa-IR"/>
        </w:rPr>
        <w:t> فیه</w:t>
      </w:r>
      <w:r>
        <w:rPr>
          <w:rStyle w:val="FootnoteAnchor"/>
          <w:rtl w:val="true"/>
        </w:rPr>
        <w:footnoteReference w:id="196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18" w:name="pg13281_120057"/>
    </w:p>
    <w:p>
      <w:pPr>
        <w:pStyle w:val="BookText"/>
        <w:rPr/>
      </w:pPr>
      <w:bookmarkEnd w:id="918"/>
      <w:r>
        <w:rPr>
          <w:rFonts w:ascii="IRNazanin" w:hAnsi="IRNazanin" w:eastAsia="IRNazanin"/>
          <w:color w:val="111111"/>
          <w:sz w:val="28"/>
          <w:sz w:val="28"/>
          <w:szCs w:val="28"/>
          <w:rtl w:val="true"/>
          <w:lang w:bidi="fa-IR"/>
        </w:rPr>
        <w:t>من</w:t>
      </w:r>
      <w:r>
        <w:rPr>
          <w:rStyle w:val="FootnoteAnchor"/>
          <w:rtl w:val="true"/>
        </w:rPr>
        <w:footnoteReference w:id="1968"/>
      </w:r>
      <w:r>
        <w:rPr>
          <w:rFonts w:ascii="IRNazanin" w:hAnsi="IRNazanin" w:eastAsia="IRNazanin"/>
          <w:color w:val="111111"/>
          <w:sz w:val="28"/>
          <w:sz w:val="28"/>
          <w:szCs w:val="28"/>
          <w:rtl w:val="true"/>
          <w:lang w:bidi="fa-IR"/>
        </w:rPr>
        <w:t> العبد</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1955508_2322387425"/>
      <w:bookmarkStart w:id="920" w:name="_Toc347"/>
      <w:bookmarkEnd w:id="919"/>
      <w:r>
        <w:rPr>
          <w:rtl w:val="true"/>
        </w:rPr>
        <w:t>حکم خروج المعتکف من المسجد</w:t>
      </w:r>
      <w:bookmarkEnd w:id="92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للمعتکف</w:t>
      </w:r>
      <w:r>
        <w:rPr>
          <w:rStyle w:val="FootnoteAnchor"/>
          <w:rtl w:val="true"/>
        </w:rPr>
        <w:footnoteReference w:id="1970"/>
      </w:r>
      <w:r>
        <w:rPr>
          <w:rFonts w:ascii="IRNazanin" w:hAnsi="IRNazanin" w:eastAsia="IRNazanin"/>
          <w:color w:val="111111"/>
          <w:sz w:val="28"/>
          <w:sz w:val="28"/>
          <w:szCs w:val="28"/>
          <w:rtl w:val="true"/>
          <w:lang w:bidi="fa-IR"/>
        </w:rPr>
        <w:t> الخروج</w:t>
      </w:r>
      <w:r>
        <w:rPr>
          <w:rStyle w:val="FootnoteAnchor"/>
          <w:rtl w:val="true"/>
        </w:rPr>
        <w:footnoteReference w:id="1971"/>
      </w:r>
      <w:r>
        <w:rPr>
          <w:rFonts w:ascii="IRNazanin" w:hAnsi="IRNazanin" w:eastAsia="IRNazanin"/>
          <w:color w:val="111111"/>
          <w:sz w:val="28"/>
          <w:sz w:val="28"/>
          <w:szCs w:val="28"/>
          <w:rtl w:val="true"/>
          <w:lang w:bidi="fa-IR"/>
        </w:rPr>
        <w:t> من المسجد</w:t>
      </w:r>
      <w:r>
        <w:rPr>
          <w:rStyle w:val="FootnoteAnchor"/>
          <w:rtl w:val="true"/>
        </w:rPr>
        <w:footnoteReference w:id="1972"/>
      </w:r>
      <w:r>
        <w:rPr>
          <w:rFonts w:ascii="Amiri" w:hAnsi="Amiri" w:eastAsia="Amiri" w:cs="Amiri"/>
          <w:color w:val="111111"/>
          <w:sz w:val="28"/>
          <w:sz w:val="28"/>
          <w:szCs w:val="28"/>
          <w:rtl w:val="true"/>
          <w:lang w:bidi="ar-SA"/>
        </w:rPr>
        <w:t>لإقامة الشهادة، أو لحضور الجماعة</w:t>
      </w:r>
      <w:r>
        <w:rPr>
          <w:rStyle w:val="FootnoteAnchor"/>
          <w:rtl w:val="true"/>
        </w:rPr>
        <w:footnoteReference w:id="1973"/>
      </w:r>
      <w:r>
        <w:rPr>
          <w:rFonts w:ascii="IRNazanin" w:hAnsi="IRNazanin" w:eastAsia="IRNazanin"/>
          <w:color w:val="111111"/>
          <w:sz w:val="28"/>
          <w:sz w:val="28"/>
          <w:szCs w:val="28"/>
          <w:rtl w:val="true"/>
          <w:lang w:bidi="fa-IR"/>
        </w:rPr>
        <w:t xml:space="preserve">، أو لتشییع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الجنازة</w:t>
      </w:r>
      <w:r>
        <w:rPr>
          <w:rStyle w:val="FootnoteAnchor"/>
          <w:rtl w:val="true"/>
        </w:rPr>
        <w:footnoteReference w:id="1974"/>
      </w:r>
      <w:r>
        <w:rPr>
          <w:rFonts w:ascii="IRNazanin" w:hAnsi="IRNazanin" w:eastAsia="IRNazanin"/>
          <w:color w:val="111111"/>
          <w:sz w:val="28"/>
          <w:sz w:val="28"/>
          <w:szCs w:val="28"/>
          <w:rtl w:val="true"/>
          <w:lang w:bidi="fa-IR"/>
        </w:rPr>
        <w:t> وإن لم یتعیّن علیه هذه الاُمور، وکذا فی سائر الضرورات العرفیّة أو الشرعیّة الواجبة أو الراجحة</w:t>
      </w:r>
      <w:r>
        <w:rPr>
          <w:rStyle w:val="FootnoteAnchor"/>
          <w:rtl w:val="true"/>
        </w:rPr>
        <w:footnoteReference w:id="1975"/>
      </w:r>
      <w:r>
        <w:rPr>
          <w:rFonts w:ascii="IRNazanin" w:hAnsi="IRNazanin" w:eastAsia="IRNazanin"/>
          <w:color w:val="111111"/>
          <w:sz w:val="28"/>
          <w:sz w:val="28"/>
          <w:szCs w:val="28"/>
          <w:rtl w:val="true"/>
          <w:lang w:bidi="fa-IR"/>
        </w:rPr>
        <w:t>، سواء کانت متعلّقةً باُمور الدنیا أو الآخرة ممّا یرجع مصلحته إلی نفسه أو غیره، ولا یجوز الخروج اختیاراً بدون أمثال هذه المذکورات</w:t>
      </w:r>
      <w:r>
        <w:rPr>
          <w:rFonts w:eastAsia="IRNazanin" w:cs="IRNazanin"/>
          <w:color w:val="111111"/>
          <w:sz w:val="28"/>
          <w:szCs w:val="28"/>
          <w:rtl w:val="true"/>
          <w:lang w:bidi="fa-IR"/>
        </w:rPr>
        <w:t xml:space="preserve">. </w:t>
      </w:r>
      <w:bookmarkStart w:id="921" w:name="pg13281_120059"/>
    </w:p>
    <w:p>
      <w:pPr>
        <w:pStyle w:val="Heading3"/>
        <w:numPr>
          <w:ilvl w:val="2"/>
          <w:numId w:val="1"/>
        </w:numPr>
        <w:rPr/>
      </w:pPr>
      <w:bookmarkStart w:id="922" w:name="__RefHeading___Toc1955510_2322387425"/>
      <w:bookmarkStart w:id="923" w:name="_Toc348"/>
      <w:bookmarkEnd w:id="921"/>
      <w:bookmarkEnd w:id="922"/>
      <w:r>
        <w:rPr>
          <w:rtl w:val="true"/>
        </w:rPr>
        <w:t>الخروج لأجل الاغتسال من الجنابة</w:t>
      </w:r>
      <w:bookmarkEnd w:id="92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أجنب فی المسجد ولم یمکن</w:t>
      </w:r>
      <w:r>
        <w:rPr>
          <w:rStyle w:val="FootnoteAnchor"/>
          <w:rtl w:val="true"/>
        </w:rPr>
        <w:footnoteReference w:id="1976"/>
      </w:r>
      <w:r>
        <w:rPr>
          <w:rFonts w:ascii="IRNazanin" w:hAnsi="IRNazanin" w:eastAsia="IRNazanin"/>
          <w:color w:val="111111"/>
          <w:sz w:val="28"/>
          <w:sz w:val="28"/>
          <w:szCs w:val="28"/>
          <w:rtl w:val="true"/>
          <w:lang w:bidi="fa-IR"/>
        </w:rPr>
        <w:t> الاغتسال</w:t>
      </w:r>
      <w:r>
        <w:rPr>
          <w:rStyle w:val="FootnoteAnchor"/>
          <w:rtl w:val="true"/>
        </w:rPr>
        <w:footnoteReference w:id="1977"/>
      </w:r>
      <w:r>
        <w:rPr>
          <w:rFonts w:ascii="IRNazanin" w:hAnsi="IRNazanin" w:eastAsia="IRNazanin"/>
          <w:color w:val="111111"/>
          <w:sz w:val="28"/>
          <w:sz w:val="28"/>
          <w:szCs w:val="28"/>
          <w:rtl w:val="true"/>
          <w:lang w:bidi="fa-IR"/>
        </w:rPr>
        <w:t>فیه</w:t>
      </w:r>
      <w:r>
        <w:rPr>
          <w:rStyle w:val="FootnoteAnchor"/>
          <w:rtl w:val="true"/>
        </w:rPr>
        <w:footnoteReference w:id="1978"/>
      </w:r>
      <w:r>
        <w:rPr>
          <w:rFonts w:ascii="IRNazanin" w:hAnsi="IRNazanin" w:eastAsia="IRNazanin"/>
          <w:color w:val="111111"/>
          <w:sz w:val="28"/>
          <w:sz w:val="28"/>
          <w:szCs w:val="28"/>
          <w:rtl w:val="true"/>
          <w:lang w:bidi="fa-IR"/>
        </w:rPr>
        <w:t> وجب</w:t>
      </w:r>
      <w:r>
        <w:rPr>
          <w:rStyle w:val="FootnoteAnchor"/>
          <w:rtl w:val="true"/>
        </w:rPr>
        <w:footnoteReference w:id="1979"/>
      </w:r>
      <w:r>
        <w:rPr>
          <w:rFonts w:ascii="IRNazanin" w:hAnsi="IRNazanin" w:eastAsia="IRNazanin"/>
          <w:color w:val="111111"/>
          <w:sz w:val="28"/>
          <w:sz w:val="28"/>
          <w:szCs w:val="28"/>
          <w:rtl w:val="true"/>
          <w:lang w:bidi="fa-IR"/>
        </w:rPr>
        <w:t> علیه الخروج، ولو لم یخرج</w:t>
      </w:r>
      <w:r>
        <w:rPr>
          <w:rStyle w:val="FootnoteAnchor"/>
          <w:rtl w:val="true"/>
        </w:rPr>
        <w:footnoteReference w:id="1980"/>
      </w:r>
      <w:r>
        <w:rPr>
          <w:rFonts w:ascii="IRNazanin" w:hAnsi="IRNazanin" w:eastAsia="IRNazanin"/>
          <w:color w:val="111111"/>
          <w:sz w:val="28"/>
          <w:sz w:val="28"/>
          <w:szCs w:val="28"/>
          <w:rtl w:val="true"/>
          <w:lang w:bidi="fa-IR"/>
        </w:rPr>
        <w:t> بطل</w:t>
      </w:r>
      <w:r>
        <w:rPr>
          <w:rStyle w:val="FootnoteAnchor"/>
          <w:rtl w:val="true"/>
        </w:rPr>
        <w:footnoteReference w:id="198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اعتکافه</w:t>
      </w:r>
      <w:r>
        <w:rPr>
          <w:rStyle w:val="FootnoteAnchor"/>
          <w:rtl w:val="true"/>
        </w:rPr>
        <w:footnoteReference w:id="19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      .      .      . </w:t>
      </w:r>
      <w:bookmarkStart w:id="924" w:name="pg13281_120061"/>
    </w:p>
    <w:p>
      <w:pPr>
        <w:pStyle w:val="BookText"/>
        <w:rPr/>
      </w:pPr>
      <w:bookmarkEnd w:id="924"/>
      <w:r>
        <w:rPr>
          <w:rFonts w:ascii="Amiri" w:hAnsi="Amiri" w:eastAsia="Amiri" w:cs="Amiri"/>
          <w:color w:val="111111"/>
          <w:sz w:val="28"/>
          <w:sz w:val="28"/>
          <w:szCs w:val="28"/>
          <w:rtl w:val="true"/>
          <w:lang w:bidi="ar-SA"/>
        </w:rPr>
        <w:t>لحرمة لَبثِهِ</w:t>
      </w:r>
      <w:r>
        <w:rPr>
          <w:rStyle w:val="FootnoteAnchor"/>
          <w:rtl w:val="true"/>
        </w:rPr>
        <w:footnoteReference w:id="1983"/>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w:t>
      </w:r>
    </w:p>
    <w:p>
      <w:pPr>
        <w:pStyle w:val="Heading3"/>
        <w:numPr>
          <w:ilvl w:val="2"/>
          <w:numId w:val="1"/>
        </w:numPr>
        <w:rPr/>
      </w:pPr>
      <w:bookmarkStart w:id="925" w:name="__RefHeading___Toc1955512_2322387425"/>
      <w:bookmarkStart w:id="926" w:name="_Toc349"/>
      <w:bookmarkEnd w:id="925"/>
      <w:r>
        <w:rPr>
          <w:rtl w:val="true"/>
        </w:rPr>
        <w:t>اعتبار عدم الغصبیة للمکان من المسجد</w:t>
      </w:r>
      <w:bookmarkEnd w:id="92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غصب مکاناً من المسجد سبق إلیه غیره بأن أزاله وجلس فیه فالأقوی</w:t>
      </w:r>
      <w:r>
        <w:rPr>
          <w:rStyle w:val="FootnoteAnchor"/>
          <w:rtl w:val="true"/>
        </w:rPr>
        <w:footnoteReference w:id="1984"/>
      </w:r>
      <w:r>
        <w:rPr>
          <w:rFonts w:ascii="IRNazanin" w:hAnsi="IRNazanin" w:eastAsia="IRNazanin"/>
          <w:color w:val="111111"/>
          <w:sz w:val="28"/>
          <w:sz w:val="28"/>
          <w:szCs w:val="28"/>
          <w:rtl w:val="true"/>
          <w:lang w:bidi="fa-IR"/>
        </w:rPr>
        <w:t> بطلان</w:t>
      </w:r>
      <w:r>
        <w:rPr>
          <w:rStyle w:val="FootnoteAnchor"/>
          <w:rtl w:val="true"/>
        </w:rPr>
        <w:footnoteReference w:id="198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اعتکافه</w:t>
      </w:r>
      <w:r>
        <w:rPr>
          <w:rStyle w:val="FootnoteAnchor"/>
          <w:rtl w:val="true"/>
        </w:rPr>
        <w:footnoteReference w:id="19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      .      .      .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إذا</w:t>
      </w:r>
      <w:r>
        <w:rPr>
          <w:rStyle w:val="FootnoteAnchor"/>
          <w:rtl w:val="true"/>
        </w:rPr>
        <w:footnoteReference w:id="1987"/>
      </w:r>
      <w:r>
        <w:rPr>
          <w:rFonts w:ascii="IRNazanin" w:hAnsi="IRNazanin" w:eastAsia="IRNazanin"/>
          <w:color w:val="111111"/>
          <w:sz w:val="28"/>
          <w:sz w:val="28"/>
          <w:szCs w:val="28"/>
          <w:rtl w:val="true"/>
          <w:lang w:bidi="fa-IR"/>
        </w:rPr>
        <w:t> جلس</w:t>
      </w:r>
      <w:r>
        <w:rPr>
          <w:rStyle w:val="FootnoteAnchor"/>
          <w:rtl w:val="true"/>
        </w:rPr>
        <w:footnoteReference w:id="1988"/>
      </w:r>
      <w:r>
        <w:rPr>
          <w:rFonts w:ascii="IRNazanin" w:hAnsi="IRNazanin" w:eastAsia="IRNazanin"/>
          <w:color w:val="111111"/>
          <w:sz w:val="28"/>
          <w:sz w:val="28"/>
          <w:szCs w:val="28"/>
          <w:rtl w:val="true"/>
          <w:lang w:bidi="fa-IR"/>
        </w:rPr>
        <w:t> علی فراش مغصوب</w:t>
      </w:r>
      <w:r>
        <w:rPr>
          <w:rStyle w:val="FootnoteAnchor"/>
          <w:rtl w:val="true"/>
        </w:rPr>
        <w:footnoteReference w:id="1989"/>
      </w:r>
      <w:r>
        <w:rPr>
          <w:rFonts w:ascii="IRNazanin" w:hAnsi="IRNazanin" w:eastAsia="IRNazanin"/>
          <w:color w:val="111111"/>
          <w:sz w:val="28"/>
          <w:sz w:val="28"/>
          <w:szCs w:val="28"/>
          <w:rtl w:val="true"/>
          <w:lang w:bidi="fa-IR"/>
        </w:rPr>
        <w:t>، بل الأحوط</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الاجتناب</w:t>
      </w:r>
      <w:r>
        <w:rPr>
          <w:rStyle w:val="FootnoteAnchor"/>
          <w:rtl w:val="true"/>
        </w:rPr>
        <w:footnoteReference w:id="1991"/>
      </w:r>
      <w:r>
        <w:rPr>
          <w:rFonts w:ascii="IRNazanin" w:hAnsi="IRNazanin" w:eastAsia="IRNazanin"/>
          <w:color w:val="111111"/>
          <w:sz w:val="28"/>
          <w:sz w:val="28"/>
          <w:szCs w:val="28"/>
          <w:rtl w:val="true"/>
          <w:lang w:bidi="fa-IR"/>
        </w:rPr>
        <w:t> عن الجلوس علی أرض المسجد المفروش بتراب مغصوب</w:t>
      </w:r>
    </w:p>
    <w:p>
      <w:pPr>
        <w:pStyle w:val="BookText"/>
        <w:rPr/>
      </w:pPr>
      <w:r>
        <w:rPr>
          <w:rFonts w:ascii="IRNazanin" w:hAnsi="IRNazanin" w:eastAsia="IRNazanin"/>
          <w:color w:val="111111"/>
          <w:sz w:val="28"/>
          <w:sz w:val="28"/>
          <w:szCs w:val="28"/>
          <w:rtl w:val="true"/>
          <w:lang w:bidi="fa-IR"/>
        </w:rPr>
        <w:t>أو آجرٍّ مغصوب علی وجه لا یمکن إزالته، وإن توقّف علی الخروج خرج علی الأحوط</w:t>
      </w:r>
      <w:r>
        <w:rPr>
          <w:rStyle w:val="FootnoteAnchor"/>
          <w:rtl w:val="true"/>
        </w:rPr>
        <w:footnoteReference w:id="1992"/>
      </w:r>
      <w:r>
        <w:rPr>
          <w:rFonts w:ascii="Amiri" w:hAnsi="Amiri" w:eastAsia="Amiri" w:cs="Amiri"/>
          <w:color w:val="111111"/>
          <w:sz w:val="28"/>
          <w:sz w:val="28"/>
          <w:szCs w:val="28"/>
          <w:rtl w:val="true"/>
          <w:lang w:bidi="ar-SA"/>
        </w:rPr>
        <w:t>، وأمّا إذا کان لابساً لِثوبٍ مغصوب أو حاملاً له فالظاهر</w:t>
      </w:r>
      <w:r>
        <w:rPr>
          <w:rStyle w:val="FootnoteAnchor"/>
          <w:rtl w:val="true"/>
        </w:rPr>
        <w:footnoteReference w:id="1993"/>
      </w:r>
      <w:r>
        <w:rPr>
          <w:rFonts w:ascii="IRNazanin" w:hAnsi="IRNazanin" w:eastAsia="IRNazanin"/>
          <w:color w:val="111111"/>
          <w:sz w:val="28"/>
          <w:sz w:val="28"/>
          <w:szCs w:val="28"/>
          <w:rtl w:val="true"/>
          <w:lang w:bidi="fa-IR"/>
        </w:rPr>
        <w:t> عدم البطلان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جلس علی المغصوب ناسیاً</w:t>
      </w:r>
      <w:r>
        <w:rPr>
          <w:rStyle w:val="FootnoteAnchor"/>
          <w:rtl w:val="true"/>
        </w:rPr>
        <w:footnoteReference w:id="1994"/>
      </w:r>
      <w:r>
        <w:rPr>
          <w:rFonts w:ascii="Amiri" w:hAnsi="Amiri" w:eastAsia="Amiri" w:cs="Amiri"/>
          <w:color w:val="111111"/>
          <w:sz w:val="28"/>
          <w:sz w:val="28"/>
          <w:szCs w:val="28"/>
          <w:rtl w:val="true"/>
          <w:lang w:bidi="ar-SA"/>
        </w:rPr>
        <w:t> أو جاهلاً</w:t>
      </w:r>
      <w:r>
        <w:rPr>
          <w:rStyle w:val="FootnoteAnchor"/>
          <w:rtl w:val="true"/>
        </w:rPr>
        <w:footnoteReference w:id="1995"/>
      </w:r>
      <w:r>
        <w:rPr>
          <w:rFonts w:ascii="Amiri" w:hAnsi="Amiri" w:eastAsia="Amiri" w:cs="Amiri"/>
          <w:color w:val="111111"/>
          <w:sz w:val="28"/>
          <w:sz w:val="28"/>
          <w:szCs w:val="28"/>
          <w:rtl w:val="true"/>
          <w:lang w:bidi="ar-SA"/>
        </w:rPr>
        <w:t>أو مُکرَهاً</w:t>
      </w:r>
      <w:r>
        <w:rPr>
          <w:rStyle w:val="FootnoteAnchor"/>
          <w:rtl w:val="true"/>
        </w:rPr>
        <w:footnoteReference w:id="1996"/>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w:t>
      </w:r>
      <w:bookmarkStart w:id="927" w:name="pg13281_120065"/>
    </w:p>
    <w:p>
      <w:pPr>
        <w:pStyle w:val="BookText"/>
        <w:rPr/>
      </w:pPr>
      <w:bookmarkEnd w:id="927"/>
      <w:r>
        <w:rPr>
          <w:rFonts w:ascii="Amiri" w:hAnsi="Amiri" w:eastAsia="Amiri" w:cs="Amiri"/>
          <w:color w:val="111111"/>
          <w:sz w:val="28"/>
          <w:sz w:val="28"/>
          <w:szCs w:val="28"/>
          <w:rtl w:val="true"/>
          <w:lang w:bidi="ar-SA"/>
        </w:rPr>
        <w:t>أو مضطرّاً</w:t>
      </w:r>
      <w:r>
        <w:rPr>
          <w:rStyle w:val="FootnoteAnchor"/>
          <w:rtl w:val="true"/>
        </w:rPr>
        <w:footnoteReference w:id="1997"/>
      </w:r>
      <w:r>
        <w:rPr>
          <w:rFonts w:ascii="IRNazanin" w:hAnsi="IRNazanin" w:eastAsia="IRNazanin"/>
          <w:color w:val="111111"/>
          <w:sz w:val="28"/>
          <w:sz w:val="28"/>
          <w:szCs w:val="28"/>
          <w:rtl w:val="true"/>
          <w:lang w:bidi="fa-IR"/>
        </w:rPr>
        <w:t> لم یبطل اعتکافه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علیه الخروج لأداءِ دینٍ واجبِ الأداءِ علیه، أو لإتیان واجبٍ آخر متوقّفٍ علی الخروج ولم یخرج أثِمَ، ولکن لا یبطل اعتکافه علی الأقوی</w:t>
      </w:r>
      <w:r>
        <w:rPr>
          <w:rFonts w:eastAsia="IRNazanin" w:cs="IRNazanin"/>
          <w:color w:val="111111"/>
          <w:sz w:val="28"/>
          <w:szCs w:val="28"/>
          <w:rtl w:val="true"/>
          <w:lang w:bidi="fa-IR"/>
        </w:rPr>
        <w:t>.</w:t>
      </w:r>
    </w:p>
    <w:p>
      <w:pPr>
        <w:pStyle w:val="Heading3"/>
        <w:numPr>
          <w:ilvl w:val="2"/>
          <w:numId w:val="1"/>
        </w:numPr>
        <w:rPr/>
      </w:pPr>
      <w:bookmarkStart w:id="928" w:name="__RefHeading___Toc1955514_2322387425"/>
      <w:bookmarkStart w:id="929" w:name="_Toc350"/>
      <w:bookmarkEnd w:id="928"/>
      <w:r>
        <w:rPr>
          <w:rtl w:val="true"/>
        </w:rPr>
        <w:t>فروع فی ما یرتبط بالخروج من المسجد</w:t>
      </w:r>
      <w:bookmarkEnd w:id="92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من المسجد لضرورةٍ فالأحوط</w:t>
      </w:r>
      <w:r>
        <w:rPr>
          <w:rStyle w:val="FootnoteAnchor"/>
          <w:rtl w:val="true"/>
        </w:rPr>
        <w:footnoteReference w:id="1998"/>
      </w:r>
      <w:r>
        <w:rPr>
          <w:rFonts w:ascii="IRNazanin" w:hAnsi="IRNazanin" w:eastAsia="IRNazanin"/>
          <w:color w:val="111111"/>
          <w:sz w:val="28"/>
          <w:sz w:val="28"/>
          <w:szCs w:val="28"/>
          <w:rtl w:val="true"/>
          <w:lang w:bidi="fa-IR"/>
        </w:rPr>
        <w:t>مراعاة أقرب الطرق، ویجب عدم المَکث إلّا بمقدار الحاجة والضرورة، ویجب أیضاً</w:t>
      </w:r>
      <w:r>
        <w:rPr>
          <w:rStyle w:val="FootnoteAnchor"/>
          <w:rtl w:val="true"/>
        </w:rPr>
        <w:footnoteReference w:id="1999"/>
      </w:r>
      <w:r>
        <w:rPr>
          <w:rFonts w:ascii="IRNazanin" w:hAnsi="IRNazanin" w:eastAsia="IRNazanin"/>
          <w:color w:val="111111"/>
          <w:sz w:val="28"/>
          <w:sz w:val="28"/>
          <w:szCs w:val="28"/>
          <w:rtl w:val="true"/>
          <w:lang w:bidi="fa-IR"/>
        </w:rPr>
        <w:t> أن لا یجلس تحت الظِلال</w:t>
      </w:r>
      <w:r>
        <w:rPr>
          <w:rStyle w:val="FootnoteAnchor"/>
          <w:rtl w:val="true"/>
        </w:rPr>
        <w:footnoteReference w:id="2000"/>
      </w:r>
      <w:r>
        <w:rPr>
          <w:rFonts w:ascii="IRNazanin" w:hAnsi="IRNazanin" w:eastAsia="IRNazanin"/>
          <w:color w:val="111111"/>
          <w:sz w:val="28"/>
          <w:sz w:val="28"/>
          <w:szCs w:val="28"/>
          <w:rtl w:val="true"/>
          <w:lang w:bidi="fa-IR"/>
        </w:rPr>
        <w:t>مع الإمکان، بل الأحوط</w:t>
      </w:r>
      <w:r>
        <w:rPr>
          <w:rStyle w:val="FootnoteAnchor"/>
          <w:rtl w:val="true"/>
        </w:rPr>
        <w:footnoteReference w:id="2001"/>
      </w:r>
      <w:r>
        <w:rPr>
          <w:rFonts w:ascii="IRNazanin" w:hAnsi="IRNazanin" w:eastAsia="IRNazanin"/>
          <w:color w:val="111111"/>
          <w:sz w:val="28"/>
          <w:sz w:val="28"/>
          <w:szCs w:val="28"/>
          <w:rtl w:val="true"/>
          <w:lang w:bidi="fa-IR"/>
        </w:rPr>
        <w:t> أن لا یمشی</w:t>
      </w:r>
      <w:r>
        <w:rPr>
          <w:rStyle w:val="FootnoteAnchor"/>
          <w:rtl w:val="true"/>
        </w:rPr>
        <w:footnoteReference w:id="2002"/>
      </w:r>
      <w:r>
        <w:rPr>
          <w:rFonts w:ascii="IRNazanin" w:hAnsi="IRNazanin" w:eastAsia="IRNazanin"/>
          <w:color w:val="111111"/>
          <w:sz w:val="28"/>
          <w:sz w:val="28"/>
          <w:szCs w:val="28"/>
          <w:rtl w:val="true"/>
          <w:lang w:bidi="fa-IR"/>
        </w:rPr>
        <w:t> تحته</w:t>
      </w:r>
      <w:r>
        <w:rPr>
          <w:rStyle w:val="FootnoteAnchor"/>
          <w:rtl w:val="true"/>
        </w:rPr>
        <w:footnoteReference w:id="2003"/>
      </w:r>
      <w:bookmarkStart w:id="930" w:name="pg13281_120066"/>
    </w:p>
    <w:p>
      <w:pPr>
        <w:pStyle w:val="BookText"/>
        <w:rPr/>
      </w:pPr>
      <w:bookmarkEnd w:id="930"/>
      <w:r>
        <w:rPr>
          <w:rFonts w:ascii="Amiri" w:hAnsi="Amiri" w:eastAsia="Amiri" w:cs="Amiri"/>
          <w:color w:val="111111"/>
          <w:sz w:val="28"/>
          <w:sz w:val="28"/>
          <w:szCs w:val="28"/>
          <w:rtl w:val="true"/>
          <w:lang w:bidi="ar-SA"/>
        </w:rPr>
        <w:t>أیضاً</w:t>
      </w:r>
      <w:r>
        <w:rPr>
          <w:rStyle w:val="FootnoteAnchor"/>
          <w:rtl w:val="true"/>
        </w:rPr>
        <w:footnoteReference w:id="2004"/>
      </w:r>
      <w:r>
        <w:rPr>
          <w:rFonts w:ascii="IRNazanin" w:hAnsi="IRNazanin" w:eastAsia="IRNazanin"/>
          <w:color w:val="111111"/>
          <w:sz w:val="28"/>
          <w:sz w:val="28"/>
          <w:szCs w:val="28"/>
          <w:rtl w:val="true"/>
          <w:lang w:bidi="fa-IR"/>
        </w:rPr>
        <w:t>، بل الأحوط عدم الجلوس</w:t>
      </w:r>
      <w:r>
        <w:rPr>
          <w:rStyle w:val="FootnoteAnchor"/>
          <w:rtl w:val="true"/>
        </w:rPr>
        <w:footnoteReference w:id="2005"/>
      </w:r>
      <w:r>
        <w:rPr>
          <w:rFonts w:ascii="Amiri" w:hAnsi="Amiri" w:eastAsia="Amiri" w:cs="Amiri"/>
          <w:color w:val="111111"/>
          <w:sz w:val="28"/>
          <w:sz w:val="28"/>
          <w:szCs w:val="28"/>
          <w:rtl w:val="true"/>
          <w:lang w:bidi="ar-SA"/>
        </w:rPr>
        <w:t> مطلقاً</w:t>
      </w:r>
      <w:r>
        <w:rPr>
          <w:rStyle w:val="FootnoteAnchor"/>
          <w:rtl w:val="true"/>
        </w:rPr>
        <w:footnoteReference w:id="2006"/>
      </w:r>
      <w:r>
        <w:rPr>
          <w:rFonts w:ascii="Amiri" w:hAnsi="Amiri" w:eastAsia="Amiri" w:cs="Amiri"/>
          <w:color w:val="111111"/>
          <w:sz w:val="28"/>
          <w:sz w:val="28"/>
          <w:szCs w:val="28"/>
          <w:rtl w:val="true"/>
          <w:lang w:bidi="ar-SA"/>
        </w:rPr>
        <w:t> إلّا مع الضرورة</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خرج لضرورةٍ وطال خروجه بحیث انمحت صورة الاعتکاف بطل</w:t>
      </w:r>
      <w:r>
        <w:rPr>
          <w:rFonts w:eastAsia="IRNazanin" w:cs="IRNazanin"/>
          <w:color w:val="111111"/>
          <w:sz w:val="28"/>
          <w:szCs w:val="28"/>
          <w:rtl w:val="true"/>
          <w:lang w:bidi="fa-IR"/>
        </w:rPr>
        <w:t>.</w:t>
      </w:r>
    </w:p>
    <w:p>
      <w:pPr>
        <w:pStyle w:val="Heading3"/>
        <w:numPr>
          <w:ilvl w:val="2"/>
          <w:numId w:val="1"/>
        </w:numPr>
        <w:rPr/>
      </w:pPr>
      <w:bookmarkStart w:id="931" w:name="__RefHeading___Toc1955516_2322387425"/>
      <w:bookmarkStart w:id="932" w:name="_Toc351"/>
      <w:bookmarkEnd w:id="931"/>
      <w:r>
        <w:rPr>
          <w:rtl w:val="true"/>
        </w:rPr>
        <w:t>إجزاء اللبث فی المسجد بأیّ نحوٍ کان</w:t>
      </w:r>
      <w:bookmarkEnd w:id="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اللَبث فی المسجد بین أنواع الکَون من القیام والجلوس والنوم والمشی ونحو ذلک، فاللازم الکون فیه بأیّ نحوٍ کان</w:t>
      </w:r>
      <w:r>
        <w:rPr>
          <w:rFonts w:eastAsia="IRNazanin" w:cs="IRNazanin"/>
          <w:color w:val="111111"/>
          <w:sz w:val="28"/>
          <w:szCs w:val="28"/>
          <w:rtl w:val="true"/>
          <w:lang w:bidi="fa-IR"/>
        </w:rPr>
        <w:t>.</w:t>
      </w:r>
    </w:p>
    <w:p>
      <w:pPr>
        <w:pStyle w:val="Heading3"/>
        <w:numPr>
          <w:ilvl w:val="2"/>
          <w:numId w:val="1"/>
        </w:numPr>
        <w:rPr/>
      </w:pPr>
      <w:bookmarkStart w:id="933" w:name="__RefHeading___Toc1955518_2322387425"/>
      <w:bookmarkStart w:id="934" w:name="_Toc352"/>
      <w:bookmarkEnd w:id="933"/>
      <w:r>
        <w:rPr>
          <w:rtl w:val="true"/>
        </w:rPr>
        <w:t>وظیفة المرأة المعتکفة إذا طُلّقت طلاقاً رجعیاً</w:t>
      </w:r>
      <w:bookmarkEnd w:id="93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طُلِّقت المرأة المعتکِفة فی أثناء اعتکافها</w:t>
      </w:r>
      <w:r>
        <w:rPr>
          <w:rStyle w:val="FootnoteAnchor"/>
          <w:rtl w:val="true"/>
        </w:rPr>
        <w:footnoteReference w:id="2008"/>
      </w:r>
      <w:r>
        <w:rPr>
          <w:rFonts w:ascii="Amiri" w:hAnsi="Amiri" w:eastAsia="Amiri" w:cs="Amiri"/>
          <w:color w:val="111111"/>
          <w:sz w:val="28"/>
          <w:sz w:val="28"/>
          <w:szCs w:val="28"/>
          <w:rtl w:val="true"/>
          <w:lang w:bidi="ar-SA"/>
        </w:rPr>
        <w:t> طلاقاً رجعیّاً وجب علیها الخروج</w:t>
      </w:r>
      <w:r>
        <w:rPr>
          <w:rStyle w:val="FootnoteAnchor"/>
          <w:rtl w:val="true"/>
        </w:rPr>
        <w:footnoteReference w:id="2009"/>
      </w:r>
      <w:r>
        <w:rPr>
          <w:rFonts w:ascii="IRNazanin" w:hAnsi="IRNazanin" w:eastAsia="IRNazanin"/>
          <w:color w:val="111111"/>
          <w:sz w:val="28"/>
          <w:sz w:val="28"/>
          <w:szCs w:val="28"/>
          <w:rtl w:val="true"/>
          <w:lang w:bidi="fa-IR"/>
        </w:rPr>
        <w:t> إلی منزلها للاعتداد</w:t>
      </w:r>
      <w:r>
        <w:rPr>
          <w:rStyle w:val="FootnoteAnchor"/>
          <w:rtl w:val="true"/>
        </w:rPr>
        <w:footnoteReference w:id="2010"/>
      </w:r>
      <w:r>
        <w:rPr>
          <w:rFonts w:ascii="IRNazanin" w:hAnsi="IRNazanin" w:eastAsia="IRNazanin"/>
          <w:color w:val="111111"/>
          <w:sz w:val="28"/>
          <w:sz w:val="28"/>
          <w:szCs w:val="28"/>
          <w:rtl w:val="true"/>
          <w:lang w:bidi="fa-IR"/>
        </w:rPr>
        <w:t xml:space="preserve">، وبطل اعتکافها، ویجب استئنافه إن کان واجباً موسّعاً بعد الخروج من العدّة، وأمّا إذا کان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 معیّناً</w:t>
      </w:r>
      <w:r>
        <w:rPr>
          <w:rStyle w:val="FootnoteAnchor"/>
          <w:rtl w:val="true"/>
        </w:rPr>
        <w:footnoteReference w:id="2011"/>
      </w:r>
      <w:r>
        <w:rPr>
          <w:rFonts w:ascii="IRNazanin" w:hAnsi="IRNazanin" w:eastAsia="IRNazanin"/>
          <w:color w:val="111111"/>
          <w:sz w:val="28"/>
          <w:sz w:val="28"/>
          <w:szCs w:val="28"/>
          <w:rtl w:val="true"/>
          <w:lang w:bidi="fa-IR"/>
        </w:rPr>
        <w:t> فلا یبعد</w:t>
      </w:r>
      <w:r>
        <w:rPr>
          <w:rStyle w:val="FootnoteAnchor"/>
          <w:rtl w:val="true"/>
        </w:rPr>
        <w:footnoteReference w:id="2012"/>
      </w:r>
      <w:r>
        <w:rPr>
          <w:rFonts w:ascii="IRNazanin" w:hAnsi="IRNazanin" w:eastAsia="IRNazanin"/>
          <w:color w:val="111111"/>
          <w:sz w:val="28"/>
          <w:sz w:val="28"/>
          <w:szCs w:val="28"/>
          <w:rtl w:val="true"/>
          <w:lang w:bidi="fa-IR"/>
        </w:rPr>
        <w:t> التخییر</w:t>
      </w:r>
      <w:r>
        <w:rPr>
          <w:rStyle w:val="FootnoteAnchor"/>
          <w:rtl w:val="true"/>
        </w:rPr>
        <w:footnoteReference w:id="2013"/>
      </w:r>
      <w:r>
        <w:rPr>
          <w:rFonts w:ascii="IRNazanin" w:hAnsi="IRNazanin" w:eastAsia="IRNazanin"/>
          <w:color w:val="111111"/>
          <w:sz w:val="28"/>
          <w:sz w:val="28"/>
          <w:szCs w:val="28"/>
          <w:rtl w:val="true"/>
          <w:lang w:bidi="fa-IR"/>
        </w:rPr>
        <w:t xml:space="preserve"> بین إتمامه ثمّ الخروج وإبطاله، </w:t>
      </w:r>
      <w:bookmarkStart w:id="935" w:name="pg13281_120068"/>
    </w:p>
    <w:p>
      <w:pPr>
        <w:pStyle w:val="BookText"/>
        <w:rPr/>
      </w:pPr>
      <w:bookmarkEnd w:id="935"/>
      <w:r>
        <w:rPr>
          <w:rFonts w:ascii="IRNazanin" w:hAnsi="IRNazanin" w:eastAsia="IRNazanin"/>
          <w:color w:val="111111"/>
          <w:sz w:val="28"/>
          <w:sz w:val="28"/>
          <w:szCs w:val="28"/>
          <w:rtl w:val="true"/>
          <w:lang w:bidi="fa-IR"/>
        </w:rPr>
        <w:t>والخروج</w:t>
      </w:r>
      <w:r>
        <w:rPr>
          <w:rStyle w:val="FootnoteAnchor"/>
          <w:rtl w:val="true"/>
        </w:rPr>
        <w:footnoteReference w:id="2014"/>
      </w:r>
      <w:r>
        <w:rPr>
          <w:rFonts w:ascii="Amiri" w:hAnsi="Amiri" w:eastAsia="Amiri" w:cs="Amiri"/>
          <w:color w:val="111111"/>
          <w:sz w:val="28"/>
          <w:sz w:val="28"/>
          <w:szCs w:val="28"/>
          <w:rtl w:val="true"/>
          <w:lang w:bidi="ar-SA"/>
        </w:rPr>
        <w:t> فوراً لتزاحم الواجبَین</w:t>
      </w:r>
      <w:r>
        <w:rPr>
          <w:rStyle w:val="FootnoteAnchor"/>
          <w:rtl w:val="true"/>
        </w:rPr>
        <w:footnoteReference w:id="2015"/>
      </w:r>
      <w:r>
        <w:rPr>
          <w:rFonts w:ascii="Amiri" w:hAnsi="Amiri" w:eastAsia="Amiri" w:cs="Amiri"/>
          <w:color w:val="111111"/>
          <w:sz w:val="28"/>
          <w:sz w:val="28"/>
          <w:szCs w:val="28"/>
          <w:rtl w:val="true"/>
          <w:lang w:bidi="ar-SA"/>
        </w:rPr>
        <w:t>، ولا أهمّیّة معلومة</w:t>
      </w:r>
      <w:r>
        <w:rPr>
          <w:rStyle w:val="FootnoteAnchor"/>
          <w:rtl w:val="true"/>
        </w:rPr>
        <w:footnoteReference w:id="2016"/>
      </w:r>
      <w:r>
        <w:rPr>
          <w:rFonts w:ascii="Amiri" w:hAnsi="Amiri" w:eastAsia="Amiri" w:cs="Amiri"/>
          <w:color w:val="111111"/>
          <w:sz w:val="28"/>
          <w:sz w:val="28"/>
          <w:szCs w:val="28"/>
          <w:rtl w:val="true"/>
          <w:lang w:bidi="ar-SA"/>
        </w:rPr>
        <w:t> فی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طُلّقت بائناً</w:t>
      </w:r>
      <w:r>
        <w:rPr>
          <w:rStyle w:val="FootnoteAnchor"/>
          <w:rtl w:val="true"/>
        </w:rPr>
        <w:footnoteReference w:id="2017"/>
      </w:r>
      <w:r>
        <w:rPr>
          <w:rFonts w:ascii="IRNazanin" w:hAnsi="IRNazanin" w:eastAsia="IRNazanin"/>
          <w:color w:val="111111"/>
          <w:sz w:val="28"/>
          <w:sz w:val="28"/>
          <w:szCs w:val="28"/>
          <w:rtl w:val="true"/>
          <w:lang w:bidi="fa-IR"/>
        </w:rPr>
        <w:t> فلا إشکال؛ لعدم وجوب کونها فی منزلها فی أیّام العدّة</w:t>
      </w:r>
      <w:r>
        <w:rPr>
          <w:rFonts w:eastAsia="IRNazanin" w:cs="IRNazanin"/>
          <w:color w:val="111111"/>
          <w:sz w:val="28"/>
          <w:szCs w:val="28"/>
          <w:rtl w:val="true"/>
          <w:lang w:bidi="fa-IR"/>
        </w:rPr>
        <w:t>.</w:t>
      </w:r>
    </w:p>
    <w:p>
      <w:pPr>
        <w:pStyle w:val="Heading3"/>
        <w:numPr>
          <w:ilvl w:val="2"/>
          <w:numId w:val="1"/>
        </w:numPr>
        <w:rPr/>
      </w:pPr>
      <w:bookmarkStart w:id="936" w:name="__RefHeading___Toc1955520_2322387425"/>
      <w:bookmarkStart w:id="937" w:name="_Toc353"/>
      <w:bookmarkEnd w:id="936"/>
      <w:r>
        <w:rPr>
          <w:rtl w:val="true"/>
        </w:rPr>
        <w:t>الرجوع عن الاعتکاف</w:t>
      </w:r>
      <w:bookmarkEnd w:id="93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 معیّن، أو واجب موسّع، وإمّا مندوب، فالأوّل یجب بمجرّد الشروع، بل قبله، ولا یجوز الرجوع عنه، وأمّا الأخیران فالأقوی فیهما جواز الرجوع قبل إکمال الیومین، وأمّا بعده فیجب الیوم الثالث، لکنّ الأحوط فیهما أیضاً وجوب الإتمام بالشروع خصوصاً الأول</w:t>
      </w:r>
      <w:r>
        <w:rPr>
          <w:rStyle w:val="FootnoteAnchor"/>
          <w:rtl w:val="true"/>
        </w:rPr>
        <w:footnoteReference w:id="2018"/>
      </w:r>
      <w:r>
        <w:rPr>
          <w:rFonts w:ascii="IRNazanin" w:hAnsi="IRNazanin" w:eastAsia="IRNazanin"/>
          <w:color w:val="111111"/>
          <w:sz w:val="28"/>
          <w:sz w:val="28"/>
          <w:szCs w:val="28"/>
          <w:rtl w:val="true"/>
          <w:lang w:bidi="fa-IR"/>
        </w:rPr>
        <w:t> منهما</w:t>
      </w:r>
      <w:r>
        <w:rPr>
          <w:rFonts w:eastAsia="IRNazanin" w:cs="IRNazanin"/>
          <w:color w:val="111111"/>
          <w:sz w:val="28"/>
          <w:szCs w:val="28"/>
          <w:rtl w:val="true"/>
          <w:lang w:bidi="fa-IR"/>
        </w:rPr>
        <w:t xml:space="preserve">. </w:t>
      </w:r>
      <w:bookmarkStart w:id="938" w:name="pg13281_120069"/>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له أن یشترط حین النیّة الرجوع متی شاء حتّی فی الیوم الثالث، سواء علّق الرجوع علی عروض عارض أوْ لا</w:t>
      </w:r>
      <w:r>
        <w:rPr>
          <w:rStyle w:val="FootnoteAnchor"/>
          <w:rtl w:val="true"/>
        </w:rPr>
        <w:footnoteReference w:id="2019"/>
      </w:r>
      <w:r>
        <w:rPr>
          <w:rFonts w:ascii="IRNazanin" w:hAnsi="IRNazanin" w:eastAsia="IRNazanin"/>
          <w:color w:val="111111"/>
          <w:sz w:val="28"/>
          <w:sz w:val="28"/>
          <w:szCs w:val="28"/>
          <w:rtl w:val="true"/>
          <w:lang w:bidi="fa-IR"/>
        </w:rPr>
        <w:t>، بل یشترط الرجوع متی شاء حتّی بلا سبب عارض، ولا یجوز له اشتراط جواز المنافیات کالجماع ونحوه مع بقاء الاعتکاف علی حاله، ویعتبر أن یکون الشرط المذکور حال النیّة، فلا اعتبار بالشرط قبلها أو بعد الشروع فیه</w:t>
      </w:r>
      <w:r>
        <w:rPr>
          <w:rStyle w:val="FootnoteAnchor"/>
          <w:rtl w:val="true"/>
        </w:rPr>
        <w:footnoteReference w:id="2020"/>
      </w:r>
      <w:r>
        <w:rPr>
          <w:rFonts w:ascii="IRNazanin" w:hAnsi="IRNazanin" w:eastAsia="IRNazanin"/>
          <w:color w:val="111111"/>
          <w:sz w:val="28"/>
          <w:sz w:val="28"/>
          <w:szCs w:val="28"/>
          <w:rtl w:val="true"/>
          <w:lang w:bidi="fa-IR"/>
        </w:rPr>
        <w:t>وإن کان قبل الدخول فی الیوم الثالث، ولو شرط حین النیّة ثمّ بعد ذلک أسقط حکم شرطه فالظاهر عدم سقوطه، وإن کان الأحوط</w:t>
      </w:r>
      <w:r>
        <w:rPr>
          <w:rStyle w:val="FootnoteAnchor"/>
          <w:rtl w:val="true"/>
        </w:rPr>
        <w:footnoteReference w:id="2021"/>
      </w:r>
      <w:r>
        <w:rPr>
          <w:rFonts w:ascii="IRNazanin" w:hAnsi="IRNazanin" w:eastAsia="IRNazanin"/>
          <w:color w:val="111111"/>
          <w:sz w:val="28"/>
          <w:sz w:val="28"/>
          <w:szCs w:val="28"/>
          <w:rtl w:val="true"/>
          <w:lang w:bidi="fa-IR"/>
        </w:rPr>
        <w:t> ترتیب آثار السقوط</w:t>
      </w:r>
      <w:r>
        <w:rPr>
          <w:rStyle w:val="FootnoteAnchor"/>
          <w:rtl w:val="true"/>
        </w:rPr>
        <w:footnoteReference w:id="2022"/>
      </w:r>
      <w:r>
        <w:rPr>
          <w:rFonts w:ascii="IRNazanin" w:hAnsi="IRNazanin" w:eastAsia="IRNazanin"/>
          <w:color w:val="111111"/>
          <w:sz w:val="28"/>
          <w:sz w:val="28"/>
          <w:szCs w:val="28"/>
          <w:rtl w:val="true"/>
          <w:lang w:bidi="fa-IR"/>
        </w:rPr>
        <w:t> من الإتمام بعد إکمال الیومَین</w:t>
      </w:r>
      <w:r>
        <w:rPr>
          <w:rFonts w:eastAsia="IRNazanin" w:cs="IRNazanin"/>
          <w:color w:val="111111"/>
          <w:sz w:val="28"/>
          <w:szCs w:val="28"/>
          <w:rtl w:val="true"/>
          <w:lang w:bidi="fa-IR"/>
        </w:rPr>
        <w:t>.</w:t>
      </w:r>
    </w:p>
    <w:p>
      <w:pPr>
        <w:pStyle w:val="Heading3"/>
        <w:numPr>
          <w:ilvl w:val="2"/>
          <w:numId w:val="1"/>
        </w:numPr>
        <w:rPr/>
      </w:pPr>
      <w:bookmarkStart w:id="939" w:name="__RefHeading___Toc1955522_2322387425"/>
      <w:bookmarkStart w:id="940" w:name="_Toc354"/>
      <w:bookmarkEnd w:id="939"/>
      <w:r>
        <w:rPr>
          <w:rtl w:val="true"/>
        </w:rPr>
        <w:t>فروع الرجوع عن الاعتکاف</w:t>
      </w:r>
      <w:bookmarkEnd w:id="94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یجوز اشتراط الرجوع فی الاعتکاف حین عقد نیّته کذلک یجوز اشتراطه</w:t>
      </w:r>
      <w:r>
        <w:rPr>
          <w:rStyle w:val="FootnoteAnchor"/>
          <w:rtl w:val="true"/>
        </w:rPr>
        <w:footnoteReference w:id="2023"/>
      </w:r>
      <w:r>
        <w:rPr>
          <w:rFonts w:ascii="IRNazanin" w:hAnsi="IRNazanin" w:eastAsia="IRNazanin"/>
          <w:color w:val="111111"/>
          <w:sz w:val="28"/>
          <w:sz w:val="28"/>
          <w:szCs w:val="28"/>
          <w:rtl w:val="true"/>
          <w:lang w:bidi="fa-IR"/>
        </w:rPr>
        <w:t> فی نذره</w:t>
      </w:r>
      <w:r>
        <w:rPr>
          <w:rStyle w:val="FootnoteAnchor"/>
          <w:rtl w:val="true"/>
        </w:rPr>
        <w:footnoteReference w:id="2024"/>
      </w:r>
      <w:r>
        <w:rPr>
          <w:rFonts w:ascii="Amiri" w:hAnsi="Amiri" w:eastAsia="Amiri" w:cs="Amiri"/>
          <w:color w:val="111111"/>
          <w:sz w:val="28"/>
          <w:sz w:val="28"/>
          <w:szCs w:val="28"/>
          <w:rtl w:val="true"/>
          <w:lang w:bidi="ar-SA"/>
        </w:rPr>
        <w:t>، کأن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علیَّ أن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أعتکف بشرط</w:t>
      </w:r>
      <w:r>
        <w:rPr>
          <w:rStyle w:val="FootnoteAnchor"/>
          <w:rtl w:val="true"/>
        </w:rPr>
        <w:footnoteReference w:id="2025"/>
      </w:r>
      <w:r>
        <w:rPr>
          <w:rFonts w:ascii="IRNazanin" w:hAnsi="IRNazanin" w:eastAsia="IRNazanin"/>
          <w:color w:val="111111"/>
          <w:sz w:val="28"/>
          <w:sz w:val="28"/>
          <w:szCs w:val="28"/>
          <w:rtl w:val="true"/>
          <w:lang w:bidi="fa-IR"/>
        </w:rPr>
        <w:t> أن یکون لی الرجوع عند عروض کذا، أو مطلقاً</w:t>
      </w:r>
      <w:r>
        <w:rPr>
          <w:rStyle w:val="FootnoteAnchor"/>
          <w:rtl w:val="true"/>
        </w:rPr>
        <w:footnoteReference w:id="2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فیجوز له الرجوع</w:t>
      </w:r>
      <w:r>
        <w:rPr>
          <w:rStyle w:val="FootnoteAnchor"/>
          <w:rtl w:val="true"/>
        </w:rPr>
        <w:footnoteReference w:id="2027"/>
      </w:r>
      <w:r>
        <w:rPr>
          <w:rFonts w:ascii="IRNazanin" w:hAnsi="IRNazanin" w:eastAsia="IRNazanin"/>
          <w:color w:val="111111"/>
          <w:sz w:val="28"/>
          <w:sz w:val="28"/>
          <w:szCs w:val="28"/>
          <w:rtl w:val="true"/>
          <w:lang w:bidi="fa-IR"/>
        </w:rPr>
        <w:t>، وإن لم یشترط حین الشروع</w:t>
      </w:r>
      <w:r>
        <w:rPr>
          <w:rStyle w:val="FootnoteAnchor"/>
          <w:rtl w:val="true"/>
        </w:rPr>
        <w:footnoteReference w:id="2028"/>
      </w:r>
      <w:r>
        <w:rPr>
          <w:rFonts w:ascii="IRNazanin" w:hAnsi="IRNazanin" w:eastAsia="IRNazanin"/>
          <w:color w:val="111111"/>
          <w:sz w:val="28"/>
          <w:sz w:val="28"/>
          <w:szCs w:val="28"/>
          <w:rtl w:val="true"/>
          <w:lang w:bidi="fa-IR"/>
        </w:rPr>
        <w:t> فی الاعتکاف</w:t>
      </w:r>
      <w:r>
        <w:rPr>
          <w:rStyle w:val="FootnoteAnchor"/>
          <w:rtl w:val="true"/>
        </w:rPr>
        <w:footnoteReference w:id="2029"/>
      </w:r>
      <w:r>
        <w:rPr>
          <w:rFonts w:ascii="IRNazanin" w:hAnsi="IRNazanin" w:eastAsia="IRNazanin"/>
          <w:color w:val="111111"/>
          <w:sz w:val="28"/>
          <w:sz w:val="28"/>
          <w:szCs w:val="28"/>
          <w:rtl w:val="true"/>
          <w:lang w:bidi="fa-IR"/>
        </w:rPr>
        <w:t> فیکفی الاشتراط</w:t>
      </w:r>
      <w:r>
        <w:rPr>
          <w:rStyle w:val="FootnoteAnchor"/>
          <w:rtl w:val="true"/>
        </w:rPr>
        <w:footnoteReference w:id="2030"/>
      </w:r>
      <w:bookmarkStart w:id="941" w:name="pg13281_120071"/>
    </w:p>
    <w:p>
      <w:pPr>
        <w:pStyle w:val="BookText"/>
        <w:rPr/>
      </w:pPr>
      <w:bookmarkEnd w:id="94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حال النذر</w:t>
      </w:r>
      <w:r>
        <w:rPr>
          <w:rStyle w:val="FootnoteAnchor"/>
          <w:rtl w:val="true"/>
        </w:rPr>
        <w:footnoteReference w:id="2031"/>
      </w:r>
      <w:r>
        <w:rPr>
          <w:rFonts w:ascii="IRNazanin" w:hAnsi="IRNazanin" w:eastAsia="IRNazanin"/>
          <w:color w:val="111111"/>
          <w:sz w:val="28"/>
          <w:sz w:val="28"/>
          <w:szCs w:val="28"/>
          <w:rtl w:val="true"/>
          <w:lang w:bidi="fa-IR"/>
        </w:rPr>
        <w:t> فی جواز الرجوع، لکنّ الأحوط</w:t>
      </w:r>
      <w:r>
        <w:rPr>
          <w:rStyle w:val="FootnoteAnchor"/>
          <w:rtl w:val="true"/>
        </w:rPr>
        <w:footnoteReference w:id="2032"/>
      </w:r>
      <w:r>
        <w:rPr>
          <w:rFonts w:ascii="IRNazanin" w:hAnsi="IRNazanin" w:eastAsia="IRNazanin"/>
          <w:color w:val="111111"/>
          <w:sz w:val="28"/>
          <w:sz w:val="28"/>
          <w:szCs w:val="28"/>
          <w:rtl w:val="true"/>
          <w:lang w:bidi="fa-IR"/>
        </w:rPr>
        <w:t> ذکر الشرط حال الشروع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کون النذر اعتکافَ أیّامٍ معیّنةٍ أو غیر معیّنة متتابعة، أو غیر متتابعة، فیجوز</w:t>
      </w:r>
      <w:r>
        <w:rPr>
          <w:rStyle w:val="FootnoteAnchor"/>
          <w:rtl w:val="true"/>
        </w:rPr>
        <w:footnoteReference w:id="2033"/>
      </w:r>
      <w:r>
        <w:rPr>
          <w:rFonts w:ascii="IRNazanin" w:hAnsi="IRNazanin" w:eastAsia="IRNazanin"/>
          <w:color w:val="111111"/>
          <w:sz w:val="28"/>
          <w:sz w:val="28"/>
          <w:szCs w:val="28"/>
          <w:rtl w:val="true"/>
          <w:lang w:bidi="fa-IR"/>
        </w:rPr>
        <w:t> الرجوع فی الجمیع مع الشرط المذکور فی النذر، ولا یجب القضاء بعد الرجوع مع التعیّن، ولا الاستئناف مع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أن یشترط فی اعتکافٍ أن یکون له الرجوع فی اعتکافٍ آخر له غیر الّذی ذکر الشرط فیه، وکذا لا یصحّ أن یشترط فی اعتکافه جواز فسخ اعتکاف شخص آخر من ولده أو عبده أو أجنبیّ</w:t>
      </w:r>
      <w:r>
        <w:rPr>
          <w:rFonts w:eastAsia="IRNazanin" w:cs="IRNazanin"/>
          <w:color w:val="111111"/>
          <w:sz w:val="28"/>
          <w:szCs w:val="28"/>
          <w:rtl w:val="true"/>
          <w:lang w:bidi="fa-IR"/>
        </w:rPr>
        <w:t>.</w:t>
      </w:r>
    </w:p>
    <w:p>
      <w:pPr>
        <w:pStyle w:val="Heading3"/>
        <w:numPr>
          <w:ilvl w:val="2"/>
          <w:numId w:val="1"/>
        </w:numPr>
        <w:rPr/>
      </w:pPr>
      <w:bookmarkStart w:id="942" w:name="__RefHeading___Toc1955524_2322387425"/>
      <w:bookmarkStart w:id="943" w:name="_Toc355"/>
      <w:bookmarkEnd w:id="942"/>
      <w:r>
        <w:rPr>
          <w:rtl w:val="true"/>
        </w:rPr>
        <w:t>التعلیق فی نیّة الاعتکاف</w:t>
      </w:r>
      <w:bookmarkEnd w:id="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التعلیق</w:t>
      </w:r>
      <w:r>
        <w:rPr>
          <w:rStyle w:val="FootnoteAnchor"/>
          <w:rtl w:val="true"/>
        </w:rPr>
        <w:footnoteReference w:id="2034"/>
      </w:r>
      <w:r>
        <w:rPr>
          <w:rFonts w:ascii="IRNazanin" w:hAnsi="IRNazanin" w:eastAsia="IRNazanin"/>
          <w:color w:val="111111"/>
          <w:sz w:val="28"/>
          <w:sz w:val="28"/>
          <w:szCs w:val="28"/>
          <w:rtl w:val="true"/>
          <w:lang w:bidi="fa-IR"/>
        </w:rPr>
        <w:t> فی الاعتکاف</w:t>
      </w:r>
      <w:r>
        <w:rPr>
          <w:rStyle w:val="FootnoteAnchor"/>
          <w:rtl w:val="true"/>
        </w:rPr>
        <w:footnoteReference w:id="2035"/>
      </w:r>
      <w:r>
        <w:rPr>
          <w:rFonts w:ascii="IRNazanin" w:hAnsi="IRNazanin" w:eastAsia="IRNazanin"/>
          <w:color w:val="111111"/>
          <w:sz w:val="28"/>
          <w:sz w:val="28"/>
          <w:szCs w:val="28"/>
          <w:rtl w:val="true"/>
          <w:lang w:bidi="fa-IR"/>
        </w:rPr>
        <w:t>، فلو علّقه بطل</w:t>
      </w:r>
      <w:r>
        <w:rPr>
          <w:rStyle w:val="FootnoteAnchor"/>
          <w:rtl w:val="true"/>
        </w:rPr>
        <w:footnoteReference w:id="2036"/>
      </w:r>
      <w:r>
        <w:rPr>
          <w:rFonts w:ascii="IRNazanin" w:hAnsi="IRNazanin" w:eastAsia="IRNazanin"/>
          <w:color w:val="111111"/>
          <w:sz w:val="28"/>
          <w:sz w:val="28"/>
          <w:szCs w:val="28"/>
          <w:rtl w:val="true"/>
          <w:lang w:bidi="fa-IR"/>
        </w:rPr>
        <w:t>، إلّا إذا علّقه علی شرطٍ معلوم الحصول حین النیّة فإنّه فی الحقیقة لا یکون من التعلیق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944" w:name="pg13281_120072"/>
    </w:p>
    <w:p>
      <w:pPr>
        <w:pStyle w:val="BookText"/>
        <w:rPr/>
      </w:pPr>
      <w:bookmarkEnd w:id="944"/>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الاعتکاف    </w:t>
      </w:r>
    </w:p>
    <w:p>
      <w:pPr>
        <w:pStyle w:val="Heading2"/>
        <w:numPr>
          <w:ilvl w:val="1"/>
          <w:numId w:val="1"/>
        </w:numPr>
        <w:rPr/>
      </w:pPr>
      <w:bookmarkStart w:id="945" w:name="__RefHeading___Toc1955526_2322387425"/>
      <w:bookmarkStart w:id="946" w:name="_Toc356"/>
      <w:bookmarkEnd w:id="945"/>
      <w:r>
        <w:rPr>
          <w:rtl w:val="true"/>
        </w:rPr>
        <w:t>فصل</w:t>
      </w:r>
      <w:r>
        <w:rPr>
          <w:rtl w:val="true"/>
        </w:rPr>
        <w:t xml:space="preserve">: </w:t>
      </w:r>
      <w:r>
        <w:rPr>
          <w:rtl w:val="true"/>
        </w:rPr>
        <w:t>فی أحکام الاعتکاف</w:t>
      </w:r>
      <w:bookmarkEnd w:id="946"/>
    </w:p>
    <w:p>
      <w:pPr>
        <w:pStyle w:val="Heading3"/>
        <w:numPr>
          <w:ilvl w:val="2"/>
          <w:numId w:val="1"/>
        </w:numPr>
        <w:rPr/>
      </w:pPr>
      <w:bookmarkStart w:id="947" w:name="__RefHeading___Toc1955528_2322387425"/>
      <w:bookmarkStart w:id="948" w:name="_Toc357"/>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یَحرُم علی المعتکِفِ</w:t>
      </w:r>
      <w:r>
        <w:rPr>
          <w:rStyle w:val="FootnoteAnchor"/>
          <w:rtl w:val="true"/>
        </w:rPr>
        <w:footnoteReference w:id="2037"/>
      </w:r>
      <w:r>
        <w:rPr>
          <w:rFonts w:ascii="Amiri" w:hAnsi="Amiri" w:eastAsia="Amiri" w:cs="Amiri"/>
          <w:color w:val="111111"/>
          <w:sz w:val="28"/>
          <w:sz w:val="28"/>
          <w:szCs w:val="28"/>
          <w:rtl w:val="true"/>
          <w:lang w:bidi="ar-SA"/>
        </w:rPr>
        <w:t xml:space="preserve"> اُمور </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955530_2322387425"/>
      <w:bookmarkStart w:id="950" w:name="_Toc358"/>
      <w:bookmarkEnd w:id="949"/>
      <w:r>
        <w:rPr>
          <w:rtl w:val="true"/>
        </w:rPr>
        <w:t>أحدها</w:t>
      </w:r>
      <w:r>
        <w:rPr>
          <w:rtl w:val="true"/>
        </w:rPr>
        <w:t xml:space="preserve">: </w:t>
      </w:r>
      <w:r>
        <w:rPr>
          <w:rtl w:val="true"/>
        </w:rPr>
        <w:t>المباشرة بالجماع من الرجل والمرأة </w:t>
      </w:r>
      <w:bookmarkEnd w:id="950"/>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 بالجماع فی القُبُل أو الدُبُر، وباللَمس والتقبیل</w:t>
      </w:r>
      <w:r>
        <w:rPr>
          <w:rStyle w:val="FootnoteAnchor"/>
          <w:rtl w:val="true"/>
        </w:rPr>
        <w:footnoteReference w:id="2038"/>
      </w:r>
      <w:r>
        <w:rPr>
          <w:rFonts w:ascii="Amiri" w:hAnsi="Amiri" w:eastAsia="Amiri" w:cs="Amiri"/>
          <w:color w:val="111111"/>
          <w:sz w:val="28"/>
          <w:sz w:val="28"/>
          <w:szCs w:val="28"/>
          <w:rtl w:val="true"/>
          <w:lang w:bidi="ar-SA"/>
        </w:rPr>
        <w:t>بشهوة</w:t>
      </w:r>
      <w:r>
        <w:rPr>
          <w:rStyle w:val="FootnoteAnchor"/>
          <w:rtl w:val="true"/>
        </w:rPr>
        <w:footnoteReference w:id="2039"/>
      </w:r>
      <w:r>
        <w:rPr>
          <w:rFonts w:ascii="IRNazanin" w:hAnsi="IRNazanin" w:eastAsia="IRNazanin"/>
          <w:color w:val="111111"/>
          <w:sz w:val="28"/>
          <w:sz w:val="28"/>
          <w:szCs w:val="28"/>
          <w:rtl w:val="true"/>
          <w:lang w:bidi="fa-IR"/>
        </w:rPr>
        <w:t>، ولا فرق فی ذلک بین الرجل والمرأة، فیحرم علی المعتکِفة أیضاً الجماع واللمس والتقبیل بشهوة، والأقوی عدم حرمة النظر بشهوة إلی مَن یجوز النظر إلیه، وإن کان الأحوط</w:t>
      </w:r>
      <w:r>
        <w:rPr>
          <w:rStyle w:val="FootnoteAnchor"/>
          <w:rtl w:val="true"/>
        </w:rPr>
        <w:footnoteReference w:id="2040"/>
      </w:r>
      <w:r>
        <w:rPr>
          <w:rFonts w:ascii="IRNazanin" w:hAnsi="IRNazanin" w:eastAsia="IRNazanin"/>
          <w:color w:val="111111"/>
          <w:sz w:val="28"/>
          <w:sz w:val="28"/>
          <w:szCs w:val="28"/>
          <w:rtl w:val="true"/>
          <w:lang w:bidi="fa-IR"/>
        </w:rPr>
        <w:t> اجتنابه أیضاً</w:t>
      </w:r>
      <w:r>
        <w:rPr>
          <w:rFonts w:eastAsia="IRNazanin" w:cs="IRNazanin"/>
          <w:color w:val="111111"/>
          <w:sz w:val="28"/>
          <w:szCs w:val="28"/>
          <w:rtl w:val="true"/>
          <w:lang w:bidi="fa-IR"/>
        </w:rPr>
        <w:t>.</w:t>
      </w:r>
    </w:p>
    <w:p>
      <w:pPr>
        <w:pStyle w:val="Heading3"/>
        <w:numPr>
          <w:ilvl w:val="2"/>
          <w:numId w:val="1"/>
        </w:numPr>
        <w:rPr/>
      </w:pPr>
      <w:bookmarkStart w:id="951" w:name="__RefHeading___Toc1955532_2322387425"/>
      <w:bookmarkStart w:id="952" w:name="_Toc359"/>
      <w:bookmarkEnd w:id="951"/>
      <w:r>
        <w:rPr>
          <w:rtl w:val="true"/>
        </w:rPr>
        <w:t xml:space="preserve">الثانی </w:t>
      </w:r>
      <w:r>
        <w:rPr>
          <w:rtl w:val="true"/>
        </w:rPr>
        <w:t xml:space="preserve">: </w:t>
      </w:r>
      <w:r>
        <w:rPr>
          <w:rtl w:val="true"/>
        </w:rPr>
        <w:t>الاستمناء</w:t>
      </w:r>
      <w:bookmarkEnd w:id="95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علی الأحوط</w:t>
      </w:r>
      <w:r>
        <w:rPr>
          <w:rStyle w:val="FootnoteAnchor"/>
          <w:rtl w:val="true"/>
        </w:rPr>
        <w:footnoteReference w:id="2041"/>
      </w:r>
      <w:r>
        <w:rPr>
          <w:rFonts w:ascii="IRNazanin" w:hAnsi="IRNazanin" w:eastAsia="IRNazanin"/>
          <w:color w:val="111111"/>
          <w:sz w:val="28"/>
          <w:sz w:val="28"/>
          <w:szCs w:val="28"/>
          <w:rtl w:val="true"/>
          <w:lang w:bidi="fa-IR"/>
        </w:rPr>
        <w:t xml:space="preserve"> وإن کان علی الوجه الحلال، </w:t>
      </w:r>
      <w:bookmarkStart w:id="953" w:name="pg13281_120073"/>
    </w:p>
    <w:p>
      <w:pPr>
        <w:pStyle w:val="BookText"/>
        <w:rPr/>
      </w:pPr>
      <w:bookmarkEnd w:id="953"/>
      <w:r>
        <w:rPr>
          <w:rFonts w:ascii="IRNazanin" w:hAnsi="IRNazanin" w:eastAsia="IRNazanin"/>
          <w:color w:val="111111"/>
          <w:sz w:val="28"/>
          <w:sz w:val="28"/>
          <w:szCs w:val="28"/>
          <w:rtl w:val="true"/>
          <w:lang w:bidi="fa-IR"/>
        </w:rPr>
        <w:t>کالنظر إلی حلیلته الموجب له</w:t>
      </w:r>
      <w:r>
        <w:rPr>
          <w:rFonts w:eastAsia="IRNazanin" w:cs="IRNazanin"/>
          <w:color w:val="111111"/>
          <w:sz w:val="28"/>
          <w:szCs w:val="28"/>
          <w:rtl w:val="true"/>
          <w:lang w:bidi="fa-IR"/>
        </w:rPr>
        <w:t>.</w:t>
      </w:r>
    </w:p>
    <w:p>
      <w:pPr>
        <w:pStyle w:val="Heading3"/>
        <w:numPr>
          <w:ilvl w:val="2"/>
          <w:numId w:val="1"/>
        </w:numPr>
        <w:rPr/>
      </w:pPr>
      <w:bookmarkStart w:id="954" w:name="__RefHeading___Toc1955534_2322387425"/>
      <w:bookmarkStart w:id="955" w:name="_Toc360"/>
      <w:bookmarkEnd w:id="954"/>
      <w:r>
        <w:rPr>
          <w:rtl w:val="true"/>
        </w:rPr>
        <w:t>الثالث</w:t>
      </w:r>
      <w:r>
        <w:rPr>
          <w:rtl w:val="true"/>
        </w:rPr>
        <w:t xml:space="preserve">: </w:t>
      </w:r>
      <w:r>
        <w:rPr>
          <w:rtl w:val="true"/>
        </w:rPr>
        <w:t>شمّ الطیب مع التلذّذ </w:t>
      </w:r>
      <w:bookmarkEnd w:id="955"/>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الطِیب مع التلذّذ</w:t>
      </w:r>
      <w:r>
        <w:rPr>
          <w:rStyle w:val="FootnoteAnchor"/>
          <w:rtl w:val="true"/>
        </w:rPr>
        <w:footnoteReference w:id="2042"/>
      </w:r>
      <w:r>
        <w:rPr>
          <w:rFonts w:ascii="IRNazanin" w:hAnsi="IRNazanin" w:eastAsia="IRNazanin"/>
          <w:color w:val="111111"/>
          <w:sz w:val="28"/>
          <w:sz w:val="28"/>
          <w:szCs w:val="28"/>
          <w:rtl w:val="true"/>
          <w:lang w:bidi="fa-IR"/>
        </w:rPr>
        <w:t>، وکذا الریحان</w:t>
      </w:r>
      <w:r>
        <w:rPr>
          <w:rStyle w:val="FootnoteAnchor"/>
          <w:rtl w:val="true"/>
        </w:rPr>
        <w:footnoteReference w:id="2043"/>
      </w:r>
      <w:r>
        <w:rPr>
          <w:rFonts w:ascii="Amiri" w:hAnsi="Amiri" w:eastAsia="Amiri" w:cs="Amiri"/>
          <w:color w:val="111111"/>
          <w:sz w:val="28"/>
          <w:sz w:val="28"/>
          <w:szCs w:val="28"/>
          <w:rtl w:val="true"/>
          <w:lang w:bidi="ar-SA"/>
        </w:rPr>
        <w:t>، وأمّا مع عدم التلذّذ کما إذا کان فاقداً لحاسّة</w:t>
      </w:r>
      <w:r>
        <w:rPr>
          <w:rStyle w:val="FootnoteAnchor"/>
          <w:rtl w:val="true"/>
        </w:rPr>
        <w:footnoteReference w:id="2044"/>
      </w:r>
      <w:r>
        <w:rPr>
          <w:rFonts w:ascii="Amiri" w:hAnsi="Amiri" w:eastAsia="Amiri" w:cs="Amiri"/>
          <w:color w:val="111111"/>
          <w:sz w:val="28"/>
          <w:sz w:val="28"/>
          <w:szCs w:val="28"/>
          <w:rtl w:val="true"/>
          <w:lang w:bidi="ar-SA"/>
        </w:rPr>
        <w:t> الشَمِّ</w:t>
      </w:r>
      <w:r>
        <w:rPr>
          <w:rStyle w:val="FootnoteAnchor"/>
          <w:rtl w:val="true"/>
        </w:rPr>
        <w:footnoteReference w:id="204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56" w:name="pg13281_120074"/>
    </w:p>
    <w:p>
      <w:pPr>
        <w:pStyle w:val="BookText"/>
        <w:rPr/>
      </w:pPr>
      <w:bookmarkEnd w:id="956"/>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مثلاً</w:t>
      </w:r>
      <w:r>
        <w:rPr>
          <w:rStyle w:val="FootnoteAnchor"/>
          <w:rtl w:val="true"/>
        </w:rPr>
        <w:footnoteReference w:id="2046"/>
      </w:r>
      <w:r>
        <w:rPr>
          <w:rFonts w:ascii="IRNazanin" w:hAnsi="IRNazanin" w:eastAsia="IRNazanin"/>
          <w:color w:val="111111"/>
          <w:sz w:val="28"/>
          <w:sz w:val="28"/>
          <w:szCs w:val="28"/>
          <w:rtl w:val="true"/>
          <w:lang w:bidi="fa-IR"/>
        </w:rPr>
        <w:t> فلا بأس</w:t>
      </w:r>
      <w:r>
        <w:rPr>
          <w:rStyle w:val="FootnoteAnchor"/>
          <w:rtl w:val="true"/>
        </w:rPr>
        <w:footnoteReference w:id="2047"/>
      </w:r>
      <w:r>
        <w:rPr>
          <w:rFonts w:ascii="IRNazanin" w:hAnsi="IRNazanin" w:eastAsia="IRNazanin"/>
          <w:color w:val="111111"/>
          <w:sz w:val="28"/>
          <w:sz w:val="28"/>
          <w:szCs w:val="28"/>
          <w:rtl w:val="true"/>
          <w:lang w:bidi="fa-IR"/>
        </w:rPr>
        <w:t> به</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1955536_2322387425"/>
      <w:bookmarkStart w:id="958" w:name="_Toc361"/>
      <w:bookmarkEnd w:id="957"/>
      <w:r>
        <w:rPr>
          <w:rtl w:val="true"/>
        </w:rPr>
        <w:t>الرابع</w:t>
      </w:r>
      <w:r>
        <w:rPr>
          <w:rtl w:val="true"/>
        </w:rPr>
        <w:t xml:space="preserve">: </w:t>
      </w:r>
      <w:r>
        <w:rPr>
          <w:rtl w:val="true"/>
        </w:rPr>
        <w:t>البیع والشراء</w:t>
      </w:r>
      <w:bookmarkEnd w:id="958"/>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والشراء، بل مطلق التجارة مع عدم الضرورة</w:t>
      </w:r>
      <w:r>
        <w:rPr>
          <w:rStyle w:val="FootnoteAnchor"/>
          <w:rtl w:val="true"/>
        </w:rPr>
        <w:footnoteReference w:id="2049"/>
      </w:r>
      <w:r>
        <w:rPr>
          <w:rFonts w:ascii="IRNazanin" w:hAnsi="IRNazanin" w:eastAsia="IRNazanin"/>
          <w:color w:val="111111"/>
          <w:sz w:val="28"/>
          <w:sz w:val="28"/>
          <w:szCs w:val="28"/>
          <w:rtl w:val="true"/>
          <w:lang w:bidi="fa-IR"/>
        </w:rPr>
        <w:t> علی الأحوط</w:t>
      </w:r>
      <w:r>
        <w:rPr>
          <w:rStyle w:val="FootnoteAnchor"/>
          <w:rtl w:val="true"/>
        </w:rPr>
        <w:footnoteReference w:id="2050"/>
      </w:r>
      <w:r>
        <w:rPr>
          <w:rFonts w:ascii="IRNazanin" w:hAnsi="IRNazanin" w:eastAsia="IRNazanin"/>
          <w:color w:val="111111"/>
          <w:sz w:val="28"/>
          <w:sz w:val="28"/>
          <w:szCs w:val="28"/>
          <w:rtl w:val="true"/>
          <w:lang w:bidi="fa-IR"/>
        </w:rPr>
        <w:t>، ولا بأس بالاشتغال بالاُمور الدنیویّة من المباحات حتّی الخیاطة والنساجة ونحوهما، وإن کان الأحوط الترک، إلّا مع الاضطرار إلیها، بل لا بأس بالبیع</w:t>
      </w:r>
      <w:r>
        <w:rPr>
          <w:rStyle w:val="FootnoteAnchor"/>
          <w:rtl w:val="true"/>
        </w:rPr>
        <w:footnoteReference w:id="2051"/>
      </w:r>
      <w:r>
        <w:rPr>
          <w:rFonts w:ascii="IRNazanin" w:hAnsi="IRNazanin" w:eastAsia="IRNazanin"/>
          <w:color w:val="111111"/>
          <w:sz w:val="28"/>
          <w:sz w:val="28"/>
          <w:szCs w:val="28"/>
          <w:rtl w:val="true"/>
          <w:lang w:bidi="fa-IR"/>
        </w:rPr>
        <w:t> والشراء</w:t>
      </w:r>
      <w:r>
        <w:rPr>
          <w:rStyle w:val="FootnoteAnchor"/>
          <w:rtl w:val="true"/>
        </w:rPr>
        <w:footnoteReference w:id="2052"/>
      </w:r>
      <w:r>
        <w:rPr>
          <w:rFonts w:ascii="IRNazanin" w:hAnsi="IRNazanin" w:eastAsia="IRNazanin"/>
          <w:color w:val="111111"/>
          <w:sz w:val="28"/>
          <w:sz w:val="28"/>
          <w:szCs w:val="28"/>
          <w:rtl w:val="true"/>
          <w:lang w:bidi="fa-IR"/>
        </w:rPr>
        <w:t> إذا</w:t>
      </w:r>
      <w:r>
        <w:rPr>
          <w:rStyle w:val="FootnoteAnchor"/>
          <w:rtl w:val="true"/>
        </w:rPr>
        <w:footnoteReference w:id="2053"/>
      </w:r>
      <w:r>
        <w:rPr>
          <w:rFonts w:ascii="Amiri" w:hAnsi="Amiri" w:eastAsia="Amiri" w:cs="Amiri"/>
          <w:color w:val="111111"/>
          <w:sz w:val="28"/>
          <w:sz w:val="28"/>
          <w:szCs w:val="28"/>
          <w:rtl w:val="true"/>
          <w:lang w:bidi="ar-SA"/>
        </w:rPr>
        <w:t> مسّت الحاجة</w:t>
      </w:r>
      <w:r>
        <w:rPr>
          <w:rStyle w:val="FootnoteAnchor"/>
          <w:rtl w:val="true"/>
        </w:rPr>
        <w:footnoteReference w:id="2054"/>
      </w:r>
      <w:r>
        <w:rPr>
          <w:rFonts w:ascii="IRNazanin" w:hAnsi="IRNazanin" w:eastAsia="IRNazanin"/>
          <w:color w:val="111111"/>
          <w:sz w:val="28"/>
          <w:sz w:val="28"/>
          <w:szCs w:val="28"/>
          <w:rtl w:val="true"/>
          <w:lang w:bidi="fa-IR"/>
        </w:rPr>
        <w:t> إلیهما للأکل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59" w:name="pg13281_120075"/>
    </w:p>
    <w:p>
      <w:pPr>
        <w:pStyle w:val="BookText"/>
        <w:rPr/>
      </w:pPr>
      <w:bookmarkEnd w:id="959"/>
      <w:r>
        <w:rPr>
          <w:rFonts w:ascii="IRNazanin" w:hAnsi="IRNazanin" w:eastAsia="IRNazanin"/>
          <w:color w:val="111111"/>
          <w:sz w:val="28"/>
          <w:sz w:val="28"/>
          <w:szCs w:val="28"/>
          <w:rtl w:val="true"/>
          <w:lang w:bidi="fa-IR"/>
        </w:rPr>
        <w:t>والشرب مع تعذّر التوکیل أو النقل بغیر البیع</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955538_2322387425"/>
      <w:bookmarkStart w:id="961" w:name="_Toc362"/>
      <w:bookmarkEnd w:id="960"/>
      <w:r>
        <w:rPr>
          <w:rtl w:val="true"/>
        </w:rPr>
        <w:t>الخامس</w:t>
      </w:r>
      <w:r>
        <w:rPr>
          <w:rtl w:val="true"/>
        </w:rPr>
        <w:t xml:space="preserve">: </w:t>
      </w:r>
      <w:r>
        <w:rPr>
          <w:rtl w:val="true"/>
        </w:rPr>
        <w:t>المماراة</w:t>
      </w:r>
      <w:bookmarkEnd w:id="961"/>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المُماراة، أی المجادلة علی أمرٍ دنیویٍّ أو دینیٍّ بقصد الغلبة وإظهار الفضیلة، وأمّا بقصد إظهار الحقّ وردّ الخصم عن الخطأ فلا بأس به، بل هو من أفضل الطاعات، فالمدار علی القصد والنیّة،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أو شرّ، والأقوی عدم وجوب اجتناب ما یحرم علی المُحرِم من الصید وإزالة الشعر ولبس المخیط ونحو ذلک، وإن کان أحوط</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1955540_2322387425"/>
      <w:bookmarkStart w:id="963" w:name="_Toc363"/>
      <w:bookmarkEnd w:id="962"/>
      <w:r>
        <w:rPr>
          <w:rtl w:val="true"/>
        </w:rPr>
        <w:t>استواء اللّیل والنهار فی التحریم</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حرمة المذکورات</w:t>
      </w:r>
      <w:r>
        <w:rPr>
          <w:rStyle w:val="FootnoteAnchor"/>
          <w:rtl w:val="true"/>
        </w:rPr>
        <w:footnoteReference w:id="2057"/>
      </w:r>
      <w:r>
        <w:rPr>
          <w:rFonts w:ascii="IRNazanin" w:hAnsi="IRNazanin" w:eastAsia="IRNazanin"/>
          <w:color w:val="111111"/>
          <w:sz w:val="28"/>
          <w:sz w:val="28"/>
          <w:szCs w:val="28"/>
          <w:rtl w:val="true"/>
          <w:lang w:bidi="fa-IR"/>
        </w:rPr>
        <w:t> علی المعتکِف بین اللیل والنهار، نعم، المحرّمات من حیث الصوم کالأکل والشرب والارتماس</w:t>
      </w:r>
      <w:r>
        <w:rPr>
          <w:rStyle w:val="FootnoteAnchor"/>
          <w:rtl w:val="true"/>
        </w:rPr>
        <w:footnoteReference w:id="2058"/>
      </w:r>
      <w:r>
        <w:rPr>
          <w:rFonts w:ascii="Amiri" w:hAnsi="Amiri" w:eastAsia="Amiri" w:cs="Amiri"/>
          <w:color w:val="111111"/>
          <w:sz w:val="28"/>
          <w:sz w:val="28"/>
          <w:szCs w:val="28"/>
          <w:rtl w:val="true"/>
          <w:lang w:bidi="ar-SA"/>
        </w:rPr>
        <w:t>ونحوها مختصّة بالنهار</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955542_2322387425"/>
      <w:bookmarkStart w:id="965" w:name="_Toc364"/>
      <w:bookmarkEnd w:id="964"/>
      <w:r>
        <w:rPr>
          <w:rtl w:val="true"/>
        </w:rPr>
        <w:t>فعل المباح فی الاعتکاف</w:t>
      </w:r>
      <w:bookmarkEnd w:id="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للمعتکِف الخوض فی المباح والنظر فی معاشه مع الحاجة وعدمها</w:t>
      </w:r>
      <w:r>
        <w:rPr>
          <w:rFonts w:eastAsia="IRNazanin" w:cs="IRNazanin"/>
          <w:color w:val="111111"/>
          <w:sz w:val="28"/>
          <w:szCs w:val="28"/>
          <w:rtl w:val="true"/>
          <w:lang w:bidi="fa-IR"/>
        </w:rPr>
        <w:t>.</w:t>
      </w:r>
    </w:p>
    <w:p>
      <w:pPr>
        <w:pStyle w:val="Heading3"/>
        <w:numPr>
          <w:ilvl w:val="2"/>
          <w:numId w:val="1"/>
        </w:numPr>
        <w:rPr/>
      </w:pPr>
      <w:bookmarkStart w:id="966" w:name="__RefHeading___Toc1955544_2322387425"/>
      <w:bookmarkStart w:id="967" w:name="_Toc365"/>
      <w:bookmarkEnd w:id="966"/>
      <w:r>
        <w:rPr>
          <w:rtl w:val="true"/>
        </w:rPr>
        <w:t>حکم ارتکاب أحد المحرّمات فی الاعتکاف</w:t>
      </w:r>
      <w:bookmarkEnd w:id="96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یفسد الصوم یفسد الاعتکاف إذا وقع فی النهار</w:t>
      </w:r>
      <w:r>
        <w:rPr>
          <w:rStyle w:val="FootnoteAnchor"/>
          <w:rtl w:val="true"/>
        </w:rPr>
        <w:footnoteReference w:id="205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اشتراط الصوم فیه، فبطلانه یوجب بطلانه، وکذا یفسده</w:t>
      </w:r>
      <w:r>
        <w:rPr>
          <w:rStyle w:val="FootnoteAnchor"/>
          <w:rtl w:val="true"/>
        </w:rPr>
        <w:footnoteReference w:id="2060"/>
      </w:r>
      <w:r>
        <w:rPr>
          <w:rFonts w:ascii="IRNazanin" w:hAnsi="IRNazanin" w:eastAsia="IRNazanin"/>
          <w:color w:val="111111"/>
          <w:sz w:val="28"/>
          <w:sz w:val="28"/>
          <w:szCs w:val="28"/>
          <w:rtl w:val="true"/>
          <w:lang w:bidi="fa-IR"/>
        </w:rPr>
        <w:t>الجماع سواء کان فی اللیل أو النهار، وکذا اللمس والتقبیل</w:t>
      </w:r>
      <w:r>
        <w:rPr>
          <w:rStyle w:val="FootnoteAnchor"/>
          <w:rtl w:val="true"/>
        </w:rPr>
        <w:footnoteReference w:id="2061"/>
      </w:r>
      <w:r>
        <w:rPr>
          <w:rFonts w:ascii="Amiri" w:hAnsi="Amiri" w:eastAsia="Amiri" w:cs="Amiri"/>
          <w:color w:val="111111"/>
          <w:sz w:val="28"/>
          <w:sz w:val="28"/>
          <w:szCs w:val="28"/>
          <w:rtl w:val="true"/>
          <w:lang w:bidi="ar-SA"/>
        </w:rPr>
        <w:t> بشهوة</w:t>
      </w:r>
      <w:r>
        <w:rPr>
          <w:rStyle w:val="FootnoteAnchor"/>
          <w:rtl w:val="true"/>
        </w:rPr>
        <w:footnoteReference w:id="2062"/>
      </w:r>
      <w:r>
        <w:rPr>
          <w:rFonts w:ascii="IRNazanin" w:hAnsi="IRNazanin" w:eastAsia="IRNazanin"/>
          <w:color w:val="111111"/>
          <w:sz w:val="28"/>
          <w:sz w:val="28"/>
          <w:szCs w:val="28"/>
          <w:rtl w:val="true"/>
          <w:lang w:bidi="fa-IR"/>
        </w:rPr>
        <w:t>، بل الأحوط بطلانه بسائر ما ذکر من المحرّمات من البیع والشراء وشَمّ الطِیب وغیرها ممّا ذکر، بل لا یخلو من قوّة</w:t>
      </w:r>
      <w:r>
        <w:rPr>
          <w:rStyle w:val="FootnoteAnchor"/>
          <w:rtl w:val="true"/>
        </w:rPr>
        <w:footnoteReference w:id="2063"/>
      </w:r>
      <w:r>
        <w:rPr>
          <w:rFonts w:ascii="IRNazanin" w:hAnsi="IRNazanin" w:eastAsia="IRNazanin"/>
          <w:color w:val="111111"/>
          <w:sz w:val="28"/>
          <w:sz w:val="28"/>
          <w:szCs w:val="28"/>
          <w:rtl w:val="true"/>
          <w:lang w:bidi="fa-IR"/>
        </w:rPr>
        <w:t xml:space="preserve"> وإن کان لا یخلو من </w:t>
      </w:r>
      <w:bookmarkStart w:id="968" w:name="pg13281_120077"/>
    </w:p>
    <w:p>
      <w:pPr>
        <w:pStyle w:val="BookText"/>
        <w:rPr/>
      </w:pPr>
      <w:bookmarkEnd w:id="968"/>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إشکالِ</w:t>
      </w:r>
      <w:r>
        <w:rPr>
          <w:rStyle w:val="FootnoteAnchor"/>
          <w:rtl w:val="true"/>
        </w:rPr>
        <w:footnoteReference w:id="2064"/>
      </w:r>
      <w:r>
        <w:rPr>
          <w:rFonts w:ascii="IRNazanin" w:hAnsi="IRNazanin" w:eastAsia="IRNazanin"/>
          <w:color w:val="111111"/>
          <w:sz w:val="28"/>
          <w:sz w:val="28"/>
          <w:szCs w:val="28"/>
          <w:rtl w:val="true"/>
          <w:lang w:bidi="fa-IR"/>
        </w:rPr>
        <w:t> أیضاً؛ وعلی هذا فلو أتمّه</w:t>
      </w:r>
      <w:r>
        <w:rPr>
          <w:rStyle w:val="FootnoteAnchor"/>
          <w:rtl w:val="true"/>
        </w:rPr>
        <w:footnoteReference w:id="2065"/>
      </w:r>
      <w:r>
        <w:rPr>
          <w:rFonts w:ascii="IRNazanin" w:hAnsi="IRNazanin" w:eastAsia="IRNazanin"/>
          <w:color w:val="111111"/>
          <w:sz w:val="28"/>
          <w:sz w:val="28"/>
          <w:szCs w:val="28"/>
          <w:rtl w:val="true"/>
          <w:lang w:bidi="fa-IR"/>
        </w:rPr>
        <w:t> واستأنفه أو قضاه بعد ذلک إذا صدر منه أحد المذکورات فی الاعتکاف الواجب</w:t>
      </w:r>
      <w:r>
        <w:rPr>
          <w:rStyle w:val="FootnoteAnchor"/>
          <w:rtl w:val="true"/>
        </w:rPr>
        <w:footnoteReference w:id="2066"/>
      </w:r>
      <w:r>
        <w:rPr>
          <w:rFonts w:ascii="IRNazanin" w:hAnsi="IRNazanin" w:eastAsia="IRNazanin"/>
          <w:color w:val="111111"/>
          <w:sz w:val="28"/>
          <w:sz w:val="28"/>
          <w:szCs w:val="28"/>
          <w:rtl w:val="true"/>
          <w:lang w:bidi="fa-IR"/>
        </w:rPr>
        <w:t> کان أحسن</w:t>
      </w:r>
      <w:r>
        <w:rPr>
          <w:rStyle w:val="FootnoteAnchor"/>
          <w:rtl w:val="true"/>
        </w:rPr>
        <w:footnoteReference w:id="2067"/>
      </w:r>
      <w:r>
        <w:rPr>
          <w:rFonts w:ascii="IRNazanin" w:hAnsi="IRNazanin" w:eastAsia="IRNazanin"/>
          <w:color w:val="111111"/>
          <w:sz w:val="28"/>
          <w:sz w:val="28"/>
          <w:szCs w:val="28"/>
          <w:rtl w:val="true"/>
          <w:lang w:bidi="fa-IR"/>
        </w:rPr>
        <w:t> وأولی</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1955546_2322387425"/>
      <w:bookmarkStart w:id="970" w:name="_Toc366"/>
      <w:bookmarkEnd w:id="969"/>
      <w:r>
        <w:rPr>
          <w:rtl w:val="true"/>
        </w:rPr>
        <w:t>مرتکب أحد المحرّمات سهواً</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صدر منه أحد المحرّمات المذکورة سهواً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عدم</w:t>
      </w:r>
      <w:r>
        <w:rPr>
          <w:rStyle w:val="FootnoteAnchor"/>
          <w:rtl w:val="true"/>
        </w:rPr>
        <w:footnoteReference w:id="2069"/>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bookmarkStart w:id="971" w:name="pg13281_120078"/>
    </w:p>
    <w:p>
      <w:pPr>
        <w:pStyle w:val="BookText"/>
        <w:rPr/>
      </w:pPr>
      <w:bookmarkEnd w:id="971"/>
      <w:r>
        <w:rPr>
          <w:rFonts w:ascii="IRNazanin" w:hAnsi="IRNazanin" w:eastAsia="IRNazanin"/>
          <w:color w:val="111111"/>
          <w:sz w:val="28"/>
          <w:sz w:val="28"/>
          <w:szCs w:val="28"/>
          <w:rtl w:val="true"/>
          <w:lang w:bidi="fa-IR"/>
        </w:rPr>
        <w:t>بطلان</w:t>
      </w:r>
      <w:r>
        <w:rPr>
          <w:rStyle w:val="FootnoteAnchor"/>
          <w:rtl w:val="true"/>
        </w:rPr>
        <w:footnoteReference w:id="2070"/>
      </w:r>
      <w:r>
        <w:rPr>
          <w:rFonts w:ascii="IRNazanin" w:hAnsi="IRNazanin" w:eastAsia="IRNazanin"/>
          <w:color w:val="111111"/>
          <w:sz w:val="28"/>
          <w:sz w:val="28"/>
          <w:szCs w:val="28"/>
          <w:rtl w:val="true"/>
          <w:lang w:bidi="fa-IR"/>
        </w:rPr>
        <w:t> اعتکافه</w:t>
      </w:r>
      <w:r>
        <w:rPr>
          <w:rStyle w:val="FootnoteAnchor"/>
          <w:rtl w:val="true"/>
        </w:rPr>
        <w:footnoteReference w:id="2071"/>
      </w:r>
      <w:r>
        <w:rPr>
          <w:rFonts w:ascii="IRNazanin" w:hAnsi="IRNazanin" w:eastAsia="IRNazanin"/>
          <w:color w:val="111111"/>
          <w:sz w:val="28"/>
          <w:sz w:val="28"/>
          <w:szCs w:val="28"/>
          <w:rtl w:val="true"/>
          <w:lang w:bidi="fa-IR"/>
        </w:rPr>
        <w:t>، إلّا الجماع</w:t>
      </w:r>
      <w:r>
        <w:rPr>
          <w:rStyle w:val="FootnoteAnchor"/>
          <w:rtl w:val="true"/>
        </w:rPr>
        <w:footnoteReference w:id="2072"/>
      </w:r>
      <w:r>
        <w:rPr>
          <w:rFonts w:ascii="IRNazanin" w:hAnsi="IRNazanin" w:eastAsia="IRNazanin"/>
          <w:color w:val="111111"/>
          <w:sz w:val="28"/>
          <w:sz w:val="28"/>
          <w:szCs w:val="28"/>
          <w:rtl w:val="true"/>
          <w:lang w:bidi="fa-IR"/>
        </w:rPr>
        <w:t>فإنّه لو جامع سهواً أیضاً فالأحوط فی الواجب الاستئناف</w:t>
      </w:r>
      <w:r>
        <w:rPr>
          <w:rStyle w:val="FootnoteAnchor"/>
          <w:rtl w:val="true"/>
        </w:rPr>
        <w:footnoteReference w:id="2073"/>
      </w:r>
      <w:r>
        <w:rPr>
          <w:rFonts w:ascii="IRNazanin" w:hAnsi="IRNazanin" w:eastAsia="IRNazanin"/>
          <w:color w:val="111111"/>
          <w:sz w:val="28"/>
          <w:sz w:val="28"/>
          <w:szCs w:val="28"/>
          <w:rtl w:val="true"/>
          <w:lang w:bidi="fa-IR"/>
        </w:rPr>
        <w:t> أو القضاء مع إتمام ما هو مشتغل به، وفی المستحبّ الإتمام</w:t>
      </w:r>
      <w:r>
        <w:rPr>
          <w:rFonts w:eastAsia="IRNazanin" w:cs="IRNazanin"/>
          <w:color w:val="111111"/>
          <w:sz w:val="28"/>
          <w:szCs w:val="28"/>
          <w:rtl w:val="true"/>
          <w:lang w:bidi="fa-IR"/>
        </w:rPr>
        <w:t>.</w:t>
      </w:r>
    </w:p>
    <w:p>
      <w:pPr>
        <w:pStyle w:val="Heading3"/>
        <w:numPr>
          <w:ilvl w:val="2"/>
          <w:numId w:val="1"/>
        </w:numPr>
        <w:rPr/>
      </w:pPr>
      <w:bookmarkStart w:id="972" w:name="__RefHeading___Toc1955548_2322387425"/>
      <w:bookmarkStart w:id="973" w:name="_Toc367"/>
      <w:bookmarkEnd w:id="972"/>
      <w:r>
        <w:rPr>
          <w:rtl w:val="true"/>
        </w:rPr>
        <w:t>قضاء ما فسد من الاعتکاف</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فسد الاعتکاف بأحد المُفسِدات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واجباً معیّناً وجب قضاوه</w:t>
      </w:r>
      <w:r>
        <w:rPr>
          <w:rStyle w:val="FootnoteAnchor"/>
          <w:rtl w:val="true"/>
        </w:rPr>
        <w:footnoteReference w:id="2074"/>
      </w:r>
      <w:r>
        <w:rPr>
          <w:rFonts w:ascii="Amiri" w:hAnsi="Amiri" w:eastAsia="Amiri" w:cs="Amiri"/>
          <w:color w:val="111111"/>
          <w:sz w:val="28"/>
          <w:sz w:val="28"/>
          <w:szCs w:val="28"/>
          <w:rtl w:val="true"/>
          <w:lang w:bidi="ar-SA"/>
        </w:rPr>
        <w:t>، وإن کان واجباً غیر معیَّن وجب</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استئنافه، إلّا إذا کان</w:t>
      </w:r>
      <w:r>
        <w:rPr>
          <w:rStyle w:val="FootnoteAnchor"/>
          <w:rtl w:val="true"/>
        </w:rPr>
        <w:footnoteReference w:id="2075"/>
      </w:r>
      <w:r>
        <w:rPr>
          <w:rFonts w:ascii="Amiri" w:hAnsi="Amiri" w:eastAsia="Amiri" w:cs="Amiri"/>
          <w:color w:val="111111"/>
          <w:sz w:val="28"/>
          <w:sz w:val="28"/>
          <w:szCs w:val="28"/>
          <w:rtl w:val="true"/>
          <w:lang w:bidi="ar-SA"/>
        </w:rPr>
        <w:t> مشروطاً فیه</w:t>
      </w:r>
      <w:r>
        <w:rPr>
          <w:rStyle w:val="FootnoteAnchor"/>
          <w:rtl w:val="true"/>
        </w:rPr>
        <w:footnoteReference w:id="2076"/>
      </w:r>
      <w:r>
        <w:rPr>
          <w:rFonts w:ascii="IRNazanin" w:hAnsi="IRNazanin" w:eastAsia="IRNazanin"/>
          <w:color w:val="111111"/>
          <w:sz w:val="28"/>
          <w:sz w:val="28"/>
          <w:szCs w:val="28"/>
          <w:rtl w:val="true"/>
          <w:lang w:bidi="fa-IR"/>
        </w:rPr>
        <w:t xml:space="preserve"> أو فی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نذره</w:t>
      </w:r>
      <w:r>
        <w:rPr>
          <w:rStyle w:val="FootnoteAnchor"/>
          <w:rtl w:val="true"/>
        </w:rPr>
        <w:footnoteReference w:id="2077"/>
      </w:r>
      <w:r>
        <w:rPr>
          <w:rFonts w:ascii="IRNazanin" w:hAnsi="IRNazanin" w:eastAsia="IRNazanin"/>
          <w:color w:val="111111"/>
          <w:sz w:val="28"/>
          <w:sz w:val="28"/>
          <w:szCs w:val="28"/>
          <w:rtl w:val="true"/>
          <w:lang w:bidi="fa-IR"/>
        </w:rPr>
        <w:t> الرجوع</w:t>
      </w:r>
      <w:r>
        <w:rPr>
          <w:rStyle w:val="FootnoteAnchor"/>
          <w:rtl w:val="true"/>
        </w:rPr>
        <w:footnoteReference w:id="2078"/>
      </w:r>
      <w:r>
        <w:rPr>
          <w:rFonts w:ascii="Amiri" w:hAnsi="Amiri" w:eastAsia="Amiri" w:cs="Amiri"/>
          <w:color w:val="111111"/>
          <w:sz w:val="28"/>
          <w:sz w:val="28"/>
          <w:szCs w:val="28"/>
          <w:rtl w:val="true"/>
          <w:lang w:bidi="ar-SA"/>
        </w:rPr>
        <w:t> فإنّه لا یجب</w:t>
      </w:r>
      <w:r>
        <w:rPr>
          <w:rStyle w:val="FootnoteAnchor"/>
          <w:rtl w:val="true"/>
        </w:rPr>
        <w:footnoteReference w:id="2079"/>
      </w:r>
      <w:r>
        <w:rPr>
          <w:rFonts w:ascii="IRNazanin" w:hAnsi="IRNazanin" w:eastAsia="IRNazanin"/>
          <w:color w:val="111111"/>
          <w:sz w:val="28"/>
          <w:sz w:val="28"/>
          <w:szCs w:val="28"/>
          <w:rtl w:val="true"/>
          <w:lang w:bidi="fa-IR"/>
        </w:rPr>
        <w:t> قضاوه أو استئنافه</w:t>
      </w:r>
      <w:r>
        <w:rPr>
          <w:rStyle w:val="FootnoteAnchor"/>
          <w:rtl w:val="true"/>
        </w:rPr>
        <w:footnoteReference w:id="2080"/>
      </w:r>
      <w:r>
        <w:rPr>
          <w:rFonts w:ascii="IRNazanin" w:hAnsi="IRNazanin" w:eastAsia="IRNazanin"/>
          <w:color w:val="111111"/>
          <w:sz w:val="28"/>
          <w:sz w:val="28"/>
          <w:szCs w:val="28"/>
          <w:rtl w:val="true"/>
          <w:lang w:bidi="fa-IR"/>
        </w:rPr>
        <w:t>، وکذا یجب قضاوه</w:t>
      </w:r>
      <w:r>
        <w:rPr>
          <w:rStyle w:val="FootnoteAnchor"/>
          <w:rtl w:val="true"/>
        </w:rPr>
        <w:footnoteReference w:id="2081"/>
      </w:r>
      <w:r>
        <w:rPr>
          <w:rFonts w:ascii="IRNazanin" w:hAnsi="IRNazanin" w:eastAsia="IRNazanin"/>
          <w:color w:val="111111"/>
          <w:sz w:val="28"/>
          <w:sz w:val="28"/>
          <w:szCs w:val="28"/>
          <w:rtl w:val="true"/>
          <w:lang w:bidi="fa-IR"/>
        </w:rPr>
        <w:t> إذا کان مندوباً وکان الإفساد بعد الیومَین، وأمّا إذا کان قبلهما فلا شیء علیه، بل فی مشروعیّة قضائه حینئذٍ إشکال</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 xml:space="preserve">. </w:t>
      </w:r>
      <w:bookmarkStart w:id="974" w:name="pg13281_120080"/>
    </w:p>
    <w:p>
      <w:pPr>
        <w:pStyle w:val="BookText"/>
        <w:rPr/>
      </w:pPr>
      <w:bookmarkEnd w:id="974"/>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الفور فی القضاء</w:t>
      </w:r>
      <w:r>
        <w:rPr>
          <w:rStyle w:val="FootnoteAnchor"/>
          <w:rtl w:val="true"/>
        </w:rPr>
        <w:footnoteReference w:id="2083"/>
      </w:r>
      <w:r>
        <w:rPr>
          <w:rFonts w:ascii="IRNazanin" w:hAnsi="IRNazanin" w:eastAsia="IRNazanin"/>
          <w:color w:val="111111"/>
          <w:sz w:val="28"/>
          <w:sz w:val="28"/>
          <w:szCs w:val="28"/>
          <w:rtl w:val="true"/>
          <w:lang w:bidi="fa-IR"/>
        </w:rPr>
        <w:t> وإن کان أحوط</w:t>
      </w:r>
      <w:r>
        <w:rPr>
          <w:rFonts w:eastAsia="IRNazanin" w:cs="IRNazanin"/>
          <w:color w:val="111111"/>
          <w:sz w:val="28"/>
          <w:szCs w:val="28"/>
          <w:rtl w:val="true"/>
          <w:lang w:bidi="fa-IR"/>
        </w:rPr>
        <w:t>.</w:t>
      </w:r>
    </w:p>
    <w:p>
      <w:pPr>
        <w:pStyle w:val="Heading3"/>
        <w:numPr>
          <w:ilvl w:val="2"/>
          <w:numId w:val="1"/>
        </w:numPr>
        <w:rPr/>
      </w:pPr>
      <w:bookmarkStart w:id="975" w:name="__RefHeading___Toc1955550_2322387425"/>
      <w:bookmarkStart w:id="976" w:name="_Toc368"/>
      <w:bookmarkEnd w:id="975"/>
      <w:r>
        <w:rPr>
          <w:rtl w:val="true"/>
        </w:rPr>
        <w:t>قضاء ما فات بموت المعتکف</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فی أثناء الاعتکاف الواجب بنذر أو نحوه لم یجب علی ولیّه القضاء وإن کان أحوط</w:t>
      </w:r>
      <w:r>
        <w:rPr>
          <w:rStyle w:val="FootnoteAnchor"/>
          <w:rtl w:val="true"/>
        </w:rPr>
        <w:footnoteReference w:id="2084"/>
      </w:r>
      <w:r>
        <w:rPr>
          <w:rFonts w:ascii="IRNazanin" w:hAnsi="IRNazanin" w:eastAsia="IRNazanin"/>
          <w:color w:val="111111"/>
          <w:sz w:val="28"/>
          <w:sz w:val="28"/>
          <w:szCs w:val="28"/>
          <w:rtl w:val="true"/>
          <w:lang w:bidi="fa-IR"/>
        </w:rPr>
        <w:t>، نعم، لو کان المنذور الصوم  </w:t>
      </w:r>
    </w:p>
    <w:p>
      <w:pPr>
        <w:pStyle w:val="BookText"/>
        <w:rPr/>
      </w:pPr>
      <w:r>
        <w:rPr>
          <w:rFonts w:ascii="Amiri" w:hAnsi="Amiri" w:eastAsia="Amiri" w:cs="Amiri"/>
          <w:color w:val="111111"/>
          <w:sz w:val="28"/>
          <w:sz w:val="28"/>
          <w:szCs w:val="28"/>
          <w:rtl w:val="true"/>
          <w:lang w:bidi="ar-SA"/>
        </w:rPr>
        <w:t>معتکِفاً وجب علی</w:t>
      </w:r>
      <w:r>
        <w:rPr>
          <w:rStyle w:val="FootnoteAnchor"/>
          <w:rtl w:val="true"/>
        </w:rPr>
        <w:footnoteReference w:id="2085"/>
      </w:r>
      <w:r>
        <w:rPr>
          <w:rFonts w:ascii="IRNazanin" w:hAnsi="IRNazanin" w:eastAsia="IRNazanin"/>
          <w:color w:val="111111"/>
          <w:sz w:val="28"/>
          <w:sz w:val="28"/>
          <w:szCs w:val="28"/>
          <w:rtl w:val="true"/>
          <w:lang w:bidi="fa-IR"/>
        </w:rPr>
        <w:t> الولیّ قضاوه</w:t>
      </w:r>
      <w:r>
        <w:rPr>
          <w:rStyle w:val="FootnoteAnchor"/>
          <w:rtl w:val="true"/>
        </w:rPr>
        <w:footnoteReference w:id="2086"/>
      </w:r>
      <w:r>
        <w:rPr>
          <w:rFonts w:ascii="IRNazanin" w:hAnsi="IRNazanin" w:eastAsia="IRNazanin"/>
          <w:color w:val="111111"/>
          <w:sz w:val="28"/>
          <w:sz w:val="28"/>
          <w:szCs w:val="28"/>
          <w:rtl w:val="true"/>
          <w:lang w:bidi="fa-IR"/>
        </w:rPr>
        <w:t>؛ لأنّ الواجب حینئذٍ علیه هو</w:t>
      </w:r>
    </w:p>
    <w:p>
      <w:pPr>
        <w:pStyle w:val="BookText"/>
        <w:rPr/>
      </w:pPr>
      <w:r>
        <w:rPr>
          <w:rFonts w:ascii="IRNazanin" w:hAnsi="IRNazanin" w:eastAsia="IRNazanin"/>
          <w:color w:val="111111"/>
          <w:sz w:val="28"/>
          <w:sz w:val="28"/>
          <w:szCs w:val="28"/>
          <w:rtl w:val="true"/>
          <w:lang w:bidi="fa-IR"/>
        </w:rPr>
        <w:t>الصوم، ویکون الاعتکاف واجباً من باب المقدِّمة، بخلاف ما لو نذر الاعتکاف فإنّ الصوم لیس واجباً فیه، وإنّما هو شرط فی صحّته، والمفروض أنّ الواجب علی الولیّ قضاء الصلاة والصوم عن المیّت</w:t>
      </w:r>
      <w:r>
        <w:rPr>
          <w:rStyle w:val="FootnoteAnchor"/>
          <w:rtl w:val="true"/>
        </w:rPr>
        <w:footnoteReference w:id="2087"/>
      </w:r>
      <w:r>
        <w:rPr>
          <w:rFonts w:ascii="IRNazanin" w:hAnsi="IRNazanin" w:eastAsia="IRNazanin"/>
          <w:color w:val="111111"/>
          <w:sz w:val="28"/>
          <w:sz w:val="28"/>
          <w:szCs w:val="28"/>
          <w:rtl w:val="true"/>
          <w:lang w:bidi="fa-IR"/>
        </w:rPr>
        <w:t>، لا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ما فاته من العبادات</w:t>
      </w:r>
      <w:r>
        <w:rPr>
          <w:rFonts w:eastAsia="IRNazanin" w:cs="IRNazanin"/>
          <w:color w:val="111111"/>
          <w:sz w:val="28"/>
          <w:szCs w:val="28"/>
          <w:rtl w:val="true"/>
          <w:lang w:bidi="fa-IR"/>
        </w:rPr>
        <w:t xml:space="preserve">. </w:t>
      </w:r>
      <w:bookmarkStart w:id="977" w:name="pg13281_120081"/>
    </w:p>
    <w:p>
      <w:pPr>
        <w:pStyle w:val="Heading3"/>
        <w:numPr>
          <w:ilvl w:val="2"/>
          <w:numId w:val="1"/>
        </w:numPr>
        <w:rPr/>
      </w:pPr>
      <w:bookmarkStart w:id="978" w:name="__RefHeading___Toc1955552_2322387425"/>
      <w:bookmarkStart w:id="979" w:name="_Toc369"/>
      <w:bookmarkEnd w:id="977"/>
      <w:bookmarkEnd w:id="978"/>
      <w:r>
        <w:rPr>
          <w:rtl w:val="true"/>
        </w:rPr>
        <w:t>حکم البیع والشراء فی الاعتکاف</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أو اشتری فی حال الاعتکاف لم یبطل بیعه وشراوه</w:t>
      </w:r>
      <w:r>
        <w:rPr>
          <w:rStyle w:val="FootnoteAnchor"/>
          <w:rtl w:val="true"/>
        </w:rPr>
        <w:footnoteReference w:id="2088"/>
      </w:r>
      <w:r>
        <w:rPr>
          <w:rFonts w:ascii="IRNazanin" w:hAnsi="IRNazanin" w:eastAsia="IRNazanin"/>
          <w:color w:val="111111"/>
          <w:sz w:val="28"/>
          <w:sz w:val="28"/>
          <w:szCs w:val="28"/>
          <w:rtl w:val="true"/>
          <w:lang w:bidi="fa-IR"/>
        </w:rPr>
        <w:t> وإن قلنا ببطلان اعتکافه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أفسد الاعتکاف الواجب بالجماع ولو لیلاً وجبت الکفّارة</w:t>
      </w:r>
      <w:r>
        <w:rPr>
          <w:rStyle w:val="FootnoteAnchor"/>
          <w:rtl w:val="true"/>
        </w:rPr>
        <w:footnoteReference w:id="2089"/>
      </w:r>
      <w:r>
        <w:rPr>
          <w:rFonts w:ascii="IRNazanin" w:hAnsi="IRNazanin" w:eastAsia="IRNazanin"/>
          <w:color w:val="111111"/>
          <w:sz w:val="28"/>
          <w:sz w:val="28"/>
          <w:szCs w:val="28"/>
          <w:rtl w:val="true"/>
          <w:lang w:bidi="fa-IR"/>
        </w:rPr>
        <w:t>، وفی وجوبها فی سائر المحرّمات إشکال، والأقوی عدمه، وإن کان الأحوط ثبوتها، بل الأحوط</w:t>
      </w:r>
      <w:r>
        <w:rPr>
          <w:rStyle w:val="FootnoteAnchor"/>
          <w:rtl w:val="true"/>
        </w:rPr>
        <w:footnoteReference w:id="2090"/>
      </w:r>
      <w:r>
        <w:rPr>
          <w:rFonts w:ascii="IRNazanin" w:hAnsi="IRNazanin" w:eastAsia="IRNazanin"/>
          <w:color w:val="111111"/>
          <w:sz w:val="28"/>
          <w:sz w:val="28"/>
          <w:szCs w:val="28"/>
          <w:rtl w:val="true"/>
          <w:lang w:bidi="fa-IR"/>
        </w:rPr>
        <w:t> ذلک</w:t>
      </w:r>
      <w:r>
        <w:rPr>
          <w:rStyle w:val="FootnoteAnchor"/>
          <w:rtl w:val="true"/>
        </w:rPr>
        <w:footnoteReference w:id="2091"/>
      </w:r>
      <w:r>
        <w:rPr>
          <w:rFonts w:ascii="IRNazanin" w:hAnsi="IRNazanin" w:eastAsia="IRNazanin"/>
          <w:color w:val="111111"/>
          <w:sz w:val="28"/>
          <w:sz w:val="28"/>
          <w:szCs w:val="28"/>
          <w:rtl w:val="true"/>
          <w:lang w:bidi="fa-IR"/>
        </w:rPr>
        <w:t> حتّی فی المندوب منه قبل تمام الیومَین</w:t>
      </w:r>
      <w:r>
        <w:rPr>
          <w:rStyle w:val="FootnoteAnchor"/>
          <w:rtl w:val="true"/>
        </w:rPr>
        <w:footnoteReference w:id="2092"/>
      </w:r>
      <w:r>
        <w:rPr>
          <w:rFonts w:ascii="IRNazanin" w:hAnsi="IRNazanin" w:eastAsia="IRNazanin"/>
          <w:color w:val="111111"/>
          <w:sz w:val="28"/>
          <w:sz w:val="28"/>
          <w:szCs w:val="28"/>
          <w:rtl w:val="true"/>
          <w:lang w:bidi="fa-IR"/>
        </w:rPr>
        <w:t>، وکفّارته ککفّارة شهر رمضان</w:t>
      </w:r>
      <w:r>
        <w:rPr>
          <w:rStyle w:val="FootnoteAnchor"/>
          <w:rtl w:val="true"/>
        </w:rPr>
        <w:footnoteReference w:id="2093"/>
      </w:r>
      <w:r>
        <w:rPr>
          <w:rFonts w:ascii="IRNazanin" w:hAnsi="IRNazanin" w:eastAsia="IRNazanin"/>
          <w:color w:val="111111"/>
          <w:sz w:val="28"/>
          <w:sz w:val="28"/>
          <w:szCs w:val="28"/>
          <w:rtl w:val="true"/>
          <w:lang w:bidi="fa-IR"/>
        </w:rPr>
        <w:t> علی الأقوی</w:t>
      </w:r>
      <w:r>
        <w:rPr>
          <w:rStyle w:val="FootnoteAnchor"/>
          <w:rtl w:val="true"/>
        </w:rPr>
        <w:footnoteReference w:id="2094"/>
      </w:r>
      <w:r>
        <w:rPr>
          <w:rFonts w:ascii="IRNazanin" w:hAnsi="IRNazanin" w:eastAsia="IRNazanin"/>
          <w:color w:val="111111"/>
          <w:sz w:val="28"/>
          <w:sz w:val="28"/>
          <w:szCs w:val="28"/>
          <w:rtl w:val="true"/>
          <w:lang w:bidi="fa-IR"/>
        </w:rPr>
        <w:t> وإن کان الأحوط</w:t>
      </w:r>
      <w:r>
        <w:rPr>
          <w:rStyle w:val="FootnoteAnchor"/>
          <w:rtl w:val="true"/>
        </w:rPr>
        <w:footnoteReference w:id="2095"/>
      </w:r>
      <w:r>
        <w:rPr>
          <w:rFonts w:ascii="Amiri" w:hAnsi="Amiri" w:eastAsia="Amiri" w:cs="Amiri"/>
          <w:color w:val="111111"/>
          <w:sz w:val="28"/>
          <w:sz w:val="28"/>
          <w:szCs w:val="28"/>
          <w:rtl w:val="true"/>
          <w:lang w:bidi="ar-SA"/>
        </w:rPr>
        <w:t> کونها مرتّبةً ککفّارة الظهار</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955554_2322387425"/>
      <w:bookmarkStart w:id="981" w:name="_Toc370"/>
      <w:bookmarkEnd w:id="980"/>
      <w:r>
        <w:rPr>
          <w:rtl w:val="true"/>
        </w:rPr>
        <w:t>وجوب الکفارة وتفصیلاتها</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الاعتکاف واجباً وکان فی شهر رمضان وأفسده بالجماع فی النهار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للاعتکاف، والثانیة للإفطار فی نهار رمضان، وکذا إذا کان فی صوم قضاء شهر رمضان وأفطر بالجماع بعد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الزوال فإنّه یجب علیه کفّارة الاعتکاف وکفّارة قضاء</w:t>
      </w:r>
      <w:r>
        <w:rPr>
          <w:rStyle w:val="FootnoteAnchor"/>
          <w:rtl w:val="true"/>
        </w:rPr>
        <w:footnoteReference w:id="2096"/>
      </w:r>
      <w:r>
        <w:rPr>
          <w:rFonts w:ascii="IRNazanin" w:hAnsi="IRNazanin" w:eastAsia="IRNazanin"/>
          <w:color w:val="111111"/>
          <w:sz w:val="28"/>
          <w:sz w:val="28"/>
          <w:szCs w:val="28"/>
          <w:rtl w:val="true"/>
          <w:lang w:bidi="fa-IR"/>
        </w:rPr>
        <w:t>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pStyle w:val="BookText"/>
        <w:rPr/>
      </w:pPr>
      <w:r>
        <w:rPr>
          <w:rFonts w:ascii="IRNazanin" w:hAnsi="IRNazanin" w:eastAsia="IRNazanin"/>
          <w:color w:val="111111"/>
          <w:sz w:val="28"/>
          <w:sz w:val="28"/>
          <w:szCs w:val="28"/>
          <w:rtl w:val="true"/>
          <w:lang w:bidi="fa-IR"/>
        </w:rPr>
        <w:t>نذر الاعتکاف فی شهر رمضان</w:t>
      </w:r>
      <w:r>
        <w:rPr>
          <w:rStyle w:val="FootnoteAnchor"/>
          <w:rtl w:val="true"/>
        </w:rPr>
        <w:footnoteReference w:id="2097"/>
      </w:r>
      <w:r>
        <w:rPr>
          <w:rFonts w:ascii="IRNazanin" w:hAnsi="IRNazanin" w:eastAsia="IRNazanin"/>
          <w:color w:val="111111"/>
          <w:sz w:val="28"/>
          <w:sz w:val="28"/>
          <w:szCs w:val="28"/>
          <w:rtl w:val="true"/>
          <w:lang w:bidi="fa-IR"/>
        </w:rPr>
        <w:t> وأفسده بالجماع فی النهار وجب علیه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للاعتکاف، والثانیة لخُلف النَذر</w:t>
      </w:r>
      <w:r>
        <w:rPr>
          <w:rStyle w:val="FootnoteAnchor"/>
          <w:rtl w:val="true"/>
        </w:rPr>
        <w:footnoteReference w:id="2098"/>
      </w:r>
      <w:r>
        <w:rPr>
          <w:rFonts w:ascii="IRNazanin" w:hAnsi="IRNazanin" w:eastAsia="IRNazanin"/>
          <w:color w:val="111111"/>
          <w:sz w:val="28"/>
          <w:sz w:val="28"/>
          <w:szCs w:val="28"/>
          <w:rtl w:val="true"/>
          <w:lang w:bidi="fa-IR"/>
        </w:rPr>
        <w:t>، والثالثة للإفطار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جامع</w:t>
      </w:r>
      <w:r>
        <w:rPr>
          <w:rStyle w:val="FootnoteAnchor"/>
          <w:rtl w:val="true"/>
        </w:rPr>
        <w:footnoteReference w:id="2099"/>
      </w:r>
      <w:r>
        <w:rPr>
          <w:rFonts w:ascii="IRNazanin" w:hAnsi="IRNazanin" w:eastAsia="IRNazanin"/>
          <w:color w:val="111111"/>
          <w:sz w:val="28"/>
          <w:sz w:val="28"/>
          <w:szCs w:val="28"/>
          <w:rtl w:val="true"/>
          <w:lang w:bidi="fa-IR"/>
        </w:rPr>
        <w:t> امرأته المعتکِفة وهو معتکِف فی نهار رمضان فالأحوط أربع کفّارات، وإن کان لا یبعد</w:t>
      </w:r>
      <w:r>
        <w:rPr>
          <w:rStyle w:val="FootnoteAnchor"/>
          <w:rtl w:val="true"/>
        </w:rPr>
        <w:footnoteReference w:id="2100"/>
      </w:r>
      <w:r>
        <w:rPr>
          <w:rFonts w:ascii="IRNazanin" w:hAnsi="IRNazanin" w:eastAsia="IRNazanin"/>
          <w:color w:val="111111"/>
          <w:sz w:val="28"/>
          <w:sz w:val="28"/>
          <w:szCs w:val="28"/>
          <w:rtl w:val="true"/>
          <w:lang w:bidi="fa-IR"/>
        </w:rPr>
        <w:t> کفایة الثلاث</w:t>
      </w:r>
      <w:r>
        <w:rPr>
          <w:rStyle w:val="FootnoteAnchor"/>
          <w:rtl w:val="true"/>
        </w:rPr>
        <w:footnoteReference w:id="2101"/>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إحداها لاعتکافه، واثنتان للإفطار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عن نفسه، والاُخری تحمّلاً عن امرأته</w:t>
      </w:r>
      <w:r>
        <w:rPr>
          <w:rStyle w:val="FootnoteAnchor"/>
          <w:rtl w:val="true"/>
        </w:rPr>
        <w:footnoteReference w:id="2102"/>
      </w:r>
      <w:r>
        <w:rPr>
          <w:rFonts w:ascii="IRNazanin" w:hAnsi="IRNazanin" w:eastAsia="IRNazanin"/>
          <w:color w:val="111111"/>
          <w:sz w:val="28"/>
          <w:sz w:val="28"/>
          <w:szCs w:val="28"/>
          <w:rtl w:val="true"/>
          <w:lang w:bidi="fa-IR"/>
        </w:rPr>
        <w:t>، ولا دلیلَ علی تحمّل کفّارة الاعتکاف عنها؛ ولذا لو أکرهَهَا علی الجماع فی اللیل لم تجب علیه إلّا کفّارته، ولا یتحمّل عنها هذا، ولو کانت مطاوعةً فعلی کلٍّ منهما کفّارتان إن کان فی النهار، وکفّارة واحدة إن کان فی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کتاب الاعتکاف</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تَمَّ الجزء العاشر بحمد الله تعالی ویلیه الجزء الحادی عشر ویشتمل علی کتاب الزکاة والخمس إن شاء الله تعالی </w:t>
      </w:r>
      <w:bookmarkStart w:id="982" w:name="pg13281_120083"/>
    </w:p>
    <w:p>
      <w:pPr>
        <w:pStyle w:val="Heading2"/>
        <w:numPr>
          <w:ilvl w:val="1"/>
          <w:numId w:val="1"/>
        </w:numPr>
        <w:rPr/>
      </w:pPr>
      <w:bookmarkStart w:id="983" w:name="__RefHeading___Toc1955556_2322387425"/>
      <w:bookmarkStart w:id="984" w:name="_Toc371"/>
      <w:bookmarkEnd w:id="982"/>
      <w:bookmarkEnd w:id="983"/>
      <w:r>
        <w:rPr>
          <w:rtl w:val="true"/>
        </w:rPr>
        <w:t>فهرست محتویات الجزء العاشر من کتاب</w:t>
      </w:r>
      <w:bookmarkEnd w:id="984"/>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فهرست محتویات الجزء العاشر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وجوب الصوم وأقسامه وحکم منکره وتارکه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اعتبار القصد والقربة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اعتبار قصد النوع فی الصوم الواجب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اعتبار قصد النوع فی الصوم المندوب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کفایة قصد الصوم فی صوم رمضان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قصد صوم غیر رمضان فی رمضان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المتوخّی وهو من اشتبه علیه شهر رمضان کالمحبوس ونحوه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قصد الوجه وعدمه فی الصوم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إذا جاء بالمأمور به مع قصد الخلاف خطأً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العلم بالمفطرات علی التفصیل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نیّة الجاهل بالمفطر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نیّة النیابة عن الغیر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الصوم فی شهر رمضان لغیره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صوم النذر إذا لم ینوه أو نوی غیره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التعیین ممّن علیه أکثر من قضاء أو نذر أو کفّارة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فروع فی التعیین إذا کان العمل واحداً      </w:t>
      </w:r>
      <w:r>
        <w:rPr>
          <w:rFonts w:eastAsia="IRNazanin" w:cs="IRNazanin"/>
          <w:color w:val="111111"/>
          <w:sz w:val="28"/>
          <w:szCs w:val="28"/>
          <w:lang w:bidi="fa-IR"/>
        </w:rPr>
        <w:t>37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النیّة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فروع فی وقت النیّة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کیفیة نیة صوم شهر رمضان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حکم یوم الشک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کیفیة النیّة فی صوم یوم الشک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فروع صوم یوم الشک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نیّة القطع أو القاطع فی أثناء النهار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عدم لزوم معرفة حقیقة الصوم التفصیلیة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العدول من صوم الی صوم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الإمساک عنه من المفطرات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والشرب المعتاد منه وغیره قلّ أو کثر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حکم التخلیل بعد الأکل ممّن یرید الصوم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حکم ابتلاع البصاق وما یخرج من الصدر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المدار صدق الأکل والشرب بأیّ نحوٍ کان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صوم من أنفذ إلی جوفه رمحاً أو نحوه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وإن لم ینزل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بعض فروع الإنزال وصوره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حکم الجماع قهراً أو سهواً من غیر اختیار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 ارتکاب المفطر خطأً أو قاصداً مع الخلاف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حکم مجامعة الخنثی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lang w:bidi="fa-IR"/>
        </w:rPr>
        <w:t>74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صور مفطریة الاستمناء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الکذب علی الله تعالی أو رسوله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إلحاق سائر الانبیاء والأوصیاء بنبیّنا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فروع فی ما یندرج فی الکذب من العناوین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حکم الکذب علی الفقهاء والمجتهدین والرواة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حکم ارتکاب الکذب لأجل الاضطرار والتقیة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إذا قصد الکذب فتبیّن الصدق وبالعکس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حکم الکذب هزلاً أو مع عدم القصد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 الغبار الغلیظ إلی الحلق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حکم البخار ودخان التتن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الارتماس فی الماء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مبطلیة رمس الرأس فی الماء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رمس الرأس فی المضاف وغیره من المائعات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الکلام فی صدق الارتماس فی بعض الفروض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 ذی الرأسین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فروع فی مفطریّة الارتماس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 الصوم إذا انحصر الغسل بالارتماس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قصد الارتماس بالغسل فی غیر شهر رمضان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الارتماس فی الماء المغصوب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عدم الفرق بین العالم بحکم الارتماس والجاهل به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 الارتماس فی الوحل والثلج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 الشک فی الارتماس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فی شهر رمضان وقضائه        </w:t>
      </w:r>
      <w:r>
        <w:rPr>
          <w:rFonts w:eastAsia="IRNazanin" w:cs="IRNazanin"/>
          <w:color w:val="111111"/>
          <w:sz w:val="28"/>
          <w:szCs w:val="28"/>
          <w:lang w:bidi="fa-IR"/>
        </w:rPr>
        <w:t>111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الجنابة فی صوم غیر شهر رمضان وقضائه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الإصباح جنباً من غیر عمد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الاحتلام فی النهار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النوم علی الجنابة بعد العلم بها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التعجیز الاختیاری کما لو أجنب قبل الفجر متعمداً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البقاء علی حدث الحیض والنفاس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مَن طهرت من حیضها ولم یسع الوقت للغسل ولا للتیمم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حکم صوم المستحاضة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 نسی غسل الجنابة فی شهر رمضان وغیره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 تعذّر علیه الغسل وجب علیه التیمّم قبل الفجر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هل یبطل التیمم بدل الغسل بالحدث الأصغر أو لا؟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جواز التأخیر فی غسل من احتلم نهار شهر رمضان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حکم الصوم إذا علم سبق الاحتلام علی الفجر أو شک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حکم نوم الجنب قبل الفجر وأقسامه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حکم نوم الجنب فی صوم غیر شهر رمضان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فروع فی النوم بعد الجنابة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حکم النوم مع حدث الحیض والنفاس لیل شهر رمضان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الشک فی عدد النومات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 نسی الجنابة أیّاماً من شهر رمضان وشک فی عددها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قصد الوجوب فی غسل الجنابة قبل الفجر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إجزاء الصوم من فاقد الطهورین مع الحدث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عدم مانعیّة حدث مسّ المیّت من الصوم حدوثاً وبقاء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إجناب الصائم نفسه مع ضیق الوقت وظنّ السعة   </w:t>
      </w:r>
      <w:r>
        <w:rPr>
          <w:rFonts w:eastAsia="IRNazanin" w:cs="IRNazanin"/>
          <w:color w:val="111111"/>
          <w:sz w:val="28"/>
          <w:szCs w:val="28"/>
          <w:lang w:bidi="fa-IR"/>
        </w:rPr>
        <w:t>138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المفطرات الاحتقان بالمایع ولو مع الاضطرار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الحقنة بالجامد والمائع غیر البالغ للجوف وما یشک فی کونه منها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القیء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ابتلاع ما یخرج بالتجشّؤ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مفطریة القیء وما یطّرد فیه من الفروع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العمد والاختیار فی الإفطار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فروع اعتبار العمد والاختیار فی فعل المفطر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الإفطار عمداً فی صورة الظنّ بفساد الصوم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الإفطار للتقیّة من الظالم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حکم ابتلاع اللّقمة وما یدخل فی الحلق من غیر اختیار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وظیفة من خاف علی نفسه الهلاک من غلبة العطش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مبطلیة الذهاب إلی مکان یضطرّ فیه إلی الإفطار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مبطلیة الجماع إذا تذکّر بعد النسیان ولم یترک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اُمور لا بأس بها للصائم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المیزان فی ما یجوز للصائم ارتکابه من اُمور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الحکم فی ابتلاع الریق الممتزج بالدم ونحوه من المحرّمات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یکره للصائم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النساء بما لا یستوجب الجنابة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الاکتحال بما یصل طعمه أو رائحته إلی الحلق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الحمّام لمن یخشی الضعف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الدم المضعف بل کل فعل یورث الضعف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السعوط مع عدم العلم بوصوله إلی الحلق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الریاحین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الثوب علی الجسد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المرأة فی الماء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بالجامد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الضرس بل مطلق إدماء الفم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بالعود الرطب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عبثاً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إنشاد الشعر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الجدال والمراء وأذی الخادم والمسارعة إلی الحلف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یوجب القضاء والکفّارة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لزوم الکفّارة بفعل المفطرات عمداً واختیاراً علی تفصیل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لزوم الکفّارة علی الجاهل علی تفصیل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أقسام وجوب الکفّارة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صوم شهر رمضان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کفّارة الإفطار علی محرّم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قضاء شهر رمضان       </w:t>
      </w:r>
      <w:r>
        <w:rPr>
          <w:rFonts w:eastAsia="IRNazanin" w:cs="IRNazanin"/>
          <w:color w:val="111111"/>
          <w:sz w:val="28"/>
          <w:szCs w:val="28"/>
          <w:lang w:bidi="fa-IR"/>
        </w:rPr>
        <w:t>182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صوم النذر المعیّن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صوم الاعتکاف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تکرّر الکفّارة بتکرّر موجبها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لزوم کفارة الجمع بلا فرق بین الإفطار بالمحرم ذاتاً وبالعارض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من الإفطار بالمحرّم الکذب علی الله ورسوله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حکم ابتلاع النخامة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تعذّر بعض الخصال فی کفّارة الجمع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 تکرّر الکفّارة بالجماع مراراً وکونه علی الوجه المحرّم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المدار فی تکرّر الکفّارة فی بعض الموارد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 أفطر بغیر الجماع إذا جامع بعد ذلک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الإفطار بالحلال ثمّ تناول الحرام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العلم بفساد الصوم والشک فی وجوه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من أفطر ثمّ سافر بعد الزوال أو قبله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إفطار یوم الشک مع تحقق المخالفة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من استحلّ الإفطار فی شهر رمضان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 جامع زوجته الصائمة مکرهاً لها أو مطاوعةً 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من جامع زوجته الصائمة وهی نائمة ومن أکرهها علی غیر الجماع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حکم الإکراه من الزوجة لزوجها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الإکراه فی غیر الزوجة کالأمة والأجنبیّة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إکراه الزوج المفطر لعذرٍ زوجته الصائمة علی الجماع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 عجز عن الخصال الثلاث فی کفارة شهر رمضان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 تمکن من الکفّارة بعد العجز عنها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التبرع بالکفّارة عن الغیر          </w:t>
      </w:r>
      <w:r>
        <w:rPr>
          <w:rFonts w:eastAsia="IRNazanin" w:cs="IRNazanin"/>
          <w:color w:val="111111"/>
          <w:sz w:val="28"/>
          <w:szCs w:val="28"/>
          <w:lang w:bidi="fa-IR"/>
        </w:rPr>
        <w:t>205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التأخیر فی أداء الکفّارة وکونها غیر فوریّة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الإفطار علی الحرام بعد المغرب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مصرف کفّارة الإطعام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مقدار الطعام ونوعه فیالکفّارة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لزوم مراعاة العدد وإطعام ستین نفساً ولو من الصغار والنساء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جواز السفر فی شهر رمضان من غیر حاجة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مقدار المدّ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یوجب القضاء دون الکفّارة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الثانی بل الثالث علی الجنابة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الصوم بالإخلال بالنیّة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غسل الجنابة یوماً أو أیّاماً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المفطر بعد الفجر قبل المراعاة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تعویلاً علی من أخبر ببقاء اللیل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لزعمه سخریّة المخبر بطلوع الفجر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الإفطار تقلیداً لمن أخبر بدخول اللیل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لظلمةً أوجبت القطع فبان خطؤه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حکم تناول المفطر مع الشکّ فی طلوع الفجر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فعل المفطر قبل الفحص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الماء فی الفم للتبرّد فسبقه ودخل الجوف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سبق الماء بالمضمضة لوضوء الصلاة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کراهة المبالغة فی المضمضة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عدم جواز التمضمض مطلقاً مع العلم بسبق الماء </w:t>
      </w:r>
      <w:r>
        <w:rPr>
          <w:rFonts w:eastAsia="IRNazanin" w:cs="IRNazanin"/>
          <w:color w:val="111111"/>
          <w:sz w:val="28"/>
          <w:szCs w:val="28"/>
          <w:lang w:bidi="fa-IR"/>
        </w:rPr>
        <w:t>225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المنی بالملاعبة أو الملامسة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 الذی یصحّ فیه الصوم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مبدأ  نهار الصوم ومنتهاه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استصحاب الصلاة قبل الإفطار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عدم مشروعیة الصوم فی اللیل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صحّة الصوم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والإیمان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الإصباح جنباً أو علی حدث الحیض والنفاس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 من الحیض والنفاس فی مجموع النهار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مسافراً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مواضع استثنیت من الصوم فی السفر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الصوم المندوب فی السفر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صحة صوم المسافر الجاهل بالحکم دون الناسی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صحة الصوم من المسافر بعد الزوال وکذا من لم یقصّر فی صلاته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المرض أو الرمد الذی یضرّه الصوم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عدم الابتلاء بالمزاحم الأهمّ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عدم کفایة الضعف فی سقوط الصوم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الصوم بزعم عدم الضرر مع انکشاف الخلاف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علم المکلف من نفسه خلاف حکم الطبیب </w:t>
      </w:r>
      <w:r>
        <w:rPr>
          <w:rFonts w:eastAsia="IRNazanin" w:cs="IRNazanin"/>
          <w:color w:val="111111"/>
          <w:sz w:val="28"/>
          <w:szCs w:val="28"/>
          <w:lang w:bidi="fa-IR"/>
        </w:rPr>
        <w:t>242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صحة الصوم من النائم تمام النهار مع سبق النیة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صحة صوم الصبی الممیز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عدم جواز الصوم المندوب وعلیه صوم واجب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استثناء العجز والنسیان من عدم الجواز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حکم نذر صوم التطوّع ممّن علیه الفرض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حکم التطوّع بالصوم ممّن علیه صوم واجب بالاستئجار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الصوم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الصبی والمجنون إذا کملا بعد طلوع الفجر ولم یأتیا بالمفطر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الإغماء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المرض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حکم مَن برئ بعد الزوال ولم یتناول شیئاً أو برئ قبله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 من الحیض والنفاس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حکم المسافر قبل وبعد الزوال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حکم القادم قبل وبعد الزوال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استحباب الإمساک بقیة النهار للقادم من السفر مفطراً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المستثنیات من قاعدة التلازم بین إتمام الصلاة والصوم وقصرها والإفطار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عدم جواز الإفطار للمسافر قبل حدّ الترخّص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حکم السفر اختیاراً فی شهر رمضان وغیره من الواجب المعیّن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کراهة السفر فی شهر رمضان   </w:t>
      </w:r>
      <w:r>
        <w:rPr>
          <w:rFonts w:eastAsia="IRNazanin" w:cs="IRNazanin"/>
          <w:color w:val="111111"/>
          <w:sz w:val="28"/>
          <w:szCs w:val="28"/>
          <w:lang w:bidi="fa-IR"/>
        </w:rPr>
        <w:t>259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کراهة الجماع والتملّی من الطعام والشراب من غیر الصائم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جواز أو وجوب الإفطار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والشیخة فی صورة التعذّر والمشقّة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اعتبار دفع الفدیة وبیان قدرها ونوعها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الحکم بالقضاء فی صورة تجدّد القدرة فی الشیخ والشیخة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داء العطش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وجوب الصدقة والقضاء علیها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المرضعة القلیلة اللبن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طرق ثبوت هلال شهر رمضان وشوّال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وهی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المکلّف بنفسه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التواتر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الشیاع المفید للعلم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ثلاثین یوماً من هلال شعبان أو رمضان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الشرعیة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الإشکال فی الأخذ بالبیّنة فی بعض الموارد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الحاکم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حکم استناد الحاکم إلی الشیاع الظنّی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عدم ثبوت الهلال بقول المنجّمین ونحوه </w:t>
      </w:r>
      <w:r>
        <w:rPr>
          <w:rFonts w:eastAsia="IRNazanin" w:cs="IRNazanin"/>
          <w:color w:val="111111"/>
          <w:sz w:val="28"/>
          <w:szCs w:val="28"/>
          <w:lang w:bidi="fa-IR"/>
        </w:rPr>
        <w:t>269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شهادة الشاهدین بالرؤیة حسّاً لا حدساً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ترک الصوم ثم انکشف بشهادة عدلین ثبوت الهلال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نفوذ حکم الحاکم بالهلال فی حق مقلّدیه وغیرهم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ثبوت الهلال فی بلد دون بلد اتّحد الاُفق أم لم یتّحد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الإخبار بثبوت الهلال بواسطة الآلات والمخترعات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حکم یوم الشک أنّه من رمضان أو شوّال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حکم ما لو غمّت الشهور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حکم الأسیر والمحبوس إذا لم یتمکّنا من تحصیل العلم بالشهر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إجراء أحکام شهر رمضان علی ما ظنّه رمضاناً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حکم اشتباه شهر رمضان بین شهرین أو أکثر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حکم المکان الذی یکون لیله ونهاره غیر متعارفین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القضاء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شرائط وجوب قضاء الصوم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بلوغ الصبی فی أثناء النهار أو الشک فی کونه قبل الفجر أو بعده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عدم قضاء صوم ما فات حال الجنون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حکم قضاء ما فات عن المغمی علیه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لا قضاء علی من أسلم عن کفر وکذا لو أسلم أثناء النهار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وجوب القضاء علی المرتدّ ما فاته أیّام ردّته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وجوب القضاء علی من فاته الصوم لسکر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وجوب القضاء علی الحائض والنفساء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حکم المخالف إذا استبصر        </w:t>
      </w:r>
      <w:r>
        <w:rPr>
          <w:rFonts w:eastAsia="IRNazanin" w:cs="IRNazanin"/>
          <w:color w:val="111111"/>
          <w:sz w:val="28"/>
          <w:szCs w:val="28"/>
          <w:lang w:bidi="fa-IR"/>
        </w:rPr>
        <w:t>291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القضاء علی من فاته الصوم لنومٍ أو غفلة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دوران الفائت بین الأقل والأکثر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عدم وجوب الفور والتتابع فی القضاء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عدم وجوب تعیین الأیام فی صوم القضاء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حکم من کان علیه قضاء رمضانین فصاعداً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عدم الترتیب بین صوم القضاء وغیره من أقسام الواجب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إذا صام قضاءً ثم تبیّن فراغ ذمّته لم یقع عن غیره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حکم من فاته شهر رمضان أو بعضه لعذرٍ ومات فیه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لو استمرّ المرض إلی رمضان الآخر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لو استمرّ العذر غیر المرض إلی رمضان الآخر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فوات شهر رمضان لا لعذرٍ أو لعذرٍ لم یستمر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من فاته شهر رمضان لا لعذرٍ أو لعذر غیر مستمر إلی رمضان الآخر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تکرّر الکفّارة لو استمرّ المرض ثلاث أو أربع سنین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عدم تکرّر کفّارة السنة الواحدة لو أخّر القضاء سنین عدیدة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جواز إعطاء کفّارة أیّام عدیدة لفقیر واحد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عدم وجوب کفّارة العبد علی سیّده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اعتبار فوریّة القضاء قبل رمضان الآخر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قضاء ما فات المیّت لعذر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ما یشترط فی وجوب القضاء والمقضی عنه والولی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لو لم یکن للمیّت ولد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إذا تعدّد الولی أو تبرّع متبرّع عن المتوفّی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فروع فی ما یجب علی الولی من قضاء الصوم عن المیّت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قضاء غیر رمضان من الصوم الواجب علی المتوفّی      </w:t>
      </w:r>
      <w:r>
        <w:rPr>
          <w:rFonts w:eastAsia="IRNazanin" w:cs="IRNazanin"/>
          <w:color w:val="111111"/>
          <w:sz w:val="28"/>
          <w:szCs w:val="28"/>
          <w:lang w:bidi="fa-IR"/>
        </w:rPr>
        <w:t>313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فی قضاء شهر رمضان وغیره من الصوم الواجب عن نفسه وغیره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صوم الکفّارة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الصوم مع غیره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فیه الصوم بعد الفجر عن غیره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کفّارة الظهار وقتل الخطأ والإفطار فی قضاء شهر رمضان والیمین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کفّارة صید النعامة والبقر الوحشی والغزال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کفّارة الإفاضة من عرفات قبل الغروب عامداً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کفّارة خدش المرأة وجهها فی المصاب وشق الرجل ثوبه علی زوجته أو ولده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فیه الصوم مخیّراً بینه وبین غیره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کفّارة الإفطار فی شهر رمضان وکفّارة الاعتکاف وکفّارة النذر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کفّارة العهد وجزّ المرأة شعرها فی المصاب وحلق الرأس فی الإحرام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فیه الصوم مرتّباً علی غیره مخیّراً بینه وبین غیره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وجوب التتابع فیما وجب فی کفّارته صوم شهرین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التتابع فی الثمانیة عشر بدل الشهرین بل فی جمیع صوم الکفّارة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التتابع فی صوم النذر مع الاشتراط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التتابع فی قضاء الصوم المنذور المشروط فیه التتابع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الشروع فی صوم التتابع فی وقت لا یسلم فیه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الإفطار فی أثناء الصوم الذی یشترط فیه التتابع لا لعذر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الإفطار فی أثناء الصوم الذی یشترط فیه التتابع لعذر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من أمثلة ما فیه العذر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المقدار اللازم من التتابع فی الصوم      </w:t>
      </w:r>
      <w:r>
        <w:rPr>
          <w:rFonts w:eastAsia="IRNazanin" w:cs="IRNazanin"/>
          <w:color w:val="111111"/>
          <w:sz w:val="28"/>
          <w:szCs w:val="28"/>
          <w:lang w:bidi="fa-IR"/>
        </w:rPr>
        <w:t>332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التتابع فی الأثناء لا یکشف عن بطلان ما سبق من الأیام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الصوم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أقسام الصوم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أقسام الصوم الواجب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أقسام الصوم المندوب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المکروه من الصوم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أقسام الصوم المحظور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مواضع استحباب الإمساک تأدّباً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الاعتکاف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معناه وأفضل أوقاته وأقسامه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شرائط صحة الاعتکاف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فلا یصحّ من غیره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فلا یصحّ من المجنون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القربة العبادیة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فلا یصحّ بدونه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یقلّ الاعتکاف عن ثلاثة أیام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الکون فی المسجد وبیان المراد من المسجد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السید لمملوکه والمستأجر لأجیره الخاص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إذن الزوج للزوجة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إذن الوالد لولده </w:t>
      </w:r>
      <w:r>
        <w:rPr>
          <w:rFonts w:eastAsia="IRNazanin" w:cs="IRNazanin"/>
          <w:color w:val="111111"/>
          <w:sz w:val="28"/>
          <w:szCs w:val="28"/>
          <w:lang w:bidi="fa-IR"/>
        </w:rPr>
        <w:t>366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استدامة اللبث فی المسجد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بطلان الاعتکاف بالارتداد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عدم جواز العدول بالنیّة فی الاعتکاف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النیابة عن أکثر من واحد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کفایة مطلق الصوم فی الاعتکاف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جواز قطع الاعتکاف فی الیومین الأوّلین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حکم قطع الاعتکاف المنذور المعیّن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صوم نذر الاعتکاف فی یوم علیه فیه صوم واجب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نذر الاعتکاف لیوم أو یومین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لو صادف النذر مانع من الصوم کالعید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نذر الاعتکاف یوم قدوم شخصٍ معیّن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حکم اللیلتین المتوسّطتین واللیلة الاُولی فی الاعتکاف المنذور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المراد من الشهر فی المقام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لو نذر اعتکاف شهر أو مقدار شهر والفرق بینهما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فروع فیما یرتبط بالتتابع فی صوم الاعتکاف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قضاء ما ترک من الاعتکاف الواجب وحکم ما لو غمّت الشهور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اعتبار وحدة المسجد فی الاعتکاف الواحد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حکم ما لو اتفق مانع من إتمام الاعتکاف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أحکام فی توابع المسجد ومنه مسجد الکوفة المعظّم وفروع ذلک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صحة اعتکاف الصبی الممیز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اعتکاف العبد وشرطیة إذن المولی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حکم خروج المعتکف من المسجد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الخروج لأجل الاغتسال من الجنابة        </w:t>
      </w:r>
      <w:r>
        <w:rPr>
          <w:rFonts w:eastAsia="Amiri" w:cs="Amiri" w:ascii="Amiri" w:hAnsi="Amiri"/>
          <w:color w:val="111111"/>
          <w:sz w:val="28"/>
          <w:szCs w:val="28"/>
          <w:lang w:bidi="ar-SA"/>
        </w:rPr>
        <w:t>394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عدم الغصبیة للمکان من المسجد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فروع فی ما یرتبط بالخروج من المسجد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إجزاء اللبث فی المسجد بأیّ نحوٍ کان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وظیفة المرأة المعتکفة إذا طُلّقت طلاقاً رجعیاً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الرجوع عن الاعتکاف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فروع الرجوع عن الاعتکاف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التعلیق فی نیّة الاعتکاف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الاعتکاف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یحرم فی الاعتکاف جملة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بالجماع من الرجل والمرأة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الطیب مع التلذّذ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والشراء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استواء اللّیل والنهار فی التحریم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فعل المباح فی الاعتکاف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حکم ارتکاب أحد المحرّمات فی الاعتکاف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مرتکب أحد المحرّمات سهواً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قضاء ما فسد من الاعتکاف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قضاء ما فات بموت المعتکف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حکم البیع والشراء فی الاعتکاف </w:t>
      </w:r>
      <w:r>
        <w:rPr>
          <w:rFonts w:eastAsia="IRNazanin" w:cs="IRNazanin"/>
          <w:color w:val="111111"/>
          <w:sz w:val="28"/>
          <w:szCs w:val="28"/>
          <w:lang w:bidi="fa-IR"/>
        </w:rPr>
        <w:t>416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الکفارة وتفصیلاتها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985" w:name="pg13281_120100"/>
    </w:p>
    <w:p>
      <w:pPr>
        <w:pStyle w:val="Heading2"/>
        <w:numPr>
          <w:ilvl w:val="1"/>
          <w:numId w:val="1"/>
        </w:numPr>
        <w:rPr/>
      </w:pPr>
      <w:bookmarkStart w:id="986" w:name="__RefHeading___Toc1955558_2322387425"/>
      <w:bookmarkStart w:id="987" w:name="_Toc372"/>
      <w:bookmarkEnd w:id="985"/>
      <w:bookmarkEnd w:id="986"/>
      <w:r>
        <w:rPr>
          <w:rtl w:val="true"/>
        </w:rPr>
        <w:t>الاصدارات العلمیّة لمؤسّسة السبطین علیهماالسلام العالمیّة</w:t>
      </w:r>
      <w:bookmarkEnd w:id="987"/>
    </w:p>
    <w:p>
      <w:pPr>
        <w:pStyle w:val="Heading3"/>
        <w:numPr>
          <w:ilvl w:val="2"/>
          <w:numId w:val="1"/>
        </w:numPr>
        <w:rPr/>
      </w:pPr>
      <w:bookmarkStart w:id="988" w:name="__RefHeading___Toc1955560_2322387425"/>
      <w:bookmarkStart w:id="989" w:name="_Toc373"/>
      <w:bookmarkEnd w:id="988"/>
      <w:r>
        <w:rPr>
          <w:rtl w:val="true"/>
        </w:rPr>
        <w:t>باللغة العربیة</w:t>
      </w:r>
      <w:bookmarkEnd w:id="9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فقه الإمام جعفر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العلّامة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محاضرات الإمام الخوئی؛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مراجعة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w:t>
      </w:r>
    </w:p>
    <w:p>
      <w:pPr>
        <w:pStyle w:val="BookText"/>
        <w:rPr/>
      </w:pPr>
      <w:r>
        <w:rPr>
          <w:rFonts w:ascii="IRNazanin" w:hAnsi="IRNazanin" w:eastAsia="IRNazanin"/>
          <w:color w:val="111111"/>
          <w:sz w:val="28"/>
          <w:sz w:val="28"/>
          <w:szCs w:val="28"/>
          <w:rtl w:val="true"/>
          <w:lang w:bidi="fa-IR"/>
        </w:rPr>
        <w:t>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أدب الشریعة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عقیلة قریش آمنة بنت الحسین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الملقبة بسکینة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أنصار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والثوار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الحسن بن 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بضعة المصطفی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یشتمل علی حیاة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ولادتها إلی شهادتها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الحتمیّات من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وتنظیم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معالم العقیـدة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الشیخ أحمد الوائلی؛، تحقیق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السید حسن الصدر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بحوث عقائدیة فی ضوء مدرسة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منها إلی الآن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الإمام الجواد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مع السنة أتباع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bookmarkStart w:id="990" w:name="pg13281_120102"/>
    </w:p>
    <w:p>
      <w:pPr>
        <w:pStyle w:val="BookText"/>
        <w:rPr/>
      </w:pPr>
      <w:bookmarkEnd w:id="99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فاطمة بنت اسد، حجر النبوّة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لکل شیء علامة یعرف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أفضل کل شیء وأحسنه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صدر منها إلی الآن ثلاثة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البیان فی حوادث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الأمیر الشفیق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الإمام الحنون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السیدة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91" w:name="__RefHeading___Toc1955562_2322387425"/>
      <w:bookmarkStart w:id="992" w:name="_Toc374"/>
      <w:bookmarkEnd w:id="991"/>
      <w:r>
        <w:rPr>
          <w:rtl w:val="true"/>
        </w:rPr>
        <w:t>باللغة الفارسیة</w:t>
      </w:r>
      <w:bookmarkEnd w:id="99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ثقة المحدثین الشیخ عبّاس القمّی؛، تحقیق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bookmarkStart w:id="993" w:name="pg13281_120103"/>
    </w:p>
    <w:p>
      <w:pPr>
        <w:pStyle w:val="BookText"/>
        <w:rPr/>
      </w:pPr>
      <w:bookmarkEnd w:id="99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روزشمار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تشتمل علی ثلاثة وعشرین جزء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آیت الله سید عبدالحسین الطیب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شیرازی، تحقیق مؤسسة السبطین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بیعت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پیامبر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دردانه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ریحانه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الناشئین والأشبال،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94" w:name="__RefHeading___Toc1955564_2322387425"/>
      <w:bookmarkStart w:id="995" w:name="_Toc375"/>
      <w:bookmarkEnd w:id="994"/>
      <w:r>
        <w:rPr>
          <w:rtl w:val="true"/>
        </w:rPr>
        <w:t>باللغة الانجلیزیة</w:t>
      </w:r>
      <w:bookmarkEnd w:id="99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عقیلة قریش آمنة بنت الحسین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شهادة فاطمة الزهراء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bookmarkStart w:id="996" w:name="pg13281_120104"/>
    </w:p>
    <w:p>
      <w:pPr>
        <w:pStyle w:val="BookText"/>
        <w:rPr/>
      </w:pPr>
      <w:bookmarkEnd w:id="99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97" w:name="__RefHeading___Toc1955566_2322387425"/>
      <w:bookmarkStart w:id="998" w:name="_Toc376"/>
      <w:bookmarkEnd w:id="997"/>
      <w:r>
        <w:rPr>
          <w:rtl w:val="true"/>
        </w:rPr>
        <w:t>باللغة الاُردویة</w:t>
      </w:r>
      <w:bookmarkEnd w:id="9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شهادة فاطمة الزهراء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99" w:name="__RefHeading___Toc1955568_2322387425"/>
      <w:bookmarkStart w:id="1000" w:name="_Toc377"/>
      <w:bookmarkEnd w:id="999"/>
      <w:r>
        <w:rPr>
          <w:rtl w:val="true"/>
        </w:rPr>
        <w:t>باللغة الفرنسیة</w:t>
      </w:r>
      <w:bookmarkEnd w:id="10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 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قید التحقیق</w:t>
      </w:r>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الجزء الحادی عشر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الزکاة والخمس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الجزء الثانی عشر من العروة الوثقی والتعلیقات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الجزء الرابع من تفسیر القرآن الکریم للشریف المرتضی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واضافات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موسوعة ثقافة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الکنز الدفین لشیعة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 مراجعة 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محمد هاشم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تاریخ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بمعاصریهم ومناطق تواجدهم ومراقدهم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01" w:name="pg13281_120105"/>
    </w:p>
    <w:p>
      <w:pPr>
        <w:pStyle w:val="BookText"/>
        <w:rPr/>
      </w:pPr>
      <w:bookmarkEnd w:id="100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02" w:name="__RefHeading___Toc1955570_2322387425"/>
      <w:bookmarkStart w:id="1003" w:name="_Toc378"/>
      <w:bookmarkEnd w:id="1002"/>
      <w:r>
        <w:rPr>
          <w:rtl w:val="true"/>
        </w:rPr>
        <w:t>مرکز النشر و التوزیع لمؤسسة السبطین  علیهماالسلام العالمیة</w:t>
      </w:r>
      <w:bookmarkEnd w:id="1003"/>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المعرض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المعرض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شارع معلم ـ عمارة ناشران ـ الطابق الأوّل ـ</w:t>
      </w:r>
    </w:p>
    <w:p>
      <w:pPr>
        <w:pStyle w:val="BookText"/>
        <w:rPr/>
      </w:pPr>
      <w:r>
        <w:rPr>
          <w:rFonts w:ascii="IRNazanin" w:hAnsi="IRNazanin" w:eastAsia="IRNazanin"/>
          <w:color w:val="111111"/>
          <w:sz w:val="28"/>
          <w:sz w:val="28"/>
          <w:szCs w:val="28"/>
          <w:rtl w:val="true"/>
          <w:lang w:bidi="fa-IR"/>
        </w:rPr>
        <w:t xml:space="preserve">جناح رقم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i/>
          <w:iCs/>
          <w:color w:val="111111"/>
          <w:sz w:val="28"/>
          <w:szCs w:val="28"/>
          <w:lang w:val="en-US" w:bidi="en-US"/>
        </w:rPr>
        <w:t>URL: WWW.SIBTAYN.COM</w:t>
      </w:r>
    </w:p>
    <w:p>
      <w:pPr>
        <w:pStyle w:val="BookText"/>
        <w:rPr/>
      </w:pPr>
      <w:r>
        <w:rPr>
          <w:rFonts w:eastAsia="Times New Roman" w:cs="Times New Roman" w:ascii="Times New Roman" w:hAnsi="Times New Roman"/>
          <w:i/>
          <w:iCs/>
          <w:color w:val="111111"/>
          <w:sz w:val="28"/>
          <w:szCs w:val="28"/>
          <w:lang w:val="en-US" w:bidi="en-US"/>
        </w:rPr>
        <w:t>E_MAIL: SIBTAYN@SIBTAYN.COM</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_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بنحوٍ یأتی إن شاء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الأعمّ منه وممّا یکون ملازماً لأمرٍ مرجوح أو مزاحماً لأمرٍ راجح، وعلیأیّ حالٍ لا یکون قسیماً للمندوب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صوم مَن نام من العشاء ولم یقم إلّا بعد انتصاف اللیل علی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الثمانیة عشر للإفاضة من عرفات قبل الغروب عمداً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المنذور وشبهه بعنوان ذاته، کما مرّ، فلا یکون الصومالمنذور من أقسام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الواجب فی النذر وشبهه، وکذا فی الإجارة، والشرط لیس هو عنوانالصوم، بل الوفاء بهذه العناوین المتحقّق بالصوم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سیجیء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اختصاص الوجوب بما فات عن الوالد دون الوالدة وإن کان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تفصیل یأتی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إنکار الضروری لا یوجب الکفر، نعم، إذا رجع إلی إنکار الرسالة یکونموجباً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علم المنکر بأنّه من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یعلم أنّه من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إنکاره إلی إنکار الرسالة، علی ما مرّ فی کتاب الطهارة، وفی وجوبقتل المرتدّ تفصیل مذکور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الاستتابة وعدم التوبة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شمول ذلک لِما إذا حدثت فتنة فکریة عامّة شملت الکثیر من المسلمیننظر، فلا یُترک الاحتیاط فی الدماء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تفصیل مذکور فی محلّه من کتاب الحدود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مرتدّاً فطریّاً، وإن کان ملّیّاً یقتل إن لم یتب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فوراً إن کان فطریاً، وإذا لم یتب بعد الاستتابة إن کان ملّیّاً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خصوص المجامع زوجته وهما صائمان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أکرهها ضُرِبخمسین سوطاً، وإن طاوعته ضُرِب خمسةً وعشرین، وضُربت خمسةً وعشرینسوطاً، وفی غیره موکول إلی نظر الحاکم، وفیه أیضاً تأمّل؛ لضعف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المجامع زوجته وهما صائمان ، وفی غیره موکول إلی نظر 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الجماع، وأمّا فی غیره فمنوط بنظر 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التقدیر فی الجماع، وفی غیره موکول إلی نظر الإمام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التحدید بالمقدار المذکور فی خصوص الجماع مع زوجته ، وفی غیره یکونبنظر 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 هذا التقدیر لمطلق الإفطار العمدیّ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التقدیر فی غیر الجماع غیر منصوص، فالمرجع فیه نظر الحاکم، وهویختلف بحسب الأزمنة والأهویة برودةً وحرارةً، والأشخاص قوّةً وضَعفاً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التقدیر بحدّ خاصّ إلّا فی روایة ضعیفة فی خصوص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خصوص الجماع، وفی غیره موکول بنظر 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هذا التقدیر فی هذا الجماع مع الحلیلة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المجامع زوجته وهما صائمان وإن طاوَعَته ضُربت هی أیضاً، وفی غیرهموکول إلی نظر 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التقدیر مع کونه مخالفاً لظاهر إطلاق التعزیر لم یرد فی غیر الجماع معالأهل، والتعدّی منه غیر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یثبت هذا التقدیر فی غیر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بما یراه الحاکم، نعم، فی الجماع مع امرأته الصائمة یُعزّر کلّ منهما بخمسةوعشرین سوطاً إن طاوَعَته، ویُعزّر هو بخمسین سوطاً إن أکرهها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منصوص فی الجماع مع الحَلیلة، وأمّا فی غیره فهو موکول إلی نظرالحاکم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التقدیر إنّما هو وارد فی الجماع لا 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رأی الحاکم الشرعی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یختصّ التقدیر المذکور بمن جامع زوجته، أمّا إذا أفطر بغیر الجماع أو بجماعغیر زوجته فیُعزّر بما یراه الإمام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بخمسة وعشرین سوطاً فی غیر الجماع من المفطِرات محلّ إشکال،ولا یبعد إیکال تقدیره إلی الإمام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نائبه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التحدید المذکور لم یدلّ علیه دلیل معتبر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هذا التقدیر إلّا فی الجماع بروایة ضعیفة مجبورة بالعمل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تحدیده مفوّض إلی الحاکم مطلقاً حتّی فی الجماع مع الحلیلة، نعم، لابدّمن بلوغه حدّ الإنهاک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ثبوت القتل مع العود عندی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احتیاط فیه، بل الاحتیاط فی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للاحتیاط المذکور؛ فإنّه مع تمامیّة الدلیل لا یعطّل حدّ الله، ومععدمها لا یجوز القتل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أحوط نظر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أحوط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ذلک أحوط غیر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بنحو مخصوص به، کما سیأتی إن شاء الله، وبذلک یمتاز عن سائر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تعلّق التکلیف فیها بالترک کالاعتکاف والإحرام، لا التی تعلّق التکلیففیها بالفعل، ویکون اللازم کون الفعل ناشئاً من النیّة، أمّا التروک فیکفی فیهامقارنة الترک للقصد؛ فإنّ للتروک أسباباً لا تتناهی، فربّما یجتمع مع العزم علیالترک عدم المقتضی للفعل، فیکون الترک حینئذٍ مستنداً إلی عدم مقتضیه، لا العزمعلی الترک، فالواجب علی مَن کُلّف بترک فعل فی مقام الإطاعة أن یعزم علیترک ذلک الشیء بحیث یکون قصد الطاعة مانعاً من ارتکابه، حتّی لو تحقّقتسائر أجزاء علّة الوجود لأثّر ذلک العزم فی ترکه، لا أن یجعل سبب الترکمنحصراً بعزمه؛ إذ قد لا یکون هذا مقدوراً للمکلَّف؛ إذ المقدور له اختیار ترکالفعل الّذی یقدر علی إیجاده، لا حصر سبب الترک بعزمه، کما أنّه لا یعتبر فیداعیه وجوده حال التلبّس به کما یعتبر ذلک فی الأفعال الوجودیة؛ فإنّ عزمه فیاللیل علی عدم الأکل فی نهاره کافٍ فی امتثاله ما لم ینقضه بنیّة خلافه، فلو نامأو غفل أوّل الفجر إلی المغرب یکون ذلک موکّداً لنیّته، لا منافیاً لها، وهذا بخلافما لو عزم علی فعل فإنّه لا أثر لإرادته السابقة ما لم یرسخ منها شیء یکون هوالداعی إلی الفعل، فصحّة صوم النائم والغافل غیر مخالف للقواعد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ویختلف عنها بأنّ عبادیّته فاعلیّة لا فعلیّة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الفرق بین العبادات التی تعلّق التکلیف فیها بالفعل والعبادات التی تعلّقالتکلیف فیها بالترک کالإحرام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الفعل فی الاُولی ناشئ من القصد والنیّة،والترک فی الثانیة مقارن لهما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 یکون ترکه للمفطِرات مع العزم ـ بتفصیل سیأتی ـ مضافاً إلی اللهتعالی بإضافة تذلُّلیة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التشبیه إنّما هو فی أصل اعتبار القصد، وأمّا فی کیفیّته فیفترق عنها کماسیأتی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الأقوی، کما مرّ منّا فی کتاب الطهارة والصلاة مراراً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مبنیٌّ علی اختلاف حقائق أنواعه، وفیه نظر ولو للأصل، فلا یحتاج فیهأزید من قصد التقرّب بشخص أمره فی ما کان من التکلیفات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الوضعیاتالذمّیّة یحتاج إلی قصدها مقدّمة، لصدق الوفاء بذمّته، کما هو الشأن فی الدیونالمالیة،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یعتبر القصد إلی نوع الصوم إذا کان التنویع بحسب العنوان القصدی شرعاً،بمعنی اعتبار الشارع فی الصوم قصد العنوان کما اعتبره فی الظهر والعصر مثلاً،وحیث لم یدلّ دلیل علی ذلک لم یعتبر قصد النوع وکون الصوم کفّارةً أو قضاءً أونذراً، إنّما هو باعتبار علل وجوبه، لا أنّه یتعنون من ناحیة تلک الاُمور، نعم، ربّمایعتبر قصد النوع للتمیّز، فإذا کان ما علیه متّحداً یکفی الإمساک القربی فی تفریغذمّته، ومع ذلک فالأحوط موافقة المشهور، بل لا ینبغی أن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اعتباره إلّا فی ما اُخذ فی المتعلّق خصوصیّة قصدیّة، کالهوهویّةمع الفائت فی القضاء والمقابلة مع الذنب فی الکفّارة، وأمّا فی ما عدا ذلک کالنذروشبهه فلا حاجة إلی قصد النوع، ومنه یظهر الحال فی الصوم المندوب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المتعلّق بالنذر توصّلی، ویسقط بتحقّق متعلّقه فی الخارج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تکفی نیّة القربة فی المقیّد بالزمان المعیّن، واجباً کان أو مندوباً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تعیین النوع فی أصل الصوم المندوب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وقوعه ندباً وصحّته مع کون الزمان صالحاً لوقوعه، والنیّة تعتبرفی إحراز الخصوصیّة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إحراز الخصوصیّة، لا فی صحّة أصل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اعتبار التعیین فی المندوب المطلق، فلو نوی صوم غدٍ متقرّباً إلیالله صحّ ووقع ندباً مع کون الزمان صالحاً والشخص جائزاً له التطوّع بالصوم،نعم، فی إحراز الخصوصیّة لابدّ من القصد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وقوع النوع، لا فی وقوع مطلق الندب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المندوب المطلق، وکذلک المتعیّن فی الزمان، کصوم أیّام البیض ونحوه،یکفی أن ینوی صوم ذلک الیوم، ولا حاجة إلی تعیینه بالقصد علی الأقوی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المندوب المطلق والمعیّن بالزمان کصوم أیّام البیض یکفی أن ینوی صومذلک الیوم، والمیزان الکلّی فی لزوم قصد العنوان ما یکون معنوناً بالقصد، کالقیامللتعظیم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یعتبر التعیین فی إحراز الخصوصیة، وأمّا فی صحّته ووقوعه ندباً فیکفینیّة صوم الغد بقصد القربة مع کون الزمان صالحاً لوقوعه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نیّة صوم ذلک الیوم فی صحّته، نعم إحراز الخصوصیّة یحتاج إلیقصدها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یعیّن نوعه یقع صوماً مطلقاً، وقد یتعیّن نوعه بخصوصیّة وقوعه فیذلک الزمان، کصوم الأیّام البیض، ولا یلزم تعیینها بالقصد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یعتبر ذلک فی صیرورته ذلک النوع، وأمّا حصول طبیعة الصوم الذی هوأیضاً مطلوب فلا یعتبر فیه ذلک، بل ولا فی الصوم الخاصّ أیضاً إذا کانتخصوصیّته بوقوع تلک الطبیعة فی زمان خاصّ کأیّام البیض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ذلک فی حصول النوع، لا فی أصل وقوع مطلق الصوم المندوب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المندوب المطلق، وکذلک المتعیّن بالزمان، کصوم أیّام البیض وأوّل الشهرونحوه، ویکفی قصد صوم ذلک الیوم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بلحاظ آثاره الخاصّة، وإلّا فالمطلوبیّة الذاتیّة کافیة، والأقوی عدم الحاجةإلی التعیین فی القصد إذا کان زمان الصوم معیّناً کأیّام البیض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نیّة صوم الغد إذا کان ذلک الیوم مصداقاً لما هو المندوب فیه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اُرید تحقّق نوع مخصوص، وأمّا المندوب بالإطلاق فلا یعتبر فی تحقّقهذلک بعد کون المکلّف والزمان صالحین قابلین لذلک، بل یکفی قصد صوم ذلکالیوم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ذلک فی حصول طبیعة خاصّة، وأمّا حصول طبیعة الصوم المندوبفیکفی نیّة صوم الغد لو کان الزمان صالحاً لوقوعه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المندوب المطلق والمتعیّن بالزمان کأوّل الشهر وآخره وأیّام البیض مثلاًیکفی قصد صوم ذلک الیوم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باعتبار ذلک لتحصیل الخصوصیّات، وأمّا أصل صحّة الصوم والأجرعلیه فلا یتوقّف علی تعیین نوعه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حصول طبیعة الصوم وصحّته مطلقاً فی ما إذا لم یعیّن نوعه، بلقصد صوم الغد متقرّباً مع کون الزمان صالحاً للوقوع، سواء کان المندوب مطلقاًأم معیّناً، کصوم أیّام البیض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إدراکه الخصوصیّة متوقّف علی قصدالنوع لو احتاج تحقّقها إلی القصد، وإلّا فیکفی صوم الغد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حصول ذلک النوع، وأمّا فی صحّة أصل الصوم فلا، کما أنّه لو کانتالخصوصیّة بوقوعه فی الزمان الخاصّ کأوّل الشهر وأیّام البیض یکفی قصدصوم ذلک الزمان، بل یمکن أن یقال بأولویّة هذه الصورة من المندوب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التعیین لإحراز الخصوصیّة، وأمّا فی صحّة أصل الصوم فیکفی قصدصوم الیوم المطلق بأن یقصد صوم الغد مثلاً، بل یمکن القول بحصولالخصوصیّة بهذا النحو إذا لم یکن قصد الزمان داخلاً فی الماهیة، کصوم أیّامالبیض ویوم الغدیر وأوّل الشهر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لم یعیّن نوعه فاتته خصوصیّة النوع وانعقد صومه مندوباً مطلقاً، ویکفیفی صحّة الصوم المندوب المطلق أن یقصد طبیعة الصوم المطلقة، أو یقصدموضوع الأمر المتعلّق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علی ما ذکرنا الاجتزاء به إذا أتی بداعی شخص أمره إجمالاً، فیسقطعنه أحد الصیامَین بلا عنوان مع تساویهما فی الاهتمام، وإلّا فیسقط عنه أهمّهمافقط، ویتبعه سقوط أثره، وهکذا الأمر فی کلّ ذی أثرٍ إذا کشف عن أهمّیّة طلبه،وإلّا ففی سقوط خصوصه إشکال، بل منع؛ لبطلان الترجیح بلا 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ذلک النوع الخاصّ وإن صحّ فی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إدراک الخصوصیّة، وأمّا فی الصحّة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صحّته وتحقّقه بخصوصیّته بآثاره المخصوصة، وأمّا فی أصل وقوعهوصحّته ندباً فیجزی قصد صوم الغد بنیّة القربة، بل لا یبعد کفایة القصد المذکورفی المندوب المتعیّن بالزمان، کصوم أیّام البیض وأمثاله، ولکنّ الأحوط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کان منه معنوناً بعنوان خاصّ، وإلّا کفی، کما فی المندوب المطلق، بللایبعد کفایة ذلک فی المتعیّن بحسب الزمان أیضاً، کصوم أیّام البیض ونحوهعلی 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إدراک الخصوصیّة وتحقّقها، وأمّا فی صحّته ندباً فیجزی صوم الغدبقصد 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وذلک واضح بعد المصیر إلی توقّف تحقّق عبادیّته علی قصد عنوان متعلّقالأمر، کما فی غیره من العبادات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إحراز الخصوصیّة، لا فی أصل الصحّة، فیکفی فیها قصد مجرّد الصومأیضاً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الکلام مَن یصحّ منه صوم رمضان، وأمّا غیره کالمسافر فسیجیء حکمهفی المسألة السادسة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صوم الغداة، لکن بشرط قصده الأمر الفعلی أو المأمور به بحیث یتعلّقالقصد بصوم رمضان 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نعم، یکفی القصد الإجمالی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من تعیین النوع فیه، کما فی غیره من أفراد الصوم، ویکفی التعیینالإجمالی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بنحو التقیید، بل بنحو الخطأ فی التطبیق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بالموضوع، وکذا لو کان ناسیاً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لرمضان، والمراد تعلّق الجهل والنسیان بالموضوع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الجزم بالإجزاء مشکل،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بالإجزاء فی صورة تمشّی قصد القربة منه بالصوم قریب، لکن یبعدهذا التمشّی عن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الإجزاء مع نیّة القربة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إذاأوجب‌ذلک‌الإخلال‌بقصد القربة،وإلّافالحکم مبنیّعلی 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إشکال، أحوطه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القول بالإجزاء من القوّة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الإجزاء غیر بعید فیه وفی الصورة التی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الشاهرودی، أحمد الخونساری، محمّد رضا الگلپایگانی،السبزواری، محمّد الشیرازی،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والأقرب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الإجزاء غیر بعیدٍ فیه وفی الصورة التی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الأقرب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الإجزاء إن قصد الأمر الفعلی، کما مرّ، وهکذا فیالمتوخّی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إجزائه، فیصحّ ویجزی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الإجزاء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یجزی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عبدالله الشیرازی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یجزی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لعدم ثبوت قصدیّة حقیقته وإن کان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الإجزاء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فیه هو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کفایته، وکذا فی کلّ صومٍ واجبٍ أو ندبٍ لم یؤخذ فیه عنوان خاصّوإن اُخذ وقوعه فی زمان 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فی هذه الصورة قوّیة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لا یرجع إلی قصد رمضان حتّی 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قصده بما أنّه مطلوب بالفعل فالإجزاء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الإجزاء فی هذه الصورة، ولا یعتبر فیها تعیین کونه من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فیه هو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یجزی بلا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هذه الصورة الإجزاء إن آل إلی قصد رمضان ولو إجمالاً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الإجزاء حینئذٍ مع تحقّق القصد الإجمالی إلی الرمضان الّذی هولازم العلم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الصوم المأمور به فی غدٍ کفی ذلک فی التعیین وأجزأه عن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الإجزاء فی هذا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لا یؤول إلی قصد رمضان، وإلّا فمع تحقّق القصد الإجمالی الراجع إلیهفالظاهر الإجزاء؛ لأنّ قصد صوم الغد قصد لصوم المأمور به الّذی هو لازم العلمبه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فیه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الإجزاء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صحّة صومه، وعدم اعتبار تعیین کونه من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فیه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إذا لم تحصل أمارة معتبرة علی ظنّه شهر رمضان، وإلّا کان ظنّهکالعلم فی عدم اعتبار التعیّن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مع التَوَخِّی بغیره، کما سیأتی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صوم الغد وعدم اعتبار نیّة شهر رمضان فی المتوخّی والجاهل بعدمصحّة غیره فیه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توقّف کونه رمضاناً له علی قصده ذلک، وإلّا فجمیع الأیّام بالنسبة إلیهمتساویة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نعم،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إنّ کونه من رمضان مع وقوعه فیه لا یتوقّف علی قصده، نعم،وقوعه قضاءً عن رمضان إذا کان بعده یتوقّف علی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الکلّی أنّه لو تحقّق قصد الإتیان بالمأمور به وکان الاشتباه فی التطبیقصحّ، 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الأدائیّ ما قُیّد بوقوعه فی الوقت، ولمّا کان قصد عنوان المأمور به المشتملعلی الأجزاء والقیود لازماً فبالضرورة یلزم قصد الأدائیّة ولو کان بعنوانإجمالی، نعم، لا یجری ذلک فی القضاء، فیکفی فیه قصد ذات العنوان؛ إذ الوقوعفی خارج الوقت لیس قیداً شرعیّاً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یتوقّف التعیین علی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التعرّض للأداء ولو بقصد الأمر الشخصی الداعی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قصد العنوان الّذی یتّصف بصفَـتَی الأداء والقضاء مع قصد امتثال الأمرالفعلیّ المتعلّق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التعرّض للقضاء ولکلّ ما اُخذ فی متعلّق الأمر من الخصوصیات، نعم، لایعتبر التعرّض لخصوصیات الأمر کالوجوب والندب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یعتبر التعرّض للقضاء ولکلّ ما اُخذ فی متعلّق الأمر من الخصوصیاتالقصدیّة، نعم، لا یعتبر التعرّض لخصوصیات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یشترط التعرّض للقضاء، وکذا لکلّ وصف اُخذ فی موضوع 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توقّف علیه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یتوقّف التعیین علیه، ویمکن التفصیل بین الأداء والقضاء بأن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إنّکونه أداءً هو شرط إیقاعه فی الوقت، وهو أحد القیود المعتبرة، وحیث إنّ المعتبرفی العبادات المتعلّقة للأمر قصد جمیع ما یعتبر فیها من الشروط والقیود فلابدّمن قصد کونه أداءً، وهذا بخلاف القضاء، فإنّها إیقاع العمل فی خارج الوقت،ووقوعها فی الخارج لیس من الاُمور التی اعتبرها الشارع کی یلزم قصده رعایةًلقصد ما أخذه فی متعلّق طلبه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العنوان المتّصف بصفَـتَی الأداء والقضاء مع قصد امتثال أمرهالفعلی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قَصْدُ أحدهما طریقاً لقصد المأمور به فیعتبر قَصدَهما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الأداء والقضاء من القیود المأخوذة فی المأمور به، فلابدّ من قصدهما، نعم،یکفی القصد الإجمالی، کما مرّ، فإذا قصد صوم الغد لامتثال أمره الفعلیّ صحّ،ولم یفتقر للتعرّض لکونه أداءً أو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یُعتبر التعرّض لکلّ ما اُخذ فی متعلّق الأمر من التعیّنات القصدیّة، فعنوانالقضاء کالأداء من خصوصیّات المأمور به الّذی یشتمل علی الأجزاء والقیود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قصد العنوان الجامع المتّصف بصفتَی الأداء والقضاء مع قصد امتثال الأمرالفعلی المتعلّق به صحّ؛ إذ لا یُشترط التعرّض لهما تفصیلاً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توقّف القضاء علی قصده، ولکن یکفی القصد الإجمالی، کقصد إتیانالمأمور به بالأمر الفعلیّ مع وحدة ما فی 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ینافی ما تقدّم من الحکم باعتبار تعیین عنوان القضاء کالکفّارة والنذر،والظاهر أیضاً ذلک؛ فإنّ القضاء عنوان مأخوذ فی متعلّق الأمر لابدّ من تعلّقالقصد إلیه ولو إجمالاً، نعم، الأدائیّة غیر مفتقرة إلی القصد، وکذا الوجوبوالاستحباب، ومثلهما من الخصوصیّات غیر المأخوذة فی متعلّق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فرض لزومه بأن اُخذ فیه عنوان قصدی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القضاء والأداء طبیعتان متغایرتان، ویترتّب علی ذلک أنّه إذا کانالواجب فی الواقع أداءً فتخیّل کونه قضاءً وأتی به بقصد أنّه قضاءً بطل، وکذاالعکس ولو کان ذلک من جهة الاشتباه فی التطبیق، نعم، فی خصوص شهررمضان إذا أتی بالصوم بتخیّل کونه قضاءً صحّ من رمضان، دون العکس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یبطل بذلک، وقد تقدّم أنّ الأداء والقضاء من خصوصیات المأمور به، لاالأمر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اُغمض عمّا ذکرنا فی الحاشیة السابقة، وهو کما تری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مقتضی ما مرّ فی الحاشیة السابقة البطلان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بنحو التقیید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 فی البطلان هاهنا وفی الفرع التالی علی کونه غیر ممتثل للأمر الواقعی؛حیث إنّه یباینه ما یزعمه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یصحّ فی المثال؛ لحصول المأمور به خارجاً مع القربة، وعدم اعتبارالتعیین فی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فیه وفی ما بعده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یصحّ أداءً لولا الإخلال بنیّة القربة من جهة التشریع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رجع إلی عدم قصد الامتثال، وإلّا لا وجه للبطلان مع کفایة قصد الصوم،وعدم اعتبار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قصد الأمر المتوجّه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منشأ البطلان فیه وفی ما بعده هو عدم قصد الأمر، لا منافاته لتعیین المأمور بهأو کونه مغیّراً لنوعه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لأنّه قصد امتثال الأمر الّذی لم یتوجّه إلیه، وما توجّه إلیه لم یقصد امتثاله،وکذلک فی الفرض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لأنّه لم یقصد الأمر المتوجّه إلیه، وما قصده لیس إلّا أمراً خیالیّاً ولا واقعله، وإلّا فلا یعتبر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لأنّه ما امتثل الأمر الفعلیّ المتوجّه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قصد الأمر المتوجّه إلیه، وکذا فی الفرض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تحقّق قصد الأمر، کما سیأتی منه ـ رضوان الله علیه ـ أیضاً، ومعتحقّقه ولو إجمالاً لا وجه للبطلان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منشأالبطلان فیه وفی الفرض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قصدامتثال الأمرلم یُتوجّه إلیه، وهوالأمر الوهمیّ الّذی لا واقع له، والّذی توجّه إلیه لم یُقصد امتثاله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قصد امتثال الأمر المتوجّه إلیه، وکذا فی الفرض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لم یقصد امتثال الأمر المتوجّه إلیه، وهکذا فی ما بعده، بل وفی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یصحّ؛ لعدم إخلال التقیید المذکور بالتعبّد بالعمل مع کونه مأموراً به 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إنّ الأمر الفعلیّ جزئیّ غیر قابل للتقیید فمرجعه إلی التوصیف، فلایکون مغیّراً للنوع، ومنه یظهر النظر فیما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تأثیر التقیّد بالوجوب والندب محلّ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لا أثر للتقیید من جهة الوجوب والندب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رجع ذلک إلی عدم قصد الامتثالی فعلاً، وإلّا فیصحّ ولو لم یقصد الأمرالخاصّ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اقتصر فی مقام التعلیل علی ذلک کان 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قصد موضوعه، والمعتبر فی عبادیّته قصدهما معاً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للبطلان إلّا إذا رجع إلی عدم قصد الامتثال،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هو منشأ البطلان فیه وفی ما قبله، دون ما تخیّله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لعدم قصد امتثال الأمر الواقعی؛ لأنّ ما قصده بناءً علی التقیید لیس له واقعوصرف تخیّل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قصد الموضوع، واللازم قصد الموضوع والأمر الخاصّ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قصد امتثال الأمر الواقعی،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یُخلَّ بامتثال شخص أمره، وکذا فی تالیه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یفت قصد المأمور به عن أمره، وکذا الکلام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قد أخطأ فی التوصیف وکان من قصده امتثال الأمر الفعلی، وهکذا فیالفروع التالیة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بنحو التقیید، کما مرّ نظیره مراراً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یُخلَّ بامتثال شخص أمره، وإلّا ففیه إشکال، وکذا فی الفرضین الآتیین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صوم الیوم لامتثال أمره واعتقد خطأً أنّه الیوم الأوّل فبان أنّه الثانی أوالعکس، وکذا فی الفرضین اللاحقین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تقیّد الامتثال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ذکر فی المسألة السابقة من التفصیل جارٍ هنا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صوم یوم معیّن بقصد أمره الفعلیّ وأخطأ فی التطبیق، وکذا فی قضاءرمضان إذا قصد سنةً معیّنة وأخطأ فی التطبیق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من باب الخطأ فی التطبیق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من باب الخطأ فی التطبیق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بنحو الخطأ فی التطبیق، لا التقیید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من الخطأ فی التطبیق، وإلّا فیشکل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إلّا إذا قصد القضاء الّذی فی ذمّته وأخطأ فی التطبیق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ذلک إذا کان من باب الخطأ فی التطبیق، وإلّا لم یصحّ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بحیث کان الإمساک عن غیر المفطِرات من باب المقدّمة، لا علی سبیلالاستقلال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مقدّمة للإمساک عن ما هو 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المعلومة 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لو نوی الصوم المشروع الّذی تصوّره إجمالاً وإن لم یعرف کلّ واحد منالمفطِرات کفی إذا ترکها أجمع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قیّد امتثاله بالإمساک عن جمیع ما نواه من مفطِرٍ وغیره فیبطل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أنّ الأقوی عدم البطلان إذا تناول المفطِر جاهلاً بالحکم وهو یریجواز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تفصیل یأتی فی الفصل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صحّة صومه لو کان قاصداً للإمساک عمّا یجب إمساکه، وکان عدمقصده لخصوصه من باب اعتقاده بأنّه لیس بمفطِر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تحقّق القصد إلی الصوم الشرعی یقوّی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لا تخلو من قوّة مع القصد إلی عنوان الصوم بمقوّماته الأصلیّة ولوإجمالاً، کالصوم المأمور به أو المشروع، ولا یضرّ قصد عدم الإمساک عن غیرهاإذا کان علی نحو الاشتباه فی التطبیق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أثر لهذه الملاحظة، وصومه صحیح إذا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تصحیح صومه علی وجه،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علی تقدیر علمه بمفطِرِیّته کان فیقصده الإمساک عنه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قصد الإمساک عن المفطِرات وجعله مرآة للمفطِرات الواقعیّة صحّ صومه،وإن لاحظ فی ذهنه ثانیاً أنّه غیر داخل فیها، وإن جعله من الأوّل مرآةً لِما یعتقدأنّه مفطِر ـ أی لِما عداه ـ لم یصحّ الصوم حتّی فی الصورة الثانیة، ولعلّ مرادهأیضاً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لاحظ الإمساک عمّا عدا تعمّد البقاء علی الجنابة أو الکذب علی الله تعالیفصحّة صومه قویّة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نوی الإمساک عن جمیع المفطِرات بطور الإجمال ولکن طبّق الجمیع علیما عداه فیکون من باب الخطأ فی التطبیق، ولا یضرّ بنیّة الصوم، وهی نیّةالإمساک عن جمیع المفطِرات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تحقّق قصد الإمساک من جمیع المفطِرات إجمالاً لا یضرّ نیّة الإمساک عمّاعدا المفطِر الفلانی باعتقاد أنّه لیس بمفطِر ما لم یرتکبه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نیّة الإمساک عمّا عداه لأجل تخیّل انحصار المفطِر فیه، وکان عدمقصد الإمساک عمّا تخیّل عدم مفطِریّته لأجل هذا التخیّل بحیث لو کان معتقداًلمفطِریّته لقصد الإمساک عنه أیضاً ففی بطلان الصوم نظر،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لحاظه فی الإمساک عمّا عداه من حیث زعمه أنّه غیر مفطِر بحیثلولا ذلک لنوی الإمساک عنه أیضاً فالبطلان محلّ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لا تخلو من قوّة مع القصد إلی عنوان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لا یحصل قصد الإمساک عنه، أمّا إذا حصل ذلک لعدم المنافاة بینالقصدین لاختلاف موضوعهما بالإجمال والتفصیل صحّ، وکذا الکلام فی مابعده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لم یتعلّق قصد القربة به ولو فی ضمن قصد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صحّة صومه إذا قصد عنوان الصوم، ولو قصد الإتیان بما تخیّل أنّهلیس بمفطِر أو قصد الإمساک عمّا عداه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آلَ إلی التبعیض فی الإمساک المعتبر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قصد الإمساک عمّا تخیّل عدم مفطِریّته لا یکون ضارّاً بنیّة الصوم؛لوجود قصد الإمساک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فی أصل نیّته الإمساک عمّا عداه، ویصحّ صومه إذا نوی الإمساک عنجمیع المفطِرات الواقعیّة، ولکنّه اعتقد خطأً أنّ ذلک الشیء لیس منها، وکذاالحکم فی الصورة اللاحقة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علی وجه التقیید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نوی الإمساک عن المفطرات الواقعیّة ولکن تخیّل أنّها هی الاُمور المعیّنةالتی لا یدخل فیها المفطر الکذائی، فجعل ما فی اعتقاده مرآةً إلی الواقع بحیثلو کان معتقداً لمفطریّته لقصد الإمساک عنه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قصد الإمساک عنالمفطرات التی یعتقدها بحیث جعل الاُمور المعیّنة مرآةً إلی معتقداته فلم یندرجالمفطر الکذائی فی ما نواه بطل صومه، سواء لاحظ فی نیّته الإمساک عمّا عداهأم لم یلاحظ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لو علم بکونه مفطِراً لِما نوی الإمساک عنه، والبطلان فی هذه الصورةوإن کان ظاهراً إلّا أنّها خارجة عن مفروض المسألة؛ لأنّه فی ما إذا نویالإمساک عن کلّ ما یتّصف بالمفطِریّة، وفیه یصحّ الصوم مع عدم الارتکاب، وإنلم یعلم بکونه مفطِراً، بل اعتقد عدمه ونوی الإمساک عن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الإمساک عن المفطِر الفلانی ولو 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قصد الصوم الواقعی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یندرج ذلک المفطِر أیضاً فی ما نوی الإمساک عنه لا یبعد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الصوم الواقعی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داخلاً فی ما نواه ولو 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ذلک المفطِر یندرج إجمالاً فی ما نوی الإمساک عنها، وإلّا فالأقویبطلان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کان قصده الصوم الواقعی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دخل الغیر منویٍّ بالخصوص فی المنویّ ولو بنحو الإجمال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اندرج ذلک المفطِر فی ما نواه وإلّا بطل صومه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البطلان ما لم یندرج ذلک المفطِر أیضاً فی ما نوی الإمساک عنه ولوإجمالاً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قصد الإمساک عن کلّ ما یکون مفطِراً بحکم الشارع بحیث یکونقاصداً للإمساک عن هذا المفطِر إجمالاً، ومع هذا الفرض یحتمل الصحّة فی ماقبله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صحّة الصوم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بین هذه الصورة وبین الصورة الاُولی فی احتیاج کلتیهما إلی نیّةالإمساک عن جمیع المفطِرات بطور الإجمال، وإلّا لو لم یندرج فی ما نواه ولوإجمالاً فالظاهر هو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تحقّق القصد إلی الصوم الشرعی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لاحظ الإمساک عنه إجمالاً، وإلّا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وذلک واضح علی کلٍّ من الوجوه المتصوّرة أو المقولة فی باب النیابة منتنزیل الفعل، أو تنزیل الفاعل، أو إضافة الفعل إلی المنوب عنه، أو إهداء الأثرإلیه، او إبراء ذمّته بفعل النائب کالتبرّع بأداء دین المدیون؛ لأنّ الاحتمالات منالاُمور القصدیّة، فلا أثر ولا کفایة بدون القصد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عیّن الفعل المنوب فیه کفی عن نیّة النیابة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الاحتیاج إلی نیّة النیابة، وکفایة إتیان ما وجب علی المیّت قربةًإلی الله، من غیر فرق بین الصوم وسائر العبادات، ولیّاً کان القاضی أو أجیراً أومتبرّعاً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أن یأتی بالصوم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کفایة قصد إتیان ما علی المنوب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التفاته إلی احتمال کونه عن الغیر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غایة الإشکال؛ لأنّ اشتغال الذمّة علی احتمال، ومع لزوم تنزیل نفسه أوالعمل منزلة الغیر وتحقّقه مع التردید فی کون العمل عنه أو لنفسه ربّما یکون غیرمنقول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إذ اشتغال الذمّة المحتملة مع إحدی تلک الوجوه المذکورة فیالنیابة لا تلائم النیابة فی حال تردید الفاعل فی أنّ الفعل له أو لغیره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التفاته إلی جهة النیابة فی الجملة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حصول عنوان النیابة عن الغیر بذلک القصد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یحصل قصد النیابة 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لو کان نائباً تحقّق منه الصوم عن الغیر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لحصول ما هو المدار فی صحّة العمل النیابی، وهو امتثال الأمر الموجّه إلیالمنوب عنه؛ لأنّ مع وحدة الأمر ـ وهو الأمر الموجّه إلی المنوب عنه ـ یکونامتثالاً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یحصل قصد الأمر الفعلی المتوجّه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فی الجملة إلی جهة النیابة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فی إتمام الأمر بالتسالم والضرورة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أنّه یجزی مع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تمشّی قصد القربة منه، ومنه یظهر حکم نیّة قضاء رمضان مع العلموالعمد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الکلام فیه وفی ما بعده فی أوائل هذا الفصل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الإشکال فیه؛ لعدم تمامیّة الدلیل علیه إلّا فی الجملة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أنّ الإجزاء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تجزیه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تجزیه إذا قصده بعنوان وقع تحت النذر، نعم، لا یُثاب ثواب الإیقاع بالنذرما لم یقصد عنوانه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نعم، بناءً علی أنّ الثواب متوقّف علی القصد حتّی منهذه الجهة لا یعطی ثواب الصوم النذری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تجزیه؛ فإنّ الأمر النذری توصّلی، نعم، لا یُثاب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تجزیه مطلقاً إذا کان المنذور غیر مقیّد بعنوان قصدی، وکذا إذا کان مقیّداًبه وقصده، کما إذا کان المنذور هو الصوم قضاءً أو کفّارةً أو شکراً أو زجراً فإنّهمع حصول القید تجزی ولو لم یقصد الوفاء بالنذر، وأمّا إذا لم یقصده فالأظهرصحّة ذلک الغیر مطلقاً وإن لم یتحقّق به الوفاء بنذره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الأقرب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بعدم صحّة صوم غیره الأقوی الصحّة والإجزاء من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تجزیه إذا لم یکن علیه صوم آخر، ولم یکن الیوم مورداً لصوم آخربالخصوص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مع العلم بعدم صحّة صوم غیره فالأظهر الصحّة والإجزاء من النذر؛لرجوعه إلی القصد الإجمالی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مقدّمةً لامتثال شخص أمره، وإلّا ففی الاحتیاج إلی قصد التعیین فی غیرالکلّیّات الذمّیة نظر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ذلک الغیر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وسقط النذر، وکذا مع العلم والعمد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ذلک الغیر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وأجزأه عمّا نواه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نذره، لا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والأظهر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والصحّة غیر بعیدة، وهکذا فی کلّ صوم 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الصحّة عن نذره؛ لِلَغویّة القصد المذکور إذا لم یُخلَّ بقصد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هو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والصحّة 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الصحّة، کما تقدّم منه ـ رضوان الله علیه ـ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أوّلفصل الجماعة فی ما إذا نذر إتیان الصلاة جماعةً فخالف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فی محلّه جواز الإتیان بالنذر من باب جواز الترتّب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الصحّة، ووقوعه امتثالاً لِما نوی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الصحّة لا تخلو من وجهٍ وجیه، فیکون القصد المذکور لغواً ما لم یخلّبقصد 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هذه السنة والماضیة لیسا من غیر المختلفَین فی الآثار، فالأحوط قصدتعیین أحدهما ولو 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وإلّا لا یترتّب علیه الأثر الخاصّ وهو سقوط الفدیة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بملاحظة نفسهما، أمّا بملاحظة ترتّب الآثار فیجب التعیین، بل الأحوط مطلقاًفیهما وفی تالیهما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سعة الوقت؛ لإتیانهما قبل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الوجوب؛ لاختلاف الآثار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والأحوط التعیین، وکذا فی الفرعین التالیَین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إذا بقی فی ذمّته أحدهما إلی رمضان آخر وجبت علیه الفدیة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قطع النظر عن اختلاف الأثر، وإلّا فهو کما تری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فی وجوب التعیین وعدمه اختلاف الآثار وعدمه، فیجب التعیین فیالأول مطلقاً دون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علیه تعیین أنّه من أیّهما؛ لاختلاف الآثار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لا یمکن ترتیب الأثر الخاصّ مثل سقوط الفدیة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الکلام فی ترتیب الأثر الخاصّ، مثل سقوط الفدیة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یختلفا فی الآثار، أمّا إذا اختلفا بأن یکون تأخیر قضاء السنة التی هوفیها موجباً للکفّارة فلابدّ من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لاإشکال فی عدم وجوب التعیین فی صورة عدم اختلاف الآثار، وأمّافی صورةالاختلاف کما لو کان أحدهما مضیّقاً صحّ إن نوی السنة الماضیة، فتجب الکفّارةلرمضان الحالی، بخلاف ما لو نوی السنة الحالیة فلا تجب الکفّارة بالنسبة إلیالماضیة لو أدّاها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الفرض هل یجب أخذ العنوانین أو لا؟ الظاهر العدم،غایة الأمر عدم ترتّب الأمر الخاصّ علیه کسقوط الفدیة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 یحسب من قضاء رمضان السنة التی هو فیها، فتجب علیه الکفّارة إذاأخّر قضاءَه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مختلفی العنوان، وکذا فی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النذران مطلقَین، وأمّا فی نذر الشکر والزجر إذا کانا فی نوعَین وکذافی الکفّارتین إذا کانتا لنوعَین فلا یبعد وجوب التعیین، نعم، لو کانت الکفّارتانلنوع واحد فلا یبعد عدم وجوب التعیین، فمن وجبت علیه کفّارة یومَین من شهررمضان فالظاهر عدم وجوب تعیین أنّها من أیّهما، وأمّا لو کانت علیه کفّارة ظهاروکفّارة قتلٍ خطأً فالظاهر وجوب التعیین، وکذا الحال فی النذر، فمن نذر أنّه لووُفِّق لزیارة مولانا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فصام یوماً ثمّ نذر یوماً آخر لذلک فالظاهر عدموجوب التعیین، وأمّا لو نذر یوماً لصحّته من مرض ویوماً للزیارة فالظاهروجوب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فیهما هو الکلام فی الکفّارتین من لزوم التعیین مع اختلاف النوعوعدمه مع عدمه، کما فی النذر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نَذرَی الشکر والزجر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اتّحاد متعلّقَیهما حتّی بلحاظ العناوین القصدیّة، وإلّا فلا یکفی إلّا معقصدها الملازم مع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فرق بین ما إذا کان النذران مطلقَین، أو کانا نذرَی الشکر أو الزجر أومختلفَین، وفی الشکر والنذر بین ما إذا کانا فی نوع واحد أو فی نوعَین، وکذاالحکم فی الکفّارتین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التعیین إذا کان أحد النذرَین للشکر والآخر للزجر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التعیین فیهما لا یخلو من وجه، وکذا فی النذرَین إذا کانا من نذرَیالشکر أو الزجر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فیهما إذا کانتا لنوعَین فالأحوط فیهما التعیین، نعم، لو لم تکونالنوعَین فلا یبعد عدم لزوم 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فی المختلفَین فلا یجب التعیین فی بعض الصور أیضاً، کما مرّ فی التعلیقةالسابقة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أنّه لا وجه للنذر الثانی بعد انعقاد الأوّل، مثلاً لو نذر أن یصوم عاشررجبٍ ونذر صوم یوم الخمیس الثانی من رجب وکان عاشر رجب فلا موردللنذر الثانی؛ إذ لا فرق بین العبادتین، اللهمّ إلّا أن یکون مقصود الناذر التأکیدوقلنا بصحّة نذر عمل واحد ولو مرّات، وهو بعید، وعلی ما ذکرنا فلا وجه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قصدهما اُثیب علیهما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النذر الثانی محلّ إشکال، بل محلّ منع؛ من جهة عدم کون الصومعنواناً حتّی یکون الفرد المعیّن الخارجیمجمعاً للعنوانین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سلّمتالعنوانیّة فلا موضوعیّة لها حتّی یتعدّد الفرد بتعدّد الموضوع، بل هی مشیرة إلییومٍ خاصٍّ وإمساکٍ واحد، فلا یتکثّر بتکثّر النذر، فعلی هذا لا یبقی مجال للقولبأنّه لو قصدهما اُثیب علیهما، فنذر یوم الخمیس بعینه نذر الیوم المعیّن منالشهر، وإنّما الاختلاف فی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القول بصحّة النذر الثانی فلو قصدأحدهما یسقط النذران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بالوفاء، والثانی بارتفاع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ومعهفالظاهر سقوط القضاء غیر المنوی، وعدم ثبوت الکفّارة أیضاً؛ لعدم تحقّقالحنث، ومنه یتّضح أنّ القول بتعلّق الکفّارة بترک المنذور فی صورة 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کماعن الشیخ الحائری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إذا نذر صوم الیوم الخامس والعشرین من ذی القعدة غیر مقیّد بکونه فیبلد خاصّ، فاتّفق انطباقه علی الخمیس المفروض فی بلده دون بلد آخرلاختلافهما فی أوّل الشهر، وأمّا إذا کان الانطباق ضروریّاً فهو خارج عن محلّکلامه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مثله لا ینعقد النذر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ینعقد النذران إذا کانت لکلّ واحد من موضوعَی النذرَین خصوصیّة تقتضیرجحانه علی الخصوص، کما إذا نذر صوم کلّ خمیس من شعبان ونذر صومالنصف منه فاتّفقا فی یوم واحد، ویجب حینئذٍ قصدهما معاً فی صیام ذلک الیوم؛لیکون وفاءً لهما، وإذا قصد أحدهما وفی به خاصّة، والأحوط التکفیر عنالآخر، وإذا نذرهما لاستحبابهما العام انعقد النذر الأوّل ولغی الثانی، ووجبعلیه قصد ما فی 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حیث یکون کلّ من المتعلّقین ملحوظاً بعنوان الموضوعیّة بالاستقلال،ولکن یشترط حینئذٍ قصدهما معاً حتّی یتحقّق الامتثال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صحّة الثانی إشکال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ینعقد الثانی؛ لأنّ الإمساک الواحد لا یتعدّد، ولیس الصوم عنوانیّاً حتّییقال بأنّ الفرد الخارجی مجمع للعنوانین أو للعناوین، مضافاً إلی أنّ یومالخمیس والخامس من الشهر مثلاً عنوانان مشیران إلی یومٍ خاصّ، ولاموضوعیّة لهما حتّی یقال بتعدّد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قصدهما، وأمّا لو لم یقصد إلّا واحداً منهما فتحقّق الوفاء بالنسبة إلی ماقصد دون غیره، ولا یبعد ثبوت الکفّارة بالنسبة إلی غیر المقصود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نذر الثانی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قصدهما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أنّ صحّة النذرَین فی صورة الموضوعیّة، وعلیها لابدّ من قصدهما،وبدون قصدهما لا ثمرة لهذا الصوم، لا أنّه صحیح، ولکن لا یُثاب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اُثیب علی الأوّل، فإنّ الثانی یقع لغواً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نیّة التقرّب بالوفاء بالنذر، وأمّا بدونها وإن قصده فترتّب الثواب علیه محلّإشکال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وجوب قصدهما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یقصد واحداً منهما اُثیب علی امتثال أمر الصوم وسقط النذران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العنوان المأخوذ فی کلٍّ من النذرَین ملحوظاً موضوعاً لا یبعدوجوب قصدهما، وإن کان ملحوظاً طریقاً إلی الزمان المعیّن بطل النذر الثانیلِلّغویّة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وجوب قصدهما بعد فرض کون قصدهما محصّلاً للوفاء بهما، ولکنالمسألة بعد غیر صافیةٍ عن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 إن لم یقصد واحداً منهما بالخصوص اُثیب علی امتثال أصل الصوموسقط النذران، والأحوط قصدهما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صحّة قصد أحدهما فی الصورة المذکورة، بل لابدّ من قصدهما؛ لأنّالقصد کذلک موجب للوفاء بالنذرَین، بل 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قصد أحدهمادون الآخر وفی بأحد النذرَین وهو المقصود، ولم یَفِ بالآخر وهو غیر المقصود،وفیه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ثبوت القضاء الغیر المنوی والکفّارة إذا تعمّد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سقوط القضاء لغیر المنوی والکفّارة إذا کان عن تعمّد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قضاء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یحصل الحنث بالنسبة إلی النذر الغیر الموفی به حتّی یحصل الحنث أو لافیه إشکال والأحوط الکفّارة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سقوط الآخر بحیث لم یترتّب علیه الکفّارة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المسألة کالسابقة فی بعض الوجوه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یُثاب علی الخصوصیّة أیضاً، والأمر سهل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یجوز ویسقط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ویصحّ عن نذره؛ لأنّ الصوم لا یتعنوَن من ناحیة الأیّام، أو عُلّلالوجوب عنواناً قصدیّاً دخیلاً فی قوام الصوم شرعاً، فقصد صوم یومٍ من أیّامالبیض قصد للصوم الّذی تعلّق به الأمر النذری بلا إشکال، ولیس الوفاءبالنذر إلّا الإتیان بالمنذور، نعم، عدم تمشّی قصد القربة من العالِم بالنذرأمر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کفایة قصد صوم الیوم المعیّن عنهما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تکلیفاً ووضعاً؛ لِمَا مرّ من أنّ الوفاء بالنذر لا یتوقّف علی قصدعنوانه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ولا یکون الجواز خالٍ من الوجه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علی مسلکه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تکلیفاً، وأمّا وضعاً فقد مرّ حکمه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 فیها أیضاً حکم ما لوقصد الصوم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لا یعتبر فی الوفاء بالنذر قصد ذلک العنوان، بل یکفی الإتیانبمتعلّقه فی سقوط أمره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تکلیفاً، وأمّا بحسب الحکم الوضعی فیعلم حکمه ممّا مرّ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لو قصد الصوم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 مضیّقاً، کما هو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کان زمانه مضیّقاً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مضیّقاً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فی بعض فروضه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وقت للنیّة شرعاً، بل المعیار حصول الصوم عن عزمٍ باقٍ فی النفس ولوذهل عنه بنوم وشبهه، ولا فرق فی حدوث هذا العزم بین أجزاء لیلة الیوم الّذییرید صومه أو قبلها، فلو عزم علی صوم الغَدِ من الیوم الماضی ونام علی هذاالعزم إلی آخر الغد صحّ صومه علی 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 النیّة هو العزم علی الصوم والإرادة الارتکازیة علیه، ولو ذهلعنه بنوم أو شبهه کما هو الظاهر فلا وقت لها، بل الملاک هو حصوله من أوّلطلوع الفجر عن ذلک العزم وتلک الإرادة، ولا فرق بین أزمنة حدوثها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قبله فی الجملة علی الأحوط أو الأقوی، بحیث یطلع علیه الفجر وهوممسک مع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أنّه لابدّ من حدوث الإمساک عنده مقروناً بالعزم ولو ارتکازاً، لا بمعنیأنّ لها وقتاً محدّداً شرعاً، وهذا الحکم مبنیّ علی الاحتیاط اللزومی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استمرارها ولو ارتکازاً إلی طلوع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استمرار الداعی ولو ارتکازاً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إجمالاً إلی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استمرار العزم علی مقتضاها إلی طلوع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استمرارها إلی طلوع الفجر الصادق حقیقةً أو حکماً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فعلها أیضاً مع استمرار الداعی ولو ارتکازاً إلی طلوع الفجر وإلی آخرالیوم، ولا ینافی الارتکاز الغفلة والنوم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بینها وبین ما قبلها من الزمان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یجدّد النیّة قبل الزوال إذا لم یتناول مفطِراً، والأحوط وجوباً قضاء الیوم إذاکان الواجب ممّا یجب قضاؤه، ولا فرق بین جاهل الحکم وجاهل الموضوعوناسیهما وناسی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الجواز صار محلّ الإشکال عندهم، وعلیه یحتاط بالجمع بین الصوم فیالوقت والقضاء خارجه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والأحوط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یصحّ، لکن لا یجوز له التأخیر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تذکّر بعد الزوال یحتاط بالإمساک إلی آخر الیوم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لکن لا یُترک الاحتیاط بإتمامه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إلی العصر فی وجه قویّ، إلّا أنّ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ذهاب علامة النهار فی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امتداد وقتها إلی العصر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حقّ من یصحّ منه تجدید النیّة، کالناسی ونحوه، ولکن فی النفس شیءبالنسبة إلی المعیّن، فلا یُترک الاحتیاط بالإمساک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مفتی الشیعة، السیستانی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یمتدّ إلی العصر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بحیث تقع النیّة قبل الجزء الأخیر من الیوم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تقع النیّة قبل الجزء الأخیر من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إلی زمانٍ یبقی من النهار ما یقترن فیه الصوم بالنیّة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الواجب غیر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اللیل، وأمّا إن نوی الإفطار فی الیوم فیشکل الحکم بالصحّة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فی ما إذا أمسک جزءاً من النهار مع النیّة خصوصاً فی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المسألة فی موردٍ قلنا بصحّة تجدید نیّته إلی قبل الزوال، کالناسیوالجاهل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عدم الصحّة فی الفرض المذکور، نعم، لو لم ینوِهِ لیلاً ولم یمسکجزءاً من النهار عن نیّة الصوم، بل أمسک بلا نیّة ثمّ بدا له الصوم قبل الزوال فنواهیصحّ صومه، کان ناویاً للإفطار قبله،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غیر المعیّن، وأمّا فی المعیّن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البطلان فی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الواجب المعیّن، وفی المعیّن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المعیّن لا یخلو من إشکال، فالأحوط الإمساک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بذلک الواجب غیر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الصوم مندوباً أو واجباً غیر معیّن، وإذا کان واجباً معیّناً بطل صومه معالعمد، وإذا کان ناسیاً للواجب أو الحکم أو جاهلاً بهما صام یومه وقضی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التفصیل بین الواجب المعیّن وغیر المعیّن، فیصحّ فی الثانی دونالأوّل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ما سبق الحکم فیه بالإجزاء مع تأخّر النیّة بمعنی العزم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وهو غیر مبطل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منه العجب فکونه مبطلاً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عدم الإجزاء إشکال، بل له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الإجزاء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الاصفهانی، محمّد تقی الخونساری، الکوه کَمَری، الخمینی، محمّد رضاالگلپایگانی، الأراکی، حسن القمّی،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لعلّه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الأقوی، وقد حکم الماتن بالبطلان فی نظیر المقام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لیس بصائم حتّی یفطر، بل عازم علی الصوم من الفجر، ولا یضرّه تناولالمفطِر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کأنّ هذه المسألة أو بعض فروعها مبتنیة علی کون النیّة بمعنی الخطور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لازم عند مَن یری الإخطار لازماً، وإلّا فعلی القول بکفایة الداعی لامسرح لهذه المسألة وما یضاهیها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مبتنیة علی کون النیّة بمعنی الإخطار، وقد مرّ خلافه، وعلیهفاللازم هو حصول النیّة عند طلوع الفجر من کلّ یومٍ بقاءً أو حدوثاً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لهذه الأولویة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 ما بعده نظر؛ لأنّ العبرة فی النیّة بالعزم علی الصوم ووجوده ولوارتکازاً حاله بتفصیلٍ قد مرّ، ولا یعتبر فیها الالتفات التفصیلی الّذی هو القابلللتجدید مع وجود العزم الارتکازی علی صوم جمیع الأیّام، ولا فرق فی ماذکرناه بین صوم رمضان وغیره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الاجتزاء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العزم علی مقتضاها عند طلوع الفجر فی کلّ یومٍ، وإلّا فالأقوی عدمالاجتزاء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کفایة الداعی مع فرض البقاء علی مقتضاها فی الجملة یصحّ،ولا مجال للأولویّة، ولا للاحتیاط المذکورین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علی لزوم الإخطارفللأولویّة 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کفایة نیةٍ واحدةٍ للشهر کلّه فمحلّ إشکال؛ لعدم الدلیلالواضح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البقاء علی مقتضاها فی الجملة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أثر لهذا الخلاف بناءً علی أنّ النیّة هی الداعی، وهو المختار؛ فإنّ نیّة الشهرکلّه إنّما تکفی مع استمرار العزم علی مقتضاها حال الصوم، وإذا انتفی العزم بطلالصوم، ومعنی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لابدّ من النیّة لکلّ 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استمرار حکمها، ومعه لا فرق بین المعیّن وغیره، ومع عدم الاستمرار لایجتزی بها علی الأحوط، بل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غیر لازم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لعلّه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لکلّ یوم أن یکون الإمساک فیه قریباً، فلا معنی لتجدید النیّة لکلّ یوم إذاکان الداعی القربی موجوداً فی الخزانة، کما أنّه لا معنی لکون التجدید موافقاًللاحتیاط إذا لم یکن موجوداً، بل یجب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 صوم رمضان وصوم غیره فی ذلک إذا کان الوجوبفعلیّاً، من دون فرق بین أن یکون مجموع الشهر مثلاً واجباً بسبب واحد أوأسباب متعدّدة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اللابُدّیّة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کشهر رمضان یکفی فیه نیّة واحدة مع استمرار الداعی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لزوم تجدید النیّة لکلّ 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ارتکازاً، بلا فرقٍ بینه وبین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قلبها إلی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عدم اعتبار نیّة رمضان فی وقوع الصوم منه، نعم، یلزمه رفع الید عنالنیّة السابقة؛ لأنّ استدامتها تشریع 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الصحّة لا تخلو من قوّة، والأحوط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بنحو القطع، أمّا بقصد الرجاء فلا مانع من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صام علی طریق البتّ والجزم، وأمّا لو کان صیامه من باب رجاء رمضانفلاحتمال صحّة صومه مجال واسع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مع الجهل بالموضوع أو الحکم فلو صام بنیّة شهر رمضان صحّ صومه إنتبیّن ذلک کونه من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تعیین هذا الوجه، والبقیة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أنّ الصحّة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یکون التردید فی النیّة، لا فی المنوی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الصحّة، ویقع لما صادف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وقوع المصادف وصحّته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البطلان نظر؛ للشکّ فی اندراجه فی دلیل بطلان الصوم بقصد الرمضانیةفی یوم 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الصحّة، ویجزی من رمضان لو تبیّن کون الیوم من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بل الأقوی الصحّة لو نوی صوم یوم الغد فقط بلا عنوان، ولعلّمرجع ما أفاده من الوجه الرابع الّذی حکم بصحّة الصوم فیه إلی هذا، فلا یتوجّهعلیه ما أفاده بعض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الأقوائیّة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صحّته لا تخلو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بل لا تبعد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مهدی الشیرازی، أحمد الخونساری،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الصحّة فی خصوص هذا الفرع ولو کان التردید فی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لا یبعد الصحّة لو تحقّق منه قصد صوم الغد علی کلّ 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صحّته، ولو انکشف أنّه من رمضان أجزأ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الصحّة لا تخلو من وجهٍ إن حصل منه قصد صوم الغد علی کلّتقدیر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بقصد الأمر الفعلی إذا لم یکن علیه صوم واجب، أو کان الواجب من نوعواحد غیر متعدّد، وإلّا لزم أن یراعی إمکان الانطباق علی واحد معیّن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یکن فی ذمّته واجب آخر، وإلّا نوی صوم هذا الیوم علی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علیه واجب آخر کفاه نیّة صوم الغد مع التقرّب، من دون حاجةإلی قصد ما فی الذمّة، وإن کان علیه واجب آخر فالفرض الرابع محلّ إشکال،سواء کان ما علیه واحداً، أم متعدّداً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فی ذمّته واجبات متعدّدة أو عینیّة بوجهٍ لا ینطبق إلّا علی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علیه صوم واجب، وإلّا فیقصد الأمر المتعلّق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الإتیان بقصد الرجاء من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لقصد ما فی الذمّة إن لم یکن علیه واجب آخر؛ إذ المستحبّ لایتعلّق بالذمّة، بل لا حاجة إلیه، فیکفی نیّة صوم الغد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مشغول الذمّة بصوم واجب، وإلّا فیقصد صوم الغد لأمره المتعلّق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بهذا القصد لو کان فی ذمّته واجب آخر، وإلّا فیکفی قصد الأمرالفعلی المتعلّق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 لا یعتنی اعتناءً موجباً للتزلزل فی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الأقوائیّة إشکال إن لم یکن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أقوی نظر،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کونه خلاف الاحتیاط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 خلافه أحوط،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الوجوب نظر، والرجحان لا شکّ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بقصد ما هو علیه فی الواقع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الأقوی خلافه، وأجزأه عن رمضان؛ لأنّه یوم وفّقلصومه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فیه تجدید النیّة، والإتمام رجاءً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فیه تجدید النیّة، والإتمام رجاءً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وصام یومه ثمّ قضاه،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الحکم بالإجزاء فی غیر مورد النصّ مشکل، فلا یُترک الاحتیاط فیأمثال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إن لم یکن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ینبغی فی المقام أیضاً أن تحتاط، کما مرّ منه فی نظیره،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جدّد النیّة قبل الزوال أجزأه،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 هذه الصورة تجدید النیّة وقضاء ذلک الیوم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الإجزاء،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الإجزاء فی فرض تجدید النیّة لاسیّما قبل الزوال مبنیّ علی 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لخصوصیّة فی الفرض دون الفرض الآخر، ومع ذلک لا یمکن الحکمبالإجزاء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ینوِ قطع ذات الصوم مطلقاً ولو کان من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یصوم یومه ویقضی،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 نیّة القطع صحیح، وأمّا نیّة القاطع فلیست بمفطِرة علی الأقوی، وکذاالحال فی الفرع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 الفرع الآتی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هو نیّة الإفطار بعد نیّة الصوم، لا النیّة من ابتداء النهار، وسیأتی تفصیلالحکم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ومضی زمان خالٍ عن النیّة، وأمّا بدونه فالأقوی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عدم الانعقاد فیه وفی ما بعده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لعلّه ینافی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الانعقاد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علیه صوم ذلک الیوم وقضاؤه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وکذا فی الفرع التالی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وللصحّة وجه وإن لم یتب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الأقوی خلافه وأجزأه عن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فالأقوی وجوب الإتمام بقصد شهر رمضان، نعم، الأحوط قضاوهأیضاً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نوی قطع ذات الصوم ولو کان من شهر رمضان، وأمّا لو نوی قطع الصومالماضی ففی البطلان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صحّة صومه، والأحوط قضاؤه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أیضاً تأمّل من جهة التشکیک فی شمول دلیل التجدید لأمثال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والأوجه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بل لا یبعد الصحّة؛ إذ مع الجهل بکونه من رمضان وقت النیّة باقٍ إلیالزوال لو کان ممسکاً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الاحتیاط بالإمساک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فالأحوط الإتمام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عصیان فی الواقع بعد تبیّن عدم الأمر بالمعیّن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نحو التجرّی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الانعقاد فی الصورتین لا یخلو من قوّة، وإن کان 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علیه صوم ذلک الیوم وقضاؤه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تجدید النیّة وإن کان الانکشاف بعد الزوال، بل یجزی ولو لم یعلمإلی الغروب، ویکون من باب الاجتزاء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الأقوی عدم بطلانه بنیّة القاطع وإن کانت مستلزمة لنیّة القطع تبعاً،نعم، لو نوی القاطع وتوجّه إلی الاستلزام ونوی القطع استقلالاً بطل علیالأقوی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متوجّهاً إلی استتباعها نیّة القطع، وأمّا لو لم یتوجّه إلی هذه الملازمةفالصحّة فی نیّة القاطع لا تخلو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المفطِر مع الالتفات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تبعد الصحّة، والقضاء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نیّة القطع، أمّا نیّة القاطع فالأقوی عدم البطلان؛ لوجود نیّة التقدیری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وکذا فی الفروع التالیة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فی نیّة القاطع محلّ إشکال، بل منع، إلّا إذا رجع إلی نیّة القطع ونواهمستقلّاً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جدّد النیّة قبل الزوال صحّ، والأقرب الصحّة أیضاً لو نواهما فی ما یأتی،والاحتیاط بالقضاء فیه لا ینبغی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نیّة القطع فی زمان متأخّر أو الإتیان بالقاطع لیست من المفطِرات ما لم یقطعولم یتناول 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منافیاً لنیّة الصوم فعلاً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 ما یأتی، والأحوط التجنّب عنه، والجمع بین الإتمام وبینقضائه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یصحّ إذا کان فی ما یأتی، فالمدار فی البطلان علی خلوّ الصوم عن قصدالقربة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منافاة ذلک للنیّة فعلاً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ینافی نیّة الصوم فعلاً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وجه یخلّ بنیّته ولو رجائیاً، وإلّا فلا بأس به؛ للاکتفاء به فی مقامالامتثال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تردُّدٍ فی إطلاقه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کونه قد احتاط فی البقاء علی نیّة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کان من مجرّد الشکّ فی الصحّة والفساد، وکان أقصی ما یستتبعه هوالعزم علی رفع الید عن إتمامه علی تقدیر ظهور فساده، أمّا إذا استتبع ذلک تردّداًفی البقاء علی الصوم وعدمه فعلاً قبل أن یتبیّن فساده فالظاهر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عدم تردّده فعلاً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یحصل له تردّد فی العزم علی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یستتبع الشکّ فی البطلان تردّداً له فعلاً فی رفع الید عن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یستتبع ذلک تردّداً فی الصوم قبل أن یسأل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موجباً لتردّده فی أصل نیّة الصوم، وإلّا فالظاهر هو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یورِث الشکّ فی عروض المبطل تردّداً له فی رفع الید عن ذلک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یتردّد فی رفع الید عن الصوم فعلاً من جهة الشکّ فی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یوجب ذلک له تردّداً فی البقاء بالفعل علی الصوم، وإلّا بطل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یستلزم هذا الشکّ التردّد فعلاً فی رفع الید عن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متردّداً فی بقائه علی الصوم وعدمه فعلاً، أی قبل ظهور فساده،وإلّا کان محکوماً بالبطلان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بالبطلان فی ما إذا رجع إلی نیّة الصوم مبنیّ علی الاحتیاط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الجزم باختصاص الحکم به وعدم جریانه فی المعیّن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عدم الاجتزاء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المندوب یصحّ لو رجع قبل الغروب، علی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توطین النفس علی ترک المفطِرات، أو غیرها من الوجوه المحتملة أوالمقولة، ثمّ عدم وجوب معرفة ذلک حیث لم تعتبر الموافقة التفصیلیّة فی صحّةالعبادات، وإلّا فتلک المعرفة ممّا لابدّ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الواجب الغیر المعیّن لو نوی الصوم قبل الزوال ثمّ نوی القطع أوالقاطع ثمّ نوی صوماً آخر قبل الزوال مع عدم الإتیان بشیءٍ من المفطِرات صحّ،وکذا فی الصوم المندوب إلی قبل الغروب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صحّ القصد فات وقت التجدید، فیجوز العدول ویصحّ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 معیّن منعقد عند طلوع الفجر، ومن غیر معیّن منعقد إلی الزوال، ومنمندوب منعقد إلی الغروب، وهکذا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عدل من صوم إلی صوم آخر بطل الصوم المعدول عنه، وحینئذٍ فإذا نویالصوم المعدول إلیه وکان وقت نیّته باقیاً انعقد، وإلّا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أحدهما غیر متقوّم بقصد عنوانه، ولا مقیّداً بعدم قصد غیره إن کانمقیّداً بعدم وقوعه، وذلک کصوم شهر رمضان علی الأقوی، وهکذا المندوبالمطلق فإنّه مقیّد بعدم وقوع الغیر فحسب، فمثلاً إذا نوی صوم الکفّارة ثمّ عدلعنه إلی المندوب المطلق صحّ الثانی؛ لفساد الأوّل بالعدول عنه، کما أنّه لو نویالمندوب المطلق أوّلاً ثمّ عدل إلی الکفّارة وقع الأوّل دون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من باب العدول القهری التعبّدی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وقتها موسّع لغیر العالِم به إلی قبل الغروب لا یَرِد علیه إشکالالعدول بعد الزوال، وقد مرّ منه کفایته، ولا یخفی أنّها لا تکون من باب الإجزاءکما قیل، کما هو الحال لو علم بعد الغروب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من باب العدول، وإنّما صحّ لدلالة الدلیل علیه، فیقتصر علی مورده،وفی ما أفاده نظر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التعلیل إشکال، مع أنّه منافٍ لِما مرّ من عدم الاختصاص بما إذا تبیّن قبلالزوال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التعلیل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بل‌لأنّه یوم وفّق لصومه؛ولذاصحّوإن لم یلتفت إلی الغروب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أنّه یجزی، ولو یعلم إلی الغروب، وعلیه فهو من باب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جواز التجدید بعد الزوال أیضاً، والظاهر أنّه من باب اکتفاء الشارع بماحصل تسهیلاً علی المکلّفین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جهة أنّ نیّة الخلاف من غیر العالِم لا تضرّ بوقوع الصوم من رمضان،فیقع منه ولو التفت بعد الزوال أو لم یلتفت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أنّه یجزی ولو لم یعلم إلی الغروب، وعلیه فهو من باب الاجتزاء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لأنّه یوم وفّق لصومه؛ ولذا یصحّ وإن لم یلتفت إلی آخر شهر رمضان، بلإلی الأخیر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لا ینافی تحقّق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یتمّ هذا التعلیل فی ما إذا کان التبیّن بعد الزوال؛ إذ لا فرق فی صحّته منرمضان بین التبیّن قبل الزوال أو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التعلیل علیل، والأقرب إلی الصواب أن یعلّل بأنّ العدول خلاف الأصل،فیقتصر علی مورد النصّ، وهو الّذی أشار إلیه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نیّة شعبان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التعلیل غیر متین؛ لعدم جریانه فی ما لو کان التبیّن بعد الزوال، مع ماعرفت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جوازه ثابت فی ما بعد الزوال أیضاً، فهو لیسمن باب العدول، بل من جهة الإجزاء وإن لم یلتفت أصلاً حتّی بعد الزوال، فالأولیالتعلیل بأنّه مستفاد من الأخبار؛ لمکان تسهیل الأمر علی المکلَّفین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یتمّ هذا بعد ما مرّ من أنّه لا فرق فی هذا الحکم بین أن یتبیّن الواقع قبلالزوال أو بعده، نعم، لعدم کونه من العدول وجه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الأمر کذلک لزم عدم شمول الحکم لِما تبیّن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 لا فرق فی المقام بین قبل الزوال وبین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وإلی ما بعد الزوال قبل الغروب، نعم، هو لیس من العدول، بل من بابالاجتزاء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من جهة أنّه یوم وفّق له شرعاً وإن لم یلتفت إلی ما بعد الزوال، بل وإن لمیلتفت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یجب تجدید النیّة بعد التبیّن ولو کان بعد الزوال، فافهم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ما بعده، کما سبق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زمان التبیّن وإن کان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الأمر کذلک، وإلّا لم یکن الحکم شاملاً لصورة التبیّن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تجدید النیّة وإن کان الانکشاف بعد الزوال، بل یجزی ولو لم یعلمإلی الغروب، ویکون من باب الاجتزاء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فرضه من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عدّ ابتلاع ریقه لا 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مع العلم بالاشتمال الاجتناب ولو مع الاستهلاک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 محلّ تأمّل؛ لأنّ تحقّق الاستهلاک فی جنسٍ واحدٍ محلّ نظر، نعم، إذااستهلک استهلاکاً عرفیّاً علی وجهٍ یصدق علیه أنّه ریقه فلا یبطل صومهبابتلاعه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فی تحقّق الاستهلاک مع اتّحاد الجنس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وجه یصدق أنّه ریقه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تحقّق الاستهلاک مع اتّحاد الجنس إشکال، فالأحوط أن لا یبتلعه حتّییصدق علیه أنّه ریقه لا غیر، وکذا فی السواک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یصدق علیه الریق الخالص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وجه یصدق علیه ریقه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اقتضاء العادة دخول البقایا فی حلقه، لا یخلو لزوم التخلیل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جریان العادة بدخول فضلة الطعام فی حلقه الأحوط لزوم التخلیل، ومنالمعلوم أنّ أفراد الصائمین بالنسبة إلی هذا المعنی مختلفون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الاحتمال ضعیفاً لا یعتنی به العقلاء، أو شکّ فی أنّ احتماله ممّا یعتنیبه العقلاء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لو اطمأنّ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اطمأنّ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اطمأنّ بحسب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اطمأنّ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کان مظنّةً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أنّ الأحوط هو البطلان علی فرض عدم الدخولأیضاً؛ لمنافاة ذلک العلم نیّة الصوم علی فرض مبطلیة الدخولکذلک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یبطل ولو مع عدم الدخول؛ إذ ترک التخلیل مع العلم المذکور یفسد 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ولو لم یدخل لأجل الخلل فی نیّته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اُشکل علیه نیّة الصوم بدون التخلیل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یبطل صومه وإن فرض عدم الدخول فی الحلق، نعم، مع فرض الدخولتجب الکفّارة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وتشکل الصحّة علی فرض عدمه أیضاً؛ من جهة أنّه مع هذا العلم کیفیتمشّی منه نیّة الإمساک عن المفطِرات؟ ویأتی منه ـ رضوان الله علیه ـ عدماستبعاد ذلک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المفطِرات المذکورة، ما عدا البقاء علیالجنابة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إذا اطمأنّ بأنّه یؤدّی إلی ذلک، أو احتمله احتمالاً یعتنی به العقلاء،فیجب التخلیل علی الأحوط، ویبطل صومه عن فرض الدخول علی الأحوطکذلک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فرض عدمه الحکم بالصحّة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یشکل علیه نیّة الصوم مع الالتفات إلی کونه مفطِراً، فیحکم ببطلانه ولو مععدم الدخول فی ما یکون الإخلال بالنیّة مبطلاً له، وقد مرّ تفصیله، راجعالتعلیقة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یؤثّر الدخول فی وجوب الکفّارة إذا کان الصوم ممّا تجب الکفّارةبالإفطار، فیه وسیجیء بیانه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یخرج فی کثرته عن الحدّ المألوف، کما فی المبتلین ببعض الأمراض،فالأحوط عدم ابتلاع الزائد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کون الاجتماع علی خلاف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فی مورد اقتضاء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یجوز ابتلاع ما یخرج من الصدر دون ما ینزل من الرأس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الإصطهباناتی، 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جواز ترکه فی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 الإمساک عنه لا یخلو عن القوّة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لزوم ترک الابتلاع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جواز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القول بعدم البأس فیه أیضاً، 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تلقیح المواد الغذائیّة أو الدوائیّة إشکال، خصوصاً فی الاُولی، فلا یُترکالاحتیاط البتّة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ترک تزریق الأدویة والأغذیة، بل فی الثانی لا یخلو من وجه 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یقوی خلافه إن حصل به التغذّی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ما یرد إلی الجوف من الأدویة والأغذیة بالتزریقات المعمولة بالأکلوالشرب لا یخلو من قوّة، خصوصاً بالتزریق الوریدی، نعم، فی العضلی منهتأمّل سیّما إذا کان التزریق فی أواخر النهار، وسیّما إذا کان للتقویة والتغذیة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تجرِ عادته علی التغذیة به کما فی اللقاح المغذّی فالأحوط الاجتنابعنه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إلحاق ما یدخل فی المعدة من الغذاء أو الأدویة بوسیلة بعض الآلات،بل لا یُترک الاحتیاط فی ما تعارف فی هذه الأزمنة من الإبَر المقوّیة أو المغذّیة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فی مثل ما تعارف فی زماننا من بعض التزریقات القائم مقام الأکلوالشرب والمؤثّر أثرهما، بل ربّما یکون أشدّ الأحوط بل الأقوی الترک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یدخل الحلق أو المعدة ولو بالتطعیم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ترک ما تعارف فی زماننا من تلقیح موادّ الأدویة والأغذیة الّذییکون تأثیره فی البدن أقوی بمراتب من الأکل والشرب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لزوماً الاجتناب عن تلقیح مواد الأدویة والأغذیة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له مفعول الغذاء، کالمغذّی المتداول فی عصرنا الّذی یزرق بالإبرةفی الورید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ینبغی ترک الاحتیاط فی ما یدخل الجهاز الهضمی من غیرطریق الحلق إذا لم یصدق علیه الأکل أو الشرب، وأمّا مع صدقه کما إذا أحدثمنفذاً إلی الجوف من غیر طریق الحلق لإیصال الغذاء إلیه فلا إشکال فی تحقّقالإفطار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مع فرض وصوله إلی الحلق أو المعدة، ومثله إدخال المائعبالإبرة تحت الجلد أو الورید المعمول فی هذا الزمان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ترک کلّ ما یدخل بالحلق أو المعدة علی وجهٍ یصدق علیه الطعاموالشراب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تزریق الموادّ الدوائیّة أو الغذائیّة بالإبرة المتداولة فالظاهرجوازه؛ لعدم صدق الأکل والشرب، والأحوط ترکه، خصوصاً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لا یضرّ ما تعارف فی زماننا من تلقیح الأدویة لعین تلک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یصل إلی حلقه فیدخل إلی الجوف من طریق الحلق، وإلّا فالأحوط إنلم یکن أقوی أنّه موجب للبطلان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البطلان بما یصل إلی الجوف وإن لم یصدق علیه الأکل والشرب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اللقاح المغذّی الأحوط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بزرق الإبرة فی العضلة أو فی العرق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إذا وصل الغذاء إلی الجوف بطریق منفذ حادث، کالذی یجعله الأطبّاءلإیصال الغذاء ولو موقّتاً، والأحوط اجتناب ما یصل بطرق التغذیة الاُخریالمعروفة من إبرة ونحوها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وضوح هذا بمثابةٍ یستغنی عن ذکره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البهیمة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دُبُر الاُنثی علی الأقوی، وفی دبر غیرها الأحوط لزوماً، وکذا فی البهیمةموطوءةً أو واطئة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الحکم فی الإیلاج فی الدُبُر مبنیّ علی الاحتیاط؛ لعدم وفاء الدلیل،کما أنّ الأمر کذلک بالنسبة إلی الإیلاج فی دبر الغلام، وبالنسبة إلی البهیمة واطئةًکانت أو موطوءة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وجوب الغسل فیه، وقد تقدّم فی مبحث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تحقّق الجنابة بذلک، وکذا فی الفرع التالی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صدقت الجنابة به وبما بعده ووجب الغسل بهما، وهو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فیه وفی ما بعده مبنیّ علی تحقّق الجنابة بهما والاعتبار فی الجمیعإنّما هو بتحقّقها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مفطِریّة وطئ الغلام والبهیمة مع عدم الإنزال، حتّی بناءً علیعدم موجبیّتهما للجنابة، ولکنّ فی المفطِریّة إذا کانت هی الواطئة إشکالاً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وکذا فی وطئ دبر الذکر للواطئ والموطوء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مفتی الشیعة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البطلان بمطلق الدخول فی مقطوع الحشفة، بل لا یخلو ذلک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للتقدیر المذکور، ومقتضی الاحتیاط ترتیب الأثر علی مطلق الدخولوالإیلاج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باب الجنابة أنّ الاکتفاء فی مقطوع الحشفة بالمسمّی لا یخلو منقوّة، وأنّ فی مقطوع بعض الحشفة لا یبعد أن یکون المدار علی غیبوبة تمامالمقدار الباقی منها، ومنه یظهر حکم الفرع البعدی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أنّ الأقوی عدم اعتبار دخول المقطوع بمقدار الحشفة، بل الآثارمترتّبة فیه علی مسمّی الدخول وإن لم یکن بمقدار الحشفة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 الإدخال من مقطوع الحشفة بأقلّ من ذلک فالاحتیاط لا یُترک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مفطِریّة دخول مقدار الحشفة من مقطوعها محلّ تأمّل، بل الأظهر العدم، بلالمفطِر حینئذٍ دخول تمام الباقی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فیه صدق الإیلاج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البطلان فی مقطوع الحشفة بمسمّی الإدخال ولو قلیلاً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دخول الحشفة، وإلّا فیبطل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مبطل بلا ریب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الفرض غرابة، إلّا أن یرجع إلی مقطوع الحشفة، ویراد بکونه ملتویاًمنکمشاً فیتوجّه الحکم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صدق الجماع فی مقطوع الحشفة، أو دون دخول الحشفة مع عدم قطعهافالحکم هو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یصدق علیه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یبطل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أو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الاحتیاط، هذا إذا کان بدون إدخال الحشفة، وإلّافالأقوی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صدق علیه الجماع فالظاهر هو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یبطل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یصدق علیه الجماع، وإلّا فمشکل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وعالماً بأنّه 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إذا کان حین قصده ملتفتاً إلی کونه مبطلاً للصوم علی إشکال فیهأحوطه ذلک، وأمّا مع عدم الالتفات إلی ذلک فالأقوی هو الصحّة، وکذا قصدالإدخال وغیره ممّا سیأتی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التفاته حین قصده إلی مفطِریّته، وإلّا لم یبطل، وکذا فی ما یأتی من قصدالإدخال والإنزال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إذا لم یکن ملتفتاً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التوجّه إلی قاطعیّته ومفطِریّته، وتقدّم منّا کلام فی مسألة نیّة القاطع،فراجع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العلم بکون قصد المفطِر مفطِراً، کما سیأتی منه ـ رضوان الله علیه ـالتصریح به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بکونه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حین العمل ملتفتاً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الالتفات إلی أنّ الإنزال مفطر، والعلم بکون قصد المفطِر مفطِراً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التفصیل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البطلان إن لم یُنزِل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الإبطال مع عدم الإنزال غیر معلوم، ولا سیّما مع عدم الالتفات إلی کونه مفطِراً لوفرض أنّه مفطِر ولیس المفطِّر إلّا الإیلاج فی أحد الفَرْجَین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الصحّة فیه لا تخلو من قوّة، والأحوط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تقدّم فی فصل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الالتفات إلی أنّه مفطِر، وعلیه یتّسع الفرض، بل ولو اعتقد ذلک خطأً،وعلیک بحفظ ذلک حتّی یظهر لک حکم بعض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غیر بعیدة، وکذا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التفصیل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 اقتضائه البطلان، راجع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إذا لم ینزل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ومع قصده ما لم ینزل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مع عدم الإنزال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مَقسوراً علی الفعل من غیر إرادة منه، والفرض ممکن فی الموطوء بل وفیالواطئ، کما إذا أدخلت المرأة آلته غیر مختار، ویبطل الصوم بالجماع باختیارهوإن کان بإکراه من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الفعل واقعاً علی الشخص بلا إرادة منه أصلاً، کما لو اُوجر فی حلقه أورمس رأسه فی الماء ونحو ذلک فهذا هو ضابط المقهوریة والخروج عنالمفطِریة ولو کان یصدر عنه بإرادته، لکن یحمله علیه من لا مناص له عناتّباعه فهذا هو ضابط الإکراه المسوّغ للإفطار، ویلزمه قضاوه، ولا یخفی أنّفرض القهر علی الجماع إنّما یستقیم فی المرأة دون الرجل بحسب 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أنّ هذا لا یتحقّق فی حقّ الرجل إلّا بفعل الغیر، لا مجرّد حملالغیر إیّاه علی الادخال المسوّغ للإفطار خوفاً منه، ویلزمه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مقهوراً علیه بلا إرادة منه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صدر باختیاره ولو کان عن إکراه فالأظهر فیه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ما لو کان مکرهاً، ولکنّ الفعل صدر عن اختیاره فإنّه یبطله علیالأقوی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التفصیل فی الفصل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کان صادراً عن اختیاره ولو کان مکرهاً فالأظهر البطلان، ولزوم القضاءوإن لم یکن محرّماً تکلیفاً فی صورة الإکراه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المکرَه إذا صدر منه الفعل عن اختیاره ورغبته یحکم ببطلان صومه وعلیه قضاؤه،وأمّا إذا وقع الفعل منه بلا إرادةٍ أصلاً فهو مقهور مرفوع عنه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الالتفات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إذا لم یکن ملتفتاً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لیس بمبطل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بمفطِریّته،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الإلتفات إلی کونه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الحکم فی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تحقّق البطلان بمجرّد نیّة المفطِر ما لم یرتکبه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إلی قاطعیّته ومفطِریّته، فراجع کلامنا فی مسألة نیّة القطعوالقاطع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قصد المفطِر لا یکون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إلی کونه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 راجع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البطلان؛ لصدق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للعلم الإجمالی بکونها مکلّفة إمّا بتکالیف الرجال أو النساء،وکذا الکلام فی ما لو وطِئ کلّ من الخنثیَین الاُخری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وکذا فی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بطلان صوم الخنثی فی هذا الفرض وفی سائر الفروض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کون الخنثی ذات شخصیة مزدوجة بأن کانت ذات جهازینتناسُلِیَّین مختلِفَین فالظاهر فی مثل ذلک بطلان صومها بالإدخال فی قُبلهاوبإدخالها فی قُبل الاُنثی، وکذا فی دُبرها علی الأحوط، کما یبطل صوم الرجلإذا أدخل فیها قُبلاً وکذا دُبراً علی الأحوط، وأمّا إذا لم تکن کذلک فإن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إنّهاتُعدّ حینئذٍ طبیعة ثالثة لا هی ذکر ولا اُنثی فمقتضی القاعدة عدم بطلان صومهاولا صوم غیرها بإدخالها فیه أو إدخاله فیها، وإن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لا تخلو من کونهاذکراً أو اُنثی، وإن لم یتیسّر تشخیص ذلک فلابدّ لها من رعایة الاحتیاط فی ما إذادخل الرجل بها قُبلاً أو أدخلت هی فی الاُنثی ولو دبراً، ومنه یظهر الحال فی ماذکره فی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وطئ الرجل دُبُرَ الخنثی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الواطئ غیر الخنثی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وطئ الرجل دبر الخنثی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البطلان مبنیّ علی الاحتیاط؛ لاحتمال اختصاص الحکم بالقُبل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قُبُلاً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اللنکرانی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بقُبُل الخنثی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قُبُلاً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محمّد رضا الگلپایگانی، 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قُبُلها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اُدخل فی العضو المشتبه قُبُلاً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هذه العبارة منقولة عن شیخنا المقدّم السعید الشهید الأوّل أو عنشیخنا العلّامة بهاءالدین العاملی، والمنقول عنهما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دخل الرجل بالخنثیوالخنثی بالأُنثی وجب الغسل علی الخنثی دون الرجل والاُنثی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بعض فروع هذه المسألة مبنیّ علی عدم قصد الإنزال، وإلّا فیکونمن قصد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قُبلها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 غیر دخول الذکر بالمرأة قُبُلاً أو دُبراً، فإن وطئ الرجلالخنثی والخنثی وطئ الاُنثی یبطل صوم الخنثی، ولا یُترک الاحتیاط فی غیرهذه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دخل بقُبُلِها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 الحکم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یکون غیر مختار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قاصداً للدخول فیبطل وإن لم یُدخل، وإلّا فلا یبطل وإن دخل فلا أثرللشکّ المفروض إلّا علی القول بعدم مفطِریّة قصد المفطِر أو علی فروض بعیدة،نعم، لا تجب الکفّارة ولو مع قصد الدخول إذا شکّ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قَصَدَ الدخول ولم یُدخِل، وکذا مع صدق الدخول من مقطوع الحشفة ولولم یکن بمقدارها فالأحوط أنّه مبطل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کون المعیار هو بلوغ المقدار، وأمّا بناءً علی ما ذکرنا من کفایةالمسمّی فی هذه الصورة فلا یبقی مجال لهذا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أنّ الأحوط فی مقطوعها مبطلیّة مطلق الدخول، بل لا تخلو من وجه،فحینئذٍ لو شکّ مقطوع الحشفة فی أصل الدخول لم یحکم ببطلان صومه دون مالو علم الدخول وشکّ فی بلوغ مقدارها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سبب الجنابة فی المقطوع مسمّی الدخول وإن لم یکن بمقدارالحشفة؛ وعلیه فإذا جزم المُدخِل بإدخال العضو بطل صومه وإن شکّ فی مقدارالعضو المدخول، نعم، لو شکّ فی أصله لم یبطل، وهذا بخلاف السالم فإنّه لو کانشاکّاً فی دخول الحشفة لم یبطل صومه ولو کان جازماً بمسمّی الدخول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أفاده یتصوّر فی ما إذا أراد إدخال مقدار نصف الاصبع مثلاً ویشکّ أنّه هلیتحقّق الموضوع أم لا، یمکن إحراز عدمه بالاستصحاب الاستقبالی فیجوز، ولایبطل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فرض عدم تحقّق نیّة المفطِر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قاصداً للجماع بطل صومه وإن لم یدخل، وإن لم یکن قاصداً له لمیبطل وإن دخل، نعم، إذا کان قاصداً وشکّ فی الدخول لم تجب علیه الکفّارة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قصد الدخول، وإلّا فیکون من قصد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قاصداً للدخول فیبطل،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قصد الدخول، وإلّا کان من مصادیق قصد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الجماع المبطل وشکّ فی تحقّقه لم تجب الکفّارة، ولکن یلازمالإخلال بالنیّة، وقد مرّ الکلام فی اقتضائه البطلان راجع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مرّ کفایةصدق الإیلاج فی مقطوع الحشفة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الاحتمال الأحوط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یکون معرضاً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یکون معرضاً له ممّا لا یثق مع الإتیان به بعدم سبق المنی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ولو نام للحرج واحتلم فالأحوط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مع العلم وعدم الحرج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صورة جزمه فی دخل نومه فی احتلامه علی وجه المقدّمیة، لا أنّ ترتّبهعلیه من باب الاتّفاق، فإنّه علی الأوّل أمکن دعوی صدق الاستمناء الاختیاری،بخلاف الباقی، فتأمّل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الحرج ینفی الحرمة، لا المفطِریّة،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الغسل، وأمّا بعده فمع العلم بخروج المنیّ فالأحوط لو لم یکن الأقویترکه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الغسل علی الأظهر، وبعده علی وجه، والأحوط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قبل الاغتسال، وأمّا بعده فمحلّ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التحفّظ حرجیّاً یشکل الجزم بعد الوجوب، بل الوجوب لا یخلومن قوّة، نعم، مع الحرج لا یجب، لکن لا یُترک الاحتیاط بالقضاء، وأمّا الضرر فلایرفع الإلزام إلّا فی بعض أفراده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بعد الإنزال من الصلب وعدم خروجه إلی ظاهر المخرج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نزوله عن محلّه وحرکته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خصوصیة لذلک بالإضافة إلی الحکم الوضعی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أمثال هذه العناوین مجوّزات، لا أنّها مزیلات لمفطِریّة المفطِرات إلّاعلی وجه 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السیستانی،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حسن، ولکن لو ترکه وخرج بلل مشتبه لا یبطل صومه علیالأقوی وإن وجب الغسل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مراعاة الاحتیاط المذکور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هذا الاحتیاط، ولا یبطل صومه إذا خرجت بقایا المنی بعد الغسلمن غیر اختیاره، نعم، یبطل صومه إذا کان خروجها بعد ذلک بتبوّل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الأظهر جواز تأخیره عن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غیر واجب؛ إذ لم یکن خروجه ببوله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ومع الاحتمال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خروجها بفعله ببول ونحوه کان مفطِراً، وإلّا فلا، ولا موجب للاحتیاطحینئذٍ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خروجها بفعله ببول ونحوه کان مفطِراً، 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الالتفات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مع عدم الإلتفات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یبطل ما لم یوجب خلوّ الصوم من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قصد المفطِر لا یکون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بکونه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توجّهه إلی أنّ نیّة إیجاد المفطِر مفطِرة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الحکم فی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أنّ نیّة إیجاد المفطِر لیس بمفطِر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التفصیل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إلی مفطِریّته، وقد مرّ منّا کلام فی مسألة نیّة القطع والقاطعیناسب ما نحن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بمفطِریّة مثل هذه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عالماً بأنّ الإنزال 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فیها، راجع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ملتفتاً إلیها لا مع الغفلة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التفاته إلیها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المستفاد من النصّ الوثوق بعدم سبق المنیّ وعدمه، فعلی الأوّل یجوزإیجاد المقدّمة، ولا یبطل إذا أنزل، وعلی الثانی لا یجوز، ویبطل الصوم بمجرّدالإیجاد ولو لم ینزل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الأقوی لو کان حین إتیان الفعل ملتفتاً إلی عادته وغیر ذاهل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إذا قصد الإنزال بفعل لا یؤدّی إلیه بحسب العادة فأنزل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ووثق من نفسه عدم سبق المنیّ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یکون مطمئنّاً بعدم الإنزال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الاطمینان بعدمه معه وأمّا مع الاحتمال العقلائی فقد یشکل الحکم بالصحّةوعدم موجبیّته للکفّارة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استناد إلی اختیاره، وأمّا إذا أوجد الأفعال ووصل الأمر إلی حدّ قریبمن الإنزال ولم یتحفّظ کما هو الغالب فهو بحکم 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لم یستند الإنزال إلیه بالاختیار، بل کان مطمئنّاً بعدمه فاتّفق الخروج،وأمّا إذا کان الإنزال مستنداً إلیه وأنّه موجده فیشکل الحکم بالصحّة، بل البطلانأظهر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البطلان، ولزوم القضاء والکفّارة إذا کان الفعل ممّا یؤدّی إلیالإنزال بحسب العادة المتعارفة بین الناس، کالملاعبة والتقبیل والتفخیذ وإن لمیکن من عادته هو علی الخصوص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کان معتاداً لعدم الإنزال بحیث یکون واثقاً بعدمه، وإلّا فالبطلان معالإنزال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یثق بعدم سبق المنیّ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مطمئنّاً بعدم الإنزال أوّلاً فالظاهر هو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معتاداً لعدم الإنزال بحیث یکون واثقاً بعدمه، وإلّا فالبطلان لایخلو من قوّة مع الإنزال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ما إذا کان واثقاً بعدم الخروج وإلّا فالأقوی هو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مأموناً من سبق المنیّ، وإلّا فالأقوی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الوثوق بعدم الإنزال، وإلّا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مطمئنّاً بعدم الخروج، وإلّا فالأظهر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واثقاً بعدم الإنزال، وإلّا فلا یُترک الاحتیاط، بل لا تُترک الکفّارة أیضاًاحتیاطاً فی مثل الملامسة والملاعبة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الاطمئنان بعدم سبق المنیّ، وإلّا فالأقوی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کان واثقاً بالعدم من جهة العادة أو غیرها، وإلّا فالبطلان لا یخلو منقوّة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بل لو احتمله فوجوب الکفّارة أیضاً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إذا لم یکن مأموناً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الاطمئنان لا یُترک الاحتیاط بالقضاء، بل الکفّارة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الملاعبة ونحوها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فی الثلاثة المذکورة، إلّا مع الأمن والوثوق بعدم الإنزال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إلّا أن یکون قاطعاً بعدم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فی مثل الملاعبة والملامسة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لاسیّما فیما مثّل به من الأفعال التی تقتضی الإنزال نوعاً، بلالأحوط ثبوت الکفّارة فیها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إذا لم یکن مأموناً من سبق الإنزال، بل یحتمله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محمّد الشیرازی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وعدم إفساد الصوم به لا یخلو من قوّة، والاحتیاط بالقضاء لاینبغی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مهدی الشیرازی، الحکیم، الآملی، 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هو من أعظم الکبائر لاسیّما حال الصوم، وخصوصاًفی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والأقوی أنّه حرام، وتتأکّد حرمته فی شهر رمضان، وحرمتهمثل حرمة الغیبة وسائر المعاصی التی تتغلّظ فی رمضان، ولا سیّما الکبائر،ولکن لا تفسد الصوم ولا توجب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وفی ما یتفرّع علیه فی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مفطِریّته، وبه یظهر الحال فی جملة من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وعلیه تبتنی التفریعات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وکذلک فی الفروع الآتیة المتفرّعة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ویلحق بهم الصدّیقة الزهراء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والأنبیاءوالأوصیاء،کماسیجیء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الأقوی فی ما کان متعلّقاً باُمور الدین، وأمّا ما کان متعلّقاً باُمور دنیاهم أوبما ورد علیهم من المصائب والحوادث فالأحوط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فرق بین کون مورد الکذب فی قول المکذوب علیه أو فعله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إذا کان مجتهداً، وإلّا فالأقوی بطلان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علی وجه الإخبار عن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متضمّنة للأخبار عنهم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الاستناد علی الله أو رسوله أو الأئمّة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مستندة إلیه تعالی أو إلی المعصوم بأن جعلت حاکیة عنهما، وأمّا لو کانتالفتوی مستندة إلی نفسه المستفادة من الأدلّة الجائیة من قبل الشارع أو الممضاةله فبطلان الصوم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علی وجه الإخبار عن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إخباراً عن الله تعالی، لا إظهاراً لرأی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أفتی کاذباً علی وجه الإخبار عن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إخباراً عن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المفتی مخبِراً عنه تعالی بتوسّطالحجّة مع العلم بعدم صدوره عنه تعالی، وأمّا لو کان إخباراً عن الله بوجود منجّزٍأو معذّرٍ عنده مع العلم بعدمهما فهو کذب علی نفسه، ولا فرق فی ما ذکرنا بینأن یکون المفتی مجتهداً أو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الاستناد إلیهم، لا الإخبار عن نظره ورأیه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بنحو الاستناد إلی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کانت ظاهرة فی الإخبار عن الله تعالی، لکنّ الظاهر من الفتوی الحکایةعن مدرکٍ ما من حجّة أو عذر، ولا نظر لها إلی الواقع، خصوصاً فی الفروعات،وخصوصاً فی فتاوی المتأخّرین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ومن غیر فرق علی الأحوط بین الکذب علیهم فی أقوالهم أو غیرها،کالإخبار کاذباً بأنّهم فعلوا کذا أو کانوا 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إشکال، فالأحوط الإلحاق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نعم، الأحوط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الکذب علیهم إلی الکذب علی الله، وإلّا أقوائیّة الإلحاق ضعیفة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إلی الکذب علی الله تعالی، وإلّا فالأحوط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الإلحاق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الإلحاق نظر، إلّا إذا رجع الکذب إلی الکذب علیه تعالی شأنه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علیه 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إذا لم یرجع إلی الکذب علی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الکذب علیهم إلی الکذب علی الله تعالی، وإلّا فالإلحاق علیالأحوط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یرجع الکذب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الکذب علی الله تعالی ففی القوّة إشکال،نعم، الإلحاق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الکذب علیهم إلی الکذب علی الله تعالی، والأحوط الإلحاق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ما لم یرجع إلی الکذب علی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الکذب علیهم إلی الکذب علی الله، وإلّا فالأشبه عدم الإلحاق وإنکان الأحوط ذلک ، وکذا فی فاطمة الزهراء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رجع ذلک إلی الکذب علی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الإلحاق إن رجع الکذب علیها ـ روحی فداها ـ إلی الکذب علی الباری أوالنبی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الأقوی، وإلّا فتقویة الإلحاق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متعیّن إذا رجع الکذب علیها إلی الکذب علی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قصد إفهام غیر المخاطب، وإلّا فالأظهر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للتشکیک فی اندراجه تحت الإطلاقات علی وجه لا تطمئنّ النفسبأحد الطرفین فی مقام الاجتهاد، فلا یُترک الاحتیاط فی أمثاله؛ لعدم استقرارالفتوی بأحد الطرفین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کان مقصوده إفهام من یفهم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فلا یُترک الاحتیاط بالقضاء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قصد إفهام غیر المخاطب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مقصوده إفهام من یفهم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یقصد إفهام مَن یفهم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سمعه مَن یفهم معناه أو کان فی معرض سماعه کما إذا سجّل بآلة جریفیه الاحتیاط 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أحمد الخونساری، عبدالله الشیرازی، المرعشی، السبزواری،حسن القمّی، 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خصوصاً لو صادف أن سمعه الغیر واتّخذه خبراً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علمه بصدقه، وأمّا مع التعبّد بدلیل حجّیة خبره فلا یخلو البطلان منإشکال؛ للشکّ فی کذبیّته واقعاً، ودلیل التعبّد المزبور أیضاً غیر ناظر إلی محلِّهذه الآثار قطعاً، وهکذا الکلام فی عکس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الصورتین، ولکن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صورة الاقتصار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مقصوده الإخبار عن خبره لم یبطل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مراده من التکذیب نفی الواقع ونفی تطابق الواقع مع الخبر، وأمّا إذاکان المقصود تکذیب نفسه فی الإخبار عن الواقع فلا یبطل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 بصدقه، لامع التعبّد به بدلیل حجیّته، وإلّا فللمنع عن البطلان مجال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الصورتین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 الکذب علی الله تعالی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مقصوده أنّ قول الله یخالف ما قلته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قصده نفی الواقع المطابق، ولو کان غرضه نفی ما أخبره أوّلاً لم یبطلصومه؛ لأنّه مکذّب لخبره،فهوکذب علی نفسه، لا علی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المقصود الإخبار عن حال خبره لم یضرّ بصحّة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المقصود نفی الواقع المطابق للخبر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فیه الکلام فی سابقه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الرجوع بضمّ ما یخرجه عن الکذب علیهم، وإلّا فیدخل فی نیّةالمفطِر بناءً علی مفطِریّة الکذب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مانعیّته عن الصوم نظر؛ لعدم الجزم بانطباق الکذب علی الله والرسولوالأئمّة علی مثله؛ لاحتمال صدقه ولو ضعیفاً، نعم، هو حرام بمناط الإغراءوالافتراء بوجه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مفطِریّته محلّ إشکال، بل منع إذا کان الظنّ غیر معتبر وأولی بالمنع هواحتماله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محتمل الکذب مع عدم وجود حجّة علی صدقه، وأمّامعها فلا إشکال فی الإخبار به ولو فی مظنون الکذب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یشکل الحکم بالمفطریّة لو لم یکن الظنّ حجّة، فکیف بالاحتمال الموهوم؟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هذا کلّه لو لم یکن حجّة فی البین، وإلّا فمع وجودها یجوز الإخبار ولو ظنّبظنٍّ شخصیٍّ کذبه فضلاً عن الاحتمال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مانع من النقل والإخبار إذا کان الخبر مشمولاً لأدلّة الحجیّة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معتمداً علی حجّة شرعیّة، وکذا الحال فی محتمل الکذب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اعتبار الظنّ شرعاً لایتحقّق تعمّد الکذب، فلا یکون مفطِراً، وأولیمنه احتماله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کان مدفوعاً بحجّة 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فغیر القطعیات لو ثبت بحجّةشرعیة جاز الإخبار به، وإلّا لم یجز وکان کذباً، ولو أخبر به عن الله تعالی أو عنرسوله وآله ـ صلواته علیهم ـ کان مبطلاً لصومه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کفایة وثاقة الراوی فی جواز الإسناد إلی الشرع ولو مع احتمال کذبه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الحجّة لا بأس بالإخبار وإن احتمل بل ظنّ کذبه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قامت حجّة شرعیّة علیه فیجوز الإخبار والإسناد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لیس من التعمّد للکذب، فلا یکون مبطلاً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حجّة معتبرة علی الاعتبار، وإلّا فلا یضرّ الظن بالکذب فکیفبالاحتمال؟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قامت علیه حجّة شرعیّة فیجوز الإخبار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کفایة کون ظاهر الإسناد أنّه نقل عن کتاب من الکتب المعروفةالمتداولة فی نفی صدق الکذب العمدی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تقم حجّة علی خلافه، وإلّا جاز الإخبار به، ولا یکون مفطِراً حتّی علیالقول بمفطِریّة تعمّد الکذب علی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الإخبار والإسناد فی غیر القطعیّات لو قامت حجّة شرعیّة علیه وإناحتمل أو 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أخبر به عن الله تعالی أو عن الرسول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کانمبطلاً لصومه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کانت الروایة صحیحة بحسب الموازین الشرعیّة فیجوز نقلها ولوبطریق النسبة إلی الله أو رسوله أو أحد المعصومین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وهو أسلم الطرق فی مقام النقل لمن لم یکن أبا بجدة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بجدتها للعالم بالشیء المتقن له الممیّز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تشخیصالأحادیث الصحیحة والسقیمة ونقاده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وغیره وإن لم یکن صائماً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والطریق المعتبر کالعلم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حال مطلق الصیام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حال مطلق الصیام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وعدم العلم بحجّیته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الحجّة الشرعیّة مطلقاً من بیّنة، وخیر عادل، أو ثقة غیر عادل، أواستصحاب، أو براءة، أو نحوها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قیام الحجّة المعتبرة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وعدم الحجّة المعتبرة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وعدم قیام حجّة معتبرة علی صدوره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العلم بحجّیته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رجع الکذب علیهم إلی الکذب علی الباری سبحانه والمعصومین،وذلک کإسناد الفتوی المجعولة إلیهم ـ قدّس سرّهم ـ مع جعل الفتوی حاکیة عنالشارع، وقد مرّ إبطال الفتوی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کإسناد الفتوی المجعولة إلیهم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أسند الفتوی الحاکیة عن حکم الله تعالی إلیهم مع العلم بأنّها مجعولةعلیهم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مخالفی أهل الحق، ویکون مورد الاضطرار من مفتریاتهم وبدعهم علیالشارع، بخلاف ما لو کان الظالم من جائری الشیعة فإنّه یکون المورد حینئذٍ منباب الإکراه الّذی مرّ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بشرط أن یکون من المخالفین، ویکون ما اضطرّ إلیه من الکذب راجعاً إلی ماأبدعوه فی الدین، وإلّا کان من الإکراه المسوّغ للإفطار، لا التقیّة المبدّلةللتکلیف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ما ارتکبه من مبدعات المخالفین، وإلّا فیکون إفطاراً مضطرّاً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التقیّة من المخالفین فی أحکام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عدم بطلانه وعدم وجوب القضاء علیه نظر وإشکال، نعم، لا یجب علیهالکفّارة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الأحوط الإتمام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والوجه فیه ظهور قوله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لئن أفطر یوماً أحبّ إلیّ من أن یضربعنقی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الاضطرار علی فعل بعض المفطِرات یکون قاطعاً للصوم، وحکمبأحبّیة الإفطار، وإلّا فلا یتصوّر اضطراره إلی الإفطار فی فرض رفع اضطرارمفطِریّة الشیء کما هو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وسیأتی منه ؛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التالی الفتوی بالبطلانفی مورد التقیّة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بشرط أن یکون من المخالفین، ویکون ما اضطرّ إلیه من الکذب راجعاً إلی ماأبدعوه فی الدین، وإلّا کان من الإکراه المسوّغ للإفطار، لا التقیّة المبدّلةللتکلیف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عدم مفطِریّة ما اضطرّ إلیه إشکال وإن یساعده قاعدة الاضطرار بقرینةتطبیق الإمام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إیّاه فی بعض الموارد علی الإجزاء للمضطرّ أو الشرائط کذلک،ولکنّ عمدة وجه التشکیک فیه ظهور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لئن أفطر یوماً أحبّ إلیّ من أنیضرب عنقی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 والله،أفطر یوماً من شهر رمضان أحبُّ إلیَّ من أن یُضرَب عنقی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؛إذالظاهرأنّ الإمام جعل الاضطرار علی فعل بعض المفطِراتمانعاً عن انعقاد أصل الصوم، وحکم بأنّ الإفطار أحبّ، وإلّا فلا یتصوّر اضطرارهإلی الإفطار فی فرض رفع الاضطرار مفطِریّة الشیء کما هو ظاهر، ومن هناربّما یستکشف بأنّ الصوم مثل باب الطهارات الثلاث اُمور بسیطة علی وجه غیرقابل للتبعیض، کما یومئ إلیه أیضاً أنّ الوضوء لا یتبعّض وإن احتمل حمله علیمعنی آخر أیضاً، ومن هذه الجهة لا مجال لجریان قاعدة المیسور فیها لولا قیامالنصّ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التبعیض فی بعض الموارد، کغسل ما حول الجرح فی المکشوفخصوصاً فی مورد لا یمکن جعل شیء علیه ومسحه، فإنّ هذه المقامات إنّما هوبالنصّ المخصوص، وإلّا فعموم قاعدة المیسور قاصر الشمول عن مثله؛ ولذا لاتجری فی مورد عدم کفایة الماء له،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ممّا أبدعه المخالفون فی الدین، وإلّا کان من الإکراه والاضطرارالمسوّغ للإفطار المستتبع للقضاء فقط، هذا لو قلنا بأنّ التقیّة موجبة لتبدّلالتکلیف، وإلّا لا مجال لما ذکرناه من التفصیل، کما أنّه لا مجال لإطلاق المتنأیضاً، فلا یُترک الاحتیاط فی الأوّل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بعدم البطلان فی صورة التقیّة المبدّلة للتکلیف ـ أی التقیّة من المخالفینالظالمین فی أحکام الدین ـ محلّ نظرٍ وإشکال، نعم، لا تلزم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الاحتیاط 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مضی عدم إضراره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الجهل أیضاً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 علی عدم قصد الإخبار، سواء قصد المعنی هزلاً أو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یقصد الحکایة عن الواقع لم یبطل صومه، سواء قصد المعنی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قصده ولم یقصد الإخبار عن الواقع، کما هو الغالب فی الهزل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وإذا لم یکن داعیه الإخبار عن الواقع، کما هو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فی الهزل یقصد المعنی، لکن بداعی الهزل والواقع غیر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یقصد مطابقته للواقع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یقصد الإخبار عن الواقع وإن قصد المعنی هَزَلاً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مبنیّ علی الاحتیاط؛ لعدم دلیل معتبر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محمّد تقی الخونساری، مهدی الشیرازی، أحمدالخونساری، عبدالله الشیرازی،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البخار الغلیظ، وأمّا الدخان فشربه مبطل، سواء کانمن التنباک أو التتن أو التریاک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وکذا فی البخار والدخان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تجتمع الأجزاء الترابیة مثلاً ویدخل فی حلقه بحیث یصدق علیه الأکلعرفاً، وإلّا فعلی الأحوط وجوباً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الغلیظ علی الأحوط، وفی غیر الغلیظ علی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فساد الصوم به؛ فإنّه هواء مشوب بأجزاء من الغبار مستهلکة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یتعسّر التحرّز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عدم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یعسر التحرّز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وفی الغلیظ أیضاً مالم یدخل تحت عنوان الأکل الغیر المعتاد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الأظهر عدم کونه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یتعسّر التجنّب عنه ممّا هو نوعی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البأس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ما یتعسّر الاجتناب عنه 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إلحاقهما نظر جدّاً؛ لعدم تمامیة المناط، خصوصاً مع ضعف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فیأصل الغبار الغلیظ بعد الجزم بعدم صدق الأکل علی مثله، وإمکان حمله علیالموارد الغالبة الموجب لاجتماع أجزائه فی الفم علی وجه ملازم مع وصولالریق المخلوط به والمضاف بغیره إلی الحلق المورث للبطلان من هذه الجهة، کما لا یخفی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 البخار الغلیظ ودخان التِنباک وغیره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إلحاق البخار به، نعم، الأحوط الاجتناب عن دخان التنباکونحوه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تأمّل، نعم،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نظر وإن کان له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فی الموردین، نعم، هو الأحوط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وإن کان أحوط فی الموردین، لکنّ الأحوط فی المعتادین بدخانالتنباک ونحوه أن لایترکوا الصوم لأجله، بل یصوموا ویقتصروا علی مقدارالضرورة من التدخین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محلّ منع، نعم، الإلحاق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الأقوائیّة تأمّل، لکن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 الدخان، وأمّا البخار فالمتعارف منه فی الحمّامات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قصد ابتلاعه، وإلّا فلا یقدح بخار الحمّام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یوجب رطوبة ما یلاقیه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نعم، الأحوط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اجتماع الأجزاء المائیة ودخولها فی الحلق بحیث یصدق علیه الشربعرفاً، وإلّا فعلی الأحوط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وجوباً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التحفّظ مع عدم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إشکال،فلابدّمن التحفّظ،إلّامع الاطمئنان بعدم الوصول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التحفّظ، إلّا مع الوثوق بعدم الوصول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نعم، لا بأس مع الجزم بعدم الوصول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التحفّظ إلّا مع الاطمئنان بعدم الوصول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بالوثوق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الوثوق بعدم الوصول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نعم، لا بأس به إذا کان مأموناً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یکفی الظنّ، بل لابدّ من الوثوق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لا یکون فی معرض الوصول إلی الحلق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بالاطمئنان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مبطلیّته محلّ النظر وإن حرم فعله علی الصائم، فتسقط الفروع المتفرّعةعلیها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الکفّارة بالارتماس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أنّه غیر مفسد للصوم، ولکنّه مکروه کراهة شدیدة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الخمینی، الآملی،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مبطلاً کلام ونظر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حراماً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أنّه حرام غیر مفطِر، ومنه یظهر حال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مکروه، ولا یفطر، والأحوط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محمد تقی الخونساری، الحکیم، الشریعتمداری، محمّد رضاالگلپایگانی، الأراکی، زین الدین، محمّد الشیرازی،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مفطِریّته تأمّل، وإن حرم فعله حال الصوم علی الأقوی، فیبطل الغسلبالارتماس حاله مطلقاً، وإن کان مستحبّاً ما لم یرفع الید عنه قبله أو یقع فیحال یعذر فیها، ولا یبطل صومه حینئذٍ فی وجه قوی، وإن کان الاحتیاطبالقضاء مع تعمّده بل والکفّارة لا ینبغی ترکه، ولعلّ هذه الحاشیة تغنی عنالتعلیق فی کثیر من الفروع الآتیة المتفرّعة علی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البطلان وإن کان حراماً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کراهة الارتماس، لا حرمته، ولا مفطِریّته، ولکنّ الأحوط استحباباًالاجتناب عنه، وبه یظهر الحال فی جملة من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فیه علی الأحوط وإن کان حراماً قطعاً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والأظهر أنّه لایضرّ بصحّة الصوم، بل هو مکروه کراهة شدیدة،ومنه یظهر حال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المراد به هاهنا ما یقابل الوجه، فیتحقّق الصدق برمسه فی الماء وهو فیخارجه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ما فوق الوجه والاُذُنین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الاحتیاط وجوباً الاجتناب عن الارتماس فی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فیه، خصوصاً فی مثل الجلّاب، سیّما مع زوال رائحته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خصوصاً فی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الماء المضاف، بل فی مثل الجلّاب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وکذا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فی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الآملی، 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مثل الجلّاب، خصوصاً مع ذهاب رائحته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الماء المضاف، سیّما فی الجلّاب، خصوصاً فی المسلوب الرائحةمنه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وکذا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وجه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وإن کان الجواز قویّاً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فی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الأقوی فیه أنّه فی المقام فی حکم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قوّته نظر، ولکنّ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أقوی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نظر، ولکنّ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منع، نعم،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أقوی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ذلک حتّی بناءً علی مفطِریّة الارتماس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ترکه، إلّا أن یُعلَّلَ إبطال الارتماس بنفوذ الماء فی مسام الرأس، وفیالمثال یرتفع هذا المحذور، وهو کما تری؛ إذ الدلیل قائم علی مفطِریّةالارتماس، وحکمه النهی أیّاً ما کان، ولا یمکن إثبات الحکم بأمثال هذهالاعتبارات، والعرف قاضٍ بصدق الرمس فیشمله الدلیل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ترکه، کما أنّ الأحوط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وأولی منه لبس الآلات الحدیثة المصنوعة للغوص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موجب لهذا الاحتیاط حتّی فی الحرمة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إحراز صدق الموضوع لا إشکال فی ترتّب الحکم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والعرف بالباب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تردّد فی صدق الرمس هنا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صدق الرمس عرفاً فی ماء المیزاب تردّد،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ویحتمل بل یقوی کون المدار صحّة النسبة، من غیر فرق بین الأصلیّ وغیرالأصلیّ، فإذا صدق علی رمس غیر الأصلیّ أنّه رمس رأسه فی الماء کفی فیترتّب الحکم، کما هو کذلک إذا کان کلاهما أصلیّین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إذا کانا أصلیَّین فیحرم رمس أیٍّ منهما، ویبطل به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مع العلم بکون أحدهما زائداً، أمّا مع کون کلیهما أصلیّین یبطل برمسأحدهما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الفرض بناءً علی العلم بزیادة أحدهما وعدم تحقّق التمیز، وأمّا مع العلمبکون کلیهما أصلیَّین کما قد یتّفق فیبطل برمس 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الاجتناب بالنسبة إلی کلّ واحدٍ منهما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الصوم یبطل بمجرّد قصد الرمس فی الماء؛ لإخلال النیّة، وبما ذکر یظهرالحال فی المسألة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وجوب إتمامه ظاهراً، وإن کان معاقباً علی فرض المصادفة جمعاً بینالعلم الإجمالی بوجوب الاجتناب عن أحد الرمسین وبین استصحاب وجوبإتمام صومه وصحّته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للعلم الإجمالی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بوجوب إتمام صوم هذا الیوم أو قضائه فیما بعد، فلا یُترک الاحتیاط بالجمع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لا یُحکم بصحّته، فمع رمس أحدهما فالأحوط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کانا أصلیَّین یفعل بکلٍّ منهما ما یفعل بالآخر، فیبطل برمس أحدهماأیضاً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وإن بطل فی الواقع علی فرض المصادفة وجاز العقاب علیه، وکذا فیالمسألة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والجزم بالصحّة أیضاً مشکل، فطریق الاحتیاط هو الإتمام والقضاء، هذا إن لمیکونا أصلیّین وإلّا فیکفی رمس أحدهما فی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وکذلک فی المسألة التالیة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یجب علیه إتمامه ظاهراً وإن کان معاقباً علی فرض المصادفة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بالصحّة مشکل، وطریق الاحتیاط هو الإتمام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لو رمس أحدهما واتّفق کونه هو الأصلی واقعاً فیکون صومه باطلاًواقعاً، ویعاقب علیه لو وجب علیه إتمامه تعییناً وإن لم یحکم به ظاهراً ما لمینکشف الحال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فرض زیادة أحدهما وعدم تمیّزه عن الأصلی، وأمّا لو کان کلاهما أصلیّینیفعل بکلٍّ منهما ما یفعل بالآخر، فالأقوی بطلانه برمس أحدهما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ما إذا کان أحدهما أصلیّاً والآخر زائداً ولم یمیّز الأصلی من الزائد،وأمّا لو کان کلاهما أصلیّین فالأقوی بطلان الصوم برمس 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أحدهما زائداً، وأمّا إذا کانا کلاهما أصلیّین بحیث یکون کلّ واحدٍمنهما مثل الآخر فی الفاعلیّة فلا یبعد کفایة ارتماس أحدهما فی البطلانوالحرمة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کون کلٍّ منهما أصلیّاً یفعل به ما یفعل بالآخر، فالأحوط بطلانه برمسأحدهما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یکونا أصلیّین یصدر من کلّ منهما ما هو المترقّب فی الرأسالأصلی من الإبصار والنطق ونحوهما، وإلّا کان رمس أحدهما موجباً للبطلانعلی الأقوی، ویحتمل أن یکون رمس أحدهما مبطلاً حتّی فی ما لم یکوناأصلیّین؛ لمکان صدق غمس الرأس ورمسه الّذی هو المعیار، والشاهد العرف،وکفی به شهیداً فی الاستظهار عن الأدلّة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الأقوی وجوب القضاء برمس أحدهما إذا کان الصوم ممّا یجب قضاؤه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بمفطِریّة الارتماس لو غمس أحدهما لیس له البناء علی صحّة مابیده، بل یجب علیه البناء علی العدم؛ قضاءً للعلم الإجمالی وقاعدة الاشتغال،وبه یظهر الحال فی المسألة الآتیة؛ إذ حکم الرمس فی أحدهما حکم رمس أحدالرأسین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بزیادة أحدهما، وأمّا مع عدمها وکون کلٍّ منهما أصلیّاً ینتفع به عینما ینتفع بالآخر فالظاهر البطلان برمس واحدٍ منهما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لم یکن کلاهما أصلیَّین، وإلّا فیبطل برمس کلّ واحدٍ منهما، ولا دلیلعلی عدم إمکان کون کلیهما أصلیَّین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بطلان الصوم برمس 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تقدّم فی المسألة السابقة آنفاً یجری فی المقام،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فیه کما 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یکفی الرمس فی أحدهما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ترتیب أثر البطلان من وجوب القضاء علی الرمس فی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فی أحدهما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کفایة رمس أحدهما فی ترتّب أثر بطلان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فی أحدهما کما لا یخلو عن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 ارتمس فی أحدهما أیضاً یحکم بالبطلان مع الالتفات إلی مفطِریّة ماهو الماء والقصد إلی ارتماس أحدهما مطلقاً، سواء کان ماءً أو مائعاً آخر؛للإخلال بالنیّة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کفایة الرمس فی 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الرمس فی أحدهما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الأقوی وجوب القضاءبالرمس فی أحدهما، کالمسألة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الرمس فی أحدهما فی الحکم بالبطلان لو کان ملتفتاً إلی مفطریّة ماهو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کونه مأموناً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یکفی مجرّد التخیّل، بل لابدّ من الوثوق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الاطمئنان إلیه، بل الظنّ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مطمئنّاً بعدم حصول الرمس، وإلّا فالأحوط ترتیب أثر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الوثوق بعدم الرمس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تجرِ العادة بالانغماس، وإلّا فالأحوط ترکه، مع الالتفات وعدم الذهولعن جریان العادة ومفطِریّة الرمس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تقضِ العادة برمسه، وإلّا فمع الالتفات فالأحوط إلحاقه بالعمد، إلّا معالعلم بعدم الرمس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الاطمئنان بعدم حصول الرمس، وإلّا أشکل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کون الإلقاء مستلزماً للرمس عادةً، وإلّا فالظاهر البطلان، إلّا معاعتقاد عدم الرمس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فیه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یجتنب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أنّه لا یُترک الاحتیاط فی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المشتبه بالمضاف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مثل الجلّاب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الجلّاب، وأمّا فیه فقد مرّ الکلام فیه فی حاشیة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الاحتیاط فی الماء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التردّد بین الماء المطلق والمضاف فالأحوط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التردّد بین المطلق والمضاف یجب الاجتناب علی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البحث فی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الاجتناب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الاحتیاط فی المضاف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الاجتناب،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الاجتناب، إلّا مع الاطمئنان بل والظنّ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رمسه غیره فی الماء بلا اختیار منه، کما تقدّم ضابطه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بلا قصدٍ واختیارٍ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المسألة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وکذا فی المسائل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وکذا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القول بمفطِریّة الارتماس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لا یجب إتمامه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بطلان الصوم بمجرّد وجوب الارتماس أول الکلام، بل فی صحّة الصوم علینحو الترتّب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بنفس التکلیف بالغسل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یجب علیه رفع الید عنه وإبطاله بنیّة القطع، لا بنفس التکلیف بالغسلفضلاً عن کونه بنفس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القول بالبطلان بنفس التکلیف بالغسل، کما هو محتمل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یبطله، ثمّ یغتسل وإن کان برفع الید عن نیّة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بطلان الصوم بمجرّد التکلیف بالغسل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بتوجّه التکلیف بالغسل وإن لم یرتمس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قصد الارتماس مقارناً للاغتسال، وأمّا لو تحقّق قصد الارتماس قبلهفی الخارج فیبطل صومه بقصد المفطر، وبعده لا مانع من الحکم بصحّة غسلهحینئذٍ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وتعمّد الارتماس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مع التعمّد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بناءً علی عدم کون نیّة المفطِر مفسداً کما هو الحقّ، وأمّا بناءًعلی المفسدیّة فلا وجه فی غیر صوم شهر رمضان؛ لبطلان غسله، وما ذکره فیالمسألة الآتیة غیر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شهر رمضان، وأمّا فی غیره فالظاهر الحکم بصحّة الغسل؛ وذلک لأنّالصوم یبطل بنیّة الاغتسال، وبعد البطلان لا یحرم علیه الارتماس، فلا موجبلبطلان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قصد الارتماس مقدّماً علی فعله خارجاً یبطل صومه حینئذٍ بقصدالمفطِر، ولا یبعد صحّة غسله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صحّا، وکذا فی الصوم المستحب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نیّة المفطِر مفسدة لا یکون وجه لبطلان الغسل فی غیر شهر رمضان،وأمّا لو لم تکن مفسدة ـ کما اخترناه ـ فالحکم بالبطلان مبنیّ علی 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مع التعمّد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نیّة القطع،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غسله دون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إبطال الصوم قبل الارتماس، ثمّ الإتیان بالغسل الارتماسی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بطل غسله دون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العمد، وصحّ صومه وغسله مع النسیان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جاز له الإفطار، کما فی قضاء شهر رمضان مثلاً قبل الزوال، وأمّا بعدهفیبطل الغسل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المسألة مبتنیة علی کون الارتماس مبطلاً، والتحقیق عدم کونه مبطلاً، بلهو حرام، کما عرفت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یصحّ حین الارتماس؛ إذ المفروض أنّه لایحرم إبطال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کونه مرتمساً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صورة التوبة، بل یمکن التصحیح مطلقاً فی حال الخروج؛ لعدم کونهمنهیّاً ولو فی السابق، ولا یکون مثل الخروج من الأرض المغصوبة؛ لأنّموضوع النهی السابق الصائم، ومتعلّق النهی اللاحق المکث،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متعلّقالنهی فعلاً الارتماس، وإذا اغتسل فی الخروج مرتمساً یبطل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یکون رأسه منغمساً فی الماء فی حال حرکته للخروج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مبنیّ علی صحّة الغسل حال المکث أو الخروج من الماء فی نفسه، وقدمرّ أنّه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ینوی الغسل وهو لا یزال مرتمساً وإن کان فی حال حرکته للخروج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مرتمساً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مانع من الصحّة حینئذٍ مع التوبة،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فی المکث الاضطراری فإنّه وإن کان حراماً لکنّه إذا اتّحد به الغسل ونویالقربة یقع الغسل صحیحاً، ولا شکّ أنّه یمکن قصد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بالأمر بناءً علیمبنی المصنّف؛ من الجواز، وإمّا بمناطه بناءً علی الامتناع، وهکذا یصحّ الغسلبالخروج فإنّه اضطراری، وهذا نظیر الصلاة حال الخروج فی مسألة توسّطالأرض المغصوبة، والفرق بین المکث الاضطراری والاختیاری التمکّن منالقربة بالغسل الاختیاری بالأوّل دون الثانی بناءً علی الامتناع، ومن هنا ظهرصحّة الغسل فی الصوم الواجب المعیّن أیضاً حال المکث الاضطراری وحالالخروج، فتدبّر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یصحّ فیه وفی غیره مطلقاً ما لم یرفع الید عن الصوم قبله، ویصحّ حالالخروج مطلقاً فی وجه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لکنّ الظاهر أنّ المنهیّ هو الارتماس، وهو الغمس دون کونالرأس تحت الماء حتّی یشمل حال المکث أو حال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واجباً فعلاً مقدّمة للإمساک عن الزائد، نعم، مع التوبة یمکن تصحیحصومه، کما تقدّم نظیره فی الخروج عن الغصب، ومن هنا ظهر حال ما أفاده منالإشکال فی طرف الخروج حتّی فی غیر صوم رمضان؛ إذ هو مبنیّ علیوجوب الإمساک فیها أیضاً، ولکنّ الدلیل غیر مساعد،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إشکال فی حال الخروج ولا فی حال المکث فی غیر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هو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هو الصحّة إذا تاب واغتسل حال الخروج، والحکم ببطلانه حالالمکث والخروج بلا توبة مبنیّ علی الاحتیاط، وأمّا فی غیر شهر رمضان فلاإشکال فی صحّته؛ لعدم حرمة المکث والخروج بعد بطلان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الصحّة إذا تاب، والنهی السابق لا أثر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الصحّة حینئذٍ مع التوبة،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الصحّة حینئذٍ بعد التوبة، وکذا فی ما 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الإشکال فی صحّة الغسل حال الخروج مطلقاً إذا تاب وخرج،وأمّا صحّته حال المکث فلا إشکال فیه أیضاً فی الصوم الواجب المعیّن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نعم،صحّته فی صوم شهر رمضان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لا إشکال فی صحّته حال الخروج، کما أنّه لا إشکال فی صحّتهحال الخروج فی الواجب المعیّن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خروجه بعد التوبة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ولکنّها الأقوی فی حال الخروج، بل یقوی صحّته فی غیر رمضان فی حالالمکث أیضاً فضلاً عن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الصحّة حال الخروج، کما أنّه لا إشکال فی صحّة العبادة حالالخروج من الدار المغصوبة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هو الصحّة إذا تاب وخرج، ولا تأثیر للنهی السابق فی هذا الفرض،وکذا الخروج عن المغصوب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الصحّة فی حال الخروج مطلقاً، سیّما إذا تاب وخرج، ولا أثر للنهیالسابق علی فرض وجوده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الکلام فی النهی السابق فیها کالکلام فی ما نحن فیه، وأنّه لا أثر له، واحتمالالفرق بین المشبَّه والمشبَّه به بأنّ الخروج عن الدار المغصوبة لمکان کونه منمصادیق الغصب مغصوباً فی کلّ حال، غایة الأمر لا فعلیّة للنهی عنه بعدالدخول فی الدار، بخلاف ما نحن فیه فإنّ النهی عن الارتماس حال الدخول فیالماء کان من باب أنّه مفطِر، بخلاف الارتماس فی حال الخروج فإنّه من بابوجوب الإمساک تأدّباً علی مَن أبطل صومه ضعیف یظهر وجه الضعف بأدنیتأمّل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الأقوی الصحّة حال المکث فضلاً عن حال الخروج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من الوجه غیر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للإشکال؛ إذ حرمة استعمال المفطِر بعد تحقّق الإفطار یختصّ بصومشهر رمضان، فیجوز قصد الاغتسال حین المکث وحین الخروج، نعم، علیالقول بلزوم إحداث الغسل تشکل الصحّة من هذه الجهة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لهذا الإشکال فی غیر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ولکنّها الأقوی فی حال الخروج، بل تقوی صحّته فی غیر شهر رمضان فیحال المکث أیضاً فضلاً عن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صحّة الغسل حال المکث أو حال الخروج؛ بناءً علی صحّةالغسل فی هذا الحال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لهذا الإشکال؛ إذ العنوان المنهیّ عنه بالنهی السابق لا یصدق هنا علیالمکث والخروج، بخلاف المکث فی المغصوب والخروج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فی حال الخروج فقد مرّ، وأمّا فی حال المکث فالأحوط الأولیما ذکره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لزوم الإمساک عن المفطِرات فی غیر شهر رمضان، فلا یکونالمکث والخروج تحت النهی حتّی یبطل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 حال الخروج، بل حال المکث بعد فرض کون الارتماس مفطِراً،نعم، لو قلنا بحرمته نفساً لا یصحّ الغسل حال المکث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والأقوی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لم یکن هو الغاصب، وإلّا بطل غسله، وکذا الحال فی الجاهلالملتفت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یُترک الاحتیاط فی نسیان الغاصب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غسله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فی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الصوم واجب الإتمام، وإلّا صحّ الغسل وبطل الصوم، نعم، ما ذکره هوالأحوط، ولا یُترک الاحتیاط فی نسیان الغاصب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والصوم واجب معیّن، وفی الغیرالمعیّن صحّ غسله وإن کان صومه باطلاً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الصوم واجباً معیّناً، وأمّا فی غیرالمعیّن فیصحّ غسله ویبطل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الواجب المعیّن، وفی غیره یصحّ غسله،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فی الواجب المعیّن وإلّا صحّا معاً علی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واجباً معیّناً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الصوم الواجب المعیّن وإلّا صحّ غسله وبطل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الواجب المعیّن، وأمّا فی غیره فصحّ غسله وبطل صومهعلی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الصوم الواجب المعیّن وإلّا کان الغسل صحیحاً والصوم باطلاً، 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شهر رمضان، وإلّا لم یبطل 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واجباً معیّناً، وفی غیره صحّ الغسل وبطل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الصوم غیر معیّن لا إشکال فی صحّة الغسل وعدم مکروهیّته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 الواجب المعیّن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صومه واجباً معیّناً، وإلّا صحّ غسله وبطل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تمام فی الصوم المعیّن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الصوم واجباً معیّناً، وإذا کان واجباً غیر معیّن أو مندوباً بطل الصوموصحّ الغسل، ولا یُترک الاحتیاط فی نسیان الغاصب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عدم مبطلیّة الارتماس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الإطلاق نظر، کما سیأتی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تظهر الثمرة فی الغسل، لا فی الصوم؛ لِما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یبطل صومه إذا کان ناویاً للارتماس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أو قضائه لکن یجب فی رمضان مضافاً إلی قضائه إمساک ذلکالیوم والکفّارة دون قضائه، فلا یجب فیه إلّا صوم یوم آخر؛ فإنّه لا یشبه رمضانشیء من الشهور، بل إذا أمسک وقضی وکفّر لن یدرک فضل یومه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 وجوب إتمامه، کما یجب قضاؤه أیضاً، ولکن فی کون القضاءمن جهة فساد الصوم أو عقوبة وجهان، فلا یُترک مراعاة ما یقتضیه الاحتیاط فیالنیّة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فی الصوم الواجب علی الأحوط، معیّناً کان أم غیر 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تجب الکفّارة فی رمضان مضافاً إلی قضائه والإمساک فی یومه، بخلافالقضاء فلا یجب إلّا صوم یومه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لإختصاص الأخبار بهما، فیبقی ما عداهما علی الأصل، مضافاً إلی أخبارخاصّة فی المندوب دالّة علی الجواز، ولکنّ الأحوط فی ما عداه من أنواعالصوم الواجب عدم تعمّد البقاء علی الجنابة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الصیام الواجب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الواجب المعیّن بالنذر ونحوه فالأحوط إلحاقه برمضان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المعیّنة، وأمّا فی المعیّنة فالأقوی بطلانها بذلک، علی تفصیل 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ولو تعمّده فی المعیّن أتمّه رجاءً ثمّ قضاه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عبدالله الشیرازی، المرعشی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مراعاته فی الصیام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الصیام الواجب فی حکم شهر رمضان وقضائه علی الأحوط، بل لایخلو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الجهل، وأمّا مع نسیان غسل الجنابة فسیأتی حکمه فی المسألةالخمسین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کونه موسّعاً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التفت فی أثناء النهار،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التفت فی النهار،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عدم البطلان مطلقاً حتّی فی قضاء شهر رمضان، والأفضل ترکصومه وصوم یوم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أقوی تأمّل، بل قضاء رمضان کنفس رمضان لا یبطله إلّا تعمّد البقاءعلی الجنابة، والأخبار الواردة فیه إنّما هی علی عنوان 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تضیّق وقته فالأحوط الإتیان به وبعوضه، کما سیأتی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التفت فی أثناء النهار، وإلّا ففیه شائبة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موسّعاً کان أو مضیّقاً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البطلان فیه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وإن کان لا یبعد الصحّة لو اغتسل وجدّد النیّة قبل الزوال، والأحوطفی المندوب أیضاً تجدید النیّة بعد الغسل فی ما بینه وبین الغروب، بل لا یخلومن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البروجردی، عبدالله الشیرازی، 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یکن نومه الاختیاری من أسبابه العادیة، وإلّا فیقوی احتمال کونه منالاستمناء الاختیاری، ولقد استشکل المصنّف سابقاً فی مثل هذا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العمد یصدق علی التردّد وعدم المبالاة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مع التردّد فیه علی ما سیجیء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فَیُراعی مقتضی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الصحّة إشکال، بل منع،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قیام التیمّم مقام الغسل فی أمثال المقام نظر؛ لأنّ دلیل التیمّم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إلیترتیب آثار الطهارة، لا رفع آثار الجنابة، وتوهّم خفاء الواسطة منظور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صحّة التیمّم فی مثله ممّا یکون العذر فیه بالاختیار إشکال، والأحوطالجمع بین ذلک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صحّة الصوم والتیمّم فی الفرض إشکال، والاحتیاط لا یُترک، نعم، إن کانمعذوراً فی الإجناب صحّا، ولکن لا وجه حینئذٍ للعصیان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فلا یترک الاحتیاط بفعله مع التیمّم، ثمّ القضاء والکفّارة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للحکم بالعصیان بعد البناء علی صحّة الصوم، لکنّ صحّته محلّإشکال، والأحوط فعله بالتیمّم ثمّ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قدذکرللعصیان‌وجه‌یرتفع‌به‌مااستبعده بعض،مع الحکم بصحّة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عصیانه تأمّل بعد فرض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عاصیاً، نعم، هو عمل مرجوح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العصیان إشکال، والأظهر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لتفویت بعض الملاک بفعله، ولکن 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بکونه عاصیاً مع سعة الوقت للتیمّم محلّ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عاصیاً مع صحّة صومه نظر،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الجزم بالبطلان مشکل؛ لقصور الدلیل،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ویجب علیه القضاء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ویجب علیها القضاء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تجب الکفّارة أیضاً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الکلام المتقدّم فی تعمّد البقاء علی الجنابة یأتی فیه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التیمّم مع التمکّن من الغسل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التیمّم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کفّارة هنا إلّا احتیاطاً، والظاهر وجوب إمساک ذلک الیوم من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إلحاق حَدَثَی الحیض والنفاس بالجنابة فی ما مرّ علیک من الأحکام،فلاحظ وتدبّر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إلحاق غیره به، بل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وهکذا فی الواجب المعیّن بنذر وشبهه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وفی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إلحاق غیره به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قضاء شهر رمضان، بل فی مطلق الصوم الواجب، معیّناًکان أم غیر 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فی مطلق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فی قضاء شهر رمضان والواجب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الواجب المعیّن کالنذر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واجباً معیّناً دون غیره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واجباً معیّناً دون غیره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واجباً معیّناً، أمّا غیر المعیّن فصحّته محلّ إشکال، وکذا مشروعیةالتیمّم من اتّساع الوقت له فقط فی غیر المعیّن محلّ تأمّل فیهما، وفی الجنبأیضاً، بل البطلان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الواجب المعیّن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واجباً معیّناً، وفی غیره تأمّل وإشکال، کما أنّ مشروعیّة التیمّم فیصورة عدم سعة الوقت، إلّا للتیمّم فقط فی غیر المعیّن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الواجب المعیّن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القضاء الموسَّع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قضاء شهر رمضان مع سعة الوقت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الواجب المعیّن، وأمّا فی غیره فمشکل حتّی مع التیمّم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فی قضاء شهر رمضان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 الواجب المعیّن، أمّا فی غیر المعیّن والندب فمحلّ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تفصیل الکلام فی کتاب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الأقوی العدم؛ لعدم مستند له سوی مکاتبة ابن مهزیار، وهی منحیث اشتمالها علی الأمر بقضاء الصوم دون الصلاة الّذی هو من أحکام الحائضلا المستحاضة یقطع بحصول سقط فیها، فلا یمکن العمل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ولا یترک الاحتیاط بإتیان لیلیّة اللیلة الماضیة، نعم، یکفی عنهاالغسل قبل الفجر لإتیان صلاة اللیل أو الفجر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خصوصاً فی غسل الفجر فإنّه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ومنه یظهر الحال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فی غسل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الاحتیاط الوجوبی إنّما هو بالنسبة إلی غسل الظهرین والعشاءین فی الکثیرةفی شهر رمضان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خصوصاً غسل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الشهرة بل دعوی الإجماع عن جماعة لکان الحکم بعدم الاشتراط هوالظاهر؛ لأجل ضعف السند، واضطراب دلالته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الظاهر ثبوت القضاء دونالکفّارة فی صورة الإخلال بالاغتسال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الأقوی، کما تقدّم فی فصل الاستحاضة من 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اعتبار غسل المتوسّطة إشکال؛ لعدم مساعدة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المقامعلیه بعد بطلان التسریة بالمناط،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 المتوسّطة 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اشتراط الغسل فی صحّة صوم المستحاضة المتوسّطة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إذا استحاضت المتوسّطة بعد الفجر والکثیرة بعد الظهرین ولم تغتسلا إلیالغروب لم یبطل صومهما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یبطل علی الأقوی، نعم، لو اغتسلت قبل الفجر لأیّ غایة صحّ صومها علیالأظهر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محمد رضا الگلپایگانی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ضمّ أغسال اللیلة الماضیة والمستقبلة من جهة التشکیک فی مدلولالنصّ علی وجه یحتمل فیه هذه الوجوه، فمقتضی الأصل وإن کان الاقتصارعلی ما فی المتن ولکنّ الاحتیاط یقتضی الالتزام بما ذکرناه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یبطل ما لم تغتسل قبل الفجر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یبطل علی الأقوی، نعم، لو اغتسلت قبل الفجر لأیّ غایةٍ صحّ صومهاعلی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الاعتبار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یعتبر فیها بالمعنی الذی سیذکره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الإتیان بغسل اللیلة الماضیة، نعم، إذا ترکته وقدّمت غسل صلاةالفجر علی الفجر للإتیان بصلاة اللیل أجزأ عنه، وصحّ صومها علی الأقوی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إتیان أغسال اللیلة الماضیة، نعم، لو لم تأتِ بها وأتت بغسل الفجرمقدّماً علیه لصلاة اللیل أو لنافلة الفجر أو للفجر أجزأ عن اللیلیّة وصحّ صومها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الاعتبار، نعم ، مع الترک والإتیان بالغسل قبل الفجر لأجل صلاةاللیل ثمّ الفجر یکون الصوم صحیحاً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اعتباره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اعتباره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یعتبر علی الأحوط، نعم، لو ترکته واغتسلت قبل الفجر لصلاة اللیل صحّصومها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بالإتیان بغسل اللیلة الماضیة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فی هذه الصورة تقدیم غسل الغداة قبل الفجر، ثمّ إعادته للصلاة، إلّامع عدم فصل معتدّ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یبطل علی الأقوی، نعم، لو اغتسلت قبل الفجر لأیّ غایةٍ صحّ صومها علیالأظهر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بطلانه لا یخلو من قوّة، والأحوط أن تغتسل قبل الفجر لبعض الغایات، کقضاءالصلاة أو الإتیان بالنافلة، ثمّ تعید الغسل لصلاة الغداة لو استمرّ الدم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الغسل قبیل الفجر والصلاة بعده بلا 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تقدیم الغسل علی الفجر بقصد النافلة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اغتسلت للعشاءین، وإلّا فالأحوط الإتیان به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فی أوّل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یشکل تقدیم غسلهما علی الفجر، بل یمنع إلّا أن تعیداه بعد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الأحوطیّة ممنوعة، بل لو قدّمته لغیر صلاة اللیل لم یجز عن غسل الغداة علیالأقوی، نعم، لو اغتسلت قبل الفجر وأعادته بعده کان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مقارنة الغسل للفجر عرفاً، وإلّا فالأحوط التکرار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یحصل فصل معتدّ به، وإلّا لم یجز، فالاحتیاط عند حصول السبب مناللیل یحصل بأحد 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إیقاع غسل الغداة آخر اللیل مقارناً لطلوع الفجروالإتیان بصلاة الغداة أوّل وقتها بحیث لا یحصل بینهما فصل یُعتدّ به، وإمّابالجمع بین غسلٍ فی آخر اللیل لاستباحة الصوم وآخر للصلاة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التقدیم هو الأحوط تأمّل، بل الأحوط تقدیمه بقصد صلاة اللیل ثمّإعادته بعد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الإتیان به قبل الفجر لأجل غایة من الغایات، ثمّ إعادته بعد الفجرلصلاة الغداة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إلّا إذا کانت قد ترکت غسل العشاءین علی ما تقدّم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تقدیمه لصلاة اللیل أو نافلة الصبح، ثمّ إعادته بعد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مطلقاً، بل قریباً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اغتسلت قبله یسیراً بحیث لا یفصل بین الغسل والصلاة، وإلّا فهو خلافالاحتیاط، إلّا إذا أعادت الغسل عند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إتیان النافلة متّصلاً بالفجر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خلافه مع الإتیان بغسل اللیلة الماضیة، فإن أتت به قبل الفجرتأتِ به رجاءً وتعیده بعد الفجر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أحوط إشکال، سیّما فی صورة الفصل بین الغسل وصلاة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تقدیم الغسل علی الفجر بقصد صلاة اللیل أو النافلة، وإعادته بعدالفجر أو إتیانه قبیل الفجر والصلاة بعده بلا 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التقدیم هو الأحوط ممنوع، نعم، فی ما إذا قدّمته لأجل صلاة الفجر لامانع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فی خصوص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وجوب قضائه، فلو نسی الاغتسال لیلاً وتذکّره بعد طلوع الفجر أتمّصومه بنیّة القربة المطلقة علی الأحوط وقضاه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فی الیوم احتیاطی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الیوم علی الأحوط الّذی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یغتسل فی المدّة غسلاً مشروعاً، کغسل الجمعة أو الزیارة مثلاً، وإلّافالحکم بالبطلان بالنسبة إلی بعد زمانه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یغتسل للجمعة، وإلّا فعلی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یغتسل فی البین غسلاً آخر کغسل الجمعة أو الزیارة أو غیرهما، وإلّافعلی الأحوط بالنسبة إلی بُعد زمانه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اغتسل غسلاً مشروعاً کالجمعة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یغتسل للجمعة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یتحقّق منه غسل شرعی بأیّ عنوان، أو التیمّم لأحد مسوّغاته معاستمراره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خصوصاً فی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قضاء شهر رمضان، کما فی أصل الحکم بالمفطِریّة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قضاء رمضان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قضاء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فی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قضاء شهر رمضان لا ینبغی 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وفی ما تقدّمه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الترک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محمّد رضا الگلپایگانی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الکلام فیه، فلا یُترک الاحتیاط فی مثله، کما لا یُترک الاحتیاط ببقائهعلی تیمّمه مستیقظاً حتّی یصبح؛ من جهة شبهة ناقضیّة النوم لمثل هذا التیمّمأیضاً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 التیمّم وفساد الصوم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 صورة التمکّن من الغسل وترکه حتّی یضیق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یجب علیه التیمّم، فإن ترکه 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هذه الصورة أن یتمّ ویصوم ثمّ یقضیه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الاحتیاط بالجمع بین الصوم مع التیمّم والقضاء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یبطل صومه إذا لم یتیمّم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یتیمّم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ترک الغسل مع تمکّنه منه حتّی ضاق الوقت فتیمّم فالظاهر عدم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یتیمّم، وإلّا ففیه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ضاق عن الغسل ولم یتیمّم فیبطل، وفی صورة ضیق الوقت عن الغسل لوأتی بالتیمّم صحّ صومه بلا إشکال، وإشکال بعض الأعلام المرحومین غیرموجّه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وحینئذٍ فإن تمکّن من التیمّم تیمّم، وإلّا یبطل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یتیمّم، فلو ترک المتمکّن من الغسل حتّی ضاق الوقت فتیمّم فالظاهرصحّة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اختیر عدم ارتفاع أثر التیمّم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عن الغسل، وعدم انتقاضهبالنوم ونحوه من موجبات الحدث الأصغر، وإلّا فلزوم بقائه یقظاناً کترکه سائرأسباب الحدث الأصغر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فالاحتیاط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الشاهرودی، أحمد الخونساری، عبدالله الشیرازی، حسنالقمّی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القوّة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وقد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الحکم فی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قضاء رمضان کرمضانَ فی عدم الإبطال بغیر التعمّد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أنّه یصحّ مطلقاً، من غیر فرقٍ بین سعة الوقت وضیقه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الإتیان به، ولا یجب علیه عِوَضه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الإتیان بالعوض فقط بعد شهر رمضان الآتی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الإتیان به، بل یکتفی بِعِوَضه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بترک الاحتیاط المذکور؛ فإنّ مقتضی بعض النصوص عدم الفرق بینالموسّع والمضیّق، وفی کلتا الصورتین یبطل الصوم ویجب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بالاکتفاء بِعِوَضه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ویجوز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الأظهر جواز الاکتفاء بإتیان العِوَض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الإتیان، ولا یجب علیه عوضه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حذراً من فوات الواجب؛ بناءً علی فساد الصوم بتعمّد البقاء علی الجنابة، وأمّابناءً علی کون القضاء فیه عقوبة فالحکم مبنیّ علی الاحتیاط اللزومی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ویلحق به ما إذا احتمل الاستیقاظ احتمالاً ضعیفاً لا یعتنی بمثله العقلاء،ویعدّونه إذا نام مع هذا الاحتمال تارکاً للغسل اختیاراً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العلم بأنّ بقاء الجنب عمداً إلی الصبح مبطل للصوم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واعتاده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واعتاده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احتمالاً ضعیفاً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الاطمئنان به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واعتاده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یتمّ معه العزم علی الاغتسال قبل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واعتاده أو اطمأنّ به، أمّا مع عدم الاعتیاد والاطمئنان فالأحوط أنّه کالعلمبعدم الاستیقاظ حتّی النوم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یعتدّ به بحیث یخرجه عن کونه تارکاً للغسل اختیاراً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عدم الاستیقاظ مظنوناً له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بالجواز مطلقاً بمجرّد الاحتمال مشکل، بل هو مخصوص بصورةالاطمئنان بالاستیقاظ وإن حصل من اعتیاده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إذاکان من عادته الاستیقاظ، وإلّا فلا یُترک الاحتیاط بترک النوم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إذا کان الاستیقاظ من عادته ویطمئنّ به، وإلّا بصرف الاحتمال مشکل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معتادَ الانتباه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اعتیاد الیقظة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مطمئنّاً بالاستیقاظ، وإلّا فالأحوط عدم جواز النوم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الاستیقاظ علی خلاف 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جواز النوم الثالث فما زاد لا یخلو من إشکال، ومراعاة الاحتیاط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الحرام إنّما هو عنوان تعمّد البقاء علی الجنابة، ومع الشکّ فی الاستیقاظواحتماله إذا نام واستمرّ إلی الفجر اتّفاقاً فلا یصدق علیه عنوان التعمّد، وبما أنّموضوع الحکم هذا العنوان فلا أثر للاستصحاب أیضاً؛ حیث إنّه لا یثبت ذلکالعنوان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البروجردی، مهدی الشیرازی، أحمد الخونساری، عبداللهالشیرازی، المرعشی، الآملی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فی الثالث فما زاد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خصوصاً فی غیر معتاد الانتباه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مع عدم الاعتیاد مطلقاً، وفی النوم الثالث أو أزید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لو لم یکن أظهر ترک النوم الأوّل مع احتمال بقائه نائماً إلی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احتمالاً یعتدّ به بحیث یخرج معه عن کونه متعمّداً للبقاء علی الجنابة، کماتقدّم فی المسألة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بالاستیقاظ خارج من الکلام؛ فإنّ النوم معه حلال مطلقاً الأول والثانیوما زاد، فإذا نام ناویاً للغسل ولم یستیقظ حتّی الفجر فصومه صحیح ولا إثمعلیه، کما أنّ العالِم بعدم الاستیقاظ إذا لم یستیقظ حکمه حکم العامد مطلقاًیجب علیه القضاء والکفّارة حتّی فی النومة الاُولی، وأمّا النوم مع الغفلة والذهولأو الجهل بالجنابة فالحکم وضعاً وتکلیفاً کالاُولی، سواء فی النومة الاُولی أو مابعدها، خلافاً لما فی المتن، فهذه ثلاث صور لنوم الجنب، والصورة الرابعة ما إذاکان عازماً علی عدم الغسل أو کان متردّداً فإنّ حکمه حکم الصورة الثانیة ملحقبالعامد، علیه القضاء والکفّارة، وناسی الموضوع ـ أعنی الجنابة ـ کجاهلها لاشیء علیه، وجاهل الحکم ـ أعنی بطلان الصوم بتعمّد البقاء ـ کالعامد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فی المسألة السابقة أنّه إذا نام مع العلم بعدم الاستیقاظ أو معاحتماله احتمالاً ضعیفاً یُعِدّه العقلاء معه متعمّداً للبقاء علی جنابته إذا نام فیهاتین الصورتین واستمرّ نومه إلی الفجر لحقه حکم البقاء علی الجنابة عمداً،فیجب علیه القضاء والکفّارة وإن کان فی النومة الاُولی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الصور المفروضة تجری فی النوم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منشأ البطلان فی هذا القسم صدق تعهّد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وإمّا أن یکون ناسیاً للجنابة أو للحکم، أی عدم جواز البقاء علی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منشأ البطلان فی هذا القسم عدم تحقّق نیّة الصوم، فهو محکوم بتعمّد البقاءعلی الجنابة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مع التردّد فی الغسل یلحقه حکم المتردّد فی نیّة الصوم فیبطلصومه، ویجب علیه القضاء دون الکفّارة وإن کان التکفیر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 المتردّد مبنیّ علی الاحتیاط الوجوبی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فی وجوب القضاء، أمّا فی الثالثة فالأحوط وجوب الکفّارة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بالنسبة إلی القضاء فالأقوی وجوبه؛ لکونه مصداقاً للناسی، وأمّا بالنسبةإلی الکفّارة فالظاهر أنّه لاوجه لوجوبها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فإنّهما من النسیان أو فی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یکن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عبدالله الشیرازی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منشأ البطلان فی هذا القسم عدم بنائه علی الاغتسال؛ حسبما یُستفاد منالأخبار الواردة فی الباب بعد ضمّ بعضها إلی بعض من لزوم البناء علیالاغتسال، فحینئذٍ یلزم علی المجنب فی لیلة شهر رمضان نیّة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منشأالصحّة فهو عدم صدق تعمّد البقاء مع تحقّق قصد الصوم ونیّته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بقضاء الصوم والکفّارة، وکذا فی الصورتین فی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تفصیل 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تأمّل، لا یُترک معه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إجراء حکم الناسی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نظر، والاحتیاط بإجراء حکم تعمّد البقاء علی الجنابة علیه لا یُترک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القسم الرابع الآتی الّذی حکم بالصحّة فیه، ولکن فی قوّته نظر؛ لِما عرفتمن إمکان استظهار لزوم نیّة الصوم فی اللیل وعدم التوانی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عدم وجوب الکفّارة، وأمّا القضاء فالظاهر وجوبه، نعم، لو ذهل عنوجوب صوم الغد فنام ولم یستیقظ إلی الفجر لم یجب القضاء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إن لم یکن أقوی وجوب القضاء بالنومة الاُولی بعد العلم بالجنابة،نعم، إن احتلم ولم یستیقظ حتّی طلع الفجر فلا شیء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فی الذهول وجوب القضاء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واثقاً بالانتباه، وإلّا فالأحوط 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علی الأحوط، وإلّا فالأقرب صحّة الصوم، وکذا الحکم فی النومة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بل الأوجه ثبوت الکفّارة، کما هو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الشاهرودی ، عبدالله الشیرازی،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بمقتضی الجمع بین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المتفرقة فی الباب، ولقد فصّلناه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تتوفّر نسخته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وکذا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وکذا ما بعده،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استحبابها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الاعتیاد، والشکّ فی الانتباه یکون من مصادیق العمد فیترتّب علیهحکمه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هذه الصورة 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حینئذٍ أنّه لا یتمّ له البناء علی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حکمه حکم المتعمّد علی بقاء الجنابة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لایترک إذا کان عدم الانتباه مظنوناً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الحکم مخصوص بصورة الاطمئنانبالاستیقاظ وإن حصل من إعتیاده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واثقاً به من جهة اُخری، کتوقیت الساعة المنبّهة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الأظهر، 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تأمّل، فالأحوط عدّه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والأحوط عدّه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بل الأحوط عدّه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یعدّ منه علی الأحوط، بل لایخلو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بالاحتلام، ومع ذلک محلّ التأمّل،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عرفت أنّ الأحوط بل الأرجح وجوب القضاء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الإلحاق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عدم وجوب مراعاته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إذ لا مقتضی لوجوبه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اللحوق فی غیر قضاء شهر رمضان، کما مرّ منه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الأظهر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اللحوق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قضاء شهر رمضان یلحق به؛ للاتّحاد بینهما فیالخصوصیّات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فی مسألة البقاء علی الجنابة أنّ الحکم مخصوص بشهررمضان وقضائه، دون غیرهما من الصیام الواجب أو المندوب علی الأقوی،فیکون الاحتیاط مستحبّاً، لا واجباً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فی الواجب غیر المعیّن، کما تقدّم فی أوّل المفطِر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إبطال البقاء علی الجنابة متعمّداً بصوم شهر رمضانوقضائه، وهذا 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الإلحاق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ینبغی ترک الاحتیاط بالإلحاق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لفقدان النصّ، والتمسّک بالأولویّة بالنسبة إلی الجنب، کما تمسّک بها بعضهمضعیف لا اعتبار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تمسّکاً بأصالة العدم بالنسبة إلی الصلوات المشکوک وقوعها فی حال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یشکل الرجوع إلی أصالة الصحّة فی المقام؛ من حیث إنّ دلیل اعتبار هذهالقاعدة إنّما هو بناء العقلاء علیها فی الفعل السابق المشکوک فی صحّته وفساده،ومناط بنائهم هو أنّ الفاعل فی وقت الفعل أذکر منه بعده، فلا یشمل ما إذا کانالشکّ فی صحّة الفعل من جهة احتمال طروء النسیان کما فی المقام بعدم إحرازالموضوع، وإذن فالمرجع هو الاستصحاب، وفی المسألة تفصیل یرجع فیه إلیالرسالة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یجوز قصد الوجوب لا فی أوّل اللیل ولا فی آخره؛ إذ المقدّمة لاتجببالوجوب الشرعی، وعلیه لابدّ من الإتیان بالغسل بقصد القربة، نعم، حیث إنّالطهارات الثلاث بقصد الکون علی الطهارة مندوبة شرعاً یمکن عروض عنوانعلیها کالنذر أو الیمین أو نحوهما فیصیر المستحبّ واجباً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جواز قصد الوجوب هنا؛ لأنّ الوجوه المتصوّرة لقصد الوجوبکلّها مدخولة، فالأحوط إتیانها بقصد القربة المطلقة من دون قصد الوجه أوبقصد الاستحباب، کما مرّ الکلام منّا فی أمثاله من المقدّمات التی اُرید إتیانهاقبل دخول وقت ذیها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باب الغسل أنّ الأولی عدم قصد الوجوب مطلقاً، بل الإتیان بهبقصد القربة المطلقة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شبهة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لقصد الوجوب فی ما یؤتی به مقدمّة للواجب، بل لا یعتبر قصدالوجوب والاستحباب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الإتیان به بقصد القربة المطلقة ولو فی آخر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الأولی عدم قصده مطلقاً، فیأتی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القربة ولو فی آخر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قضاء رمضان البطلان مع سعة الوقت، والأحوط التکرار معالضیق فی الجنابة، وأمّا فی الحیض والنفاس فالأحوط الترک فی مطلق الغیرالمعیّن، والتکرار فی القضاء مع الضیق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الشبهة الناشئة عن القول بأنّ وجوب المقدّمة معلول عن وجود ذِیها،فحینئذٍ لا معنی لقصد الوجوب، إلّا أنّ الشبهة مندفعة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له ترک قضاء شهر رمضان مع سعة الوقت، وعدم الاکتفاء به معالضیق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فی مثل قضاء شهر رمضان ممّا یفسده الإصباح جنباً، ولو لا عنعمدٍ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واجباً معیّناً، وفی غیر المعیّن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الأحوط فی حقّه ترک قضاء شهر رمضان فی سعة الوقت، وعدم الاکتفاءبه فی الضیق، وکذا ما یحذو حذوه من الصیام الّذی یُفسِده البقاء علی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واجباً معیّناً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قضاء شهر رمضان، وأمّا فیه فمحلّ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الصحّة فی ما یفسده البقاء علی الجنابة مطلقاً، ولولا عن عمدٍ کقضاء شهررمضان محلّ النظر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 إطلاقه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قضاء شهر رمضان فالأظهر بطلانه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فی قضاء رمضان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فی شهر رمضان ونحوه من الواجب المعیّن، وأمّا فی ما عدا ذلک ففیهتأمّل، نعم، له أن یصوم ثمّ یحتاط بإعادته بعد التمکّن من الطهور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فی ما یفسده البقاء علی الجنابة مطلقاً، ولولا عن عمد کقضاء شهررمضان محلّ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معیّناً، بل فی قضاء رمضان إذا صار معیّناً لضیق الوقت لا یکتفی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ما یفسده البقاء علی الجنابة مطلقاً، ولولا عن عمد کقضاء شهر رمضانفإنّ الظاهر فیه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صحّته فی قضاء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الواجب معیّناً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فی قضاء شهر رمضان ونحوه ممّا یفسده البقاءولو لا عن عمدٍ فالحکم محلّ إشکال، فالأحوط ترک قضاء شهر رمضان مع سعةالوقت، وعدم الاکتفاء به مع الضِیق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ما کان البقاء علی الجنابة مفسداً له مطلقاً، کقضاء شهر رمضان فإنّالظاهر البطلان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الواجب المعیّن، وفی غیره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قضاء شهر رمضان الموسّع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قضاء شهر رمضان بل فی مطلق الواجب غیر المعیّن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الواجب المعیّن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أجنب حینئذٍ عصی وصحّ صومه علی الأقوی، والأحوط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تکلیفاً، أمّا بطلان صومه فمحلّ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تکلیفیّاً، وأمّا بطلان صومه فمحلّ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بمعنی الحرمة ثابت فی ما إذا لم یسع لهما، وأمّا عدم الجوازبمعنی البطلان ففیه تأمّل، فلا یبعد الحکم بالبطلان؛ من جهة صدق تعمّد البقاءعلی الجنابة، وانصراف دلیل صحّة صوم فاقد الطهورَین عنه، فحینئذٍ یجب علیهالقضاء والکفّارة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الحال فیه ممّا تقدّم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یجوز الإجناب فی هذا الفرض أیضاً کما فی المضرب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شائبة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الّذی لا ینبغی أن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حیث العصیان، کما مرّ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محمّد الشیرازی، 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فی هذه الصورة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صحّ صومه إذا تیمّم، وبطل فی الفرض الأوّل،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تکلیفاً، وأمّا صحّة الصوم فقد مرّ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تیمّم صحّ صومه وإن کان عاصیاً،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إذا تیمّم صحّ صومه وإن کان عاصیاً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صومه صحیح مع التیمّم،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لتحصیل التیمّم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عن التیمّم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الجزم بالحکم مشکل، فإنّ سند التفصیل ضعیف، فلابدّ من رعایة 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الوقت یسع للتیمّم تیمَّمَ ویصحّ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یتمکّن من التیمّم، وأمّا مع التمکّن منه فیجب التیمّم ولا قضاء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تمکّن من التیمّم وجب علیه، فإذا تیمّم صحّ صومه ولا قضاء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حدث مسبّب الجنابة من إنزال أو جماع بعد العجز وجب القضاء، وإن کانحدوثه قبل الفجر وتبیّن ضیق الوقت عن الغسل والتیمّم فلا یجب القضاء، وإنکان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بالصحّة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مفطِریّتها تأمّل وإن حرم فعلها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ویجب به القضاء والکفّارة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الاحتقان بالمائع مفسد للصوم جزماً، ویوجب الکفّارة احتیاطاً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مثل الشِیاف للتداوی، وأمّا إدخال نحو التریاکللمعتادین بأکله وغیرهم لحصول التغذّی أو التکیّف به ففیه إشکال، لا یُترکالاحتیاط بترکه، وکذا الحال فی کلّ ما یحصل به التغذّی من هذا المجری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یتغذّی به، بل کان صرف تداوٍ ومعالجة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البطلان مع صدق الاحتقان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یصدق الاحتقان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بعید إذا صدق علیه الاحتقان عرفاً؛ لإطلاق النصوص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بعد مع صدق الاحتقان حقیقةً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البطلان مع صدق الاحتقان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عبدالله الشیرازی، الأراکی، اللنکرانی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الفحص وبقاء 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إلّا مع التردّد بین الجامد الشِیافی للتداوی والمائع أو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مع صدق الاحتقان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أحد طرفی الشبهة جامداً یُعالج به، وأمّا إذا کان ما یتغذّی به فلایُترک الاحتیاط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مع صدق الاحتقان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موجب للقضاء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یوجب فساد الصوم، ولا یوجب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بطلانه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صومه ووجوب الکفّارة خصوصاً کفّارة الجمع مبنیّ علی 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وکذا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بطلانه ما لم یخرج خارج الفم مبنیّ علی الاحتیاط، ومنه یظهر حکم الکفّارة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الکفّارة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اللنکرانی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الأفضل والأولی، وإلّا فالأقوی عدم وجوب کفّارة الجمع فی الإفطارعلی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جمال الدین الگلپایگانی، الإصطهباناتی، الشاهرودی،الخمینی، السبزواری، زین الدین، 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والأقوی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بالإطلاق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عدم ثبوتها فی الإفطار بالمحرّم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لکونه أهمّ فی نظر الشارع کالمغصوب، أو لم یکن الصوم واجباً معیّناً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لأهمّیة ما یجب له القیء، أو عدم تعیّن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بذلک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لم یکن الصوم واجباً معیّناً، أو کان هو أهمّ من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فی صوم شهر رمضان وغیره من الصوم المعیّن، لأجل حفظ النفسوأمثاله من الواجبات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لاحتمال عدم وجوب قصد ترک القیء من جهة کونه جزءاًللصوم؛ لاحتمال کون وجوده مضادّاً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فساد الصوم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یتیقّن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 إطلاقه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ینشأ من أنّ ترک القیء جزء للصوم أو القیء ضدٌّ وجودیٌّ له،فعلی الثانی یصحّ الصوم إن عصی ولم یتقیّأ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فرق بین کون القیء قیداً عدمیّاً للصوم أو ضدّاً وجودیّاً له إذا تقیّأ،نعم، یمکن الفرق بینهما فی ما إذا لم یتقیّأ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الفساد فی مثل ابتلاع المغصوب ممّا یجب علیه ردّه، والقیءمقدّمة له، فصحّ الصوم لو عصی ولم یردّه، ولو قلنا بأنّ ترک القیء جزء للصومفضلاً عن القول بأنّه ضدّه، نعم، لو فرض ابتلاع ما یحکم الشارع بقیئه بعنوانهففی الصحّة والبطلان تردّد، والصحّة أشبه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الأقوی فی صورة کون سبیل الخروج منحصراً بالقیء، وعدم کونالمبلوع ممّا یلزم ردّه عند الشرع، وإلّا فالأقوی صحّة الصوم مع العصیان، وتردّدبعض الأصحاب فی المسألة وابتنائها علی کون ترک القیء جزءاً للصوم فیفسدأو ضدّاً وجودیّاً له فیصحّ وإن عصی لا وجه له تطمئنّ به النفس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أراد القیء خارجاً، وإلّا فبمجرّد الوجوب لا یوجب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لا یبعد عدم الفساد، نعم، لو تقیّأ بطل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وجوب القیء مانع عن التقرّب بالإمساک عنه الّذی هو جزء للصوم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تقیّأ أو لا؛ لأنّ وجوب القیء کارتکاب المفطر مانع عن قصد الصوموالتقرّب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صورة الغفلة عن وجوب القیء وحصول نیّة الصوم منه إذالم یتقیّأ یصحّ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تقیّأ، أو لم یکن عازماً علی ترک التقیُّؤ ـ مع الالتفات إلی کونه مانعاً عنصحّة الصوم ـ فی وقتٍ لایجوز تأخیر النیّة إلیه اختیاراً المختلف باختلافأنحاء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بنفس الوجوب وإن لم یتقیّأ، وهو ممنوع ؛ لعدم اقتضاء الأمر بالشیءللنهی عن الضدّ مطلقاً ولو کان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کان متعلّق الوجوب هو نفس التقیُّؤبعنوانه یمکن أن یقال بالبطلان حینئذٍ، لکنّه ممنوع فی هذه الصورة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بالتقیُّؤ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القید مستدرک،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الاحتیاج إلی هذا القید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وقع القیء بالنهار، 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ما أکل فنسی فقصد الصوم ولم یتقیّأ فیصحّ صومه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ولکن الاحتیاط لا یُترک إذا قاء فی 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الاحتیاط وجوبیّ فی صورة وقوع القیء فی النهار، واستحبابیّ فی صورةعدم وقوع القیء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الوجوب تکلیفیّ فی الصوم الواجب المعیّن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کانالواجب موسّعاً مندوباً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یجب الإمساک فیهما، بل لا یبعد القولبعدم الوجوب؛ من جهة عدم کون القیء فی الفرض بفعله واختیاره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الصوم معیّناً علیه، ولعلّه المراد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بعض الفروض، وأمّا إن کان بحیث یصدق عدم تعمّد القیءعرفاً ففی وجوب الاحتیاط أیضاً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الصوم واجباً معیّناً، فإن هو لم یحبسه وقاءً بطل الصوم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الحبس مبنیّ علی الاحتیاط؛ فإنّ المأخوذ فی دلیل البطلان عنوانإکراه النفس، وعدم الحبس لا یکون مصداقاً لإکراه النفس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وجوبه، وعدم البطلان بترکه فی ما إذا کان القیء حادثاً باقتضاءالطبع إیّاه علی نحو لایصدق أنّه أکره نفسه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منّا کلام فی السابق بالنسبة إلی هذین وأمثالهما من العناوین الطارئة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بل الظاهر عدم الوجوب؛ إذ القیء فی الفرض لیس بقصده، ومجرّدإمکان إیجاد المانع لا یوجب صدق العنوان المذکور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إذا لم یصل إلی حلقه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الوصول إلی حدّ لم یصدق معه الأکل فالظاهر عدم وجوب إخراجه وصحّصومه، ومع صدق الأکل فالظاهر وجوب إخراجه ولو لزم منه القیء وبطلصومه، ولو أکله والحال هذه بطل صومه، والأحوط وجوب کفّارة الجمعبارتکاب المفطِر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عدم جواز ازدراده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الحلق ووصل إلی موضع یصدق عنوان الأکل فلا وجه لوجوبالإخراج، وإن لم یصدق علیه عنوان الأکل فصومه یبطل علی کلا التقدیرین؛ إذیدور الأمر بین الأکل والإخراج بالقیء، وکلاهما مفسدان للصوم، نعم، یلزماختیار الإخراج کی لایکون آکلاً للحرام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فی معرض البلع، من دون فرقٍ بین کونه صائماً أو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فی ما إذا وصل إلی حدّ لایعدّ إنزاله إلی الجوف أکلاً غیر واضح، بلممنوع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صدق الأکل علیه بأن لم یُبتلع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فی شرف الابتلاع ولم یبلعه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یخرج معه شیء آخر بحیث یصدق علیه القیء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علی قیء ما فی بطنه من الطعام، وسقوط وجوب القیء حینئذٍ مبنیّ علیکون وجوب الصوم أهمّ قطعاً أو احتمالاً، وعلی تقدیر العدم یجوز، بل یجبالقیء ویترتّب علیه 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ما یحرم فیه الإفطار أو کان یتضرّر بالقیء وإلّا وجب إخراجه لحرمةبلعه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اُحرزت أهمّیّة الصوم أو احتملت علی الخصوص کشهر رمضان لا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الصوم واجباً معیّناً، وأمّا فی الموسَّع والمندوب فالظاهر عدم سقوطوجوب الإخراج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الإخراج لا یسقط فی ما إذا لم یصل إلی الحدّ المتقدّم وإن توقّف علیالقیء، إلّا إذا کان حرجیّاً أو ضرریّاً وحینئذٍ یبطل صومه، سواء بلعه أم أخرجهبالقیء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أوجب تردّداً فی استمرار نیّة الصوم من حیث قصده إلی التجشّؤ وإنصحبه 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الخوئی، محمّد الشیرازی، حسن القمّی،الروحانی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 علیه القیء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صدق القیء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صدق التقیُّؤ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 هنا علی الدخول فی الجوف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من الحلق منتهاه، یعنی ما یصدق بالوصول إلیه الأکلوالابتلاع، وعلیه فوجه الحکم واضح ولا یرد علیه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الوصول إلی الجوف وصدق الأکل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یصدق الدخول فی الجوف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إلی آخر الحلق المتّصل بالجوف، والذی إذا وصل إلیه الشیء فقد أکلهوابتلعه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علی الدخول فی الجوف وهو یحصل بالتجاوز عن منتهی الحلق، أمّابالوصول الی حدّ الحلق محل إشکال، ومنه یظهر الحال فی المسائل الآتیة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المحلّ الذی یصدق بالوصول إلیه الأکل والبلع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یجب إخراجه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الأراکی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أنّ الوصول إلی الجوف وصدق الأکل هو المیزان، فإذن لا أثرللوصول إلی الحلق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وجوب الإخراج وعدمه الوصول إلی حدّ صدق معه الأکلبابتلاعه وعدمه، والظاهر صدق الأکل مع الوصول إلی أوّل الحلق، بل وسطه ولوشکّ فی وصوله إلی ذلک الحدّ فلا یبعد جواز الابتلاع، والأصل الّذی تمسّک بهفی المتن لا یثبت عنوان الأکل ولو فی الشبهة الموضوعیة فضلا عن الشبهةالمفهومیة، لکن لا ینبغی ترک الاحتیاط، بل لا یُترک حتّی الإمکان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إخراجه إذا أمکن، ولا یعدّ مثله قیئاً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الوصول إلی الحلق لا تأثیر له فی جواز بلعه وعدم إبطاله للصوم، فیجبإخراجه ما لم ینزل إلی الجوف، ولا یُعدّ إخراج مثله قیئاً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مجرّد الوصول إلیه لا یرفع الوجوب، ولا یصدق معه القیء، ومنهیظهر بالأولویّة حکم الشکّ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ولو بعد الوصول إلیه، ولا یصدق علیه القیء، وفی صورة الشکّ فیالوصول إلیه أیضاً کذلک بطریقٍ 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ما لم یصل إلی الجوف، ولا یعدّ إخراجه قیئاً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فی عدم الوجوب وصوله إلی الحدّ الّذی لا یُعدّ إنزاله إلی الجوف أکلاً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مجرّد الوصول إلی الحلق ـ أی إلی أوّله ـ یکفی فی صدق الأکل،مع أنّه ممنوع، بل الظاهر لزوم الوصول إلی منتهاه، ولا یکفی الوصول إلیالوسط أیضاً، وعلیه فیجب الإخراج قبله، ولا یصدق علیه القیء، والأصلالمذکور فی مورد الشکّ مثبت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الإخراج قبل الدخول فی المعدة مع عدم صدق القیء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ولا یصدق علیه القیء، ومنه یظهر حکم الشکّ فی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صدق القیء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أنّه لا عبرة بالدخول فی الحلق، بل العبرة بالدخول فی الجوف، نعم،فی صورة الشکّ یجب إخراجه؛ لأصالة عدم دخوله فی الحلق علی مختار المتن،أوالجوف علی مختارنا إذا أمکن إخراجه، ولا یُعدّ من القیء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والأصل الّذی ذکره مثبت لا أثر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هذا الأصل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إثبات هذا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الأصل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من إشکال الإثبات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یثبت وجوده فی الفم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إجرائها إشکال، والاحتیاط طریق النجاة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أثر لهذا الأصل، ورعایة الاحتیاط 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لأصالة وجوب إخراجه قبل أن یصل إلی هذا الحدّ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یترتّب الأثر علی هذا الأصل، والاحتیاط 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جریان هذا الأصل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تقدّم من التفصیل، ولو عبّر عن أصالة عدم الدخول بأصالة حرمةالبلع ووجوب الإخراج لکان أولی،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والاحتیاط بإخراجه إذا لم یصدق علیه القیء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إشکال مثبت الأصل یندفع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بدعوی أنّ عدم الوصول إلی الحلق بنفسهموضوع لحرمة البلع ووجوب الإخراج، وإمّا بدعوی صدق الأکل علیه عرفاً،فیشمله الدلیل اللفظی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لوجه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أشبه هذا الفرع بفرع رأیته فی کلام بعض الأعلام، وکأنّه متّخذ منه،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بَدَرَ شیء فی حلق المصلّی فی نهار رمضان ودار الأمر بین بلعه فیبطلصومه، أو إخراجه بنحوٍ یدور بین القیء أو تکوّن حرفین من کلام الآدمی وإنبقی کذلک منع عن القراءة، وإیجاد بعض حروف الحلق کالخاء المعجمة مثلاً إلیآخر ما ذکره الماتن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التلفّظ بالحرفین وإن کان مبطلاً للصلاة علی الأحوط ولکن نفس الصوتالّذی قد یتوقّف علیه إخراج ما دخل فی الحلق غیر مبطل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سعة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حرجیّاً أو ضرریّاً، والحکم مع سعة الوقت مبنیّ علی الاحتیاطاللزومی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جمیع صور المسألة یجب الإخراج، ویحتاط بإتمام الصلاة وإعادتها أداءًأو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یحتمل المصیر فی جمیع الصور إلی عدم إبطالهما بأن لا یبلعه ولا یرفع الیدعن صلاته، فیتمّها بعد الإخراج، نعم، ینبغی الاحتیاط بإعادتها أداءً أو قضاءً، بللا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اعتبار هنا بالوصول إلی حدّ الحلق،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لم یصل إلی حدّ خرج عن اسم الأکل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یصدق مع الأکل، وقد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المعیار، وأنّه الوصول إلی الجوف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اعتبار هنا بالوصول إلی الحلق،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ضیق الوقت لا یخلو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فرض الضیق لا وجه لبطلان الصلاة إلّا فی صورة احتیاج إخراجهإلی محوِ صورة الصلاة، وبدونه فقواعد الاضطرار یرفع مانعیّة ما یوجببطلانها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وجوبه فی الضیق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الصلاة مع ضیق وقتها فیما توقّف إخراجه علیه لا یخلو من الإشکالفضلاً عن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ضاق وقت الصلاة تعیّن علیه إتمامها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لزم فوات الصلاة بالمرّة یشکل الحکم بجواز القطع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إتیان الصلاة الاضطراریّة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تقدیم جانب الصلاة إن ضاق الوقت عن إدراک رکعة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قاعدة الصلاة لا تسقط بحال تقدیم جانبها، فیبلع ویبطل صومه، ومعالإغماض عمّا ذکر فلا أقلّ من تساوی الطرفین وعدم الترجیح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الضیق الّذی لا یدرک رکعة منها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تقدیم الصلاة فی ضیق الوقت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أمکنت الصلاة الاضطراریة، وإلّا تعیّن إتمام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فی ضیق الوقت ولو لإدراک رکعة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الضیق بحیث تفوت الصلاة مع القطع بالمرّة ولا یتمکّن حتّی منالصلاة الاضطراریّة فلا یجوز القطع، ویتعیّن الإتمام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ضیق الوقت لا وجه لقطع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التمکّن من الصلاة الاضطراریّة لا یجوز القطع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المراد من ضیق الوقت عدم تمکّنه من الصلاة الکاملة، ولا من الصلاةالاضطراریّة بحیث تفوت الصلاة مع القطع، فلا یجوز له قطع الصلاة، بل یجبعلیه إتمام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المراد عدم تمکّنه من الصلاة الکاملة فقط فیجوزقطعها، فیصلّی صلاةً اضطراریّة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بناءً علی حرمة بلع الذباب ومبطلیّةلفظ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مقام الاضطرار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ضیق الوقت لا وجه لتعیّن قطع الصلاة المفروضة کالیومیة التی هی محلّکلامه 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الإشکال فی تناول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رکعةً من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أخّر صلاتهمتعمّداً، فلابدّ من رعایة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توسعة الوقت إلّا بالنسبة إلی صلاة الغداة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ولا یبعد التخییر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وذلک فرع أهمّیّة مانعیّة التکلّم فی الصلاة عن الصوم وهو تحت المنع، فیمکنحینئذٍ رفع المانعیة بقاعدة الاضطرار، فتصحّ الصلاة والصوم کلاهما کما لایخفی، ولکن مع ذلک الأحوط قضاء الصلاة أیضاً،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الاضطراریّة، وإلّا انتقل إلیها بعد إخراجه والمحافظةعلی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متمکّناً من الصلاة الاضطراریّة وهو فرض بعید، فیجمع بینالمحافظة علی الصوم وإتمام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التمکّن من الصلاة الاضطراریّة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غیر متمکّنٍ من الصلاة الاضطراریّة، وإلّا فیجب علیه الإخراجوالتحفّظ علی الصوم مع الصلاة الاضطراریّة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خاصّةً بالنسبة إلی صوم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خصوصاً إذا کان صوم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ویحتمل لزوم قطع الصلاة والإخراج والانتقال إلی الکیفیّاتالمرتّبة من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وصل إلی حدٍّ خرج عن صدق الأکل فالظاهر جواز بلعه، وصحّة صومهوصلاته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یصدق الوصول إلی الجوف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صدق الوصول إلی الجوف فی نظر العرف، وإلّا فلا وجه لوجوبالإخراج بعد صدق الوصول والبلع والأکل، فلا یبقی مجال للقول بوجوب قطعالصلاة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کان دلیل حرمة أکل الخبیث شاملاً حتّی بعد صدق البلع فیجبالإخراج ما لم یدخل فی الجوف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وصل إلی الحدّ الّذی تقدّم بیانه فی التعلیق علی المسألة الخامسة والسبعین لم یجب إخراجه مطلقاً، ویصحّ کلٌّ مِنْ صومه وصلاته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یجب إخراجه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سعة الوقت، وإذا ضاق وقت الصلاة تعیّن إتمامها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ضیق وقت الصلاة وتوقّف الإخراج علی قطعها، وأمّا مع عدم ضیقه فلاإشکال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هذا مع التمکّن من استئناف الصلاة، وإلّا وجب إتمامها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ضیق الوقت، وإلّا 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متمکّناً مع القطع من الصلاة الاضطراریّة فلا إشکال فیه، وإلّا فلایجوز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فرض الوصول إلی حدّ مخرج الخاء لصدق البلع والأکل معه فلا وجهلوجوب إخراجه، فضلاً عن أن یجب قطع الصلاة، وإلّا فلا أثر للوصول إلی ذلکالحدّ فی الحکم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سعة الوقت، کما لا إشکال فی عدم جواز إبطالها فی ضیقالوقت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ضیق الوقت وعدم التمکّن من الصلاة الاضطراریّة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فی سعة الوقت فلا وجه للإشکال، وأمّا فی ضیقه فلابدّ من تقدیم جانبالصلاة؛ لِمَا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ضیق الوقت، وعدم التمکّن من الصلاة الاضطراریّة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ویندفع الإشکال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بأنّهبعد فرض الوصول إلی الحدّ إذا صدق علیه الأکل والبلع لامعنی لوجوبإخراجه حتّی یجب قطع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عدم الفرق بین الوصول إلی الحلق وعدمه فی وجوب الإخراج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إخراجه ما لم یصل إلی الجوف مع عدم استلزامه لإیجاد المبطل،وإلّا فالمتبّع ما اخترناه فی الحواشی السابقة لا إشکال فیه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ما مرّ منّا أنّ المعیار فی عدم وجوب الإخراج الوصول إلی الجوف،فما دام لم یصل إلی الجوف وجب الإخراج، ولا فرق بین ما یحلّ أو یحرُم،وصحّة الصلاة فی ما إذا لم یتوقّف الإخراج علی التکلّم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البلع تقدیماً للصلاة، ویقضی الصوم؛ لِمَا مرّ من وجوب الإخراج مالم یصل إلی الجوف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سواء أخرجه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صورة الإخراج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عدم إخراجه أکلاً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هو الصحیح، فلا إشکال فیه أصلاً؛ لعدم صدق الأکل علی إدخاله، ولاالقیء علی إخراجه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محمّد الشیرازی، 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لا یبطل الصوم بإنفاذ الرمح ونحوه إلی الجوف، فتدبّر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وجه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أصلاً؛ إذ لا یصدق علی إدخاله الأکل، ولا علی إخراجه القیء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إن کان المراد إدخال نفس الإصبع وإخراجه کما هو ظاهرالعبارة، وکذا لو کان المراد إخراج ما فی الحلق بإصبعه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لو کان المراد إدخال الإصبع وإخراجه من دون أن یکون ذلکسبباً لاحتمال القیء أو صدقه فلا إشکال فی أنّه غیر مبطل، وکذا إن اُرید إدخالهلإخراج شیء من حلقه إن لم یکن ذلک معرضاً للقیء أو صدقه، نعم، إن اُریدإدخاله وإخراجه بحیث یکون معرضاً للقیء أو صدقه فلا إشکال فی عدمجوازه، فالمسألة صافیة عن الإشکال بجمیع شقوقها جوازاً ومنعاً، فلا ملزمللاحتیاط فی صورَتی الجواز، ولا مفرّ عن التجنّب فی صورة المنع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للإشکال؛ فإنّ الدلیل منصرف عنه، بل لایصدق أنّ فلاناً أکل إصبعه،لکن 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إمکان إخراجه بغیره، وإلّا فالأحوط الإخراج به، والإتمام ثمّ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الأقوی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حکم هذه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هذه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کون الخروج عادةً له، وإلّا فیشکل،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یجوز مع العلم أیضاً؛ إذ لا یصدق علیه عنوان القیء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یکن من عادته خروج شیءٍ فی حال التجشُّؤ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فیه،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علی الوثوق بعدم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معرضاً لذلک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یکن الخروج عادةً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بحیث یصدق علیه القیء عرفاً، وإلّا فمجرّد خروج شیء لا یوجب حرمةالتجشّؤ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حکم هذه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صدق علیه القیء کما تقدّم، وإذا احتمل خروجه مع التجشّؤ لم یضرّه ذلک،إلّا إذا أوجب تردّداً فی استمرار نیّة الصوم، کما تقدّم فی المسألة الرابعةوالسبعین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التفصیل فی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القضاء دون الکفّارة فی 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بعض الموارد التی سیجیء بیانها فی أواخر 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القاصر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صدور المفطر من الفاعل اختیاراً، ملتفتاً إلیه من دون سهوٍ وغفلةٍ أونسیانٍ منه، فلا یفرق بین کونه عالماً بحکمه أو جاهلاً به، مقصّراً ملتفتاً، أومتردّداً، أو قاصراً ملتفتاً إلی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الجاهل القاصر الملتفت إشکال،والأحوط إلحاقه بالمقصّر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بالبطلان فی القاصر محلّ إشکال، نعم،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إلحاق الناسی للحکم بالجاهل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لایبعد أنّ القاصر معذور ولاسیّما فی الکفّارة، وکذا فی المُکرَه مطلقاً ومَنأفطر خوف الظالم، والاحتیاط 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الجاهل المرکّب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الأقوی فی المقصّر، وعلی الأحوط فی القاصر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المقصّر منه بالعامد قویّ، وأمّا القاصر فالأحوط فیه الإلحاق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الجاهل المرکّب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القاصر غیر الملتفت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بطلان صوم الجاهل بالحکم إذا تناول المفطِر وهو یری جوازذلک، سواء کان قاصراً أم مقصّراً، والأحوط استحباباً له القضاء، ولاسیّما المقصّر،نعم، الجاهل المتردّد فی حکمه إذا تناول المفطِر فلابدّ له من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الجاهل المرکّب القاصر إشکال، ولا یبعد عدم الکفّارة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الجاهل المعتقد بالخلاف تأمّل، خصوصاً القاصر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بطلان صوم الجاهل بالحکم المعتقد لعدم المفطِریة تأمّل، والاحتیاطسبیل النجاة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البطلان فی الجاهل القاصر غیر المتردّد بالإضافة إلی جمیعالمفطِرات، سوی الأکل والشرب ویلحق بهما الجماع فی وجه، وفی حکمالجاهل المذکور المعتمد فی عدم مفطِریّتها علی حجّة شرعیّة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فی الإکراه علی ما سوی الأکل والشرب والجماع مبنیّ علیالاحتیاط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یتعمّد الابتلاع ولو لخوف الاختناق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تمام فی صورة الظنّ بفساد الصوم، وأمّا مع القطع بالفساد فللبحث عنهمجال، بخلاف صورة الظنّ حیث إنّه معه لا مجال للتشکیک فی صدق التعمّدأصلاً،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له أن یتمّ صومه ویقضی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دخوله فی الجاهل، فإن کان قاطعاً ببطلان صومه یجری فیه التفصیلالمتقدّم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کانت التقیّة فی ترک الصوم، وأمّا إذا کانت فی کیفیّته فلا یبعد الإجزاء، وإنکان الأحوط الإمساک وقضاؤه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التقیّة من غیر المخالفین الظالمین فحکمه حکم المکرَه، کما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من المخالفین فالقول بإجزاء متابعتهم عن الواقع کما یستظهر منمجموع الروایات إلّا ما خرج بدلیلٍ خاصّ لا یخلو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فإن کانتالتقیّة مثلاً فی کیفیّة الصوم وأدائه، کما لو أتی فی نهار الصوم بما لا یرونه مفطراً،کتعمّد الإصباح جنباً أو الارتماس فی الماء، أو کالإفطار قبل الغروب ونحوهامن الأعمال الناقصة من ناحیة التقیّة فالظاهر الصحّة، وإن کان الأحوط الإتماموالقضاء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فی ترک الصوم مثلاً کالإفطار فی یومٍ یرونه عیداً فالظاهرالبطلان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بالتقیّة غیر الإکراه الّذی سبق حکمه فی أوّل الفصل، والظاهر فیهاالتفصیل بین ما لو کانت التقیّة موجبة لترک الصوم والإتیان بالمفطِر بعنوان عدمکونه صائماً، وبین کونها موجبة للإتیان بالمفطِر مع کونه صائماً بالبطلان فیالأوّل دون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 من المخالفین وقد اقتضت التقیّة أن یتناول فی نهار الصوم ما لایرونهمفطّراً کتعمّد الإصباح جنباً ونحوه إشکال، والأحوط لزوم الإمساک وقضاؤهعلیه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صحّة صوم المتّقی إذا أتی بشیء لا یراه أهل البدع وغیرهم مفطِراً،کالارتماس مثلاً، بخلاف ما لو خالف الواقع فی الموضوع، کأن أفطر فی یومیرونه عیداً لحکم حکّامهم ولم یثبت لدی المتّقی ذلک مع اتّفاق المتّقی والمتّقیمنه فی وجوب الإفطار فی العید، فإنّه یبطل صومه حینئذٍ علی الأقوی، ولعلّمراد الماتن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کانت التقیّة فی ترک الصوم، لا فی کیفیته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 من المخالفین وقد اقتضت التقیّة أن یتناول فی نهار الصوم ما لا یرونهمفطِراً، کتعمّد الإصباح جنباً ونحو ذلک صحّ صومه، ویبطل فی ما عدا ذلکمطلقاً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التقیّة من غیر المخالفین أو منهم فی ترک الصوم، کما إذا أفطر فی یومیرونه عیداً، وأمّا إذا اتّقی منهم فی کیفیة الصوم بأن أتی فی یوم الصوم بمالایرونه مفطِراً فالأقوی فیه عدم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التقیّة فی ترک الصوم کالإفطار یوم العید، أمّا إذا کانت التقیّة فی أداءالصوم کالإفطار قبل الغروب أو الارتماس فی الماء ونحو ذلک فالظاهر صحّةالصوم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بل لا کلام علی الظاهر فی البطلان إلّا فی صورة کون التقیّة منالمخالفین وإتیان ما لا یرونه مفطِراً للصوم؛ حیث إنّه فی هذا الفرض ذهب بعضإلی الصحّة، ولکن مع ذلک لا ینبغی ترک الاحتیاط فی هذه الصورة؛ لعدم کونمثله من التقیّة المبدلة، وإن کان بعض المحقّقین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 علیه غایة الإصرار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ذلک فی ما إذا اتّقی فی ترک الصوم، وأمّا إذا کانت التقیّة من المخالفینفی مالایرونه مفطِراًأوفی الإفطار قبل المغرب فلا یبعد صحّة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من جهة الإفطار بما لا یرونه مفطِراً، کالارتماس فی الماء مثلاً،وإلّا فالظاهر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صحّة الصوم فی ما کانت التقیّة من المخالفین فی کیفیّة الصوم بأنیتناول فی یوم الصوم ما لا یرونه مفطِراً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اتّقی من المخالفین فی أمر راجع إلی فتوی فقهائهم أو حکمهم لا یکونمفطِراً، فلو ارتکب تقیّة ما لا یری المخالفون مفطِراً صحّ صومه علی الأقوی،وکذا لو أفطر قبل ذهاب الحمرة، وکذا لو أفطر یوم الشکّ تقیّةً لحکم قُضاتِهِمبحسب الموازین التی عندهم لا یجب علیه قضاوه مع بقاء الشکّ، نعم، مع العلمبکون حکمهم بالتعیید مخالفاً للواقع یجوز له بل یجب علیه الإفطار تقیّةً،ویجب علیه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اقتضت التقیّة تناول ما لا یراه المخالف مفطِراً فلا یبعد عدم بطلان الصومبه، ومع ذلک فالاحتیاط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کانت التقیّة فی ترک الصوم کالإفطار یوم العید، وأمّا إذا کانت التقیّة فیأداء الصوم کالإفطار قبل الغروب أو الارتماس فی الماء ونحو ذلک فالظاهرصحّة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التقیّة فی کیفیة الصوم بأن ارتکب ما لا یراه مفطِراً فالأحوط الإتمامثمّ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إن لم تکن من التقیّة المعهودة، وإلّا ففیه 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التقیّة من غیر المخالفین بطل صومه، وکذلک إذا کانت التقیّة منهمواقتضت ترک الصوم، کما إذا أفطر معهم فی عیدهم فعلیه قضاؤه، وإذا کانت التقیّةمنهم فی عدم إضرار ما تناوله بالصوم کالارتماس أو فی صحّة الإفطار فی ذلکالوقت کالأکل بعد سقوط القرص صحّ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أکل فی یوم الصوم بعنوان العید مثلاً لا ما إذا أتی بما لایرونه مفطِراًکالإفطار قبل المغرب الشرعی ونحو ذلک فإنّ فی البطلان به إشکالاً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لو أفطر یوم العید بحکم حاکم المخالف تقیّة، أمّا الإفطار بمالایراه المخالفون مفطِراً فی مذهبهم مثلاً فالظاهر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کانت التقیّة باستعمال ما لیس مفطِراً عندهم مع کونه مفطِراً عندنا فإنّالأظهر عدم بطلان الصوم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أنّه کالمُکرَه فیجری فیه الکلام 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الوصول إلی الحلق خصوصاً فی غیر الدخان والغبار غیر مفطِر ولو معالاختیار، ولا یجب الإخراج، نعم، لا یجوز البلع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وصل إلی الحلق لم یجب إخراجه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ممّا یحرم بلعه کالذباب والبَقّ المذکورین فی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 المثالین الأوّلین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والحکم فی المثالینالأخیرین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حرم بلعه ولم یصل إلی الجوف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ممّا یحرم بلعه، کأکثر الأمثلة المذکورة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ممّا یحرم بلعه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ممّا حرم بلعه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غیره فعلی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لبیان آخر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یعتبر بالحلق، فإذا تجاوز عن الحدّ عرفاً فلا یجبإخراجه، سواء کان ممّا یحرم بلعه کجملة مِن الأمثلة المتقدّمة أم لم 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خشی الضرر، أو لزم الحرج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الضرر أو الوقوع فی الحرج الّذی لایتحمّله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مع خوف الهلاک عرفاً لحفظ النفس، نعم، یجوز فی مورد الخوفمن المرض أو العسر الشدید بحیث لا یتحمّل 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علیه فی فرض خوف الهلاک ونحوه، والاقتصار علی المقدارالمذکور، وکذا الإمساک بقیة النهار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مع خوف الهلاک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إقامة الدلیل علی وجوب الإمساک مع فساد الصوم فی غیر یوم الشکّ فی غایةالصعوبة بعد عدم ورود نصٍّ منهم علیهم السلام، إلّا فی خصوص یوم الشکّالّذی تبیّن کونه من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الصوم واجباً معیّناً، ولعلّه المراد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صدق الإفطار العمدی علی هذا المورد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کان قصده منالذهاب إلی المکان المعیّن إیجار الطعام فی حلقه فإنّه یبطل بقصد الإفطار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معیّناً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العلم بالاضطرار بهذا النحو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البطلان فی فرض الانتهاء إلی الإیجار نظر؛ فإنّه کالنوم المنتهی إلیالاحتلام ربّما یشکّ فی کون قصد مثل هذا اللازم راجعاً إلی قصد الأکل، أوخروج المنی عرفاً، ولقد استشکل المصنّف فی فرض النوم المزبور، ونظیرهماما لو اعتقد بأنّ نومه ملازم لأکله شیئاً، وأمثاله واضحة کثیرة، ووجه الإشکالفی الجمیع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یمکن الجزم به فی هذه الصورة، نعم، الأحوط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عبدالله الشیرازی،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صومه مع استناد الفعل إلیه فی الإیجار فی غایة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خصوص الإیجار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إطلاق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ونظر، والأظهر أنّه غیر 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تمام علی تقدیر صدق الإفطار عن عمد واختیار بمجرّد کون الذهاب إلیهعن عمد واختیار، وإلّا فللمنع عنه مجال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البطلان بمجرّده؛ فإنّه کقصد المفطِر، وقد مرّ التفصیلفیه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حکم نیّة 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حکم قصد المفطِر فی النیّة،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قصد الذهاب إلی مثل هذا المکان قصداً للإفطار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بعید بطلانه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الحکم فیه لو کان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الکلام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 فی مسائل نیّة القطع والقاطع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راجع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یکون الإخراج مؤدّیاً إلی الضرر بأعضائه وقواه الباطنیّة، کما اُشیر إلیهفی بعض الکتب الطبیّة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کالیاقوت، فإنّه قال علماء علم الحجر فی خواصّه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مصّه یرفع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عدم القصد لا یکفی للجواز، بل لابدّ من إحراز عدم التعدّی ولو ببرکةالاستصحاب الاستقبالی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مکروه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نفی الحرمة، وإلّا فهو مکروه، وکذلک فی عدّة ممّا نفی البأس عنهاوذکر فی الفصل التالی کراهتها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استهلاکها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استهلاک أجزائه فی ریق الفم، وإلّا فلا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لم تستهلک فی ریقه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الاستهلاک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وجدان الطَعْم بدون التفتّت بعید جدّاً، بل الظاهر عدم الانفکاک عنه،نعم، مع التفتّت لو لم یبلع الریق أو بلع مع استهلاکه فی ریق الفم 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کانت مستهلکةً فی الریق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وجدان الطعم لابدّ وأن یکون بتفتّت الأجزاء، ولا یمکن أن یکون بالمجاورة،ولکن بعد فرض عدم ابتلاع الریق لا مانع من تفتّت الأجزاء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للمرأة ترک الاستنقاع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حکم الارتماس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راجع حاشیته فی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بلع ریقه إذا امتزج بها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الجواز بعد الاستهلاک إذا کان عن عمد واختیار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أکثر من المتعارف، وحمل النصّ علی صورة الجفاف تماماً بعید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حدثت الرطوبة علیه بمصّه، لکنّ الظاهر أنّه مجرّد 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سابقة أو حادثة بنفس المصّ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فرضٍ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کان علیه رطوبة سابقة أو حادثة بنفس المصّ فلا بأس أیضاً؛ للاستهلاک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وجودها أیضاً فی کلٍّ من الزوج، والزوجة ولکن لا یُترک الاحتیاطبعدم بلع الریق مع عدم استهلاکها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واثقاً بنفسه من جهة عدم سبق المنیّ، ولم یکن معتاداً بسبقه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یختصّ بصورة الوثوق بعدم الإنزال، وإلّا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مأموناً من سبق المنیّ ولا یحتمله،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مطلقاً، بل مع الأمن من سبق المنیّ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الاجتناب، من غیر فرق بین العمد والاتّفاق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بالاجتناب، وإن کان الأقوی الجواز إذا استهلک حتّیصدق عرفاً أنّه یبتلع ریقه وحده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الأظهر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لعدم دلیلٍ یساعده مع وجود الأصل علی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شبهة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الجواز أشبه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محمّد الشیرازی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الظهور ممنوع، وإن کان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الجواز وإن کان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القول بجواز بلعه مع الاستهلاک فلا مانع من المزج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إلّا إذا عُدّ بسبب تکرّره نحواً من الأکل والشرب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صدق التعمّد، فإن کان المراد من الاتّفاق عدم التعمّد فهو، وإلّافیشکل،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بترکها جمیعاً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منّا مراراً فی الحواشی السابقة أنّ أکثر المکروهات فی أبواب الفقه سیّمافی العبادات لم یقم علیها دلیل قوی، وأدلّة التسامح غیر تامّة، ثمّ إنّ بعضالأصحاب عبّر عن تروک هذه المکروهات بالمستحبّات، وهو کما تریمخدوش قد مرّ مراراً وجهه، وإنّه لا تلازم بین کون الفعل مکروهاً وبین ترکهمستحبّاً وبالعکس، ولِیُعلم أنّ ما عُدّ من المکروهات أکثر ممّا سرده الماتن قدس سره فیالمتن، فراجع کتب السنن والآداب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الکراهة فیه آکد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الترک مع احتمال الإنزال عادةً وإن لم یکن من 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کان مأموناً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مأموناً من سبق المنیّ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کان واثقاً من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یثق بعدمه،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قصده إلی قصد الإنزال، وإلّا فالحرمة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کان واثقاً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بحرمته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بمجرّد القصد أو العادة غیر معلومة، لکن إذا أمنی یکون من الإفطارالعمدی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فی الثانی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مفطِریّة قصد المفطِر، وقد مرّ الکلام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فی قضاء شهر رمضان وکان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قضاء شهر رمضان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وبحکمه قضاء شهر رمضان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 وجود الطعم فی الحلق وبین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قلنا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بالحرمة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إن لم یکن من قصد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مبطلیّة الإغماء فی ما لم یکن مفوّتاً للنیّة ـ کما فی المقام ـ محلّ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معتبر علی کراهته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یُکره شَمّ الرائحة الغلیظة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اعتبار بما یدلّ علی الخصوصیة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نُقِلَ عن بعض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روح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الریحان نبت معروف، ولعلّ التعمیم من جهة إطلاق الریحان علی أقسامٍمتعدّدةٍ من جهة اختلاف الأزمنة والأمکنة، فیرجع إلی ما هو المتعارف إطلاقهعند العرف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الخنثی والممسوخ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کراهتها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دلیل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فرض استهلاک رطوبته بالریق کما هو الغالب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یعلم کراهته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حوله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تأثّر الریق بطعمه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العُود أو السواک مرطوباً بالرطوبة العرضیّة، فقد مرّ اعتبار استهلاکالرطوبة فی ریق الفم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الوثوق بعدم نزول الماء فی الجوف، وإلّا ففی صورة الظنّ بالنزول ـ کمافی الشخص الّذی أسنانه مصنوعة ـ لا یجوز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دلیلاً علی کراهتها وکراهة بعدها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کراهة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إلی الآن علی مستند الکراهة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الدلیل علی التعمیم مفقود، فإلغاء خصوصیّة الماء محلّ تأمّلٍ ونظرٍ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ویظهر من بعض الأخبار کراهة إنشاد الشعر فی شهر رمضان، ولا یختصّبالصائم فیه، ولا بخصوص 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ویُکره إنشاد الشعر فی شهر رمضان للصائم وغیره، وفی النهار واللیل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عدم کراهة إنشاد تلک الأشعار للصائم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الدالّ علی ما أفاده غیر تامٍّ سنداً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الکذب علی الله ورسوله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الارتماسوالحُقنة، وعلی الأقوی فی البقیة، بل فی الکذب علیهم لا یخلو من قوّة، نعم،القیء لا یوجبها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الالتفات إلی 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الفرق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تجب الکفّارة فی صوم شهر رمضان بالإفطار فیه بالأکل أو الشرب أوالجماع أو الاستمناء أو البقاء علی الجنابة متعمّداً، وفی قضائه بعد الزوال بأحدالأربعة الاُوَل، ولا تجب بالإفطار فیهما بغیر ذلک علی الأظهر، نعم، تجبالکفّارة بالإفطار فی الصوم المنذور المعیّن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تجب الکفّارة فی الارتماس والقیء، وثبوتها فی الاحتقان 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وجوبها فی هذه الاُمور الأربعة 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بالتکفیر فیه وفی الحقنة والقیء والکذب علی الله وعلیرسوله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الارتماس لیس بمبطل، ولا کفّارة فیه، وکذا فی التقیّؤ والبقاء علی الجنابةعلی التفصیل المتقدّم، والاحتقان بالمائع، والکذب علی الله ورسوله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والبقاءعلی حدث الحیض والنفاس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بمفطریّته، وقد مرّ أنّه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وجوب الکفّارة فی الارتماس والحقنة، والقیء فیه إشکال، لکنّهأحوط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النظر فی مبطلیّة الارتماس للصوم، لکنّه أحوط، فالأحوط فیهالکفّارة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إذ المستفاد من الأخبار الصحیحة ترتّب الکفّارة علی مَنصدر منه المفطر عمداً واختیاراً، فلابدّ فی وجوبها من إحراز المفطریّة، وقدعرفت مفطریّة الکذب والقیء والحُقنة وغیرها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القول بمفطِریّتهما وقد تقدّم الکلام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الأقوی فی الحقنة بالمائع، وعلی الأحوط فی الثلاثة الباقیة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القیء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القیء یقوی عدم وجوبها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فیه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الکفّارة فی الارتماس والحقنة والقیء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القیء عدم الوجوب، وفی الارتماس والحقنة بل الکذب الأحوطثبوت الکفّارة، وفی غیرها ثابتة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الأحوط، وإن کان عدم الوجوب فی الأربعة المذکورة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الأولی فی الأخیرین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وقد مرّ التأمّل فی مفطِریّة ما عدا الأخیر من هذهالمذکورات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فی الکذب والقیء وإیصال الغبار والارتماس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یقوی عدم وجوبها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عدم وجوبها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فی هذه الأربعة بل وفی الغبار الغلیظ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وجوبها فیه وإن کان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فیهما وفی الارتماس والکذب والغبار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الکفّارة فی الارتماس والقیء، بل وإیصال الغبار الغلیظوالحقنة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ما عندنا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الکلام فیه مفصّلاً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أنّ الکفّارة فیه مقتضی الاحتیاط الوجوبی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أنّه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النوم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وجوبها فیه،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النوم الثالث لو لم نقل بأنّ الأقوی وجوبها فیه من جهةما یقتضیه النظر فی الجمع بین شتات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أنّه لا یُترک الاحتیاط فی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قوّته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الثانی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الأوجه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الأحوط وجوبها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الجاهل المقصّر خصوصاً الملتفت منه، بل لا یخلو فیهمن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الأقوی صحّة صوم الجاهل بالحکم إذا تناول المفطِر وهو یری جوازذلک، سواء کان قاصراً أم مقصّراً، وعلی ذلک فلا قضاء علیه ولا کفّارة، والأحوطله القضاء، ولاسیّما المقصّر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کان الجاهل متردّداً فی حکمه حین تناولالمفطِر وجب علیه القضاء والکفّارة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الاحتیاط لا یُترک فی الجاهل المقصّر، والأقوی فی القاصر عدم الکفّارة، ولافرق بین ما إذا علم حرمة ما ارتکبه وما لم یعلم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لایترک فی 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الآملی،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الجاهل 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المقصّر منه، بخلاف القاصر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المقصّر الملتفت حین الإفطار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وجوبها علی المقصّر الملتفت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قاصراً، سواء کان غافلاً أم معتقداً بحلّیّته وعدم مفطریّته، أو متردّداًفاحصاً، وإلّا فوجوبها علی المقصّر الملتفت حین الإفطار أو غیر الملتفت حینهلا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 فی وجوب الکفّارة حسب المستفاد من الأخبار کون الإفطار عن عمد،فلا کفّارة مع الجهل؛ إذ الجاهل غیر عامد، ولکنّ هذا إذا کان الجاهل غافلاً، أومعتقداً عدم المفطِریّة، أو متردّداً فحص فلم یجد فاستند إلی أصالة الحلّ، أمّا معالالتفات والشکّ والارتکاب بلا فحص فهو مندرج فی العامد، نعم، المجتهدالّذی أدّی نظره مثلاً إلی عدم مفطِریّة ما لا یعتاد أکله کالحصی لا تجب علیهالکفّارة، بل ولا القضاء ولو خالف اجتهاده الواقع، وأمّا ما ذکره من أنّ الجاهلبالمفطِریّة إذا علم بحرمته ـ کما فی الکذب علی الله تعالی ـ ملحق بالعالِم فیوجوب الکفّارة فلا وجه له؛ لِما عرفت من أنّ المدار علی تعمّد الإفطار، ولاتعمّد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یری أنّه حلال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 بحلّیّته دون ما إذا کان شاکّاً، فإنّ الأقوی وجوب الکفّارة علیه وإنکان قاصراً عن التعلّم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مردّداً، ولم یکن مقصّراً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القاصر، وأمّا الجاهل المقصّر فالأظهر وجوب الکفّارة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اختصاصه 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وجوبها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المقصّر مطلقاً إشکال، فالأحوط ثبوت الکفّارة، کما لا یخفی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معذوراً فی تقصیره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والملتفت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إن لم یکن أقوی وجوبها علی المقصّر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الملتفت حین الإفطار الأقوی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کان ملتفتاً ویحتمل الحرمة فیشکل الالتزام بعدم الوجوب والموضوعلعدم الوجوب المستفاد من حدیث عبدالصمد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یصدق علیه أنّ جهله صارسبباً للإفطار، وأمّا إذا کان السبب عدم المبالاة بالدین فلا یشمله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یُترک الاحتیاط فی حق الملتفت المتردّد فی المفطِریّة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خصوصیّة لهذا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کان جهله عن تقصیر، وأمّا إذا کان عن قصور فلا کفّارة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نعم، فی الجاهل المقصّر کذلک، لکنّ الأحوط ذلک منهمطلقاً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عبدالله الشیرازی،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لحوقه، نعم، لو اعتقد أنّه حرام علیه من حیث الصوم ولیسبمفطِر فلا یبعد اللحوق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إلّا فی ما إذا علم بارتباطه بالصوم فإنّ الظاهر اللحوق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لحوق المقصّر فحسب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جهله به عن تقصیر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عن تقصیر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لکنّه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ولکنه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جهله عن تقصیر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جهله عن تقصیر، وأمّا إذا کان عن قصورٍ فالظاهر عدم اللحوق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الوجوب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بینه وبین ما تقدّم، فإذا تناول المفطِر وهو یری أنّه حلالمن حیث الصوم صحّ صومه، ولم یجب علیه القضاء ولا الکفّارة، وإذا کان متردّداًلزمه القضاء والکفّارة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المستفاد من النصّ تعیّن العتق، لکن مع عدم إمکانه لا یُترک الاحتیاطبإتیان أحد الأمرین الآخرین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وجه 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الاحتیاط المذکور لا یُترک بالنسبة إلی إتیان الأهل؛ فإنّ الدال علی الترتیبوارد فی خصوص إتیان الأهل، ومقتضی القاعدة تخصیص العام بالخاصّ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ذلک، وإجزاء الخصلة الواحدة مخیّراً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صدر الدین الصدر، جمال الدین الگلپایگانی، البروجردی،الشاهرودی، الخمینی، الآملی، السبزواری، حسن القمّی،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 الجمع إشکال؛ لوجود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المرخّص بإطلاقه بضمیمةإعراض جمٍّ غفیرٍ عن روایة عبدالسلام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فالأحوط فیه الجمع؛خروجاً عن الخلاف فی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وبذلک یظهر الحال فی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معتبر علیه، فالحکم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وإن کان أحوط، ومنه یظهر الحال فی التفریعات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زین الدین، محمّد الشیرازی، مفتی الشیعة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الحرام بالعرض، بل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الأفضل والأولی، وعدم الوجوب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یرد فیه نص، بل النصّ وارد فی مطلق التصدّق أو الإطعام، فالمدرکالإجماع المنقول، وانصراف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 المدّ ثلاثة أرباع الکیلو تقریباًیصیر المجموع سبعة کیلوات ونصف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متتابعات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اعتبار التوالی فیها؛ لانصراف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الشیعة للعلّامة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ضمّ العتق أو صیام شهرین إلی إطعام العشرة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رمضان علی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کفّارة 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عتق رقبة، أو إطعام عشرة مساکین، أو کسوتهم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وکونها کفّارة الیمین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کفّارته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ککفّارة الیمین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کفّارته کفّارة الیمین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کفّارة یمین،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عتق رقبة، أو إطعام عشرة مساکین، أو کسوة عشرةمساکین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إجزاء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الصوم ممحّضاً له، وأمّا إذا کان صوماً آخر کصوم شهر رمضان أوقضائه أو النذر المعیّن فعلیه کفّارة الصوم الآخر، کما بیّن فی فصل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ممحّضاً له، وإلّا یلحقه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إذا کان صومه من جهة الاعتکاف، لا واجباً آخراً، وإلّا ففیه کفّارته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کان الصوم ممحّضاً للاعتکاف، وأمّا إذا کان صوماً واجباً آخر کصومشهر رمضان أو قضائه أو النذر المعیّن ففیه کفّارته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صامه من أجل الاعتکاف، وأمّا الّذی اعتکف فیه فیلحقه حکمه، کماهو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کان الصوم لأجل الاعتکاف، وأمّا الواجب الآخر إذا اتّفق فیهالاعتکاف ففیه کفّارة زائدة علی کفّارة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الصوم لأجل الاعتکاف، وإلّا فله حکمه أیضاً، ویأتی التفصیل فیالمسألة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أحکام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الصوم لأجل الاعتکاف، وإلّا فیترتّب علیه حکمه، کالاعتکاف فیشهر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وتتعدّد إذا جامع نهاراً فی شهر رمضان أو فی صوم آخر تجب فیه الکفّارة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ألحق بعض القدماء الاستمناء بالجماع فی التکرار، ولا یخلو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یختصّ تکرّر الکفّارة بتکرّر الجماع بشهر رمضان، والظاهر تکرّر الکفّارةبتکرّر الاستمناء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الاستمناء علی ما ورد فی کفّارته من أنّها مثل ما علی الّذی یجامع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الاحتیاط اللازم مسلّم، وأمّا کونه أقوی فمحلّ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الأقوائیة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محلّ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أقوائیّته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تکرّرها، لکن لا ینبغی 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أقوی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والأحوط التکرار فی الاستمناء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محل منع، بل الأظهر عدم التکرّر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أنّها لا تتکرّر بتکرّره وإن کان هو الأولی والأحوط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التکرار، ولکن الاحتیاط فیه وفی الاستمناء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التعمیم نظر، سیّما فی المثال الأخیر، فالمسألة غیر صافیة عن شوبالإشکال، والاحتیاط طریق النجاة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 لا یوجب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الشاهرودی، زینالدین، محمّد الشیرازی، 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العارضیّة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حرمة الإضرار بالنفس علی الإطلاق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محرّماً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یحرم الإقدام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تناوله حراماً؛ إذ بعض مراتب المضرّ یشکل حرمته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المثال ونظائره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حرمة کلّ ما یضرّ بأیّ مرتبة من الضرر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حرمة مطلق الإضرار بالنفس، بل المحرّم خصوص البالغ حدّالإتلاف وما یلحق به، کفساد عضو من الأعضاء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یکون حراماً؛ لأنّ حرمة بعض مراتبه غیر معلومة، وکذا تناول مالالغیر بدون رضاه، أو تناول ما نهی عنه الوالدان ونحوهما، وعلیه فانصراف الدلیلإلی المحرّمات الذاتیّة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المثال مناقشة ؛ لأنّ المحرّم علی تقدیره هو عنوان الإضرار، لا الأکل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 غیر مفطِر فلا یوجب الکفّارة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انصراف الدلیل عن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ثبوت الکفّارة فی الکذب ـ کما عرفت أنّه مقتضی الاحتیاط ـ لایکون فی البین إلّا کفّارة واحدة، لا کفّارة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لکنّ الأقوی فیه عدم وجوب کفّارة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وجوب کفّارة الجمع فیه 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دعوی اختصاصه بالجماع المحرّم، والإفطار علی المحرّم بمعنیأکله أو شربه، والاحتیاط لا یُترک، وأمّا الکذب علی الله فقد مرّ عدممفطِریّته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حرمته مُسلّمة، لکن قد مرّ أنّ وجوب کفّارة الجمع فیه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کفّارة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وکذا الاستمناء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انحصار کفّارة الجمع علی القول بها فی الجماع المحرَّم والأکلوالشرب المحرَّمین، ولا یکون فی غیرها، إلّا أنّه لایُترک الاحتیاط فی باقیالمفطِرات المحرّمة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إیجابه کفّارة الجمع محلّ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مفطِریّته، کما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کونه موجباً لکفّارة الجمع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الجمع فیه، وانصراف أدلّة الجمع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تجب الکفّارة به وإن کان مفطِراً 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خباثة فی النخامة ما لم تخرج من الفم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لا وجه للقول بحرمته، والوجه الّذی ذکره فی المتن لا ینطبق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قول 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بحرمة ابتلاع النخامة بجمیع أقسامها ومراتبها محلّ إشکالٍ، فالقدرالمتیقّن منها ما وصلت إلی فضاء الفم وکانت ممّا یتنفّر منه الطبع عرفاً، وأمّا فیغیرها فلا یتحقّق الإفطار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وقلنا بحرمة الخبائث علی نحو العموم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بطلان هذا القول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ممنوع بالإضافة إلی نخامة الإنسان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ممنوع ما لم یخرج من فضاء الفم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القول بوجوب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المیسور عند العسر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 الباقی تأمّل ونظر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إذا استمنی علی القول الّذی قدّمنا نقله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الأقوی عدم تکرّرها بتکرّره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وهکذا فی الجمع فی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الأقوی عدم التکرّر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الإشکال فیه فی سابقه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عدم وجوب التکرار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تقی القمّی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الشریعتمداری،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ینفصل بعضها عن بعض بما یعتدّ به بحیث تُعَدُّ أکلاتٍ متعدّدة عرفاً،وکذا الشرب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ضعیف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فلا یُترک الاحتیاط، نعم، فی صورة العکس فالظاهر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بل لا یبعد التکرار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أحوطه التکرار، بل لا یخلو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أفطر بغیر الجماع ثمّ جامع فالأحوط کفّارتان، ولو أفطر بالحلال ثمّبالحرام کَفَته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بتکرّرها بتکرّر الجماع یقوی التکرّر فی هذا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لزوم التعدّد فی الفرع الأوّل، وکفایة إحدی الخصال فیالثانی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نعم، هو ظاهر فی صورة العکس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کفایته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التکفیر مرّةً اُخری للجماع فی الفرض المذکور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یقوّی التکرار فی هذا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یکفی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نقل بتکرّر الکفّارة بتکرّر الجماع، وإلّا لکان الجماع موجباً للکفّارةأیضاً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الکفایة علی القول بتکرّرها بتکرّر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یتعدّد التکفیر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التکرار للکفّارة علی القول بتکرّرها فی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فی غایة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بتکرّر الکفّارة بتکرّر الجماع التکرّر فی الفرض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تکرّر الکفّارة فی هذا الفرض، وأمّا فی فرض العکس بالإفطاربالجماع ثمّ الإفطار بغیره فیکفی التکفیر 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التکرّر بتکرّر الجماع الظاهر التکرّر هنا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إنّه مع الإفطار أوّلاً لا یصدق علیه أنّه أفطر بالحرام، فوجوب کفّارةالجمع محلّ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کفایة کفّارة الأوّل، إلّا إذا کان إفطاره أوّلاً وثانیاً بالجماع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الإفطار الثانی بغیر الجماع والإنزال فلا یترتّب علیه شیء؛ لعدم إمکانتحصیل الحاصل وإن کان بالجماع یلزم الکفّارة المترتّبة علی الإفطار الأوّلوالکفّارة المترتّبة علی الجماع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 تکفیه کفّارة واحدة خصوصاً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الإشکال فی أصل وجوبها، بل إذا کانا أو الثانی غیر الجماع یکفیکفّارة واحدة، وفی الصورتین یؤدّی کفّارتین علی الأحوط، نعم، فیصورة العکس یأتی بکفّارة الجمع، بل لو کان جماعاً یکفّر عنها أیضاًعلی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یکفیه إحدی الخصال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 الکفایة، إنّما الإشکال فی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وجوبها، کما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تکفیه کفّارة واحدة إذا کان الإفطار الثانی بغیر الجماع، ولو کان بالجماعفالأحوط الجمع بین الکفّارتین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وجوبها حینئذٍ نظر وتأمّل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یکفیه کفّارة واحدة إذا لم یکن الحرام جماعاً، وإلّا لزمه أربع کفّارات علیالأحوط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وجوبها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کفّارة الجمع فی المقام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الحرام المفطر به ثانیاً غیر الجماع فالظاهر کفایة کفّارة واحدة، وإنکان هو الجماع فالأحوط الجمع بین الکفّارتین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الأقوی عدم وجوبها، فتکفیه إحدی الخصال إذا کانا غیر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الجماع ـ کما هو ظاهر الفرض ـ لا یبعد الاکتفاء بإحدی الخصال،وما ذکره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لزومها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أیضاً، أقواه عدم وجوبها، فیکفیه إحدی الخصال إذا کان المحرّمغیر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وجوبها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وجوب کفّارة الجمع فی الفرض المذکور إشکال، والأظهر عدمالوجوب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وجوبها، فتکفیه إحدی الخصال إذا کان غیر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الأظهر عدم وجوب کفّارة الجمع فیها، وکفایة إحدی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کفّارة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 کفّارة الجمع حینئذٍ إشکال، بل منع، وأمّا إذا کان الإتیان بالحرامجماعاً فعلیه کفّارة الجمع علی الأحوط زائدة علی کفّارة الإفطار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أصل وجوبها فی الفرض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لزوم کفّارة الجمع، إلّا أن یکون الثانی جماعاً محرّماً فیجبعلیه حینئذٍ ضمّ إحدی الخصال إلی کفّارة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تجب کفّارة الجمع إلّا إذا کان الثانی جماعاً محرّماً، فیضمّ کفّارة الجمع إلیالکفّارة الاُولی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وجوب کفّارة الجمع فی الفرض مشکل، نعم،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الجمع ممّا لاریب فیه فی هذا الفرض، وإنّما الإشکال فی الوجوب،وفیه تأمّل، بل الظاهر عدم الوجوب، نعم، لو أفطر بالجماع المحرّم أو الحرام ثمّبالحلال فعلیه کفّارة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تکفیه کفّارة واحدة إذا کانا غیر الجماع، ومع کون کلیهما أو خصوصالثانی الجماع الظاهر التکرّر، وکون الکفّارة الثانیة کفّارة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یکفیه التکفیر بإحدی الخصال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وفی الفرض الثالث والرابع والخامس تأمّل؛ وذلک لفرض تحقّق المعصیةفی الصور المذکورة، واللازم تحصیل المومِّن عقلاً، وبصرف إتیان القضاء لا یُعلمبحصول المومِّن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الإفطار لعذر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احتمل تنجّز التکلیف فی السابق بأزید من المعلوم ولو بعلمه السابقبعددها فجریان البراءة محلّ الإشکال،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لم یعلم بعددها سابقاً، وإلّا فمشکل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العلم سابقاً بعددها، وإلّا فمشکل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إذا علم بعددها سابقاً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علمه السابق بعددها،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یعلم سابقاً بعددها، وإلّا فمشکل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لم یعلم بعددها سابقاً، کما هو ظاهر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العدد معلوماً فی السابق قبل طروء الشکّ بسبب النسیان والمناقشةفی تنجّزه، کما تری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التکفیر، وإذا علم بعددها ثمّ نسی فلا یُترک الاحتیاط بالإتیانبالأکثر، وإن کان الأقوی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لم یسبقه العلم بعددها، وإلّا فلا یقتصر علیه، بل یعمل بالاحتیاط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الجمع بین الخصال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لذلک أصلاً، نعم، له الاکتفاء بإطعام ستّین مسکیناً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لزوماً عدم الاکتفاء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ثبوت الکفّارة فی الفروع المذکورة إشکال، سیّما إذا علم من أوّل الأمربعروض موانع الصوم فی النهار، والاحتیاط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سقوط الکفّارة مع فرض سقوط وجوب الصوم اختیاراً أو اضطراراً،ولکنّ الأحوط ثبوتها مع کون المانع اختیاریاً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إشکال أحوطه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فیه وفی ما یلیه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قهریّاً عرفاً، وإلّا فحکمه حکم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السفر قهراً عرفاً، وإلّا کان محکوماً بحکم العارض القهری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 الکفّارة فیه وفی سابقه إشکال، وکذا فی الفرع اللاحق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لا یخلو من وجه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لو لم نقل بقوّة ثبوتها؛ لقوّة دعوی إطلاق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الکفّارة لمثلهم أیضاً؛ حیث لا فرق فی کشف عدم الصوم من الأول بین الحیضوالسفر، وحینئذٍ فمناط شمول الدلیل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لفرض السفر یسری فی الحیضوأمثاله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عبدالله الشیرازی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محمّد تقی الخونساری، الإصطهباناتی، مهدی الشیرازی،الحکیم، الفانی، المرعشی، الآملی، السبزواری، الأراکی، محمّد الشیرازی،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ترک هذا الاحتیاط فی ما إذا کان العارض القهری بتسبیب منه،لاسیّما إذا کان بقصد سقوط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الأقوائیة إشکال، بل منع،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السقوط فی جمیع هذه الفروع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عاصیاً بتجرّیه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ضعیف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للاحتیاط فیه وفی ما یلیه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الکفّارة فی الصورتین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الروحانی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بمناط إنکار الضروری، ولقد مرّ منّا تفصیله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فیه من المراجعة إلی الحاکم الشرعی، وتقریر وجه استحلاله وإتمامالحجّة علیه ثمّ الحکم بارتداده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یعلم المُنکِر أنّه من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وفی ما بعده فی أوّل کتاب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نظر، وقد تقدّم فی أوّل کتاب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الجماع وفی غیره منوط بنظر 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بما یراه الحاکم، إلّا فی الجماع ففیه ما یأتی، وقد تقدّم فی أوّل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 ثبت بالنصّ فی الجماع مع الحلیلة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ثبوت هذا التقدیر فی غیر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منّا أنّ هذا التقدیر لم یرد فی النصّ بالنسبة إلی کلّ مفطِر، بل ثابت فیخصوص الجماع، فعلیه کان تحدید التعزیر منوطاً بنظر الحاکم، وهو یختلفبالنسبة إلی أفراد العصاة من حیث استعداد أمزجتهم وأبدانهم قوّةً وضعفاً، ومنحیث الزمان شتاءً وصیفاً ونحوها من الخصوصیّات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عدم ثبوت هذا التقدیر فی غیر الجماع مع الحلیلة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حسن القمّی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أنّ ذلک فی الجماع، وأمّا فی غیره فبنظر الحاکم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أنّ التقدیر المذکور یختصّ بمن جامع زوجته، أمّا إذا أفطر بغیر الجماعأو بجماع غیر زوجته فیعزَّر بما یراه الإمام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 هذا التقدیر لغیر الجماع، وأنّه لا یبعد إیکاله إلی الإمام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نائبه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مرتدّاً فطریّاً، وإن کان ملّیّاً یُقتل إن لم یتب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لقوّة مدرکه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معتبر علیه، ولکن لاینبغی 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حسن القمّی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یُعزَّر بما یراه الحاکم،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التعبیر بالتحمّل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هذه الصورة الأظهر لزوم الکفّارتین علی الزوج، والأحوط لزوم کفّارةٍأیضاً علی الزوجة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أنّ الکفّارتین علی الزوج أیضاً، نعم، إن کانت مجبورة فی أوّل الأمربحیث سلب عنها الاختیار فلم یبطل صومها، ثمّ بطل من حین المطاوعة فعلیهاکفّارة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وجوب کفّارتین علیه، ولا یُترک الاحتیاط بکفّارة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علیه کفّارتان علی الأقوی، وعلیها کفّارة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وجوب کفّارتین علیه مطلقاً، وکفّارة واحدة علیها إذا کانت فیالابتداء مجبورة مسلوبة الاختیار بحیث لا یضرّ ذلک بصحّة صومها، ثمّ صارتمطاوعة فی الأثناء مبطلة لصومها بذلک، وإلّا فعلیها کفّارة واحدة أیضاً علیالأحوط اللازم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کفّارتان علی الزوج، والأحوط اللازم کفّارة واحدة علی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أکرهها فی الابتداء علی وجه سلب منها الاختیار والإرادة ثمّ طاوعته فیالأثناء فالأقوی ثبوت کفّارتین له وکفّارة لها، وإن کان الإکراه علی وجه صدرمنها الفعل بإرادتها، وإن کانت مکرهة فی ذلک فالأقوی ثبوت کفّارتین له،ولیست علیها کفّارة، وکذا الحال فی التعزیر علی 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وجوب کفّارتین علیه فی صورة الإکراه مطلقاً، وکفّارة واحدةعلیها إذا کانت فی الابتداء مسلوبة الاختیار ثمّ طاوعته فی الإثناء، وإلّا فلاشیء علیها، وإن کان الأحوط ثبوت کفّارة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البروجردی، الشاهرودی، أحمد الخونساری،المرعشی، الخوئی، الآملی، محمّد رضا الگلپایگانی، السبزواری، الأراکی،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القوّة لو کانت أوّلاً مسلوبة الاختیار وفی الأثناء صارتراضیة بحیث صار صومه باطلاً عند الرضا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إذ یصدق موضوع الکفّارة بالنسبة إلیها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بل هو الأقوی؛ لصدق التعمّد منها فی الآن الثانی فیدخل فی مخالفةالأمر بإمساکه بعد الإفطار وإن کان من الأوّل، بل إرادتها أصلاً فهو مفطِر منحینه، فالأمر أوضح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محمّد الشیرازی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بل تعدّد الکفّارة علی الزوج لا یخلو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بلغ الإکراه حدّ سلب الاختیار بحیث فرض صومها صحیحاً، وأمّا لو لمیبلغ ذلک الحدّ وإن جاز تسلیم الزوجة وفرض مطاوعتها فی الأثناء فالأقویعدم وجوب کفّارة علی الزوجة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الإلحاق أحوط وأولی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لحوق الأمة بالزوجة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جعلها بحکم الزوجة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دلیل التحمّل للأمة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الإلحاق، بل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الإلحاق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بحیث یکون الإکراه موجباً لزوال اختیارها، وإلّا فلا وجه؛ لعدم الکفّارة علیهابصرف تحقّق الإکراه المصطلح، وکذا الکلام فی الأجنبیة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النظر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الإلحاق أحوط وأولی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الإشکال،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لقوّة احتمال جریان المناط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خصوصیّة لاشتباهه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لاخصوصیّة لتخیّل‌المذکوربعدکون الاحتیاط حسناًعلی کلّ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منع هذه الخصوصیّة بعد عدم الوجوب فی الأجنبیّة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الجواز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أقرب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یبعد القول بالجواز إذا علم عدم استیقاظها، أو شکّ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استیقظت فیالأثناء یجب الإخراج فوراً، إلّا إذا رضیت وطاوعت بالبقاء فیبطل صومها،ویجب علیها القضاء والکفّارة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لایبعد الجواز من هذه الجهة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شهر رمضان فیتصدّق بعد العجز بما یطیق، وإن کان الأحوط الجمع بینالصوم المذکور والصدقة، وأمّا غیر رمضان فهو یعمل فیه بالمیسور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تعیّن علیه التصدّق بما یطیق، ومع عدم التمکّن منه استغفر الله ولو مرّة،والأحوط التکفیر إن تمکّن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تتعیّن علیه الصدقة بما یطیق فی کفّارة شهر رمضان ویتعیّن علیه صومثمانیة عشر یوماً فی غیرها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موافق مع الاحتیاط، والمستفاد من النصوص ما تقدّم من التفصیل،فراجع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تقدیم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الأوجه فی کفّارة شهر رمضان تعیّن التصدّق بما یطیق، والأحوط ضمّالاستغفار معه، ومع عدم التمکّن من التصدّق یکفی بالاستغفار، والأولی أنیصوم ثمانیة عشر یوم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الأوجه فی صورة العجز عن کفّارة شهر رمضان هو التصدّق بما یطیقه منإطعام الستّین، فإن لم یتمکّن فالصیام ثمانیة 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اختیار التصدّق وضمّ الاستغفار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لزوماً لو لم یکن أظهر اختیار التصدّق وضمّ الاستغفار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المتعیّن فی وجه قویّ، والأحوط الجمع بینه وبین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التصدّق أحوط، بل الأحوط ضمّ الاستغفار إلیه، وإن عجز عن التصدّقبالمرّة صام ثمانیة عشر یوماً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المتعیّن فی کفّارة الإفطار فی شهر رمضان، کما یتعیّن صیام ثمانیةعشر یوماً فی سائر موارد الکفّارة المخیّرة، ومع تعذّرهما یتعین علیه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عن أحد فردَی التخییر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مبنیّ علی الاحتیاط، ولابدّ معه من الاستغفار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مضطربة؛ إذ مع فرض العجز عن الإطاقة کیف یتصوّر الإتیانبالممکن، إلّا أن یوجّه بحمل العجز عن إعطاء المُدّ أو المدّین، والممکن علیصورة قدرته بإعطاء أقلّ من مُدّ، وهو ـ کما تری ـ خلاف ظاهر کلامه، ولکنّالخطب سهل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بالممکن من الصدقة، ومع العجز عنها فالأحوط الجمع بین الممکن منالصوم والاستغفار، ومع العجز یکفی الاستغفار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والأظهر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والصوم؛ باعتبار المراتب المتعدّدة المفروضة له فی نظر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وجوبها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الاستحبابی؛ فإنّ الظاهر أنّ الاستغفار بدل مسقط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وفی العدم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البروجردی، عبدالهادی الشیرازی، الحکیم،البجنوردی، عبدالله الشیرازی، الفانی، الخوئی، محمّد رضا الگلپایگانی، السبزواری،زین الدین، 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وجوبه تأمّل، لکنّه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استحباباً؛ لأنّ الظاهر من الروایة کون الاستغفار بدلاً مسقطاً،فهو یفید الإجزاء، بل مقتضی صحیحة ابن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الاستغفار فی رتبةالصدقة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الجواز فی التصدّق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جواز التبرّع بها عن الحیّ إذا کانت الکفّارة من الأموال، سیّما مع عدمتمکّنه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الجواز فی غیر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غیر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عدم الجواز فی الصوم، والجواز فی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الجواز فی التصدّق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الجواز فی التصدّق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الجواز فی العتق والصدقة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القصد المذکور کالإفطار المحرّم یوجب منقصةً فی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الّذین لا یملکون قوت سنتهم فعلاً ولا قوّةً، سواء کانوا بحدّ المسکنة أملا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یجزی فیه ما یصدق علیه الإطعام، لاسیّما إذا کان من أوسط ما یطعم به أهله،وأمّا فی التسلیم فالأحوط الاقتصار علی الحنطة أو دقیقها أو خبزها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الوثوق بأکلهم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الوثوق بأکلهم ولو باشتراط ذلک علیهم حین الإعطاء بحیث یکون الأکللازماً علیهم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کما أنّه مخیّر بین إشباع الکلّ وبین تسلیم الکلّ، فکذلک له التخییر فیالتبعیض، فیجوز التسلیم إلی بعضٍ والإشباع لبعضٍ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الاطمئنان بأکلهم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ویصحّ الجمع فیهما أیضاً بأن یسلّم إلی بعض ویشبع البعض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یستحبّ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بالمُدَّین فی کفّارة الظهار، ولا یُترک الاحتیاط فی کفّارةالیمین بأن یکون المدّ من التمر أو الحنطة أو دقیقها أو خبزها، ویکفی مطلقالطعام فی سائر الکفّارات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الحنطة أو الدقیق أو الخبز أو التمر، بل لا یخلو من قوّة، نعم،لو کان بالإشباع یجزی الطَبخ من الأرُزّ وغیره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ما ورد فی الروایات من الحنطة والدقیق والخبز والتمر وغیرها أولیوأحوط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فی الإعطاء الاقتصار علی الحنطة والدقیق والخبز والتمر، نعم، فیالإشباع یکفی طبیخ الأرُزّ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کفایتهما عند اختیار التسلیم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الاقتصار علی التمر والبرّ وما یتفرّع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الأولی أن یتعدّی من هذه المذکورات، کما أنّ الأقوی عدماختصاصها بالحنطة فقط، کما توهّم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یصدق علیه عنوان الطعام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التمکّن من الستّین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الخمینی، محمّد رضا الگلپایگانی،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القدرة علی إشباع الستّین أو إعطائهم الأمداد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تعذّر استیفاء تمام العدد، فیکفی حینئذٍ فی وجهٍ لایخلو من إشکال، فلاتُترک مراعاة مقتضی الاحتیاط إذا اتّفق التمکّن منه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التمکّن من الستّین، وإلّا تکرّر علی کلِّ مَن أمکن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التمکّن من الستّین ، وإلّا فیکفی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التمکّن من الستّین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التمکّن من العدد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أمکن، وإلّا یکرّر علی مَن أمکن بالإشباع أو الإعطاء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ولیّاً علیهم أو وکیلاً عنهم، ویتساوی الصغیر والکبیر فی المقدار، فیعطیللصغیر مُدّاً أیضاً مثل الکبیر، ولو کان الصغار منفردِین فیُحتَسَب اثنان بواحدٍحینئذٍ، فیُشبِع مائة وعشرین بدل ستّین، ولابدّ من الوثوق بأنّه یصرف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ضمّهم إلی الکبار، ومع الانفراد احتُسِبَ الاثنان بواحد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ضمّهم إلی الکبار، ولو انفردوا احتُسِبَ الاثنان منهم بواحد ویعطیهالأولیائهم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کونه ثقةً فی إیصاله إلیهم أو إطعامهم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یجزی إعطاوه إلّا إذا کان وکیلاً عنهم، أو ولیّاً علیهم فیکون المدفوع ملکاًلهم، ولا یجوز تصرّفه فیه إلّا بالإذن منهم أو الولایة إن کانوا قاصرین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کان قابضاً لهم ولایةً أو وکالةً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إعطاؤهم بالتسلیم إلی وکیلهم أو ولیّهم، سواء کان هو المعیل الفقیر أمغیره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الفقیر القابض وکیلاً عن العیال الکبار ولیّاً عن العیال الصغار، فیعطیللصغیر مُدّاً کالکبیر، مع الاطمئنان بأنّه یصرف علیهم، نعم، لو کان الصغارمنفردِین عَدَّ اثنین بواحدٍ فیشبع مائة وعشرین صغیراً بدل ستّین کبیراً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الانضمام إلی الکبیر، وبدونه یُحسب الاثنان بواحد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کونه وکیلاً لهم أو ولیّهم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فیأخذه لهم ویوصله إلیهم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فرض التسلیم، وأمّا فی فرض الاشباع فیُحتَسب الاثنان بواحد، ثمّفی فرض التسلیم یعتبر کون المدفوع إلیه وکیلا عنهم إذا کانوا کباراً أو ولیّاًعلیهم إذا کانوا صغاراً،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تبرأ الذمّة بالدفع إلیه إذا کان وکیلاً عنهم أو ولیّاً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وکّله فیإشباعهم أو فی الدفع إلیهم برئت ذمّته مع تحقّق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سیّما قبل الثالث والعشرین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بعد الثالث والعشرین، کما 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بعد زوال الیوم الثالث والعشرین، وسیأتی الکلام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منمسائل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شرائط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تفصیله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وجوب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وتزول الکراهة بعد اللیلة الثالثة والعشرین، وفی معنی الکراهة بحث سیأتیفی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یکون السفر بعد الثالث والعشرین من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أنّ السفر فیالشهر فی حدّ نفسه مکروه، إلّا أنّه قد یدخل علیه الحرمة أو الاستحباب بحسبالعناوین الطارئة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موارد یأتی بیانها فی المسألة الخامسة من شرائط وجوب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بعد الثالث والعشرین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التفصیل بحسب الأوزان القدیمة التی تختلف باختلاف البلدان، وأمّابحسب الوزن العالمی المعروف فالمدّ ثلاثة أرباع کیلو إلّا خمسة عشرمثقالاً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تحدید المُدّ والصاع بالوزن محلّ إشکال، کما مرّ فی مستحبّات الوضوء،ولکن یکفی فی المقام احتساب المُدّ ثلاثة أرباع الکیلو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ویصیر ثلاثة أرباع کیلو إلّا خمسة عشر مثقالاً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وبالکیلوات یکون المُدّ ثلاثة أرباع الکیلو تقریباً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صیرفیّاً وثلث مثقال، والمثقال الصیرفی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حُمُّصة،والوُقِیّة تطلق علی ربع الحقّة، ولکلّ حقّة من الحُقَق وُقِیّة، فالنجفیّة ربعها وُقِیّةالنجف، والإسلامبولیّة ربعها وُقِیّة الإسلامبول، وهکذا، ثمّ قد یُطلق علی ربعالحُقّة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کما فی بعض النصوص وبعض الزبر الفقهیّة، فلا یُتوهّمالتعدّد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موارد اُخری، کما ظهر ممّا علّقناه علی المسائل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الأحوط اشتراط اعتبار الاستیقاظ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التفصیل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الأوجه ثبوت الکفّارة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المختار فیه فی المسألة السادسة والخمسین من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مایجب الإمساک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سبق تفصیله فی المسألة السادسة والخمسین من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یجبالإمساک عنه من المفطِرات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أنّه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یستحبّ فی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أنّها لا یُترک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أنّ الأقوی وجوبها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فیه،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قوّة وجوبها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یُترک الاحتیاط،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لا یُترک فی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المشهور وجوب الکفّارة فیه، ولمّا لم یقم دلیل یصحّ الاعتماد علیهکان الحکم احتیاطیّاً غیر إلزامی، کما فی النوم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ثبوت الکفّارة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 الکفّارة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الکفّارة فیها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وجوب الکفّارة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الظاهر من أدلّة الکفّارة ترتّبها بعد تحقّق قصد الصوم علی إتیان المفطرخارجاً عمداً أو اختیاراً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لزوم الکفّارة فی خصوص تعمّد البقاء علی الجنابةبناءً علی کونه مفطراً، کما مرّ للنصّ الخاصّ المعتبر، سواء تحقّق منه قصد الصومأم لا، فلا یُقاس الإخلال بالنیّة بحکم البقاء کما عن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علی الأحوط، ویحتمل العدم مطلقاً، ولعلّه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فی بحث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نیّة القطع فی زمان متأخّر أو الإتیان بالقاطع لیست من المفطِرات ما لم یقطعولم یتناول 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علیه فی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قضاء فیهما ما لم یخلو الصوم من النیّة فی زمان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 نیّة 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فیهما فی مبحث نیّة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حکم نیّة القاطع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فصل المفطِرات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الفرع التالی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وجوب القضاء مع العجز حتّی من السؤال، بل هو الأقوی معالمراعاة، وظنّ عدم الطلوع فضلاً عن اعتقاده فی صوم رمضان، أمّا فی الواجبالمعیّن فالأحوط الإتمام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محمّد الشیرازی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صورة 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الأقوی عدم 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صورة المراعاة واعتقاد بقاء اللیل عدم وجوب القضاء، وأمّا فیصورة الشک بعد المراعاة فالأحوط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الأظهر عدم وجوب القضاء علیه، وکذا فی جمیعصور مراعاته بنفسه مع الشکّ فی بقاء اللیل، بلا فرق فی ذلک بین جمیع أقسامالصوم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صورة الشکّ، أو الظنّ ببقاء اللیل مع المراعاة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أمّا مع الظنّ ببقاء اللیل فالأظهر عدم 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صورة 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سواء ظنّ ببقاء اللیل أم بطلوع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صورة الظنّ أو القطع بعد الفحص عدم وجوب القضاء فی صومرمضان؛ لإطلاق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للحالتین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ببقاء اللیل، أو بطلوع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بالطلوع، أو ببقاء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مع حصول الظنّ بعد المراعاة عدم وجوب القضاء، فضلاً عن حصولالاعتقاد، بل عدم وجوبه مع الشکّ أیضاً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بالطلوع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القضاء مع القطع أو الظنّ الحاصلین بالنظر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باشر بنفسه واعتقد عدم طلوع الفجر لا وجه لوجوب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الأقوی عدمه إذا کان قد راعی الفجر بنفسه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إن کان بعد المراعاة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یبعد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المراعاة واعتقاد بقاء اللیل لا قضاء علیه، خصوصاً إذا کان بقاءاللیل مستنداً إلی نظره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فیه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مع التثبّت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یکن اعتقاده مستنداً إلی نظره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اعتقد بقاء اللیل عن فحص فلا قضاء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یراعِ الفجر، وإلّا لم یکن علیه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الوجوب مع العلم ببقاء اللیل مع المراعاة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فیه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مع مراعاة نفسه، وإلّا لیس علیه القضاء، کما هو المنصوص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 القضاء فی هذه الصورة، والأحوط الإتمام ثمّ القضاء إنکان ممّا یُقضی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القضاء إذا لم یراعِ الفجر، ومع المراعاة فلا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تأمّل، فلا یترک الاحتیاط فی مثل الواجب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عدم وجوب القضاء مع مراعاة العارف واعتقاد بقاء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الواجب معیّناً، وإلّا فالأحوط أن یُتمّه ثمّ یقضیه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مع المراعاة، نعم، إن راعی فشکّ أو ظنّ عدم البقاء وأکل فالأحوط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مع المراعاة واعتقاد بقاء اللیل عدم القضاء، ولکنّه 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الواجب المعیّن الإتمام والقضاء إن کان ممّا فیه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الواجب المعیّن الإتمام ثمّ القضاء إن کان یجب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الواجب المعیّن الإتمام والقضاء إن کان له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أمّا إذا راعی الفجر بنفسه فالأقوی عدم وجوب القضاء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غیر الواجب المعیّن، وأمّا فیه فالأحوط الإتمام والقضاء إن کان ممّافیه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الواجب المعیّن؛ فإنّ مقتضی الاحتیاط الإتمام، ثمّ القضاء إن کان فیهالقضاء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فی الواجب المعیّن، فالأحوط فیه الإتمام ثمّ القضاء إن کان ممّایجب فیه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 غیر الواجب المعیّن، أمّا فیه فالظاهر وجوب الإتمام ثمّ القضاء إن کانممّا فیه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الواجب المعیّن بالإتمام، ثمّ القضاء فی ما یجب قضاؤه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ثقة ولم یحصل من خبره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الإطلاق من حیث کون المخبر عدلاً أو غیر عدل، واحداً أومتعدّداً، ولعلّ الأوجه الفرق بین هذه الصور، سیّما لو قیل بعدم حجّیّة قول العدلالواحد فی الموضوعات، ولکنّ الأقوی القضاء، وعدم منافاة ثبوته مع حجّیّةقول المخبر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حجّیّة قول المخبر الاکتفاء بالقضاء فقط إشکال، فلا یُترک الاحتیاطبالکفّارة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العبرة بخبره شرعاً، وإلّا کفی احتمال صدقه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الوثوق بعدالته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قول المخبر حجّة شرعاً، وإلّا فتجب الکفّارة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مراعاته بنفسه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لا دلیل علی جواز التقلید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یشکل جواز التقلید لهما، ویشکل، بل یمنع التعویل علی خبر العدل، ویُعوّلعلی أذان الثقة، وعلی خبر العدلین، فإذا عوّل علیهما ثمّ تبیّن الخطأ وجب علیهالقضاء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القول بجوازه له ولمثله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بجواز التقلید لمثله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إذا أوجب الاطمئنان، أو اعتقد حجّیّة خبره وإن لم یوجب الاطمئنان،وإلّا فتجب الکفّارة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المخبر عَدلَین لا یبعد عدم وجوب القضاء، ولکنّه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منافاة بین حجّیّة قوله ولزوم القضاء لو انکشف الخلاف، کما أشرنا إلیهفی آخر الحاشیة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قامت حجّة شرعیّة من علمٍ أو ظنٍّ أو بیّنةٍ أو نحوها فالقضاء مبنیّ علیالاحتیاط، ولا یبعد عدم لزومه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عالماً بعدم جواز التقلید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عدم جواز التقلید، أمّا مع عدم العلم فلا 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بالقضاءوالکفّارة فی صورتَی القطع والظنّ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 القضاء حینئذٍ نظر، وکذا لو ظنّ إذا کان حجّة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 القضاء حینئذٍ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القطع أو الظنّ المعتبر فی وجوب القضاء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الأقرب عدم وجوب القضاء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القطع أو الظنّ لا یبعد عدم القضاء وإن کان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وجاهة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حتّی فی الجاهل بعدم جواز الإفطار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عن تقصیر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الجهل عن قصور، لا عن تقصیر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یزعم جوازه، لا أنّه یشکّ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فی المقصّر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مهدی الشیرازی، الشاهرودی، عبدالله الشیرازی،اللنکرانی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الجاهل 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إذا کان مقصّراً،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الجاهل 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المقصّر الملتفت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المقصّر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وجوبها علی المقصّر غیر المعتقد؛ لعدم المفطِریّة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لایترک فی المتردّد، کما سبق فی أوائل الفصل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قصر الحکم علی وجود الغَیم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لغیر الاطمئنانی منه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النهج الّذی تقدّم تفصیله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حسن القمّی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الحکم فی بعض الصور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فی صورة مراعاة الفجر واعتقاد بقاء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أنّه إن أفطر عن وجهٍ شرعیٍّ وجب القضاء، وإن أفطر علی غیر وجهٍشرعیٍّ وجب القضاء والکفّارة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ویلحق به صورة العلم ببقاء اللیل، کما أشرنا، ولکنّ دلیل ذلک مختصّبرمضان ولا یتعدّی منه إلی غیره، بخلاف الفرض السابق، کما لا یخفی علی منراجع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وصورة العلم ببقاء اللیل مع المراعاة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فی صورة المراعاة واعتقاد بقاء اللیل،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فی صورة اعتقاد بقاء اللیل ومراعاة طلوع الفجر، والفحص عنه وظنّهبذلک، وکونه حجّة أو قطعه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یکفی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ظنّاً اطمئنانیّاً، وکذا فی صورة مراعاته الفجر بنفسه، واعتقاده بقاء اللیل علیما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العلم ببقاء اللیل مع المراعاة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إذا قطع بدخول اللیل،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هذا الاستثناء غیر ثابت، نعم، لا یجب القضاء مع مراعاة الفجر والشکّفی بقاء اللیل، کما 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السحاب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معه، وکان الظنّ حجّة أو قطع بدخول اللیل،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الغیم وحصول الاطمئنان بدخول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یختصّ الحکم بالغَیم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اختصاصه بالغیم دون الغبار ونحوه،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النائینی،جمال الدین الگلپایگانی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تأمّلٍ فی غیره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الغَیم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بالغَیم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الاختصاص بالغَیم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تأمّلٍ فی غیر الغَیم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الغَیم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إلحاقهما بالغَیم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الاختصاص بالغَیم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اختصاص الحکم بالغَیم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إلحاق غیر الغَیم به تأمّل، بل الظاهر الاقتصار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الجزم بعدم الفرق إشکال، إذ لدعوی انصراف النصوص إلی خصوصصوم شهر رمضان مجال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یکن معیّناً،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یجرِ فیه احتمال السخریة احتمالاً عقلائیّاً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یحتمل السخریة احتمالاً عقلائیّاً یخرج إخباره عن ظهوره فی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احتمال السخریّة احتمالاً عقلائیّاً بحیث یخرج إخبارهما عن ظهورهفی الشهادة علی وجه لا یمنع من جریان استصحاب بقاء اللیل، وإلّا تجب فیهالکفّارة فی ما فیه الکفّارة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أفاده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فی صورة الظنّ أو الشکّبدخول اللیل، حتّی مع الاحتمال العقلائی بأن إخبار العدل أو العدلَینبدخول اللیل من باب الهزل والسخریّة، بل ومع القطع بالهزل أو السخریّةأیضاً، لعدم المانع من جریان استصحاب بقاء النهار وعدم دخول اللیل،کما هو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عدم وجوب الکفّارة فی ما إذا کان بزعم السخریة وله منشأ عقلائی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یعتنِ بقول البیّنة بحمله علی الإخبار الغیر الجِدّی ونحوه من المحامل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تبیّن أنّه أفطر فی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ثقة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عدم وجوب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الکفّارة؛ لقصوره، مع استصحابه بعد عدم حجّیّة الخبر الواحدفی الموضوعات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العدم، مع عدم حصول الاطمئنان، ومع حصوله حکمه حکم البیّنة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إلّا إذا کان واثقاً بنفسه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الظاهر عدم وجوب القضاء ولا الکفّارة، إلّا أن یحصل الاطمئنان منقوله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مراراً عدم حجّیّة قول العدل الواحد فی الموضوعات إلّا فی مواردمخصوصة، نعم، لو حصل الوثوق والاطمئنان کان حجّة؛ من حیث إنّه طریقعقلائی ولو کان منشؤه من الاُمور الغیر ثابتةٍ حجّیّتها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وجوبهما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الأقوی مع حصول الاطمئنان من قوله، 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عدم جواز الأکل إلّا بعد الفحص عند معرضیّة الطلوع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فی الطلوع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أنّ مع حصول الاطمئنان لایجری الاستصحاب فی الطرفین، وبدونهیجری فیهما، ولا أثر للخبر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عدم حجّیّته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حجّیّة خبره، بل خبر کلّ مَن یوثَق بقوله، ومنه یظهر حکمالمسألة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حجّیّته، وبه یظهر الحال فی بقیّة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فیه أیضاً إلزامی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الآملی، محمّد رضا الگلپایگانی، السبزواری، محمّدالشیرازی،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إلزامی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الاحتیاط فی هذه الصورة وإن لم یکن مثل الاحتیاط فی المغرب ولکن معذلک لا ینبغی ترک الاحتیاط فی هذه الصورة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إذ هو أیضاً إلزامی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وفیه أیضاً إلزامی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الفتوی، وإن کان صحیحاً فی نفسه لکن ینافی ما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المسألةالسابقة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إلزامیّ إذا قلنا بلزوم الاحتیاط فی شهادة عدل واحد، کما هو ظاهرالفرع السابق وغیره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إخبار العدل الواحد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ثبوت الطلوع والغروب بخبر العدل الواحد أو الثقة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لعطش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للتداوی أو للتطهیر، أو لغیر ذلک من الأغراض غیر وضوء الفریضة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والأظهر عدم وجوب القضاء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فرض اختیاریة المقدّمات خصوصاً مع احتمال التسابق لا تخلو المسألةمن إشکال، ووجهه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لا یجب فیه القضاء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یختصّ ذلک بالوضوء للفریضة، سواء کان بعد حضور وقتها أم للتهیّؤ لها،وسواء کانت حاضرة أم فائتة، وسواء کانت یومیّة أم غیرها، ولا یعمّ الوضوءللنافلة أو لغیرها من الغایات، ولا المضمضة للغسل وإن کان للفریضة علیالأحوط، 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الفریضة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غیر الفریضة ثبوت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والاحتیاط فی ما کان لغیر صلاة الفریضة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 القضاء فی النافلة محلّ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جدّاً؛ لقصور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الشمول فیقتصر علی مورده بعدماکان علی خلاف القاعدة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الحکیم، حسن القمّی، 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خصوصاً فی ما کان لغیر الصلاة من الغایات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ما عدا الوضوء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فیه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القضاء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بالکراهة لا یخلو من إشکال، نعم، الأحوط الأولی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حتّی یتیقّن بعدم بقاء الماء الخارجی بإخراجه أو باستهلاکه فی ماءالفم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ولا یجوز مع الشکّ أیضاً ما لم یکن مأموناً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المناط فی الجواز الوثوق والاطمئنان بعدم الدخول، ولا یجوز مععدمه، سواء علم بالسبق أم شکّ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لو تمضمض ولم یحصل ذلک فالحکم بالبطلان مبنیّ علی الاحتیاط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بحیث کان یثق أن لا یسبقه مَنِیُّه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علی ذلک فی المسألة الثانیة عشرة من فصل المفطِرات،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الحکیم، المرعشی، الآملی، السبزواری،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وجوب القضاء إذا لم یکن واثقاً بنفسه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خصوصاً إذا لم یکن مَن یثق من نفسه بعدم سَبق المَنِیّ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إلّا ما کان قاطعاً بعدم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القضاء مع احتمال الإنزال عادة وإن لم یکن من عادته ذلک، کمامرّ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القضاء ما لم یطمئنّ من نفسه بعدم السَبق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کلام منّا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الأقوائیة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مأموناً من سَبق المنیّ، وإلّا فالأقوی القضاء والکفّارة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یکون منشأ الفرق بین سِبق المنیّ عقیب الملاعبة المزبورة وسبق الماءإلی الحلق عقیب الإدخال هو الالتفات بمقدّمیة الإدخال فی الفم؛ للتسابقالموجب لصدق الشرب اختیاراً، وعدم الالتفات إلی مقدّمیة الملاعبة لسبقالمنیّ الموجب للتشکیک فی صدق الإنزال الاختیاری،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مطمئنّاً بعدم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التفصیل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وجوبه إذا لم یکن واثقاً من عدم خروجه، کما تقدّم، بل وجوبالکفّارة عندئذٍ فی ما إذا کان سبق المنیّ بالملاعبة ونحوهما ـ کما فرضه فیالمتن ـ لا یخلو من قوة، نعم، إذا کان ذلک بفعل ما عدا المباشرة مع المرأة ممّایثیر الشهوة فالأظهر عدم ثبوت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الأضحی فی بعض الصور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مقتضی الصَناعة کفایة سقوط القرص، لکنّ الاحتیاط بما فی المتن لا یُترک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جوازها عن قمّة الرأس، وبذلک یأخذ الحائطة لدینه کما فی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والأظهر أنّه غروب الشمس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الشکّ فی سقوط القرص واحتمال اختفائه بالجبال أو الأبنیة أو الأشجارونحوها، وأمّا مع عدم الشکّ فعدم تقدیم الإفطار علی زوال الحمرة مبنیّ علیالاحتیاط اللزومی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لوجوب الاحتیاط فی ما یکون الشکّ فی بقاء اللیل وطلوع الفجر؛فإنّ استصحاب بقاء اللیل یقتضی جواز الإتیان بالمفطِر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بالوجوب العقلی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یجب الإمساک علی المراعی بنفسه قبل تبیّن الفجر له، کما لایجب الإمساک علی غیره وإن لزمه القضاء علی تقدیر تبیّن الخلاف فی شهر رمضانوما بحکمه، نعم، یلزمه رعایة الاحتیاط لو علم أنّه لولاها لوقع الأکل مثلاً بعدطلوع الفجر ولو فی بعض الأیّام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حتّی یصلّی المغرب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أکله کما هو المعمول، لا شربه الحرام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المعبّر عنه بصوم الوصال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یجعل عشاءه سحوره، أو یصوم یومَین ولا یفطر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نقل، ومن أمسک بقصد الصوم الشرعی فقدشرع وأبدع، ومن استحلّ إمساکه فقد ارتدّ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بالمعنی الجامع بین شرط المتعلّق وشرط الأمر وشرط عدم لزوم القضاءعقوبةً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الأرجح أنّ الإیمان لیس فی عداد شرائط صحّة العمل، بل شرط فی القبولوترتّب الأجر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العبادات لا یشترط فیها الإیمان، نعم، هو شرط فی القبول واستحقاقالثواب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اعتباره فی الصحّة غیر واضح، نعم، یعتبر فی القبول وترتّب الثواب علیه، کمادلّت علیه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تحریر الأحکام للعلّامة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للشیخ الجواهری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وغنائم الأیّام للمیرزا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الإیمان فی الصحّة غیر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الإیمان لیس من شرائط صحّة العبادة، نعم، یعتبر فی القبول وترتّبالثواب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یشترط الإیمان فی صحّة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الإیمان فی صحّة الصوم غیر واضح، فإذا استبصر المخالف فی أثناءالنهار وکان الصوم واجباً معیّناً فلا یُترک الاحتیاط بتجدید النیّة وإتمام یومهوقضائه إذا کان ممّا یُقضی، وکذا المرتدّ إذا تاب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الإیمان فی الصحّة غیر واضح، نعم، لا ریب فی اعتباره فی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اعتبار الإیمان فی الصحّة ـ بمعنی موافقة التکلیف ـ وإن کانمعتبراً فی استحقاق الثواب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الصحّة وإن کان غیر مقبول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فی مَن أسلم فی النهار إذا صدرت منه النیّة الإتمام، وکذا الحال فیالمرتدّ الّذی عاد إلی الإسلام فی 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أنّه لیس علیه صیام ذلک الیوم، ولا قضاؤه، وأمّا المرتدّ العائد إلیالإسلام فالأحوط أن یصومه ثمّ یقضیه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 ما بعده تأمّل، وإن کان الأظهر عدم وجوب ذلک الیوم علی الکافرولا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صحّته فی هذه الصورة مع تجدیده النیّة قبله محلّ تأمّل، فالأحوط فیهالإتمام کذلک، وإن لم یفعل فالقضاء، وکذا المرتدّ، لکنّ الأحوط له فیها هو الجمعبین الإتمام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الإتمام مع عدم الإتیان بالمفطِر، وکذا المرتدّ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الصحّة، وکذا المرتدّ لو عاد إلی الإسلام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الإتمام لو لم یکن مفطِراً قبله، وإن لم یفعل فیقضیه، والأحوط فیالمرتدّ الجمع بین الإتمام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الکافر تجدید النیّة قبل الزوال والإتمام، وفی المرتدّ الجمع بینالإتمام کذلک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الأرجح للکافر الأصلی إذا أسلم الإمساک بقیّة النهار ولا قضاء علیه؛لشمول قاعدة الجبّ بعد عدم تبعّض الصوم جبّاً ووجوباً، واختصاص دلیلالتوسعة فی النیّة بمورد اقتضاء الوجوب، فلا یشمل مورد السقوط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بعدم صحّة صومه مع تجدید النیّة قبل الزوال مشکل، فالأحوطتجدید النیّة وإتمامه، وإن لم یجدّد أو تناول إحدی المفطِرات فالقضاء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فالأحوط للکافر إذا أسلم فی نهار شهر رمضان ولم یأتِ بمفطِرقبل إسلامه أن یمسک بقیة یومه بقصد ما فی الذمّة، وأن یقضیه إن لم یفعل ذلک،وللمرتدّ الجمع بین الإتمام کذلک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الکلام فیه هو الکلام فی سابقه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المرتدّ إذا عاد إلی الإسلام قبل الزوال وکان الصوم معیّناً أن یجدّد النیّةویتمّ الصوم، ویقضی الیوم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فیه الصحّة إذا جدّد النیّة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حصل العقل والإیمان قبل الزوال فالأظهر وجوب الصوم وصحّته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أوجب فقده الإخلال بالنیّة المعتبرة فی الصوم، وإلّا ـ کما إذا کان مسبوقاًبها ـ فللصحّة وجه، فلا یُترک الاحتیاط فی مثل ذلک بالجمع بین الإتماموالقضاء للسکران، وبالإتمام فإن لم یفعل فالقضاء للمجنون والمُغمی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المشهور، وإن کان فی وجههم نظر، فلا یُترک الاحتیاط بإتمام صومه معسبق النیّة؛ لعدم تمامیة وجه المانعیة مع قضائه خروجاً عن مخالفة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عدم السکر فی صحّة الصوم وعدم الإغماء بعد سبق النیّة فی حالالصحو محلّ نظر، والاحتیاط بالإتمام والقضاء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لِمَن یصحو عن السکر فی النهار مع سبق النیّة هو الجمع بین الإتماموالقضاء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السکران إذا صَحَا فی النهار بالجمع بین الإتماموالقضاء، والمُغمی علیه لو أفاق یتمّ الصوم، ولو لم یفعل یقضی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سبقت منه النیّة، وأفاق أثناء النهار وجب علیه إتمام ذلک الصوم، ولا قضاءعلیه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لِمَن یفیق من السکر مع سبق النیّة الإتمام ثمّ القضاء، ولِمَن یفیق منالإغماء مع سبقها الإتمام، وإن لم یفعل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وفی المُغمی علیه إذا کانا ناویَین للصوم قبل طلوعالفجر، ثمّ عرض علیهما السکر والإغماء إلی أن طلع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حقّه مع سبق النیّة والصحو فی النهار الجمع بین الإتمام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السکران والمُغمی علیه، فإذا أفاقا فی نهارهما وقدسبقت منهما النیّة أتمّا صومهما، وإن لم تسبق منهما النیّة جدّداها وأتَمّا الصوم إذاکانت إفاقتهما قبل الزوال، وأمسکا بقیّة الیوم فی شهر رمضان إذا کانت إفاقتهمابعد الزوال، وعلی السکران قضاء الیوم فی جمیع الصور، أمّا المُغمی علیه فلاقضاء علیه إلّا إذا ترک الصوم بعد إفاقته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فیه وفی ما بعده مبنیّ علی الاحتیاط؛ لعدم دلیلٍ معتدٍّ به علی الشرطالمذکور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السکران مع سبق نیّة الصوم الإتمام والقضاء، وفی المُغمی علیهکذلک الإتمام، ومع عدمه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الصحو عن السکر والإغماء فی صحّة الصوم محلّ إشکال، فالأحوطلمن یصحو عن السکر فی النهار مع سبق النیّة هو الجمع بین الإتمام والقضاء،ولمن یصحو عن الإغماء کذلک هو الإتمام، فإن لم یفعل فالقضاء، بل الحکم فیالمجنون أیضاً لا یخلو من شوب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إشکال، یراعی مقتضی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سبق منّی أنّ عدّ الإغماء من أفراد زوال العقل لیس فی محلّه، بل هو نحوٌمن مفارقة الروح کالنوم؛ ولذا یطرأ علی النبیّ والإمام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نقص أصلاً،فإلحاقه بالجنون فی الحکم یحتاج إلی الدلیل، وإلّا فیجری علی طبق القواعد،ففی المقام لا یُترک الاحتیاط، وکذا لا یُترک فی السکران إذا سبق منهما 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یُمسِک بقیّة النهار إذا أفاق فی أثنائه مع سبق النیّة منه، ویستحبّله القضاء إن لم یُتِمَّ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الإغماء لیس من مصادیق زوال العقل، فإذن إلحاقة بالسکران واضح المنع،نعم، مَن عَدّهُ مِن مصادیق زوال العقل أردفه للسکر؛ وعلی هذا الوجه الضعیففالأحوط الإتمام بشرط إفاقته فی جزء من النهار وتجدید النیّة، وإن لم یفعلفالقضاء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فی المغمی علیه مع سبق النیّة الإتمام إذا أفاق فی الیوم والقضاء معترکه، وکذا لو أفاق قبل الزوال ولو مع عدم سبق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منهما مع سبق النیّة قویّة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فی هذه الصورة الإتمام حیث یجب رجاءً ثمّ القضاء، کما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السکران حینئذٍ یُتمّ الصوم ثمّ یقضیه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الصحّة فی هذه الصورة لا تخلو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فی السکران والمُغمی علیه فی بعض النهار الإتمام والقضاء مع سبقالنیّة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إتمام الصوم وقضاؤه مع سبق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أفاق المجنون والمغمی علیه وجدّدا النیّة قبل الزوال فلا تبعد الصحّة، وکذاالسکران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مع سبق النیّة لا تخلو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فالأحوط الإتمام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تبعد الصحّة فی هذه الصورة، ولکنّ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للصحّة حینئذٍ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هذه الصورة فیه وفی مثله الإتمام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الکلام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ومنّا فی الحاشیة، فراجع فصل المفطِرات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التفصیل المتقدّم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الکلام فیه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 فی فصل المفطِرات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تفصیلٍ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واللیلة السابقة علی الأقوی،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اللیلة السابقة 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مراعاة الاحتیاط بالنسبة إلی غسل اللیلة الماضیة،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اللیلة الماضیة 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المتقدّمة،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المتقدّمة،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الماضیة، وقد مرّ أنّها لو أتت بغسل الفجر قبله کفی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السابقة، کما تقدّم فی أحکام المستحاضة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العشاءین من اللیلة الماضیة،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والغسل قبل الفجر أیضاً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المتقدّمة علی الأحوط، بنحو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الماضیة 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اللیلیّة فقد مرّ الکلام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المتقدّمة، علی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غسل اللیلة الماضیة 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الغسل للظهرین أو العشاءین فی اللیلة الآتیة،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علی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الحکم عندی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الأظهر عدم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الیوم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السیستانی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جوازه وکذا النذر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أقوی 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جوازه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جواز المندوب فی السفر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نظر، إلّا أنّه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المتعیّن علی الأحوط لو لم یکن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الأیّام هی الّتی عیّنتها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فلا یتعدّی إلی غیرها علیالأحوط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ولا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الأحوط، وکذا الإتیان بها شبه الاعتکاف فی مسجد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وقدورد فی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الأعمال الاُخر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ذلک وقوفاً علی مورد النصّ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اختصاص الحکم بهذه الأیّام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لعدم الدلیل فی ما عداها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له القضاء أیضاً إذا نوی السفر من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بعد مضیِّ ثلاثین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کان شغله ذلک،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حسن القمّی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فی سفر الصید للتجارة الجمع فی الصلاة، لکن فی الصوم یفطر بلاإشکال،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ما یتعلّق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ذلک بالمقدار المعتدّ به الّذی لم تجرِ العادة بتحمّل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عقلائیاً، وکذا فی خوف الصحیح لابدّ أن یکون له منشأ عقلائی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ناشئاً من منشأٍ عقلائیٍّ یوجب الخوف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العقلائی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یعتنی به العقلاء ویوجب لهم الخوف، وکذا فی خوف الصحیح منحدوث المرض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الاحتمال الّذی یعتنی به العقلاء، لا مجرّده، وإن لم یکن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العقلائی، وکذا فی الفروع التالیة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إلی المناشئ العقلائیة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منشؤه احتمالاً عقلائیّاً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خوفه ناشئاً من احتمال عقلائی، لا مطلق الخوف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الصحیح الناشئ من مجرّد الاحتمال لا یکفی فی بطلان الصوم، ولا فیرفع وجوبه، وکذا فی ما بعده، بل لابدّ فیهما من منشأ معتنیً به عند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الاحتمال العقلائی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خوفه من منشأٍ یعتنی به العقلاء،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لخوفه منشأ معتنیً به عند العقلاء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یکن الصوم بنفسه ضرراً، أمّا إذا لزم منه ضرر علی النفس کالحَبسونحوه، أو کان مضرّاً بغیره أو بعرضه أو عرض غیره أو فی مالٍ حفظه أهمّ منالصوم أو واجب آخر أهمّ من الصوم فلا یجب الصوم، ولو خالف والحال هذهفالصحّة قویّة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بمقدارٍ یکون تحمّله حرجیّاً وعسراً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کون ذلک وما بعده من شرائط الصحّة إشکال، نعم، فی هذه المواردلایجب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 أهمّیّة المزاحم موجباً لبطلان الصوم واشتراطه بعدم مزاحمته له محلّإشکال، بل منع، فالبطلان فی بعض الأمثلة المتقدّمة محلّ منع، وکذا الحال فیمزاحمته لواجب أهمّ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أهمّیّة الواجب المزاحم إنّما تؤثّر فی جواز الإفطار، ولا توجب اشتراطالصحّة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الظاهر حینئذٍ صحّة الصوم وإن أثم بترک الأهمّ، وکذا الحکم فی بعضالفروض السابقة ممّا کان من باب التزاحم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الصوم صحیح فی موارد المزاحمة مطلقاً حتّی فی مثل حفظ المال إذاأثم وصام بقصد القربة المطلقة، لا بقصد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فی کلّ موردٍ یکون عدم وجوب الصوم من جهة المزاحمة لواجبآخر أهم یکون الصوم صحیحاً إذا صام من باب الترتّب، ومنه یظهر الحال فیماإذا کان الصوم مستلزماً للضرر بالنسبة إلی غیر الصائم، أو عرضه أو عرض غیرهأو مال یجب حفظه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خالف وصام فی موارد المزاحمة مع الأهمّ فالظاهر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صحّة الصوم فی هذا الفرض وفی بقیّة الفروض الداخلة فی بابالتزاحم وإن عصی بترک الأهمّ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بطلان الصوم بذلک؛ فإنّ حکم العقل بلزوم صرف القدرة فی غیرهلایقتضی انتفاء الأمر به مطلقاً، ومنه یظهر الحال فی بعض الصور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فیه الصحّة، ولا ینبغی ترک الاحتیاط بالقضاء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أمِن الضرر فهی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صحّته، لکون المقام من باب التزاحم غیر المضرّ بصحّته کونه فیصورة جهله بالمزاحم معذوراً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 الصحّة،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الإشکال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الصحّة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 الصحّة، خصوصاً مع الأمن من الضرر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الصحّة لا یخلو من 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الصحّة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یکون مریضاً ویزعم عدم الضرر وبعد ذلک یظهر خَطَؤه فالأقوی بطلانصومه؛ لخروجه عن موضوع التکلیف، واُخری لایکون مریضاً ویزعم عدمالضرر وفی الواقع یکون الصوم مضرّاً، فلا وجه للإشکال، بل الظاهر الصحّة، ولاوجه لوجوب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الأرجح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الاحتیاط استحبابی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تبیّن الخلاف،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الحاشیة السابقة أنّه لو بان الخلاف لا یخلو عدم الصحّة من قوّة،فکذا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کفایة خوف الضرر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وإن خاف ولو مع عدم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الضرر المظنون بحدٍّ محرّم، وإلّا فیجوز له الصوم رجاءً، ویصحّ لو کانمخطئاً فی اعتقاده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تبیّن الخلاف محلّ تأمّل إذا صام متقرّباً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لم یتبیّن الخلاف، وإلّا فالصحّة لا تخلو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الأحوط لِمَن استیقظ بعد الزوال تجدید النیّة وإتمام الصوم أیضاً برجاءالمطلوبیة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إتمامه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الإتمام رجاءً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المشهور من إلحاق مطلق الغافل بالجاهل بالموضوع فی حکم التجدید،وهو لا یخلو من شیء؛ لعدم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تأمّل، وإن لا یخلو من قوّة، والاحتیاط بالنیّة والإتمام والقضاءحَسَن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فیه فی صیام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الأولی فی حقّه النیّة والإمساک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نوی وأتمّ الصوم وقضی علی الأحوط وجوباً إذا کان شهر رمضان أو واجباًمعیّناً، وصحّ صومه إذا کان غیر معیّن، کما تقدّم فی مبحث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الجزم بالحکم علی نحو العموم إشکال؛ لعدم الدلیل، نعم، قد تمّ الدلیلبالنسبة إلی بعض العبادات کالصلاة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إشکالٍ قد مرّ مِنّا فی الحاشیة علی الطهارة والصلاة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أنّ الصبیّ إذا کان قد بلغ سبع سنین یؤمَر بالصیام بما یُطیق من الإمساکإلی نصف النهار أو أکثر من ذلک أو أقل حتی یتعوّد الصوم ویُطیقه، وأمّا الأمربالصوم تمام النهار وإن لم یکن یطیقه خصوصاً مع التشدید علیه فغیر ثابت، هذابالنسبة إلی الذَکَر، وأمّا الأُنثی فیستحبّ أیضاً تمرینها علی النحو المتقدّم، ولکنلم یثبت لذلک سنّ 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التحدید محلّ تأمّل، ولا یبعد استحباب التشدید علیه إذا أطاق علی صومثلاثة أیّام متتابعة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واعتبار قدرته علی ثلاثة أیّامٍ متوالیةٍ کما عن بعض القدماءمعتمداً علی خَبَرَی 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مبدأ التمرین علی الصوم وغیره من العبادات هی السنّ التی تحصل للصبیّفیها القوّة والطاقة للعبادة، وهی تختلف فی الصبیان، وعلی هذا تجتمع الأخبارالمختلفة الواردة فی تحدیدها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دلیلاً للتشدید لخصوص السبع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إتمام عدم الفرق بالنصوص الواردة فی المقام فی غایة الإشکال؛ لاختصاصهابالذَکَر، إلّا أنْ یتم الأمر فی الاُنثی بالإجماع والتسالم أو الفهم العرفی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لاحتمال سوقها مساق النواهی فی الصلاة المحمولة علیالکراهة، للنصوص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المرخّصة فی کثیر من الموارد المانع عن الالتزامبتخصیص النواهی؛ لإبائها من مثل هذا التخصیص، ومثل هذه الجهة وإن لم تکنجاریة فی المقام إلّا أنّ وحدة سیاقها یوجب الوهن فی دلالتها علی الحرمة؛ولذا کان الأمر فی المقام مجری الاحتیاط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أیِّ حالٍ لا شبهة فی عدماقتضاء نواهیها الحرمة الذاتیة، بل الظاهر بقرینة المقایسة فی أخبارها فی الصلاةالحرمة التشریعیة، وحینئذٍ فیکفی فی جواز الإتیان بنافلتها إتیانها برجاء الواقع؛لقوّة احتمال المشروعیة،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متون الأحادیث مطلق الفرض، فالحکم مخصوص بقضاء شهررمضان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فی غیر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القضاء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یختصّ الحکم بِمَن علیه قضاء شهر رمضان، ولا یعمّ غیره من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تعمیم الحکم إلی غیر القضاء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غیر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غیر القضاء، بل التعمیم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تعمیم الحکم إلی غیر القضاء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بالحکم فی النذر وأمثاله من العناوین الثانویة مشکل؛ فإنّ الظاهر مندلیل المنع الصوم الواجب بالعنوان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غیر قضاء شهر رمضان، بل لایبعد القول بالصحّة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القضاء إشکال أحوطه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غیر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القضاء إشکال أحوطه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عموم الحکم لغیر القضاء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تعمیم الحکم لغیر قضاء شهر رمضان إشکال، نعم، الأحوط أن لا یتطوّعمع کونهما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غیر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لهذا التقیّد إلّا دعوی الانصراف وإثباته علی مدّعیه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مع عدم التمکّن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إذا کان علیه صوم شهرین متتابعین ودخل شعبان قبل الشروع فیه فإنّالظاهر حینئذٍ جواز التطوّع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الاصطهباناتی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کان علیه شهران متتابعان ولم یشرع قبل شهر شعبان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تأمّل، وکذا الکلام فی صورة نسیان الواجب والإتیان بالمندوب إذا تذکّربعد 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أیضاً، فالأولی أن یأتی به رجاءً، کما أسلفناه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وکذا فی صورة النسیان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إشکال، وإن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بل منع؛ فإنّ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للمنع محفوظ حال النسیان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شبهة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غیر معلومة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قبل الزوال، ویجدّد نیّة القضاء إن شاء، أمّا إذا کان بعد الزوال فیتمّ مانواه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تذکّر بعد الزوال فالظاهر صحّة صومه؛ لعدم التکلیف بالواجب، أمّا قبلالزوال فللنسیان، وأمّا بعده فلعدم التمکّن؛ لفوات وقت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البناء علی عدم جواز التطوّع وقت الفریضة، أو لمن علیه الفریضة فیتصحیح مثل هذا النذر إشکال، کما تقدّم فی باب الصلاة بوجهه،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التطوّع بالنذر محلّ نظر، أو منع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وکذا الکلام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وکذا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صحّة النذر نظر، وکذا فی بقیّة فروض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 ما بعده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لایصحّ؛ فإنّ الإطلاق ینافی منع الشرعی فی بعض المصادیق فلا ینعقد النذر معلحاظ الإطلاق، ومنه یظهر أنّ الأقوی الفساد فی بقیّة الصور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فالأحوط أن یأتی بالمنذور بعده، إلّا إذا ضاق وقته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لایجوزإذاکان الواجب قضاءشهررمضان،وکذاالحال فی مابعده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أنّه غیر صافٍ عن شوب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شوب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الصحّة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بطلانه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فی الإشکال بین الفروع الثلاثة، کما أنّ الصحّة فی کلّ واحد منها لاتخلو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کما مرّ وجهه فی 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هذا الکتاب، فصل أوقات الرواتب،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بعید؛ لأنّ اللازم رجحان المتعلّق قبل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النظر والتأمّل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تقریبه کمال البعد، وکیف یتوجّه انعقاد النذر مع اشتراط الرجحان فیمتعلّقه والالتزام بحصول الرجحان بالنذر؟ وکفایة مثل هذا الرجحان کما تریوتنظیره بالتزام تبعیّة الأوامر للمصالح ولو فی الأمر ضعیف جدّاً، نعم، یمکن أنیقرّب الانعقاد فی ما نحن فیه بالتزام رجحان طبیعة الصوم، وأنّ خصوصیّةمرجوحیّة التطوّع غیر مستلزمة لمرجوحیّة تلک الطبیعة، فلو تعلّق النذر بهاارتفعت مرجوحیّة تلک الخصوصیّة، فلا إشکال حینئذٍ فی انعقاد النذر، بل یمکنأن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نذر الإحرام قبل المیقات کذلک، والکاشف عن رجحانه الذاتیالنصوص الواردة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نظیر هذه المسألة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أوقات الرواتب، ومرّ ما یتعلّقبها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الکلام فی ذلک فی مسألة التطوّع فی وقت صلاة الفریضة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لکفایة رجحان نفس الصوم فی انعقاد النذر، لا لِما أفاده فی المتن حتّییتوجّه علی المحذور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الصحیح، لکن لا بدعوی کفایة الرجحان الناشئ عن النذر فی صحّته؛إذ فیه من المحذور ما لایخفی، بل لأنّ متعلّق النذر هو ذات الصوم دون التطوّع،ومرجوحیّة التطوّع لا تستلزم مرجوحیّة ذات الصوم، بل هو علی رجحانهالذاتی، فینعقد نذره ویرتفع موضوع التطوّع بذلک، ویطّرد ذلک فی جمیع ما کانمن قبیله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ورد دلیل خاصّ للصحّة یکون هذا البیان مجملاً ووجهاً للأخذ به،ومخصّصاً للعموم؛ وإلّا لا نلتزم به بمحض الإمکان بعد الدلیل علی کون متعلّقالنذر والفعل راجحاً الظاهر فی رجحانه بما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المراد حدوثه به؛ فإنّه غیر معقول، بل المراد کفایة الرجحان الذاتی إذاارتفع بالنذر موضوع النهی علی ما هو الأقوی فی نظائره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یقدر بالتطوّع علی إتیان الواجب الاستئجاری ففی صحّة التطوّعإشکال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کملا قبل الزوال ولم یأتیا بالمفطِر فوجوب الصوم علیهما لا یخلو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 الإتمام علی الصبیّ وإن لم ینوِ، ولا یُترک الاحتیاط فیالمجنون، وإن لم یفعلا فالأحوط القضاء، بل لا یبعد الوجوب علی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وجوبه علی الصبیّ مع عدم الإتیان بالمفطِر وإن لم ینوِ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تقیالخونساری، الأراکی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وجوبه حینئذٍ لا یخلو من قوّة، بل فی ما إذا کمل قبل الزوال ولم یتناولالمفطِر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فیه وجوب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فیه وجوب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نواه ولم یأتِ بالمفطِر حتّی بلغ وجب علیه الإتمام، بل الأحوط الإتمام لوبلغ قبل الزوال ولم یأتِ بالمفطِر وإن لم ینوِ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وجوبه إذا أکمل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وجوب الإتمام علیه حینئذٍ وإن بلغ بعد الزوال، وکذلک إذا بلغ قبلالزوال ولم یکن آتیاً بمفطر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یتمّ صومه واجباً فی هذه الصورة علی الأحوط، ویقضی إذا هو لم یتمّه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حینئذٍ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الصحّة والاکتفاء به فی هذه الصورة قویّة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والمراد القضاء علی تقدیر عدم الإتمام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فی صورة إتیان الصوم ندباً، کما لا ینبغی ترکالاحتیاط فی صورة عدم الإتیان بالمفطِر وإن لم ینوِ الصوم ندباً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أنّه لو دخل الصبیّ فی الصوم بنیّة الندب ثمّ بلغ وجب علیه الإتمام،کان البلوغ قبل الزوال أم بعده، ولو لم یدخل فیه فبلغ فلا یجب علیه إتمامالصوم، تناول المفطِر أم لا، بلغ قبل الزوال أم بعده، ولا قضاء علیه فی الموردَین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إذا کملا قبل الزوال ولم یأتیا بالمفطِر الإتمام، وإن لم یُتمّافالقضاء، نعم، الأحوط للصبیّ الصائم المدرک الإتمام مطلقاً، وإن أفطر فالقضاء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الإتمام هنا لا یخلو من قوّة ولا یجب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کفایة الإتمام، وعدم لزوم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کفایته، ولا یحتاج إلی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هو الإتمام، وإن لم یفعلا فالقضاء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القضاء إن لم یتمّ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القضاء علی تقدیر عدم الإتمام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الإتمام لا یخلو من قوّة، ومعه لا حاجة إلی القضاء، نعم، لو عصی ولمیُتمّ فعلیه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القضاء إذا لم یُتمّ، وإلّا لا معنی للجمع بینهما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إلی القضاء فی صورة الإتمام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للجمع بینهما، بل الأحوط الغیر الإلزامی الإتمام، ومع عدم الإتیانالقضاء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الإتمام أو القضاء إن لم یُمسِک ولم یتمّ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عدم إتمام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یتمّا، وإلّا فلا وجه للإتمام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الإتمام لایبقی مجال للقضاء، کما یظهر لمن له خبرة بالصناعة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 عدم الإتمام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الإتمام فقط، ومع عدم فعله فالقضاء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حاجة إلی القضاء مع الإتمام، والوجه فیه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أوجب جنونه الإخلال بالنیّة المعتبرة، وإلّا ـ کما إذا کان مسبوقاً بالنیّة ـفقد مرّ لزوم الاحتیاط لمثله بالإتمام، فإن لم یفعل فالقضاء، وهکذا الحال فیالمغمی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عقل المجنون قبل الزوال وجب الصوم فی الواجب المعیّن إذا لم یکنتناول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 له وجهاً تامّاً،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المغمی علیه لو أفاق قبل الزوال حکم المجنون، علی 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وأدرک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بالإتمام، ومع ترکه بالقضاء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فلو صَحَا قبل الزوال فالأحوط له تجدید النیّة والإتمام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جدّدها بعده إذا صَحَا قبل الزوال، ولا یُترک الاحتیاط،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إذا لم ینوِ ولکن جدّد النیّة بعد الصحو وقبل الزوال، وقد مرّ منّا کلام فیالإغماء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الرفیعی، أحمد الخونساری،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وجوبه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لازم وإن جدّدها بعد الإغماء أیضاً إذا أفاق قبل الزوال، ولکنّالأحوط عدم الاکتفاء به؛ لِما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الأحوط فی السکران والمغمی علیه فی بعض النهار الإتمام والقضاءمع سبق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یتمّ یستحبّ له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عدم النیّة لو زال الإغماء قبل الزوال فالأحوط تجدید النیّة والإتمامأیضاً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کما تقدّم، فإن لم یُتمَّ صومه قضاه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تجدیدها بعد زواله إذا لم ینوِ 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خلافاً للمشهور حیث ألحقوه بالمسافر، والدلیل علیه غیر ثابت؛ ولذا لا یُترکالاحتیاط فی مثله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الفانی،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إن لم یحصل له تضرّر بما حصل له من الإمساک فی ما مضی ومایأتی إلی الغروب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لزوماً أن ینوی ویصوم ویقضی بعد ذلک إذا کان الصوم شهر رمضان،أو واجباً معیّناً، کما تقدّم فی نظائره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یقضی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قوّته غیر معلومة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هو الوجوب، کما فی المسافر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الوجوب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یضرّه مطلق الإمساک وقد تحمّله إلی ذلک الحین، وإلّا فوجوب ما ذکرلا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بأن ینوی ویصوم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وجوبه من 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الإمساک مضرّاً له فی هذا المقدار من الزمان أیضاً، وإلّا ففیهتفصیل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سفر الصید للتجارة، وإن کان الأحوط فیه الجمع فی الصلاة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فی بعض الصور، کما سیجیء وفی بعضٍ آخر عند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الاحتیاط فی خصوص الصلاة فی سفر الصید للتجارة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نوی السفر من اللیل، وإلّا فالأحوط إتمامه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الأولی فی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ینوِ السفر من اللیل أن یُتمّ الصوم ثمّ یقضیه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ناویاً للسفر من اللیل، وإلّا فالأحوط إتمام الصوم ثمّ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لزوماً، خصوصاً إذا کان ناویاً للسفر من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الأحوط القضاء أیضاً إذا نوی السفر من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لزوماً، سیّما إذا لم یکن ناویاً للسفر من اللیل ویجتزئ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ویجتزئ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الاجتزاء بإکمال الصوم فی الصورة الاُولی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مؤکّداً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دلیلاً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أنّ الخروج عن حدّ الترخّص ذهاباً والوصول إلیه إیاباً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المناط الخروج عن محلّ الترخّص قبل الزوال وبعده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المناط حدّ الترخّص من الطرفین، والاحتیاط طریق النجاة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یُقوِّی عدم وجوب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فی سفر الصید للتجارة لزوم قصر الصوم والاحتیاط بالجمع فیالصلاة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فی سفر الصید للتجارة إفطار الصوم، ولکنّالأحوط فی الصلاة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مرّ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سقوطها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أنّه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الإشکال فی وجوبه، وإن کان الاحتیاط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الخمینی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أنّه فی حکم شهر رمضان فی ما إذا لم یکن مملوکاً للغیر، کما فیالإیجار، أو متعلّقاً لحقّ الغیر، کما فی الشرط ضمن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جوازه فی النذر المعیّن، وعدم وجوب الإقامة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جوازه، وعدم وجوب الإقامة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ولا تجب الإقامة لو کان مسافراً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الأرجح جوازه، وعدم وجوب الإقامة علی المسافر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وکذا الحال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والأقوی الجواز، ولا تجب الإقامة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ممنوعة، ولا بأس بأن یسافر ویحتاط بالصوم فیه وبالقضاء بعد رجوعه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بل الظاهر جوازه، وإن کان الترک أحوط فلا یجب الإقامةأیضاً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جواز السفر، وعدم وجوب الإقامة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جوازه إذا کان مرجع نذره إلی عدم السفر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أنّ حکم الواجب المعیّن حکم شهر رمضان، فیجوز السفر فیه اختیاراًولا تجب له الإقامة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جوازه فی النذر المعیّن، وعدم وجوب الإقامة إن کان مسافراً،وفی غیره من الواجب المعیّن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واجباً بإیجار ونحوه، وکذا الثالث من أیّام الاعتکاف، والأظهر جوازهفی ما کان واجباً بالنذر، وفی إلحاق الیمین والعهد به إشکال، ومنه یظهر الحالفی وجوب قصد الإقامة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الجواز فی النذر المعیّن، بل فی غیره کقضاء شهر رمضان إذا ضاقوقته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أنّها لا تجب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یجب علیه الإقامة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وجوبها، فلا یصوم، وإنّما یحتاط بقضائه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أفضلیّة الإقامة والصوم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الأقرب هو أفضلیّة الإقامة والصوم، والنواهی الواردة عن السفر نواهٍعرضیّة من جهة ترک الأفضل، وعلی أیٍّ فیزول ذلک بمضیِّ اللیلة الثالثةوالعشرین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التحدید لم یثبت بدلیل معتبر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وینبغی إلحاق زیارة المشاهد المشرّفة بهما فی ذلک، لا سیّما ما کان منهاأفضل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لاینحصر رفع الکراهة بما ذکر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نحو ذلک من الراجحات الشرعیّة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الجواهر عدم ظهور الخلاف إلّا عن صاحب الحدائق فی أنّالمقام من العزیمة، لا الرخصة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الصدقة فی هذه الصورة محلّ تأمّل، وکذا فی ذی العُطاش والحاملالمقرِب التی یضرّها الصوم، والمرضعة التی یضرّها الصوم، ولکن لا ینبغی ترکالاحتیاط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التکفیر فی هذه الموارد أجمع غیر معلوم، نعم، الأحوط مع التمکّنعدم الترک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وجوبه فی صورة التعذّر لا یخلو من قوّة، وکذا فی ذی العطاش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 التکفیر حینئذٍ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القول بعدم وجوب التکفیر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الصدقة فی صورة التعذّر غیر ثابت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فدیةَ فی صورة التعذّر، وإن کان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الکفّارة علی الشیخین وذی العطاش فی صورة تعذّر الصوم علیهممحلّ إشکال، بل عدمه لا یخلو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 علی الحامل المقرِب والمرضعةالقلیلة اللبن إذا أضرّ بهما لا بولدهما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هذه الصورة عدم وجوب التکفیر، وإن کان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عدم الوجوب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وجوب التکفیر فی صورة التعذّر، ولکنّ فیه احتیاطاً لا یُترک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فی هذه الصورة محلّ إشکال، لکنّه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الکفّارة علیهما فی هذه الصورة محلّ إشکال، بل منع، وکذا فی ذیالعطاش عند عدم القدرة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ثبوت الکفّارة فی صورة التعذّر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وجوب التکفیر فی هذه الصورة، کما أنّ الظاهر عدم وجوبالقضاء علیهما لو تمکّنا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الکلام فی تعیین المقدار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فیه وفی ذیالعطاش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ولا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الوجوب، نعم،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أقوائیّته تأمّل، لکن هو أحوط وأولی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العدم، وإن کان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ولعلّ 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لکنّه أحوط، وکذا الحال فی مَن به داء العطاش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وجوب القضاء، والاحتیاط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الوجوب، نعم،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مع عدم القدرة علی الصبر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عدم الوجوب فیه کما فی الشیخ والشیخة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وجوبه فی صورة تعذّر الصوم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أقوی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عدمه، کما أنّ الأظهر عدم الاقتصار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وجوب القضاء علیه وإن تمکّن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أقوائیّته تأمّل، لکن هو أحوط وأولی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إشکال، وإن کان القضاء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لوجوب إمساکه عن الزائد مهما أمکن، نعم، فی غیر رمضان منالواجبات المعیّنة وجوب الإمساک بعد الإفطار غیر ثابت؛ لعدم الدلیل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الصدقة فی هذه الصورة محلّ تأمّل، وکذا فی المرضعة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التصدّق فی ما إذا کان الإفطار لتضرّر الحامل نفسها محلّ إشکال، بلمنع، وکذا الحال فی المرضعة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اختصاص الفدیة بصورة تضرّر الولد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مع الإضرار أو المشقّة، وإن لم یکن مضرّاً، وکذلک الحکم فیالمرضعة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وکذا فی المرضعة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أضرّ بها، وکذا فی المرضعة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معتبر علیه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تأمّل؛ لقوّة احتمال التعدّی إلیه من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محلّ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القوّة ممنوعة، والاحتیاط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غیر فحص وحرج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عدم وجود ما یقوم مقامها فی ذلک، کالرضاعة الصناعیة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یعتبر فیه العدد الخاصّ کخمسین أو خمسمائة کما تُوُهِّم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کفایة الشیاع بین المؤمنین مطلقاً إلّا إذا کان مشکوکاً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بالرؤیة فی بلده، أو فی ما یلحقه حکماً، کما سیأتی، وفی حکم العلمالاطمئنان الناشئ من المبادئ العقلائیة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اتّفق لی قضیّة فی بعض السنین الماضیة ببلدة قمّ المشرّفة،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السماءکانت مغیّمة، ویأس المستهلّون ولم یَرَ الهلال أحدٌ، فانصرفوا وبقیت وحدی فیالصحن الشریف، فانفرجت الغیوم بعد هُنَیئة فحصلت بینها فرجة یسیرة ورأیتالهلال وحدی فی تلک الفرجة، ثمّ اتّصلت الغیوم فأفطرت وحدی صباح تلکاللیلة والناس کلّهم صائمون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أمر قد یتّفق ولیس بعزیز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الحاکم بطبقها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یعتبر احتمال صدقهما احتمالاً عقلائیاً، فلو لم یکن فی السماء علّةواستهلّ جماعة فلم یَرَ إلّا واحد أو اثنان مع عدم الضعف فی أبصار غیرهما، أوکان فی السماء علّة لا یُری بحسب العادة فحجّیّتها محلّ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العلم أو الاطمئنان باشتباهها، وعدم وجود معارضٍ لها ولو حکماً،کما إذا استهلّ جماعة کبیرة من أهل البلد فادّعی الرؤیة منهم عدلان فقط، أواستهلّ جمع ولم یَدَّعِ الرؤیة إلّا عدلان ولم یَرَهُ الآخرون وفیهم عدلان یماثلانهما فیمعرفة مکان الهلال وحدّة النظر مع فرض صفاء الجو وعدم وجود ما یحتمل أنیکون مانعاً عن رؤیتهما، ففی مثل ذلک لاعبرة بشهادة العدلَین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لو استهلّ أهل البلد ولم یکن فی السماء علّة ولم یَرَهُ سوی الاثنینلحصل الاطمئنان بخطئهما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حجّیّة البیّنة من البلد فی ما إذا لم یکن فی السماء علّة تأمّل وإشکال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اطمئنان عقلائی علی الخلاف،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توافق المکانین فی الاُفُق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اتّحاد الاُفُق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الصحو واجتماع الناس للرویة، وحصول الاختلاف والتکاذب بینهم بحیثیقوی احتمال الاشتباه فی العدلَین فإنّه فی هذه الصورة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توافق اُفُقَی الخارج والبلد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حجّیّة البیّنة إذا کانت من البلد ولم یکن فی السماء علّة إشکال،والاحتیاط لا یُترک، إلّا إذا حصل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تکن علّة فی حجّیّة البیّنة من البلد إذا لم یحصل الاطمئنان بصدقهاشبهة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حجّیّة البیّنة من البلد عند عدم العلّة من السماء إذا لم یحصل الاطمئنانبصدقها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أوجب ذلک ریباً فی صدق قولهما، فلا تعمّهما أدلّة حجّیّة البیّنة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بها مع عدم العلّة فی السماء وکثرة المستهلّین وعدم رؤیة غیرهمامحل إشکال، إلّا إذا حصل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بحیث یحکیان عن شیء واحد فی الخارج مکاناً وکیفیّةً وشکلاً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لذلک الاشتراط إذا توافق الشاهدان فی الهلال، والاختلاف فی الصفةغیر مضرّ، کیف ؟ وإلّا لم یُکتَفَ فی ما لو أطلقا أو وصف أحدهما وأطلق الآخر؛لاحتمال اختلافهما فی الصفة واقعاً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توصیفها بما یخالف الواقع، ککون تحدیبه إلی فوق الاُفق، أو متمایلاًإلی الجنوب فی بلادٍ تغرب الشمس فی شمال القمر، أو فی أشهر کانت کذلک، أوبالعکس، نعم، لا یبعد قبول شهادتهما إذا اختلفا فی بعض الأوصاف الخارجةممّا یحتمل فیه اختلاف تشخیصهما، ککونه مرتفعاً، أو مطوّقاً، أو فی عرضشمالی أو جنوبی ممّا لا یکون فاحشاً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یرجع إلی التکاذب دون مطلق الاختلاف الراجع إلی بعض الجهاتالخارجیّة مع الاتّفاق علی الشهادة بالهلال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یؤدّی إلی عدم شهادتهما علی أمر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أدّی ذلک إلی عدم شهادتهما بأمر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فی صورة إرجاع شهادتهما إلی أمر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یؤدِّ إلی الشهادة بأمرٍ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نظر،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أدّی ذلک إلی عدم شهادتهما علی أمر واحد دون ما إذا کان الاختلافراجعاً إلی الجهات الخارجیة، ککونه مطوّقاً، أو مرتفعاً، أو قلّة ضوئه ونحو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الکفایة متوقّفة علی اتّفاقهما فی مورد الشهادة بأن یحرز التطابق، وأمّا معالشکّ فیه فیشکل الجزم بالکفایة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ثبوته به، بل وبخبر الثقة وإن لم یکن عدلاً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حکم الحاکم فی غیر باب القضاء والمرافعات محلّ الإشکال، بلالأظهر عدم اعتباره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جعله من طرق ثبوت الهلال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ثبوت الهلال بحکم الحاکم إشکال،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حکمه وعموم حجّیّته حتّی فی مثل ثبوت الهلال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ثبوت الهلال بحکم الحاکم إشکال، بل الأظهر عدم ثبوته، وإن کان رعایةالاحتیاط 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ثبوته بحکم الحاکم شائبة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من طرق ثبوت الهلال محلّ إشکال، بل منع، نعم، إذا أفاد حکمه أوالثبوت عنده الاطمئنان بالرؤیة فی البلد أو فی ما بحکمه اعتُمِد علیه، ومنه یظهرالحال فی جملة من المسائل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علم تقصیره فی موازین الحکم، أو کونه غافلاً عنها حینه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أفاد الوثوق والاطمئنان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لا عبرة بغیبوبة الهلال بعد الشفق لیلة الرویة فی ثبوت کونه للّیلةالسابقة، ولعلّ فی العبارة سِقطاً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عبرة بغیبوبة الهلال بعد الشفق لإثبات کونه اللیلة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غیبوبة الهلال بعد الشفق المغربی فی لیلة الرویة لإثبات کون الهلال لِلَیلةسابقة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العبارة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لا عِبرَة بغیبوبة الهلال بعد الشفق المغربیّ فی لیلةالرؤیة فی ثبوت کونه لِلَیلة سابقة، ولعلّه سهو من قلمه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الماتن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قلم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بعد الشفق، فیکون لِلَیلَتین أو قبله فیکون للیلته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العبارة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بغیبوبة الهلال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غیبوبته مع بقاء الهلال ورؤیته؛ فإنّه یظنّ بذلک أنّ اللیلة الماضیة کانت هیالاُولی؛ حیث إنّ الأمر فیها بالعکس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غیبوبة الهلال بعد الشفق، أو غیبوبة الشفق قبل غیبوبة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مسامحة أو سقط،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غیبوبة الهلال بعد الشفق فیاللیلة الاُخری، دلیلاً علی کون اللیلة السابقة أوّل الشهر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 العبارة من النقص، وحقّها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بغیبوبته بعد الشفق فی کونه من اللیلة الماضیة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اضطراب، والخطب سهل بعد وضوح المراد، ومراده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عبرةبغیبوبة الهلال بعد الشفق فی جهة المغرب فی لیلة الرؤیة فی إثبات کونه لِلّیلةالسابقة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بغیبوبة الهلال قبل الشفق فی أنّه لِلَیلة، وبعده فی کونه لِلَیلَتَین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عبرة بغیبوبة الهلال بعد الشفق فی لیلة الرؤیة فی ثبوت کونه لیلةسابقة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العبارة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بغیبوبته بعد الشفق فی کونه من اللیلة الماضیة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کون غیبة الهلال بعد الشفق دلیلاً علی أنّها اللیلة الثانیة، وغیبته قبلالشفق دلیل علی أنّها اللیلة الاُولی، کما فی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قصور؛ فإنّه یشیر بها إلی ما فی روایة ضعیفة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غاب الهلال قبلالشفق فهو للیلة، وإذا غاب بعد الشفق فهو لِلَیلَتین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ترتّب الأثر علیها، فیحکم بکون ذلک الیوم أوّل الشهر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یحتاط بأن یصوم الیوم إن کان من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ثبوته بذلک، کما أنّ الظاهر ثبوته بتطوّق الهلال فیدلّ علی أنّه لِلّیلةالثانیة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الأظهر بحسب الأدلّة ثبوته بها، والاحتیاط سبیل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بتطوّقه لیدلّ علی أنّه لِلَّیلة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تأمّل، وإن کان هو الأصح، لکنّ الاحتیاط فیه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حسن القمّی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من النصوص هو الحکم بذلک، لکنّ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کالجدول، والتطوّق، والعدد، أی عدّ شعبان ناقصاً أبداً، وعدّ رمضان تامّاً أبداً،کما علیه بعض فرق الشیعة وبعض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للکلینی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کتاب الاُم للشافعی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ورؤیة الظلّ بأن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رُئیَ ظِلّالرأس أو رأس الظلّ فهو لثلاثِ لیالٍ، وعدّ خمسة أیّام من أوّل هلال رمضان منالسنة الماضیة وجعل الخامس منها أوّل رمضان المشکوک مستهلّه، وغیرها ممّااستند إلیها واعتمد علیها فی إثبات الهلال المشکوک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أفاد الاطمئنان والوثوق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لا طریق له إلیه إلّا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سیأتی فی المسألة الثامنة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حکمهما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حکمهما فی ذلک حکم مَن غمّت علیه الشهور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هلال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هلال لم یثبت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هلال لم یثبت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هذین الأمرین یدلّان علی کون الیوم الأوّل من الشهر الّذی کان مشکوکاًکان من رمضان، ویجب قضاوه إن ترک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 معتقداً بأهلیّته للحکم، وأنّ حکمه حکم الله، ولا یبعد لزوم تنفیذه علیهبعد ثبوته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 القول باعتباره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اعتقد بأهلیّته للحکم فی هذا الأمر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اعتقاده بأنّه أهل للحکم، وأنّ حکمه حکم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یری اعتبار الحکم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عدم أهلیّة الحاکم من حیث العلم أو العمل، أو کلیهما، نعوذ بالله تعالی ممّایُسخِطه ویمنع برکات السماء والأرض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ما مرّ خطأ المستند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 هذا الشرط نظر،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الکفایة وعدمها اتّحاد البلدَین فی الاُفق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کفی أیضاً، إلّا أن یعلم اختلاف اُفُقِهما علی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ثبوت الهلال للبلد المشکوک فیه برؤیته فی بلادٍ وافَقَ طولهطوله، وکذا لو کان بلد الرؤیة شرقیّاً بالنسبة إلی مورد 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الکفایة فی البلدان التی تشترک فی اللیل ولو فی مقدار، ومنهیظهرالحال فی المسألة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ما حقّقه صاحب المستند؛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الّذی لا محیص عنه عندالخبیر کفایة الرؤیة فی أحد البلدین للبلد الآخر مطلقاً، سواء کان البلدانمتقاربَین أو متباعِدَین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فراجع تراه حقّاً متیناً، وذکرنا ما یتعلّقبالمسألة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کفی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الکفایة مطلقاً، لکن لا یُترک الاحتیاط فی المتقدّم اُفقاً عن البلد المرئِیّفیها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کان بلد الرؤیة شرقیاً بالنسبة إلی البلد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ارتفاع اُفُقه عن بلد الرویة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التوافق فی الطول وفی المقام تفصیل لا یلیق بالحاشیة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تقدّم اُفُق بلد الرؤیة، والأظهر کفایة الثبوت مطلقاً، لکنّ الاحتیاط لا ینبغیترکه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علم بأنّ غیبوبة الهلال فی اُفُق بلده بعد غیبوبة الهلال فی بلد الرؤیة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یفید توافق الاُفُق فی جمیع الفصول والأزمنة، بل فیه تفصیل لا یسعهالمقام، وقد بُیِّن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ارتفاع اُفُقه بالنسبة إلی بلد الرؤیة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کون اُفُق بلد الرؤیة شرقاً بالنسبة إلی البلد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رُئِیَ فی البلاد الشرقیة، أو کان اختلاف الاُفُق یسیراً لایتعدّی عن نصفساعة تقریباً، بل القول بالکفایة مطلقاً هو الأظهر، وبه یظهر الحال فی المسألةاللاحقة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کون الرؤیة الفعلیة فی البلد الأوّل ملازماً للرؤیة فی البلد الثانی لولاالمانع من سحاب أو غیم أو جبل أو نحو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کون بلد الرؤیة شرقیّاً بالنسبة إلی بلده، بل لو کان غربیّاً فی ما إذا کانالزمان الفاصل بین رؤیة الهلال وغروبه أزید من مقتضی اختلاف البلَدَین بحسبالدرجة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وکذاالإذاعة ونحوهامن المخترعات من وسائل الأخبار والإعلام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الاطمئنان بکون رؤیته قابلة فی بلده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کان بلد الرؤیة متقدّماً، بل مطلقاً، علی ما تقدّم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الإشکال فی هذه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الکلام حول الفروع المذکورة فی فصل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بنحو الجزم، وإلّا فلا بأس به رجاءً؛ لعدم اندراجه فی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ونیّته،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أیضاً تفصیله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منّا صحّة صومه لو نوی رمضان، وإن کان الاحتیاط لا یُترک فی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إطلاقه لما إذا لم یحکم بصحّة الصوم ـ کما إذا أفطر قبل التبیّن ـ مبنیّ علیالاحتیاط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ولابدّ من قضاء الیوم بعد تجدید النیّة قبل الزوال وإتمام الصوم، 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لو صام بنیّة أنّه من شعبان أجزأ عنه مع تجدید النیّة، سواء تبیّن قبلالزوال أم بعده، کما تقدّم ذلک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والتفصیل کما أنّه لو صام بنیّة الشعبان یحسب من رمضان ولولم یلتفت أصلاً، أو عدل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صام یوم الشکّ فی أنّه من شعبان أو رمضان بنیّة أنّه من شعبان أجزأ عنه،سواء تبیّن قبل الزوال أو بعده، أم لم یتبیّن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ناویاً للصوم بعنوان أنّه من شعبان، وإلّا فلا قضاء علیه لو جدّدالنیّة ولو بعد الزوال، کما تقدّم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فیه مع عدم الإفطار بالجمع بین الإمساک بقصد القربةالمطلقة والقضاء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 تمام الشهور لو غمّت بأسرها خلاف العلم الإجمالی الحاصل من التجربةوالحسّ وضبط حرکات النیّرین بالحساب الدقیق ورعایة الکبائس؛ لوجودالشهور الناقصة بینها، فلا مسرح لِعَدّ الکلّ تامّاً، کما لا مَساغَ لِعَدّ الکلّ ناقصاً، فلایُترک الاحتیاط فی موارد 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إلحاقه بالأسیر لا یخلو من تأمّل، فلا یُترک الاحتیاط فی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لهما بالجدّ فی التحرّی وتحصیل الاحتمال الأقوی حسبالإمکان، ولا یبعد أن تکون القرعة ـ فی ما إذا أوجبت قوّة الاحتمال ـ منوسائل التحرّی فی المرتبة المتأخّرة عن غیرها، ومع تساوی الاحتمالات یختارشهراً فیصومه، ویجب علیه ـ علی أیّ تقدیر ـ أن یحفظ الشهر الّذی یصومه؛لیتسنّی له من بعده العلم بتطابقه مع شهر رمضان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التخیّر المزبور لولا قیام الإجماع علیه نظر، فمع العلم بأوّل الشهر ولو فیضمن عدد محصور یجب غیر ما یحتمل کونه أحد العیدین إلی أن ینتهی إلیالحرج، ومع عدم العلم المزبور ینتهی الأمر فی کلّ یوم إلی الدوران بینالمحذورین، فیخرج المورد من موضوع الاحتیاط بالمرّة، فلا محیص فی ظرفعدم سقوط التکلیف جزماً حتّی ظاهراً إلّا من الرجوع إلی القرعة؛ لأنّها لکلّأمرٍ مشکل،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هو التحرّی بمثل القرعة واختیار ما أصابته، بل الأوجه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الأقوی فی ما إذا ظنّ، إلّا إذا انقلب ظنّه فیعمل علی طبق الثانی، ویجبعلی الأحوط مع التخییر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فی صورة انقلاب الظنّ فالحجّة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التفصیل المستفاد من النصّ مخصوص بصورة الظنّ، ولا وجه لإجرائه فیمختاره، بل یلزم فی مورده العمل علی طبق القاعدة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سبق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مرّت علیه سنون کذلک وبان سبق ما صامه أوّلاً ألغاه، وکان کلّ لاحقٍقضاءً للسابق، فیقضی الأخیر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الأحوط، والمدار علی الیقین بعدم التقدّم، فیأتی بالصوم بقصد ما فیالذمّة من الأداء أو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بل الظاهر عدم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الأقرب عدم سقوط الأداء عمّن لم یظنّ، فیجب علیه أن یتخیّر شهراً ویصومه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والأحوط عدم تأخیر الصوم إلی زمان یعلم بسبقه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یتوقّف علی عدم کون العلم الإجمالی منجّزاً فی التدریجیات، نعم، علی القولبعدم کون العلم الإجمالی منجّزاً إلّا فی الجملة لا یجب الاحتیاط التام، لکنّ هذاعلی خلاف مسلکهم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حتّی یتیقّن بعدم التقدّم علی رمضان، فیصوم ناویاً ما فی ذمّته من الأداء أوالقضاء، بل وجوب ذلک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التأخیر عن زمانٍ یعلم بکونه رمضان أو متأخّراً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یتیقّن بعدم التقدّم علی رمضان، فیأتی به بقصد ما فی ذمّته من الأداءأو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یتیقّن بعدم التقدّم علی رمضان، فیصوم ناویاً ما فی ذمّته من الأداء أوالقضاء، بل هذا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یتیقّن عدم تقدّمه علی شهر رمضان، فینوی ما فی ذمّته، والأحوطاختیار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التیقّن بعدم التقدّم علی رمضان، فیصوم بقصد ما فی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الاکتفاء بشهرٍ یحتمل تقدّمه عن شهر رمضان، کما أنّ الأحوطعدم التأخیر عن زمان یعلم بکونه شهر رمضان أو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أن لا یصوم حتّی یعلم بعدم التقدّم، فیصوم حینئذٍ ناویاً لِما فیالذمّة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نعم، لا بأس بانتظار الزمان الّذی یتیقّن عدم تقدّم شهر رمضانعلیه، فیصوم مردّداً بین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نعم، الأحوط انتظار الزمان الّذی یتیقّن عدم تقدّم شهر رمضانعلیه، فیصوم مردوداً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المدار علی الیقین بعدم التقدّم علی رمضان، فیصوم ناویاً ما فی ذمّته منالأداء أو القضاء، ولا یُترک الاحتیاط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حتّی یتیقّن أنّه حال أو سابق، فیصوم بنیّة التکلیف الفعلی من الأداءوالقضاء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هو الآن، فیصوم بقصد الأعمّ من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یحصل له العلم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کان سابقاً، أو هو الآن، فیصوم بقصد ما فیالذمّة، سواء کان أداءً أم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نعم، إذا أمکن له تضییق دائرة الاحتمال، کما إذا علم یقیناً أنّ زماناً   معیّناً من السنة لا یسبق شهر رمضان،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یکون هو شهر رمضان، أو بعده،فالأحوط إن لم یکن الأقوی انتظار ذلک الوقت، فیصوم مردّداً بین الأداءوالقضاء، بل هو الأحوط إذا ظنّ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یتیقّن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هذا الشهر، أو کان سابقاً، فیصوم بنیّة التکلیف الفعلیّالأعمّ من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یتیقّن بعدم التقدّم علی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یتیقّن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هو الآن، أو کان سابقاً، فیأتی به بقصد الأعمّ من الأداءوالقضاء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إذ لا یُستفاد من النصّ الإطلاق فی التنزیل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لاقتضاء حجّیّة ظنّه إیّاه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فی المتابعة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فی الکفّارة ومتابعة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ما لم یلزم الحرج، ووجهه ظاهر بملاحظة العلم الإجمالی وحکممنجّزیّته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إلّا أن یکون حرجیّاً، فیصوم آخر شهر یحتمل کونه رمضاناً بقصد مافی الذمّة، وکذا فی الشهر المنذور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ولا یجری فیه حکم الأسیر والمحبوس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یبعد، فلا یُترک الاحتیاط، بل الظاهر جریان حکم صوم المنذور المشتبهبین شهرین أو ثلاثة من الجمع مع عدم الحرج، وتأخیر الصوم إلی الشهر الأخیرمع الشکّ، واختیار ما اطمئنّ به من الشهور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بعید یشبه القیاس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خصوصاً فی التخییر فی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یتمکّن من صوم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العمل بالظنّ، وأمّا فی التخییر فمشکل، وطریق التخلّص فی النذر هوالسفر فی الشهر الأول، وصیام الشهر الثانی بنیّة ما فی الذمّة؛ لما مرّ من جوازالسفر فی النذر المعیّن والقضاء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مع عدم الظنّ یختار الشهر الأخیر، ویصوم بقصد ما فی الذمّة من الأداءوالقضاء، وکذا فی الفرع التالی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القدماء مَن أفتی بالاحتیال الشرعیّ فی حقّه بلزوم السفر فی الشهرالأوّل، وصوم الثانی بقصد ما فی الذمّة مع القربة المطلقة، ثمّ القضاء بعده، وفیجوازه ثمّ فی لزومه تأمّل، إلّا بناءً علی جواز السفر فی النذر المعیّن، وقد مرّالکلام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جواز الاکتفاء بصوم الشهر الأخیر بقصد الأعمّ من الأداء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الأحوط، وقد مرّ منّا جواز السفر فی المنذور المعیّن اختیاراً، فلهالتهرّب من الاحتیاط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إشکال، فالأحوط التجزّی فی الاحتیاط مع الإمکان مع إدخالالمظنون فیه، ومع عدم إمکانه العمل بالظنّ، وإلّا فیختار الأخیر فیصوم بقصد مافی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فی ما إذا لم یمکن التخلّص بالسفر فی النذر کما مرّ، أو کانالصوم واجباً علیه بالعهد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 العمل، إلّا فی صورة الاطمئنان وعدمه، فعلیه الاحتیاطالناقص بقدر ما أمکن، ولم یستلزم أیضاً إحدی المحاذیر من الحرج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الاطمئنانیّ إن أمکن، وبغیره إن لم یمکن، ومع عدم الظنّ یصوم الشهر الأخیرمردّداً بین الأداء والقضاء، وکذا الحکم فی الفرض السابق إذا لزم الحرج منالاحتیاط فی اشتباه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اعتبار بالظنّ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یحتاط بما یتیسر له، ویسقط ما یستلزم الحرج، وهو المتأخر زماناً فیالغالب، نعم، إذا کان هو الأقوی احتمالاً من غیره صامه، وترک ما یوجب کونصومه حرجیّاً علیه وإن کان متقدّماً زماناً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یختار الأخیر حینئذٍ، فیصوم بقصد ما فی الذمّة من الأداء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تأخیره إلی الشهر الأخیر، فیأتی به بقصد الأعمّ من الأداء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حینئذٍ تعیّن الأخیر، فیصومه ناویاً ما فی ذمّته من الأداء أو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تأخیره إلی الأخیر، فیأتی بقصد ما فی 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یختار المحتمل الأخیر، فیصوم مردّداً بین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إن لم یکن أقوی التأخیر حتّی یصوم بقصد ما فی 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الاختیار للأخیر وقصد ما فی الذمّة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یختار الشهر المتأخّر ویصومه بقصد ما فی الذمّة، ولا ینوی الأداءوالقضاء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یختار الأخیر، فیصوم بقصد ما فی الذمّة، سواء کان أداءً أم 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تعیّن التأخیر، فیصوم بقصد ما فی 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لزوم الاحتیاط بصوم الشهر الأخیر بقصد ما فی الذمّة کما کانیذهب إلیه بعض أساتیذنا 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یحتاط بما مرّ فی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اختیار الأخیر، والصوم بقصد ما فی 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تأخیره إلی الشهر الأخیر، فیقصد به الأعمّ من الأداء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السفر فی غیر الشهر الأخیر، والصیام فیه بقصد الأعمّ من الأداءوالقضاء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خروج هذا الفرض وأشباهه من الممتنعات العادیّة عن موضوعاتالأحکام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إباحة الرواح إلی مثله والمقام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سقوط الصوم عنه، وأمّا الصلاة ففی کلّ أربعةٍ وعشرین ساعةً یصلّیالصلوات الخمس؛ للعلم بعدم سقوطها بالمرّة وإن کان ذلک مقتضی القواعد کمافی الصوم؛ لعدم موضوعه وهو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مجرّد فرضٍ لا واقعیة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وجود محلٍّ کذلک فی بسیط الأرض، لا فی بلاد أرض تسعینولا فی غیرها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صلوح هذه الأمکنة للسکنی، وأدلّة الأحکام لا تشملها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أن یختار الأخیر ویصومه بقصد ما هو تکلیفه الفعلیّ من الأداءوالقضاء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بعید غایته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علیه، والأحسن أن یأخذ طریق الاحتیاط؛ فإنّه سبیل النجاة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له فی الصلاة ملاحظة أقرب الأماکن الّتی لها لیل ونهار فی کل أربعٍوعشرین ساعة، فیصلّی الخمس علی حسب أوقاتها بنیّة القربة المطلقة، وأمّا فیالصوم فیجب علیه الانتقال إلی بلدٍ یتمکّن فیه من 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فی شهر رمضان،أو من بعده، وإن لم یتمکّن من ذلک فعلیه الفدیة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کان فی بلدٍ له فی کلّ أربعٍوعشرین ساعةً لیلٌ ونهارٌ ـ ولو کان نهاره ثلاثاً وعشرین ساعة ولیله ساعةً أوالعکس ـ فحکم الصلاة یدور مدار الأوقات الخاصّة فیه، وأمّا صوم شهر رمضانفیجب علیه أداؤه مع التمکّن منه، ویسقط مع عدم التمکّن، فإن تمکّن من قضائهوجب، وإلّا فعلیه الفدیة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مشکل جدّاً، ولا یبعد وجوب الهجرة إلی بلادٍ یتمکّن فیها من الصلاةوالصیام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لا شاهد له، ولَنِعمَ ما أفاده بعض الأساطین من أنّه لایبعد القولبوجوب الهجرة الی بلادٍ یتمکّن فیها من الصلاة والصیام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والأولی جعل المدار آفاقَ مکّة المکرّمة والمدینة المنوّرة زادهما الله تعالیشرفاً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نشأ احتمال السقوط من الأخذ بإطلاق الأدلّة المقیّدة؛ بتقریب أنّها تشملصورة عدم إمکان تحقّق القید طبعاً، ویستلزم ذلک سقوط المطلقات فی صورةعدم وجود القید، إلّا أنّ الأقوی عدم تمامیّة هذا الوجه، ولزوم الأخذ بإطلاقالمطلقات، وحصر التقیید بمورد الوجود الطبعیّ للقید؛ لانصراف المقیّدات إلیهذه الصورة، لاسیّما علی المختار من تعدّد مراتب المطلوبیّة فی المطلقاتوالمقیّدات الشرعیّة واجبة أم مستحبّة، وعلی هذا تبقی مطلقات وجوب الصوموالصلاة بالنسبة إلی ساکِنِی تلک الأماکن علی حالها من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بالنسبةإلی أصل الوجوب، وأمّا مقدار الواجب عدداً فیستفاد من الروایات أنّ الصلاة فیکلّ یوم ولیلة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الدورة الفلکیّة بحسب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صلوات، وأنّ الصوم فی کلّسنة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واحد، وأمّا کون المدار فی صومه وصلاته علی البلدانالمتعارفة کما فی المتن فلأنّه القدر المتیقّن من حیث الامتداد الزمانی، حیثیعلم أنّ الاکتفاء فی الإمساک بساعةٍ أو ساعتین مثلاً کوجوب الإمساک ثلاثاًوعشرین ساعة لم یجعلا فی حقّ هؤلاء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المحتملات فی المقام لزوم المهاجرة علیه من ذلک المحلّ إلی البلدانالمتعارفة، وفیه تأمّل واضح، ویتلوه فی الضعف جعل الظهر فی حقّه غایة ارتفاعالشمس فی ذلک المحلّ، وانتصاف اللیل غایة انخفاضها فیه، کما ذهب إلیهالمحقّق المولی مظفّر الجنابذی فی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عیّن وقت الصوموالإفطار علی ذلک المیزان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لیس ببعید، بل الأرجح سقوط الصوم، وأمّا الصلاة فبما أنّ مِن دلوکالشمس إلی غسق اللیل یجب أربع صلوات، والدلوک هو زوال الشمس من دائرةنصف النهار، وهی الخطّ المارّ علی الرأس من طرف الشمال إلی الجنوب أوبالعکس، فإذا کان مسکن المکلَّف فی غیر القُطبَین وحوالیهما وقام مستقبلاًللجنوب یعلم بزوال الشمس مرّةً فی کلِّ أربعٍ وعشرین ساعةً عن الخطّ المارّعلی رأسه، وهذا وقت معیّن فی الواقع، فیمکن أن یقال بوجوب الصلاة علیه فیهذا الوقت فی کلّ أربعٍ وعشرین ساعة، ولا بدّ فی تعیین هذا الوقت من الرجوعإلی البلدان الّتی تکون محاذیةً له، وتعیین وقت باقی الصلوات من هذه البلدانأیضاً، ویحتمل التخییر فی تعیین بلدة منها للرجوع إلیها، فلو رجع إلی الأقربمن تلک البلدان یکون کافیاً، وإن کان ما ذکرنا لایخلو من مناقشة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الاحتمال الثانی من التفصیل بین الصوم والصلاة؛ لوجود الوقت فیهادون الصوم؛ لعدم قدرته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أقرب إلی العمل بالأدلّة، وإن کان الفرض خارجاً عنموضوعها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أقرب الاحتمالات، ولا یبعد أن یکون وقت الظهرَین هو انتصاف النهارفی ذاک المحلّ، وهو عند غایة ارتفاع الشمس فی أرض التسعین، کما أنّانتصاف اللیل عند غایة انخفاضها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الاحتمال لا بعد فیه، بل 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ویحتمل إجراء حکم أقرب الأماکن علیه ممّا کان له یوم ولیلة، ولم یکنأحدهما قصیراً بحیث ینصرف عنه الأحکام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أسوء هذا الاحتمال؛ حیث إنّه هدف للمناقشات من جهاتٍ 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إجراء حکم أقرب الأماکن علیه، ولکن لا دلیل علی هذهالاحتمالات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المدار علی نظر الفقیه المأنوس بمذاقالفقه وسائر الجهات، وهو مختلف باختلاف الموارد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یحتمل ذلک، ولا وجه لهذا الاحتمال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قضائه علیه لا یخلو من قوّة،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الأحوط للناوی للصوم قبل البلوغ الإتمام بعده، وإن أفطر فالقضاء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وجوب الصوم علی مَن نوی الصوم ندباً ومَن بلغ قبل الزوال ولمیتناول شیئاً لا یخلو من قوّة، فیتبعه وجوب القضاء لو أفطرا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الأقوی أنّه لو بلغ قبل الزوال ولم یتناول المفطِر وجب الصوم، فلوأفطر یجب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تابع للأداء، والتفصیل فی شرائط وجوب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الحکم هنا ممّا تقدّم فی وجوب الأداء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ما إذا تحقّق شرط الوجوب من البلوغ والعقل والإسلام قبل الزوال ولمیتناول المفطِر، وقلنا بوجوب نیّة الصوم علیه، لا مجرّد الإمساک، فلو خالففعلیه القضاء، وإنّما الکلام فی الإجزاء، وقد مرّ سابقاً بأنّ الحکم بالإجزاء فیغیر مورد النصّ لا یخلو من الإشکال، والأحوط مع ذلک القضاء وإن لم یخالفونوی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أصبح بنیّة الصوم فبلغ قبل الزوال ولم یُتمّ الصوم ـ علی ما مرّ سابقاً ـفإنّ الأوجه وجوب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لو بلغ فی أثناء النهار قبل الزوال ولم یأتِ بمفطِرٍ یجب علیه الإتمام،ولو عصی ولم یُتِمّ یجب علیه القضاء، خصوصاً فی ما إذا نوی قبل الفجر ندباًفبلغ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لا یبعد وجوب القضاء إذا ما أفطر قبل البلوغ تبعاً للأداء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إذا صام وبلغ یجب علیه إتمامه وإن بلغ بعد الزوال، وإن لم یأتِبالمفطِر وبلغ قبل الزوال وجب علیه الصوم من آن البلوغ؛ وذلک لشمولالمطلقات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علی ما قوّیناه من وجوب الصوم علی مَن نوی الصوم ندباً ومَن بلغقبل الزوال والمتناول شیئاً وجوب القضاء لو 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أوّل فصل شرائط وجوب الصوم أنّ الصبیّ إذا بلغ بعد الفجر وکانناویاً للصوم ندباً فعلیه أن یتمّ صومه علی الأحوط وإن لم یُتِمّه فعلیه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وجوب الصوم علی مَن نوی الصوم ندباً ثمّ بلغ فی أثناء النهارلایخلو من قوّة، فإذا أفطر ولم یتمّ الصوم فوجوب القضاء علیه أیضاً لایخلو منقوّة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ناویاً للصوم فأفطر بعد البلوغ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لو بلغ قبل الزوال ولم یتناول المفطِر، وکذا المجنون والمُغمَیعلیه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ما لو أفطر مع بلوغه قبل الزوال، وإمکان تجدید نیّة الصوم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للاحتیاط إذا صام الیوم الّذی بلغ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یتعلّق به فی الأوّل والثانی من شرائط وجوب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هذا الاحتیاط ما إذا بلغ قبل تناول المفطِر وترک تجدید النیّة، وإتمامصوم ذلک الیوم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مع عدم تناول المفطِر الإتمام، ومع عدمه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ینوِ ولم یُمسِکْ، وإلّا لو نوی وأمسک فلا وجه للاحتیاط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اعتبار باستصحاب عدم الطلوع 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الأقرب عدم وجوبه، سواء جهل تاریخهما أم علم تاریخ 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عدم وجوبه، واستصحاب عدم طلوع الفجر إلی زمان البلوغمثبت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تأمّلٍ مع الالتفات إلی حصوله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التفاته إلی حصول الجنون به، وإلّا فلا یُترک الاحتیاط بالقضاء،خصوصاً إذا کان للفِرار من التکلیف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یلتفت بأنّه یؤدّی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الأولی القضاء إذا کان ملتفتاً حین الفعل إلی طرؤ الجنون بسببه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عند طلوع الفجر، وإلّا فلو اُغمِیَ علیه فی أثناء النهار فأفاق ولم یتمّ الصومکان الأحوط أن یقضیه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المغمی علیه فی بعض النهار مع سبق النیّة یجب علیه الإتمام،والقضاء تابع للأداء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فی أوّل فصل شرائط صحّة الصوم أنّ المغمی علیه إذا أفاق فی نهارهوقد سبقت منه نیّة الصوم فعلیه أن یتمّ صومه، وإن لم تسبق منه النیّة جدّدها إذاکانت إفاقته قبل الزوال وأتمّ الصوم، وإذا لم یُتِمَّ صومه وجب علیه القضاء فی کلاالفرضین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الاحتیاط فی المغمی علیه فی بعض فروضه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إمساک یوم الإسلام فلزومه مبنیّ علی کون الکافر مکلّفاً بالفروع، کما أنّهمکلّف بالاُصول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ما هو المعروف من تکلیف الکفّار بالفروع یجب علیه الإمساک فیما بقی من النهار علی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بالصیام فی هذا الفرض، وبقضائه مع الترک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هذه الصورة نیّة الصوم وإتمامه، وإن لم یفعل فالأحوط القضاء،ولا معنی لکون القضاء الأحوط علیه، ولا یکون الإتمام علیه کذلک، کما هوظاهر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الأحوط لزوماً للکافر إذا أسلم فی نهار شهر رمضان ولم یأتِ بمفطِرٍ أنیمسک بقیّة یومه بقصد ما فی الذمّة، وأن یقضیه إن لم یفعل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فی ما لو أسلم قبل الزوال ولم یأتِ بالمفطِر وجوب الصوم، ومععدمه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الراجح إمساکه فی بقیّة النهار تأدّباً، ولکن لا قضاء علیه علی أیّحال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لِمَن أسلم قبل الزوال ولم یأتِ بالمفطر الإتمام، وإن لم یُتمّفالقضاء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لهذا الاحتیاط إذا کان أتی بالمفطِر قبل إسلامه، نعم، إذا لم یأتِ به قبلهوأسلم قبل الزوال فالأحوط له تجدید النیّة والصوم، وإن خالف فالقضاء، 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یَصُمْ ولم یکن تناول المفطِر قبل إسلامه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یأتِ بالمفطِر قبل إسلامه وترک تجدید النیّة وإتمام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للاحتیاط إذا صام الیوم الّذی أسلم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یَصُم یوم إسلامه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الإفطار قبله الأحوط النیّة والصوم، ومع عدمه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التفصیل بین الإتیان بالمفطِر قبل أن أسلم، وبین عدم تناول شیء حتّیأسلم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یأتِ بالمفطِر قبل الإسلام ولم یصم، أمّا لو أتی بالمفطِر قبل الإسلاموصام فلا یبقی مورد لهذا الاحتیاط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یتناول المفطِر وأسلم قبل الزوال وجب علیه الصوم وإلّا أمسک وقضاهاحتیاطاً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یَصُم وقد کان لم یأت بالمفطِر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یتناول المفطِر قبل الإسلام ولم یجدّد النیّة بعد الإسلام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غیر متناول للمفطِر ولم یَصُم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لو سبق منه النیّة وأتمّ الصوم، وعلی الأقوی فی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القضاء یختصّ بمورد عدم سبق النیّة، وأمّا مع سبقها فیمکن أن یقالبالصحّة، فلا وجه لوجوب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مذهبنا إذا جاء به علی وجه العبادة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علی وفق الواقع وما هو وظیفته الفعلیّة، مع الإتیان بقصد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وفق مذهبنا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مذهب الحقّ إذا تحقّق منه قصد 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مذهبنا لو کان مقروناً بقصد القربة، کما إذا أتی به رجاءً لدرک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ما أتی به علی وفق المذهب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مذهبنا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مذهبنا مع تمشّی قصد القربة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إلی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محمّد تقی الخونساری، کاشف الغطاء، جمال الدینالگلپایگانی، الإصطهباناتی، عبدالهادی الشیرازی، الحکیم، الشاهرودی، الرفیعی، الفانی،المرعشی، الآملی، الأراکی، حسن القمّی، الروحانی،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الزوال علی الأحوط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یفوت وقت النیّة بالزوال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الزوال،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إلی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الشریعتمداری،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إلی بعد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فوات وقت النیّة وهو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الزوال؛ لأنّ تجدید النیّة علی القول به یکون قبل الزوال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الزوال، والاحتیاط فی ما إذا انتبه بعد الفجر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الزوال، وإن کان الأحوط له الإتمام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فی القضاء استمرار النوم إلی الزوال، وقد مرّ الاحتیاط فی الإتمام ثمّالقضاء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الزوال، وإذا انتبه قبل الزوال جدّد النیّة وأتمّ الصوم وقضاه، کما مرّ فینظائره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وإلی الزوال أیضاً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استمرّ إلی الزوال فالأحوط الجمع بین الإتمام والقضاء، وکذا الحالفی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سلف منّا فی کتاب الصلاة ما یعلم منه حکم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تفصیله، وأنّه فی بعض الصور محلّ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علم بعددها تفصیلاً ثمّ نسیها فوجوب تحصیل العلم بالبراءة هو الأقوی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علمه السابق بها أصلاً، أمّا لو علم بعددها تفصیلاً ثمّ نسیها فوجوب مایوجب الاطمئنان بفراغ ذمّته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عالماً من قبل بعددها تفصیلاً ثمّ نسیها، وإلّا فالأحوط لو لم یکنأقوی وجوب الإتیان بمقدارٍ یوجب الاطمئنان بالفراغ، کما مرّ فی نظیره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یعلم سابقاً عدد ما فات، وإلّا فلا یکتفی بالأقلّ، ویأتی بالأکثر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ما لم یکن الشخص الشاکّ عالماً سابقاً بعدد الفوائت تفصیلاً ثمّ طرأالنسیان فنسیها، وإلّا فالأقوی الإتیان بمقدارٍ یحصل القطع أو الاطمئنان بفراغالذمّة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مهدی الشیرازی، 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خصوصاً إذا علم بعددها سابقاً ثمّ نسیه، وإن کان الأقوی عدم وجوبمراعاة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وکأنّه لأصالة استمرار المانع، وهو کما تری من الوَهن بمکان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بإتیان الأکثر فی هذه الصورة، کما أنّه یجب الاحتیاطبإتیان الأکثر فی ما إذا علم سابقاً بعدد ما فات ونسی فی ما بعد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بل الأقوی فی هذه الصورة وجوب الأکثر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یکون الشکّ فی زوال المانع وبقائه بعد العلم بزمان حدوثه، وأمّا لو کانالشکّ فی زمان حدوثه فلا مسرح لهذا الاحتمال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أن کان معلوماً حینه، والاحتیاط فی هذه الصورة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إمکانه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ولو بأن یطلق ؛ حیث أنّه ینصرف إلی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فی مرحلة امتثال الأمر وقصده، نعم، یکفی التعیین فی الجملة ولوارتکازاً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المرعشی، الآملی،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الخمینی، 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من الماتن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دلیل علی حرمة التأخیر، کما هو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یکن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وفی ما یلیه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الانصراف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الانصراف ضعیفة، ثمّ الثمرة تظهر فی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وقد مرّ لزوم التعیین فی ما کانا مختلفَی الآثار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مرتکز قصده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للانصراف، وتظهر الثمرة فی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مشکل، والأحوط لزوم التعیین فی النیّة فی ما لم یکونا متّحِدَین فیالأثر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النظر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اختصاص اللاحق بأثر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عدم صحّة صوم نذر التطوّع لمن علیه 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وجه النظر فیه، وأنّه لا بأس بإتیانها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فیه، وقد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غیر قضاء شهر رمضان،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مخصوص بقضاء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 غیر قضاء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أنّ القول بالجواز فی غیر قضاء رمضان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منع إطلاقه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یقع مندوباً، کما یُعلم ممّا مرّ فی التعلیق علی المسألة الاُولی من فصلالنیّة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بعد الزوال نیّة الصوم المندوب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المفروضات، وأمّا بالنسبة إلی المندوب فیجوز العدول إلیها ما لم یتحقّقالغروب، فیجدّد النیّة لها قبله وتصحّ بلا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له نیّة الصوم المندوب حینئذٍ، وهو لیس من العدول فی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العدول إلی النافلة وبعض أقسام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إلی المندوب جائز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اُخذ فیه عنوان قصدیّ کصوم الکفّارة، وأمّا الصوم المندوب فیجوزالعدول إلیه، بل یقع منه بلا حاجة إلی العدول وتجدید النیّة، کما یُعلم ممّا مرّ، ولافرق فی ما ذکر بین ما قبل الزوال وما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نیّة الصوم الواجب زمان تبیّن فراغ الذمّة عن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الواجب الغیر المعیّن، أو المعیّن فی صورتَی النسیان والجهل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الواجب غیر المعیّن، وأمّا فی الواجب المعیّن کما إذا کان ناسیاً فالأحوطتجدید النیّة له وإتمام الصوم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عبدالله الشیرازی، محمّد رضا الگلپایگانی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ویجب قضاء ما فاته لسفر ومات فیه أو بعده قبل أن یتمکّن من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ثبوت الاستحباب الشرعیّ نظر؛ لعدم وفاء دلیلٍ به، نعم، لا بأس بإتیانهرجاءً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استحبابها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النیابة عنه بعنوان القضاء غیر مشروعة، ولا بأس بقصد الإهداء، أی إهداءثواب الصوم المطلق، أو بعنوان القضاء الاحتیاطی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الاستحباب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استحباب النیابة بعنوان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تُستحبّ النیابة بعنوان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فالأحوط أن یکون بقصد إهداء الثواب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تأمّل، نعم، لا بأس بقصد إهداء الثواب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نیابة فی ما لم یشرع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الحکم بالاستحباب إشکال، وما جعله الأولی هو المختار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للنیابة فی الأداء بعد عدم وجوبه وعدم وجوب القضاء أیضاً، کما أنّهلو کان المراد هی النیابة فی أداء القضاء ـ أی فعله ـ لا مجال له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النیابة غیر ثابت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تُستحبّ النیابة بعنوان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الأولویّة غیر معلومة بعد صحّة النیابة عنه ولو بملاحظة الأداء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ویقصد فی أصل النیابة الرجاء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یصوم لنفسه ویهدی ثوابه، والظاهر أنّ هذا هو المستحبّ دون النیابة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مستحبّ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علیه الفدیة بمدّ لکلّ یوم، والقضاء وکفّارة إفطار 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یستحبّ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المستمرّ إلی رمضان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فیها وفی الصورتین بعدها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فیه وفی الصورتین التالیتین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هذه الصورة، وفی الصورتین اللاحقتین بعدها، ولاسیّماالأخیرة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فیه وفی ما بعده من الصورتین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وکذا فی الصورتین الأخیرتین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وکذلک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لا یخلو من قوّة، وکذا الصورتان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هذه الصورة وما یلیها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بالجمع فیه وفی ما بعده من الصورتین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فی هذه الصورة سقوط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الجمع فی جمیع صور استمرار العذر مطلقاً، سواء کان عذر الفواتوعذر التأخیر واحداً أم مختلفاً، وهکذا عذر التأخیر کان أمراً واحداً مستمرّاً أواُمور مختلفة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مراعاة الاحتیاط فی جمیع الصور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ترک الاحتیاط فی جمیع صور المسألة، إلّا الصورة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کما ذُکر فی الفرع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تقی القمّی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الفدیة هنا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علیه الفدیة بمدٍّ لکلّ یوم، والقضاء وکفّارة إفطار 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کفّارة الإفطار عن عمدٍ فی خصوص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هنا عدم وجوب الفدیة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لکلّ یوم، مضافاً إلی الکفّارة للإفطار العمدی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کفّارة التأخیر المعبّر عنها بالفدیة، وثبوتها حینئذٍ مبنیّ علی الاحتیاط،نعم، لا إشکال فی ثبوت کفّارة الإفطار العمدی لو فرض کون الفوت مع الإفطار،علی تفصیلٍ تقدّم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إلی کفّارة الإفطار العمدی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وجوب الفدیة فی هذه الصورة، نعم، هو أحوط، بل لا یُترک هذاالاحتیاط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إطلاق الحکم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فیه عدم وجوب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والجمع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لا یبعد الجمع فی هذه الصورة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یبعد الجمع، کما فی صورة العزم علی الترک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عدم کفایة القضاء، ولزوم الاحتیاط بالجمع بین القضاء والکفّارة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بل لا یبعد وجوب الفدیة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والأظهر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الأمرین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کفایته محلّ إشکال، ولا سیّما إذا لم یکن له عذر عُرفیّ فی التأخیر، بللایبعد وجوب الکفّارة علیه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لزومه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مهدی الشیرازی، المرعشی، محمّد رضا الگلپایگانی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مع الاحتیاط بالتکفیر،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الإشکال فی کفایته فی الصور المشار إلیها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عرفت لزوم الاحتیاط بالجمع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أنّ الجمع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أنّه لا یُترک فی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لرمضان الثالث إذا استمرّ المرض إلی آخر رمضان ثمّ بَرِئ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کفّارة التهاون والتأخیر، وإن کانت کفّارة الاستمرار بعدد ما بین رمضانینففی کلّ رمضانین بینهما مرض متّصل 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الإذن منه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اشتراط الإذن من السیّد فی هذا الفرض تأمّل، وکذلک الحال فی کفّارةالإفطار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اشتراط الإذن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اعتبار إذن السیّد فی أداء الواجبات التعیِینیّة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اشتراط الإذن من السیّد فی هذا الفرض وکذا فی کفّارة الإفطار إشکال،بل لا یبعد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إذنه غیر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لم یأذن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تتعیّن علیه الصدقة بما یطیق إذا عجز عن کفّارة شهر رمضان، ویتعیّن صومثمانیة عشر یوماً فی غیرها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ما فصّل فی الحرّ،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وإن تمکّن من التصدّق بمقدار فالأحوط تقدّم الصدقة بما یطیقمع الاستغفار علی الصوم،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اختیار التصدّق وضمّ الاستغفار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تمکّن من التصدّق الأحوط لزوماً اختیاره وضمّ الاستغفار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عدم بدلیّته عن الخصال الثلاث عند العجز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أنّه مع العجز عن ثمانیة عشر یأتی بالممکن منها، ولو عجز استغفر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عند التمکّن من بعض ثمانیة عشر یوماً الجمع بینه وبین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عدم جوازه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زین الدین،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لظاهر بعض الأخبار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السبزواری،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حرمة التأخیر من قوله فی معتبر الفضل بن شاذان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لتضییعه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کمایستفاد منه ومن سائر الروایات أنّ جعل کفّارة المدّ لاُمور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للفدیة عن خصوصیّة الشهر الفائتة بالعذر، کما فی الحامل المقرِبة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للفدیة عن أصل الصوم الفائت لعذر فی السنة، کما فی المرض المستمرّ إلیرمضان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للفدیة عن التأخیر عن سنة الوجوب لا عن عذر، کما فیالمتوانی الّذی بَرِئ بین رمضانین فالأقوی حرمة التأخیر للتنویع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یمکن أن یستفاد من مجموع أدلّة الباب، فالأقوی عدم جواز التأخیر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منع، فالحرمة لا تخلو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کاشفیّة الکفّارة عن حرمته، ولکنّ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الحرمة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والظاهر عدم جواز التأخیر وحرمته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یُستفاد من عبائر النصوص کالتعبیر بالتهاون والتضییع والتوانیوأخبار الصحّة بین رمضانین اهتمام الشارع به، فالإغماض عن هذه کلّها معتذراًبعدم الدلیل یحتاج إلی قوّة قلب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یوجب الفتوی، وأمّا الاحتیاط فلا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وفی کفایة التصدّق بدلاً عن القضاء بمدٍّ من الطعام عن کلّ یومـ ولو من ترکة المیّت فی ما إذا رَضِیَت الورثة بذلک ـ قول لا یخلو من وجه،ومنه یظهر الحال فی التفریعات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قوّة التعمیم لموجبات الفوات، إلّا أن یکون ترکه عمداً علی وجه الطغیانوالعصیان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عدم الفرق بین أسباب الترک، إلّا ما هو علی وجه الطغیان؛ فإنّه لا یبعدفیه عدم الوجوب وإن کان الأحوط ذلک، بل 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علی الأحوط، کما مرّ فی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التعمیم فیه وفی 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خصوصاً لو لم یکن علی وجه الطغیان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للتجرّی علی مولاه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هو التعمیم لموجبات الفوات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القضاء فی الترک عمداً،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ما ترکه عمداً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سابقاً أنّ الأقوی هو التعمیم لموجب الفوت، سواء کان هو العذر منمرض أو سفر أو نحوهما، أم کان هو العصیان والطغیان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الترک العمدی والتقصیر فی أخذ المسائل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الإصطهباناتی، عبدالله الشیرازی، المرعشی،الآملی، السبزواری، الأراکی، 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کما مرّ فی باب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الحکیم،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وجوباً، إلّا فی ما ترکه عالماً عامداً، وفیه الاحتیاط 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البجنوردی، الخوئی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الحیض أو النفاس بناءً علی تعمیم الحکم بالنسبة إلی الاُمّ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الحیض والنفاس، أمّا ما فات لسفر فیجب قضاؤه مطلقاً، 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الفرق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الاُمّ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حسن القمّی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 الوجوب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 إشکال، ولقد مرّ وجه الإشکال فیه،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بالنسبة إلیها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وجوب ما فات من الاُمّ علی ولیّها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اختصاص الحکم بالأب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الحکم فی الاُمّ إنّما هو بنحو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ولا قوّة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الاختصاص بالأب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فی الاُمّ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الأقوی تأمّل، نعم،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یختصّ المیّت بالأب من الرجال علی الأقوی، ولا یختصّ بالرجال علیالأحوط، بل یشمل الاُمّ وغیرها من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وجوب القضاء عن الاُمّ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تقی القمّی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بالتصدّق عن کلّ یومٍ بمدٍّ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المستفاد من بعض النصوص أنّ المراد بالولیّ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بمیراثه، فلا یُترکالاحتیاط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فی قضاء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أنّه الأولی بمیراثه ما عدا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هو أولی بمیراثه من الذکور، وإذا تعدّدوا فالولیّ أکبرهم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المراد به أولی الناس بمیراثه من الرجال، فیجب مع فقد الولد الأکبر الّذیهو أولی من غیره علی غیره من الورّاث فیقضی عنه أکبر أولیائه من أهله، وإن لمیکن فلیس علی النساء شیء، وبه یظهر الحال فی المسألة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وفی ما بعده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وجوبه علی الذکور من الورثة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مع کونه وارثاً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وأحوط منه قضاء الأکبر من الذکور، ثمّ الإناث فی کلّ طبقة، بل لا یُترک هذاالاحتیاط، کما مرّ فی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مطلق الأولی بمیراثه، وقد مرّ أنّ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ذلک إذا کان یرثه،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ترتیب طبقات الإرث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کأن یکونا مثلاً من اُمَّینِ ولدا فی ساعة واحدة، أو توأمین من اُمٍّ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کون الوجوب علی نحو الوجوب الکفائی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أنّه یجب علی الجمیع کفایة، ولهم الاشتراک بالحصص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الوجوب علی النحو الکفائی، کما تقدّم فی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وجوبه علیهما علی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یحتمل کونه علی نحو الوجوب الکفائی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أنّه علی نحو الوجوب الکفائی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شکّ فی إتیانه، نعم، لو علم أنّه قام بالعمل وشکّ فی الصحّة حمل علیالصحّة وسقط عن 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إذا شکّ فی إتیانه، نعم، إذا علم أنّ المؤجَر قام بالعمل وشکّ فی صحّةعمله حمله علی الصحّة وسقط عن 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الوجوب وجه قویّ،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یلزم الاحتیاط 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سقوطه عنه بمجرّد الإیصاء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بمجرّد الإیصاء علی 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ببرکة أصالة الصحّة فی فعله، کما أشرنا إلیه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بالحمل علی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ببرکة أصالة الصحّة عند الشکّ فیها،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الإتیان یکون وجوبه علی کلٍّ من الولیّ والوصیّ کفائیاً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الوصیّة نافذة فلا شیء علی الولیّ مطلقاً علی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بمعونة أصالة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فیه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حصل الوثوق من إقراره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أثر لإقراره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واطمئنّ الولیّ به وإلّا، فالأحوط القضاء عنه، بل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إلّا إذا حصل الاطمئنان من إقراره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ثبوت وجوب القضاء علی الولیّ بإقراره إشکال، بل منع، إلّا إذا کان مقیّداًللاطمئنان فإنّه عندئذٍ یثبت وجوب القضاء علی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الإقرار الّذی لم یطمئنّ الولیّ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ثقةً غیر متّهم،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نفوذ إقراره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غیر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فی إثباته بالاستصحاب فی المقام أیضاً،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الوجوب مطلقاً، کما مرّ فی قضاء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الوجوب بالاستصحاب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مظنّة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القول بالوجوب من جهة الاستصحاب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وجوبه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ماإذاکان الظاهرمن حاله الإتیان،وإلّافالأقوی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فی البین ظاهر حال أو مقال یصحّ الاعتماد علیه، وإلّا فلا یُترکالاحتیاط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الوجوب علی الأقوی فی بعض الصور، وعلی الأحوط فی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بل الظاهر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الوجوب، ولا وجه للإشکال فی الاستصحاب؛ فإنّ له بالنسبة إلیالولیّ أثراً شرعیّاً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هو الوجوب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هو الوجوب علیه، وأمّا الإحراز للمیّت فی حال حیاتهبالاستصحاب أو بمحرزٍ آخر فلا أثر له للولیّ، بل المناط إحراز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الوجوب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الوجوب فیه، بل 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هو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غیر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ولا یُترک الاحتیاط بالقضاء حتّی یحصل العلم أو الاطمئنانبالفراغ، وذلک واضح بعد علم الولیّ باشتغال ذمّة المیّت سابقاً وشکّه فی تأدیةالمیّت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مدخلیّة لجریان الاستصحاب أو قاعدة الاشتغال فی وجوب القضاءبالنسبة إلی 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 فی الوجوب علی الولیّ قیام الحجّة عنده علی فوات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إلّا إذا کان الولیّ أیضاً شاکّاً فی إتیانه حال حیاته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الوجوب ما لم تقم الحجّة عند 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عدم وجوبه علیه، إلّا أن یکون هو علی یقین من ثبوته علی المیّتفشکّ فی إتیانه،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جریان الأصل وثبوت الحجّة علی اشتغال الذمّة عند الولیّ دونالمیّت، کما یأتی منه ؛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 وفی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منالوصیّة بالحجّ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ما کان بذمّة المیّت من صوم الاستئجار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الأظهر هو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 ما بعده تأمّل، والاحتیاط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عبدالله الشیرازی، الآملی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وکذا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اللنکرانی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الصوم الواجب بعنوانه، لا بعنوان آخر خارج عنه،کالنذر والإجارة ونحوهما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تقی القمّی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الآملی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والمنصور،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الماتن لم یتعرّض فی المقام لجملة من الخصوصیات المذکورة فی محالّها،فلابدّ من ملاحظة التفاصیل والعمل علی طبقها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السبزواری،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زین الدین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العتق، وصیام شهرین، وإطعام ستّین مسکیناً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الأحوط الجمع، والأقوی التخییر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الإفطار علی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فی الثانی،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تفصیل الکفّارات المرتبطة بالحجّ فی کتابه، إن شاء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تفصیل ذلک کلّه فی محلّه، إن شاء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والتفصیل فی کتاب الحجّ، وکذا فی العجز عن الشاة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الصوم فی کفّارة الصید، کما أنّه مترتّب علی العجز عن البدنة والبقرةوالشاة مترتّب علی العجز عن إطعام ستّین مسکیناً فی صید النعامة، وثلاثینمسکیناً فی صید البقرة، وعشرة مساکین فی صید الغزال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العجز عن البُدنة یفضّ ثمنها علی البُرّ وغیره ویطعم به ستّین مسکیناًلکلّ مسکین مُدّ علی الأقوی، ومدّان علی الأحوط إذا وسعت قیمة البدنة لذلک،وإذا نقصت القیمة عن العدد لم یجب إتمامه، وإذا زادت عنه لم تجب الصدقةبالزائد، فإن عجز عن الصدقة صام علی الأحوط بمقدار ما بلغت الصدقة عن کلّمسکین یوماً، سواء بلغت ستّین مسکیناً أم أقلّ، فإن عجز عن ذلک صام ثمانیةعشر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عیناً وقیمةً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یصرف ثمنها فی إطعام ستّین مسکیناً مُدّاً، والأحوط مُدّان،فإن نقص ما علیه شیء، وإن زاد له، ومع العجز صام ثمانیة 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مع العجز عنها یصرف قیمتها فی إطعام المساکین، لکلّ مسکین مُدّوالأحوط مُدّان، فإن زاد علی ستّین فالزائد له، وإن نقص فلیس علیه الإکمال،فإن عجز عن ذلک صام مکان کلّ مسکینٍ یوماً، فإن عجز صام ثمانیة عشریوماً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کفّارة النعامة والبقر والوحش والغزال والإفاضة من العرفات قبلالغروب مع العجز عنها التصدّق بثمنها فی الإطعام علی التفصیل الّذی ذکر فیمحلّه، ومع العجز عنه یصوم بالتفصیل الّذی ذکر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العجز عنها عیناً وقیمةً، وکذا فی العجز عن ذبح البقرة والشاة،والتفصیل فی کتاب الحجّ فی کفّارة الصید حال الإحرام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 البدنة یُطعم ستّین مسکیناً، فإن زاد عن قیمة البدنة اکتفی فیالإطعام بمقدار قیمتها، ومع العجز عنه فالأحوط صیام ستّین یوماً أو بعددالمساکین، وإن عجز صیام ثمانیة 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نَفَضَ ثمنها علی الطعام، وأطعم ستّین مسکیناً لکلّ مسکینمُدّ، والأحوط مُدّان، ولا یجب إتمام ما نقص، ولا ما زاد، ومع العجز عنه صامستّین یوماً، وإن عجز صام ثمانیة 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العجز عنها یصرف قیمته فی البُرّ ویُطعم ستّین مسکیناً لکلّ مسکین مدّانعلی الأحوط، فإن زادت فله، وإن نقصت فلیس علیه الإتمام، والأحوط فیصورة عدم الوفاء إذا أعطی مدّین، والوفاء إذا أعطی مدّاً إعطاء مدّین بعدد الوفاءوالتتمیم من غیر قیمة البدنة لکلّ من البقیة مُدّ، وإن عجز عن القیمة یصوم ستّینیوماً علی الأحوط، ومع العجز یصوم ثمانیة عشر یوماً علی الأحوط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یفضّ ثمنها علی الطعام، ویتصدّق به علی ستّین مسکیناًلکلّ مسکین مدّ علی الأقوی، والأحوط مدّان، ولو زاد علی الستّین اقتصرعلیهم، ولو نقص لا یجب الإتمام، والاحتیاط بالمدّین إنّما هو فی ما لا یوجبالنقص عن‌الستّین، وإلّا اقتصر علی المدّ ویتمّ الستّین، ولو عجز عن التصدّق صامعلی الأحوط لکلّ مدٍّ یوماً إلی الستّین، وهو غایة کفّارته، ولو عجز صام ثمانیةعشر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عجز عن عین البدنة یفضّ ثمن البدنة علی البُرّ والطعام، ویطعم ستّینمسکیناً، لکلِّ مسکینٍ مُدّ، والمُدّان أحوط، وما زاد عن ستّین فهو له، ولا یجبعلیه ما نقص عنه، وإن عجز صام عن کلّ مُدٍّ أو مُدَّینِ یوماً، فإن لم یقدر فصیامثمانیة عشر یوماً، لکلّ عشرة مساکین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صیام ثمانیة عشر یوماً بعد العجز عن البدنة، وبعد العجز عن التصدّق بقیمتهابأن یشتری البُرّ ویعطی ستّین مسکیناً علی التفصیل المذکور فی محلّه، وکذلکالصوم فی کفّارة صید البقر الوحشی وکفّارة صید الغزال بعد العجز عن البقرة،والعجز عن التصدّق بثمنها فی الأوّل، وبعد العجز عن الشاة والتصدّق بثمنها فیالثانی، علی التفصیل المذکور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العجز عنها وعن إطعام ستّین مسکیناً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الصوم فی صید النعامة مترتّب علی العجز عن البدنة وعن إطعامالسِتّین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مع العجز یفضّ ثمنها علی الطعام، وأطعم ستّین مسکیناً، لکلّ مسکین مُدّأو مُدّان، ولا یجب ما زاد، ولا إتمام ما نقص، ومع العجز صام عن کلّ مُدٍّ أومُدّین یوماً، ومع العجز عنه صام ثمانیة 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 البدنة تُقوَّم ویفضّ ثمنها علی البُرّ، لکلّ مسکین مُدّان، ولایجب ما زاد عن ستّین، ولا إتمام ما نقص، ومع العجز یصوم لکلّ مدّین یوماً،ومع العجز عنه یصوم ثمانیة عشر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قصور؛ فإنّه لا إشکال فی عدم تعیّن الصیام بمجرّد العجز عنالأنعام الثلاثة، بل هنا أمر آخر وهو الإطعام، والمختار أنّ وجوب الصیام مترتّبعلی العجز عنه أیضاً، وتفصیل ذلک مذکور فی رسالة مناسک الحجّ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العجز عن البقرة یفضّ ثمنها علی البُرّ وغیره، ویطعم ثلاثین مسکیناً علیالنهج المتقدّم، فإن عجز صام علی الأحوط بمقدار ما بلغت الصدقة أیّاماً کذلک،سواء بلغت ثلاثین یوماً أم أقلّ، فإن عجز صام تسعة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عجز عنها یفضّ ثمنها علی الطعام، ویتصدّق به علی ثلاثین مسکیناً، لکلّواحد مدّ علی الأقوی، والأحوط مدّان، وإن زاد فله، وإن نقص لیس علیهالإتمام، ولا یحتاط بالمُدّین مع إیجاب النقص، کما مرّ، ولو عجز عنه صام علیالأحوط عن کلّ مُدٍّ یوماً إلی الثلاثین، وهو غایة الکفّارة، ولو عجز صام تسعةأیّام، وحِمار الوحش کذلک، والأحوط أنّه کالنعامة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إطعام ثلاثین مسکیناً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یصرف ثمنها فی إطعام ثلاثین مسکیناً بالنحو المتقدّم، ومعالعجز یصوم تسعة أیّام، وفی الثالث مع العجز یصرف فی إطعام عشرة مساکین،ومع العجز یصوم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مع العجز یصرف قیمتها فی إطعام ثلاثین مسکیناً علی التفصیل السابق،وإن عجز صام ثلاثین یوماً، وإن عجز صام تسعة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العجز عنها وعن إطعام ثلاثین مسکیناً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الصوم فی صید البقر الوحشی مترتّب علی العجز عن البقرة وعنإطعام ثلاثین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العجز عنها یفضّ الثمن علی البُرّ، ویُطعم ثلاثین مسکیناً، لکلّ مسکیننصف صاع، وما زاد فهو له، وما نقص فلیس علیه إتمامه، ثمّ یصوم عن کلّنصف صاع یوماً فیصیر ثلاثین یوماً، کما فی مسألة النعامة یصیر ستّین یوماً،ومع العجز هنا عن الثلاثین یصوم تسعة أیّام، وهو مدلول صحیحة أبی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کفّارة الغزال، والعجز عن الشاة موجب لفضّ ثمنها علی البُرّ، ثمّ یصومعن کلّ مسکین یوماً، ومع العجز عنه یصوم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العجز یصرف القیمة فی البُرّ، وتصدّق به لکلّ مسکین مدّان حتّی یبلغ   ثلاثین، ومع العجز یصوم ثلاثین یوماً، ومع العجز صام تسعة أیّام علی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یفضّ ثمنها علی الطعام، وأطعم ثلاثین مسکیناً علی ما تقدّم، ومعالعجز صام عن کلّ مدّ أو مدّین یوماً، ومع العجز عنه صام تسعة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الصوم فی صید البقر الوحشی مترتّب علی العجز عن البقرة وعنإطعام ثلاثین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 البقرة تُقوَّم ویفضّ ثمنها علی البُرّ، ویتصدّق لکلّ مسکینمُدّان، ولا یجب ما زاد عن ثلاثین ولا إتمامه، وإن عجز یصوم لکلّ مدّین یوماً،وإن عجز یصوم تسعة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إطعام ستّین مسکیناً، فإن زاد عن قیمة البقرة اکتفی فیالإطعام بمقدار قیمتها، ومع العجز عنه فالأحوط صیام ثلاثین یوماً أو بعددالمساکین، وإن عجز صام تسعة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یفضّ ثمنها علی الطعام، وأطعم ثلاثین مسکیناً علیالتفصیل السابق، وإن عجز صام ثلاثین یوماً، وإن عجز صام تسعة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العجز یفضّ ثمن الشاة علی البُرّ وغیره، ویتصدّق به علی عشرة مساکینعلی نهج ما تقدّم، فإن عجز صام علی الأحوط بمقدار المساکین أیّاماً، سواءبلغت عشرة أیّام أم لا، فإن عجز صام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عجزه عنها یفضّ ثمنها علی الطعام، ویتصدّق علی عشرة مساکین لکلٍّ مُدٌّوالأحوط مُدّان، وحکم الزیادة والنقیصة ومورد الاحتیاط کما تقدّم، ولو عجزصام علی الأحوط عن کلّ مُدّ یوماً إلی عشرة أیّام غایة کفّارته، ولو عجز صامثلاثة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العجز یدفع عن قیمتها بُرّاً، وتصدّق علی عشرة مساکین، لکلّ مسکینمُدّان، وإن عجز صام عشرة أیّام، وإن عجز صام ثلاثة أیّام علی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إطعام عشرة مساکین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مع العجز عنها صرف قیمتها فی إطعام عشرة مساکین علی التفصیلالمتقدّم، وإن عجز صام عشرة، وإن عجز صام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العجز عنها وعن إطعام عشرة مساکین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نَفَضَ ثمنها علی الطعام، وأطعم عشرة مساکین علی ما تقدّم، ومع العجزصام عن کلّ مُدٍّ أو مُدّینِ یوماً، ومع العجز عنه صام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الصوم ثلاثة أیّام فی صید الغزال مترتّب علی العجز عن ذبح الشاةوعن إطعام 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 الشاة تُقوَّم ویفضّ قیمتها علی البُرّ، ویتصدّق لکلّ مسکینمُدّان، ولا یجب ما زاد عن العشرة ولا إتمامها، وإن عجز یصوم لکلّ مُدّین یوماً،وإن عجز یصوم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إطعام عشرة مساکین، ومع العجز عنه صوم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صرف ثمنها فی إطعام عشرة مساکین علی التفصیلالمتقدّم، وإن عجز صام عشرة أیّام، وإن عجز صام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یُترک الاحتیاط أن یجری فیها ما تقدّم فی کفّارة صید النعامة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وجوب الصیام بعد العجز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استحباباً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ولا یبعد عدم وجوبها، وکذا الحال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فیها وفی نتف المرأة وفی شقّ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وجوبها وکذا الحال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نتف المرأة شعرها فی المصاب، أو خدشها وجهها حتّی أدمت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وجوبها تأمّل، والأحوط التکفیر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سواء قیل بالوجوب أم الاستحباب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الأحوط أنّها ککفّارة الظهار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قویّاً کون کفّارة النذر وکفّارة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زیادة الواو، فتکون العبارة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 کفّارة النذر کفّارة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تکون کفّارته ککفّارة الظهار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کونها مثل کفّارة الظهار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 کفّارة النذر ککفّارة الیمین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علی ترک محرّم فکفّارته کفّارة شهر رمضان علی الأقوی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کفّارة 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کفّارة النذر بکفّارة الیمین لا یخلو من وجهٍ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کونها مخیّرة دون أن تکون ککفّارة الیمین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کفّارته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أنّها کفّارة 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کفّارته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أنّه تجزی فیها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کونها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وجوبها تأمّل، والأحوط التکفیر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وجوب الکفّارة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علی القول باستحبابها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والأظهر الاستحباب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عدم وجوبها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وجوبها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الضرورة، وبدونها فالأحوط تعیّن دم شاة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لضرورة، وأمّا بدونها فالأظهر أنّ کفّارته معیّنة وهی شاة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إطعام عشرة مساکین بما یشبعهم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کفّارته إن کان موسراً بدنة أو بقرة أو شاة، وإن کان معسراً فشاة أو 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هنا تفصیلاً بحسب یُسر المکفِّر أو عسره، والتفصیل محوّل إلیمحلّه وهو باب الکفّارات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تخییره ابتداءً بین البُدنة والبقرة والشاة، ومع العجز عن الاُولَیَین تخییرهبین الشاة وصیام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شاة للموسر مع العلم والعمد، وللمعسر شاة أو صیام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شاة إن کان موسراً، وإلّا فشاة أو صیام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شاة، ومع العجز عن الأوّلَیْن شاة أو صیام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بدنة أو بقرة أو شاة مع الیسر، ومع العسر عن الأوّلَین فشاة أو صیام،والأحوط ثلاثة أیّام، ولا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کفّارته إن 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کفّارته إن کان موسراً بدنة أو بقرة أو شاة، وإن کان معسراً شاة، أو صیامثلاثة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شاة إن کان موسراً، وإن کان معسراً فشاة أو صیام، والأحوط لزوماً أنیکون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التخییر ابتداءً بین البدنة والبقرة والشاة، ومع العجز عن الاُولَیَینالتخییر بین الشاة وصیام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لاوجه للثلاثة، بل یکفی یوم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وجوبه تأمّل وإشکال، نعم،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القول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وکفّارة الترتیب، کما مرّت الإشارة إلی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الترتیب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السیستانی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للوجوب، کما أنّه لا مقتضی للاحتیاط المذکور فی کلامه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وجوبه تأمّل، أحوطه ذلک، وأقربه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کفّارة الیمین للنصّ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غیرها إشکال؛ لعدم وفاءِ دلیلٍ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یثبت وجوب التتابع فیها، نعم، هو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 وکذا یجب التتابع فی الصیام الواجب فی کفّارة الیمین علیالأظهر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فیها، وإن کان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وقد تقدّم الإشکال فی أصل وجوب هذا الصوم فی کفّارةالتخییر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عدا جزاء صید النعامة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عدا صید النعامة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الخمینی،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فی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فی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بترکه فی غیر کفّارة الیمین؛ فإنّ الأقوی فیها لزوم التتابع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التتابع فی کفّارة الیمین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کفّارة الیمین، وفی عمومها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وجوبه فی غیر کفّارة الصید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وجوبه فی غیر جزاء الصید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أظهر فی کفّارة الیمین، أمّا فی غیرها فالأظهر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وجوب التتابع فی الثلاثة أیّام کفّارة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التتابع فی کفّارة الیمین، ولا یُترک الاحتیاط فی الثلاثة بدل الهدی عداما استُثنی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انصراف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إلی ما بین الهلالین، وظاهره التتابع،بخلاف ما لو نذر صوم ثلاثین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مقصود الناذر صوم ذلک القدر من الأیّام، أمّا لو قصد ما هو المنساقمن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فالظاهر وجوب التتابع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تحقّقه فی مثل الشهر والاُسبوع ونحوهما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حصل من انصراف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ما بین الهلالین، لا ثلاثین یوماً کیفاتّفق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للانصراف فی الاُمور القصدیّة التی أمرها سعة وضیقاً بید جاعلها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النذر تابع لقصد الناذر، وإن أطلق فالظاهر المنصرف إلیه التتابع، کما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إذا قصد شهراً هلالیّاً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یرجع إلی التقیید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لا یجب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لزوم التتابع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یعتبر فی الأوّل، بل الأقوی عدم اعتباره فی الثانی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الجواز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یُستثنی من ذلک صوم کفّارة القتل فی الأشهر الحُرُم؛ فإنّه یجب علی القاتلصوم شهرین من الأشهر الحرم حتّی یوم العید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کفّارة القتل فی الحرم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کان قاطعاً بالسلامة أو غافلاً عنها وعن عدمها، وأمّا لو کان شاکّاً فیهافلا یبعد البطلان،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مع الغفلة وعدم الالتفات، وأمّا مع الشکّ والتردید فلا یُترک الاحتیاط،بل الأقوی عدم الإجزاء فی مثل ما إذا کان شروعه من الیوم الآخر من رجب معاحتمال نقص شهر شعبان احتمالاً عقلائیّاً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عن غفلة، لا مع الالتفات والشکّ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غافلاً أو معتقداً سلامة الأیّام ثمّ بان له خطأ اعتقاده، ولا یصحّ إذا کانملتفتاً شاکّاً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عن غفلة، وإلّا فلا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عن غفلة، أو اعتقاد عدم اتّفاق العید، وأمّا مع الشکّ فلا یبعد القولبعدم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الغافل عن الموضوع والجاهل المرکّب القاصر دون المقصّر والمتردّد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مع التردّد والاحتمال فضلاً عن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هو الأقوی فی ما إذا کان متردّداً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عدم الإجزاء لا یخلو من قوّة مع الالتفات والشکّ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هو الأقوی لو کان شاکّاً متردّداً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إذا التفت فتردّد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سیّما فی الملتفِت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عن غفلة، لا مع الالتفات والشکّ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الأقوی مع الالتفات والشکّ عدم الإجزاء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مع الالتفات والتردّد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بل هو الأقوی إن کان یحتمل عدم السلامة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الإجزاء مع الالتفات وعدم الغفلة، ولو کان عالماً بالسلامة منجهة الجهل بالحکم تقصیراً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عدم الإجزاء فی غیر الغافل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مع الالتفات والشکّ، بل لا یُترک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بل مع الالتفات والشکّ عدم الإجزاء لایخلو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الاستثناء تأمّل، نعم، یحکم بالإجزاء فی الموردَین المتقدّمَین فی التعلیقالسابق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واستثنی مولانا شیخ الطائفة مورداً آخر، وهو کفّارة القتل فی الأشهر الحرم،قال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یجب علیه صوم شهرین من تلک الأشهر وإن دخل فیها العید وأیّامالتشریق، وروی بمضمونه روایةً 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الأقوی عدم لزومه، وکذا عدم لزوم کونه بلا فصل بعدأیّام التشریق، لکن لا ینبغی ترک الاحتیاط فی صوم یومٍ قبل الترویة ویومالترویة ویوم عرفة مع الاختیار؛ حتّی لا ینفصل بالعید، ومع الفصل لا ینبغی ترکالاحتیاط بصوم الثالث بلا 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الروحانی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نذر التتابع، لا الصوم متتابعاً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نذر التتابع، أو نحو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الشامل لصورة التمکّن من إتیانه متتابعاً نظر؛ تشکیکاً فی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الواردة فی الشهرین المتتابعین؛ من جهة عدم تعدّی الأصحاب من هذهالعلّة إلی سائر الموارد؛ لعدم التزامهم بجواز البدار لاُولِی الأعذار حتّی مع قطعهبطروء الاختیار فی الوقت،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یکون المرض والحیض والنفاس من الأعذار إذا لم یکن حدوثها بفعلالمکلّف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عروضها بالطبع وإن تمکّن من المنع عن حدوثها بعلاج، وأمّا إذا کانهو السبب فی طروئها فیحتمل وجوب الاستئناف، بل لا یخلو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السفر إشکال وإن کان اضطراریّاً، نعم، یصحّ إذا کان الاضطرار إلی السفربنحو القهر الّذی یخرج به عن کونه اختیاریّاً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والاختیاری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کون السفر من تلک الأعذار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الجمیع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وکذلک الأمر فی المرض والحیض والنفاس لم یجبالاستئناف فی الاضطراری منها دون الاختیاری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کونه قیداً للجمیع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فإنّ الزمان قابل، ولیس المکلّف فیه محبوساً، فلا یُترک الاحتیاط،وکذا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کلام تقدّم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أنّه لو نذر صوم یوم الخمیس بنحو الإطلاق، أو صوم الدهر یحسبذلک من الکفّارة، ولا یوجب التخلل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تقدیمه علی صوم الکفّارة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نذره کونه صائماً فیه، أمّا إذا کان نذر فعل الصوم کان مخلّاً بالتتابع،ووجب علیه الانتقال إلی سائر الخصال، وکذا فی نذر صوم الدهر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تعلّق النذر بصوم یوم الخمیس علی وجه الإطلاق فالظاهر أنّه لا یوجبالتخلّل،بل یحسب من الکفّارة، وبذلک یظهر الحال فی نذر صوم الدهر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انطباقه علی الکفّارة لو کان النذر غیر مُعَنوَنٍ بعنوانٍ أصلاً، وکذاالکلام فی صوم الدهر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فإنّه إن کانت الکفّارة معیّنةً فالظاهر انحلال النذر المذکور بطروءسبب وجوبها، وان کانت مخیّرة فعدم الاضرار بالتتابع بتخلّل الصوم المنذور غیرواضح، وعلی کلِّ تقدیر فمورد الکلام ما لو کان الصوم المنذور مُعَنوَناً بعنوانٍخاصّ، کما لو نذر صوم کلّ خمیس شکراً لله تعالی فلا یتحقّق التخلّل لو نذر أنیکون صائماً فیه علی نحو الإطلاق، ومنه یظهر الحال فی صوم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منافاة نذر صوم کلّ خمیس أو صوم الدهر لصوم الکفّارة تأمّل، أقربه العدمإذا وقع نذر الصوم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ما قبله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وکذا فی ما قبله، أمّا إذا تعلّق النذر بالصوم المطلق فالأقربأنّه لایوجب الإخلال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إطلاقه بالنسبة إلی ما إذا لم یکن لعروضِ عارضٍ یُعدّ عُذراً عرفاً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یکون قصد الناذر التتابع فی صوم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مع شرط أصل التتابع، کما هو المفروض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فی النذر مع شرط أصل التتابع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فی صورة قصد التتابع فی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إلحاقه وکذا ما بعده بالمقام وجه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لو اشترط أو کان المنساق ذلک فالأحوط تتابع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نذر التتابع الشرعیّ فی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 الأقوی، نعم، لو قصد الناذر من التتابع توالی جمیع الأیّام، أو کان هوالمنساق من نفس لفظه وجب الاستئناف إذا تعمّد الإفطار مطلقاً علی الأقوی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ما ذکروه أرجح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نذر الشهرین أیضاً لا یخلو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الأقوی فی ما ینصرف إلی التتابع، کما لو نذر صوم الشهر وأطلق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إذا نذر تتابع الشرعیّ فی صوم الشهر، ولو قصد تتابع جمیعالأیّام، أو کان هو المساق من لفظه، کما إذا نذر الشهر الفلانیّ ثمّ تعمّد الإفطارکان علیه الاستئناف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الأرجح ما ذکروه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الصورة المشار إلیها فی التعلیقة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یشکل کفایة المحبوبیّة فی صحّة العبادة، ووقوعها عبادة فی ما لم یقصدهاالمکلّف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النذر وشبهه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تُعقل الصحّة مع عدم الأمر والحال أنّ الصحّة تنتزع من انطباقالمأموربه علی المأتیّ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النذر وشبهه، وفی غیرهما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التعبّد بالمأمور به امتثال لأمره، وإن لم یکن قصده فی عالم الامتثال، وبعبارةٍاُخری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الوجوب والندب منوّعین للطلب، ولیس قصدهما معتبراً فی العمل،ولیس الخطأ فی سنخ الأمر موجباً لقلب الامتثال، مضافاً إلی أنّ الصحّة عبارةعن موافقة الأمر، فإذا لم یکن امتثالاً کیف یکون صحیحاً؟ إلّا إذا کان مرادهوجود الملاک فی الإمساک القربیّ الّذی أتی به وإن لم یکن صوماً شرعیّاً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ثبوت الأمر الندبیّ له؛ نظراً إلی أنّ الصوم فی نفسه مأمور به بأمر ندبیّعبادیّ، وأمّا الأمر الناشئ من قبل الکفّارة أو نحوها فهو توصّلی، فالمکلّف فیمفروض المقام إنّما لم یمتثل الأمر التوصّلی، وأمّا الأمر الندبیّ العبادیّ فقدامتثله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ذلک غیر مجدٍ فی صحّة العبادة ما لم یقصد امتثال شخص رجحانه ولوضمناً وارتکازاً، وإلّا فلو کان تمام النظر إلی امتثال شخص الأمر الوجوبیّ أوالندبیّ المعتبر فیه التتابع لا یکاد یصلح مثل هذا العمل أن یقع امتثالاً لأمرٍ آخر،وحینئذٍ فبدونه کیف یصحّ صوماً؟ فإطلاق العبارة غیر خالٍ من الإشکال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یکفی ذلک فی الصحّة،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قسّمه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الأربعة لأنّه لا مباح فیه بکلا قسمیه، أی الإباحةاللااقتضائیّة بالنسبة إلی کلٍّ من الفعل والترک، وإن شئت فَسَمِّها الإباحة القهریّةوالإباحة الاقتضائیّة، أی الّتی اقتضت الحکمة جعل متعلّقها مباحاً متساویالطرفَین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ذاتاً وبعنوان ثانوی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العبارة حزازة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نفسه، أو عمّن هو ولیّه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کون هذا وما بعده غیر الأخیر ـ أی الثالث من أیّام الاعتکاف ـ منهإشکال؛ لِمَا مرّ من أنّ المنذور لا یصیر بعنوانه واجباً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غیر مرّة أنّ الواجب فی مثل النذر هو عنوان الوفاء به، لا العنوانالمتعلّق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القول بوجوب الوفاء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یجب علی ولیِّ المیّت ممّا فات منه لعذر أو مطلقاً، علی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وجب علی ولیّ المیّت، علی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یجب علی ولیّ المیّت من قضاء ما فاته من الصوم،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وصوم ولی المیّت ما فاته، کما تقدّم فی فصل صوم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یجب علی الولیّ ممّا فات عن المیّت،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جملة ما مرّ ما یجب علی الولی من قضاء ما فات عن المیّت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أنّ أکثر السُنن لم یقم علی إثباته دلیل یعتمد علیه فالأولی الإتیان بهرجاءً أو بعنوان مطلوبیّة الصوم ذاتاً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کثرة طرقه وتعدّد نسخه،لااُجازی من باب المفاعلة،والمصنّف ؛تبع فی ذلک لصاحب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عبارة الحدیث وأنا أجزی به أو أجزی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نسخ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الصحیحة من کتب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کما فی المتن، والمعتمدالثانی ثمّ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 اُخری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أجزی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وحینئذٍ فیکون ثوابه غیر معلوم أو غیرمتناهٍ ویؤیّده ما فی بعض الأخبار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ثواب الصبر مخزون فی علم الله والصبرهو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الّذی وجدته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اُجزی به أو اُجزی علیه، کما هو الموجود فی محکیّ الحدیث دون ما فیالمتن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الصوم فی بعض الموارد المذکورة وما یأتی مبنیّ علی قاعدةالتسامح فلا یترک الاحتیاط بالإتیان بالصوم برجاء المطلوبیّة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مولانا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الجنّة فوجدت أکثر أهلهاالبُلْه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بالبُلْه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المتغافل عن الشرّ، العاقل فی الخیر، والّذین یصومونثلاثة أیّام من کلّ 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الأتقَن مستنداً، وعلیه کان عمل شیوخ الشیعة من السَلَف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یصومه بقصد القربة المطلقة، وشکراً لإظهار النبیّ الأکرم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فضیلةً عظیمةًمن فضائل مولانا أمیرالمومنین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ذکره بعض العلماء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من التنبیه ولو بنحو الإشارة إلی أمر،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النیروز المصطلح الیوم هویوم حلول الشمس فی بُرج الحَمل، وهو اصطلاح حادث، والنیروز المصطلحعلیه قبل زمانه یراد به غیر هذا، وبینهما ما یقرب من ستّة عشر یوماً؛ وعلیهفکیف یمکن حمل النیروز فی لسان الروایات علی النیروز السلطانی، فتأمّل أیّهاالناظر الکریم فی هذا الأمر وأعطِ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علی دلیله عُجالةً، نعم، وردت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صوم تاسعه، لکنّ فیاستحبابه تأمّلاً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ذکره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استحبابه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استحبابه بحث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استحباب صومها بالخصوص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استحبابه روایة،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شهر رمضان وأتبعه ستّاً فله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سیّد فلاسفة الاسلام المحقّق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للمحقّق الداماد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المحدّثین مَن صَحّفه وقرأهُ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وأتبعه سبتاً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فأفتی باستحباب صوم أوّل سبتٍ بعد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یصام رجاءً إن کان بعد ثلاثة أیّام من عید الفطر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استحبابه بالخصوص إشکال، کبعض ما 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أن یصومها لاستحباب الصوم فی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کون أحدها العید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به رجاءً أو للرجحان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عن الشیخ فی مصباحه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بأس بإظهاره الصوم کی یفطره أحد، کما نقل عن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کانیدخل الدار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صائم مَن یُفطّرنی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کان فی مستند أکثر هذه المکروهات ضعف فینبغی ترکها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بأحد الوجوه التی ذکرت فی محلّها من انطباقه علی عنوان مرجوح، أومزاحمته لأمر راجح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بمعنی المزاحمة بما هو أفضل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لملازمته لأمر مرجوح، أو مزاحمته لأمر أرجح، أو غیر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بمعنی آخر علی ما مرّ تحقیقه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بالإضافة إلی ما یزاحمه، وهو أفضل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بمعنی انطباق عنوان مرجوح علیه تکون مرجوحیّته أهمّ من رجحانالصوم، أو بمعنی المزاحمة لما هو أفضل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بمعنی المزاحم بما هو أفضل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لمزاحمة الأفضل والأنبل منه معه، أو لملازمته مع أمر مرجوح بدونانطباقه علیه، فراجع فی تحقیق المقام إلی باب النهی عن العبادات فی علمالاُصول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بالمعانی الاُخر المذکورة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بمعنی الحزازة، أو ملازمته لأمرٍ مرجوح، أو مزاحمته لأمرٍ أرجح، أو غیرذلک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فی التعلیقة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تعلیقته ـ دام ظلّه ـ فی مقدّمة کتاب الصوم من هذا الجزء،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بمعنی المزاحمة مع ما هو أرجح منه، أو بمعنی انطباق عنوان مرجوحعلیه أهمّ من رجحان الصوم، کالتبعیّة لبنیاُمیّة فی صوم عاشوراء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یستحبّ فیه الإمساک حزناً إلی العصر، لا بقصد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المیلانی،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منه صرف الإمساک فیه حزناً إلی العصر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یستحبّ الإمساک إلی العصر، لا بقصد الصوم، بل للحزن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المندوب من غیر کراهة الإمساک فیه حزناً إلی العصر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یستحبّ فیه الإمساک إلی العصر، لا بقصد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کراهة صومه بالمعانی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الکراهة فی هذا المقام لیست شرعیّة؛ إذ مع المصادفة مع الأضحی لا أمر ولامعها مأمور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صومه تطوّعاً بدون إذن مُضیِّفه، وکذا فی صوم الولد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مندوباً، وکذلک صوم الولد مع عدم إذن والده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الصوم الغیر 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 صوم التطوّع، کما هو الحال فی صوم الولد بدون إذن والده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یشمل صوم التطوّع والواجب غیر المعیّن، وعلی أیّ تقدیرٍ یَحسُنبالضیف إعلام مُضیِّفه بصومه إذا کان لولاه فی معرض الوقوع فی الحرج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المرعشی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یستحبّ الاستئذان من الوالد؛ لأنّه بِرّ وإحسان، کما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صوم التطوّع، نعم، الاحتیاط الآتی یعمّ الواجب غیر المعیّن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یلزم الاحتیاط بالترک مع نهی الوالد أو الوالدة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مع نهیه مطلقاً، أو نهی الوالدة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مع نهی أحد الأبوَین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مع النهی، وکذلک مع نهی الوالدة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المحرّم هو عنوان الإیذاء، لا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بالمعنی الأعمّ من المحظور ذاتاً أو تشریعاً، وکذا المحظور بالعرض؛ لانطباقعنوانٍ محرّمٍ علیه، أو ملازمته له اتّفاقاً، والفساد فی الشقّ الأخیر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ثبوت الحرمة الذاتیة فی بعضها نظر، أو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حرمة بعض هذا الصیام ذاتیاً نظر جدّاً؛ لعدم وفاء دلیله؛ لإمکان حملهاعلی بیان دفع توهّم المشروعیّة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حرمة بعضها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مومناً خطأً فی الأشهر الحُرُم فکفّارته صیام شهرینمتتابعین من الأشهر الحرم، فله أن یصوم شهر ذی الحجّة والمحرّم مثلاً، فصومالأضحی مشروع هنا بملاحظة رعایة التتابع، وکذا یجوز صوم أیّام التشریق إنکان بمنی، لکن بناءً علی الحرمة حتّی فی المقام علیه أن یختار شهر ذی القعدةوذی الحجّة؛ لکفایة تتابع شهرٍ ویومٍ ویترک صوم العید وأیّام التشریق إن کانبمنی، ویصوم بدلها فی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ضعف فی روایته لا سنداً ولا دلالةً؛ ولذا یجوز العمل بها، والاحتیاطیقتضی عدم صومهما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فإنّها فی بعض طرقها صحیحة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الروایة معتبرة رواها شیخ الطائفة فی التهذیب وثقة الإسلام الکلینیفی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وفروع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والمناقشة فی دلالتها ـ کما فی بعض شرّاح الحدیث ـ کالمناقشةفی سندها غیر متوجّهة، کما أنّ المناقشة فی جهة صدورها أیضاً کذلک؛ إذ لمیعلم أنّ الفتوی المشهورة من القوم زمن صدور الروایة کانت بطبق مضمونها،وهذه دقیقة فی الروایات المحمولة علی التقیّة لابدّ من إحرازها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شذوذالقائل بها ممّا یزلزل النفس فی الاعتماد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صحیحة سنداً وتامّة دلالةً، ولا مقتضی لرفع الید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 سندها ممنوع، نعم، هی مع شذوذها یمکن الخدشة فی دلالتها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قصور الدلالة وإن صحّ السند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هی ضعیفة سنداً لا دلالة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الروایة صحیحة سنداً، نعم، دلالتها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صحیحة ودلالتها تامّة، إلّا أنّ المشهور علی خلافها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هی معتبرة ببعض طرقها، ولکنّها لا تخلو من اضطرابٍ فی المتن،وغُمُوضٍ فی المراد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والمتیقّن اختصاصه بالناسک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الناسک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الناسک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الناسک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غیر الناسک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الناسک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الصیام فی الشریعة المسیحیّة والصهیونیّة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صوم فی شریعة الیهود وعند بعض فرق النصاری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أن لا یضمّ فی نیّته بعض ساعات اللیل إلی النهار وإن لم یبلغالسَحَر، کما إذا نوی أن یصوم إلی الساعة الاُولی أو الثانیة من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تطوّعاً، والاحتیاط بتوقّفه علی إذن الزوج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وکذا فی المملوک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صومها تطوّعاً، وکذا فی صوم المملوک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مندوباً، وکذلک فی صوم المملوک والولد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تطوّعاً، وکذا الحال فی صوم المملوک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یشمل صوم التطوّع والواجب غیر المعیّن، وحرمته من الشِقّ الأخیر الّذیاُشیر إلیه فی التعلیق الأسبق، وکذا الحال فی المملوک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الأحسن والأحوط الترک مع نهیه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 وکذا فی المملوک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التطوّع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جواز ترکه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الأولی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الأحسن والأحوط الترک مع نهیه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الأقوی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الأولی مع عدم المزاحمة لحقّ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یُترک الاحتیاط مع نهیهما مطلقاً،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فی الصوم المکروه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یضرّه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ضرراً بالغاً یحرم تحمّله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المنصرف من معظم روایاته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زید استحباب الإمساک تحزّناً لا بعنوان الصوم فی یوم عاشوراء لکان لهوجه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تفصیله وتفصیل تالیه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مرّ من التفصیل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 لا یبعد صحّة صومه ووجوبه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جریان ما مرّ فی المسافر من التفصیل بین ما قبل الزوال وما بعده فیالمریض والکافر والصبیّ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الأظهر وجوب أن ینوی ویصوم إذا برئ قبله ولم یتناول مفطِراً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وجه عدم ترک هذا الاحتیاط جدّاً؛ لکونه مشهوراً وإن لم یساعدهالدلیل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الاحتیاط فیه وفی الکافر وتالِیَیه،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المیلانی،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یتعلّق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أنّ هذا الاحتیاط لازم المراعاة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إذا بَرِئ قبل الزوال ولم یتناول المفطِر،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وجوبه لا یخلو من 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ما یتعلّق به وبما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یتمّ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بل الأحوط فی ما کان إسلامه قبل الزوال ولم یکن قد أتی بالمفطِر أنینوی ویصوم ذلک الیوم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تقدّم فیه وفی الصبیّ والسکران والمغمی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الکلام فیه وفی المجنون والمغمی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صورة عدم الإتیان بالمفطِر وزوال العذر قبل الزوال، وأمّا فی غیر موردالنصّ فلا محیص من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الحکم فی بیان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فیه، وکذا فی تالِیَیه فی الجملة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یتعلّق به وبما یلحقه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مرّ فیه وفی المُغمَی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الأظهر وجوب إتمام الصوم علیه إذا دخل فیه بنیّة الندب ثمّ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التفصیل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وجوب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قد نوی الصوم من الفجر، 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للصائم المدرک فی النهار الإتمام وإن لم یتمَّ فالقضاء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ینوی الصوم، أمّا إذا کان نوی الصوم ندباً فعلیه أن یتمّ صوم یومهعلی الأحوط، کما تقدّم فی أوّل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وجوب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وعلیه القضاء إنلم یُتمَّه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الاحتیاط فیه لو سبق منه النیّة بالإتمام، وإلّا فبالقضاء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أوّل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صحّة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المُغمی علیه إذا أفاق فی أثناءالنهار وقد سبقت منه نیّة الصوم فعلیه أن یُتمّ صومه، وإن لم تسبق منه 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فإنکانت إفاقته قبل الزوال جدّد النیّة وأتمّ الصوم، وإن کانت إفاقته بعد الزوال أمسکبقیّة یومه تأدیباً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الکلام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المُغمی علیه یجب علیه الإتمام إن نوی الصوم قبل الإغماء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وبقصد التعبّد بنفس اللبث أیضاً، کما 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قصد نفس اللبث بقصد التقرّب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الأقوی؛ لظهور الأدلّة فی کون الاعتکاف بعنوانه عبادة وإن اشتُرِطبشروطٍ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ولیس الاعتکاف إلّا صِرف الاحتباس فی المسجد تعبّداً، وهوواضح لمن جاس خلال الروایات وأحوال السلف فی السالف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عدم الاکتفاء بالأوّل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قصد التعبّد بنفس اللَبث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نقل عن فتوی عدّةٍ من قدماء الأصحاب وسیرتهم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ما ذکرنا فی النذر وشبهه لا یکون الاعتکاف بعنوانه واجباً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الإشکال فی أمثاله، والأمر سهل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الإتیان به رجاءً، بل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والأحوط الإتیان به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نعم، لا بأس بالنیابة عنه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نظر؛ لعدم مساعدة الدلیل علی قابلیتها حال الحیاة للاستنابة،والأصل عدم المشروعیة وإن لم یکن بأس بإتیانه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إتیانه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نعم، لا بأس بإتیانه نیابةً عن الحیّ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نعم، لا بأس بإتیانه عن الحی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ولا بأس بالنیابة برجاء المطلوبیّة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إشکال، نعم، لا بأس بإتیانه برجاء المطلوبیّة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وإشکال، ولا بأس به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والأظهر عدم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قصدإهداءالثواب لحصل المقصود وخلص من الشبه من کلّ جهة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ولابأس بها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والأحوط الإتیان به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التشبیه مناقشة واضحة بعد عدم تمامیّة الاعتکاف بکلّ صوم ولو صومقضاء شهر رمضان، وعدم تقیّد صحّته بالصوم المنسوب إلیه، کما سیأتی فیالمسألة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بخلاف صلاة الطواف فإنّه لابدّ من الإتیان بها بنیّة صلاة الطواف،ولا یجزی عنها صلاة اُخری، کقضاء فریضة الصبح أو صلاة مقصورة، فکم فرقٌبین المشبّه والمشبّه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یجری فی الشرطین الأوّلَین ما تقدّم فی کتاب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أنّ شرطیّة الإیمان لیست فی عرض سائر شروط صحّة العبادة، بل هوشرط فی القبول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الإسلام فی العبادات شرط الصحّة، والإیمان شرط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نحوماذکرناه فی الصوم،وأمّا الإسلام فهو شرط فی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الإیمان فیه وإن کان له وجه وجیه ولکنّه مع ذلک بعدُ یحتاج إلیالتأمّل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شرط فی القبول، لا فی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شرطاً للصحّة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الإسلام شرط فی صحّة العبادة، وأمّا الإیمان فهو شرط القبول،وکونه شرطاً للصحّة غیر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ریب فی اعتبار الإیمان بمعنی الإسلام، أمّا اعتبار الإیمان بالمعنی الأخصّفغیر واضح، کما تقدّم فی الصوم وغیره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الکلام فیه وفی السکران والمُغمَی علیه فی کتاب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تأمّل إذا سبقت منه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التأمّل لو سبقت منه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إذا سبقت منه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مقدّمیّة لامتثال شخص الأمر إشکال، قد مرّ فی نظائره کراراً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فی القیود ولو عرضاً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توقّف تطبیق ما فی الذمّة علیه، کالواجب بالإیجار ونحوه دونالواجب بالنذر، فإنّه إذا کان بشرط لا عن غیره من الواجبات یکفی فیه عدمقصد الغیر، وإن کان لا بشرط عنه ینطبق علی المأتیّ به وإن قصد الغیر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الاختلاف فی القیود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فی الأثر، کما إذا کان أحد الاعتکافات منذوراً والثانی واجباً بالیمینأو بالإجارة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یکفی حصوله بتمامه، بداعی 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الاعتکاف المنذور، ولکنّ التحقیق أنّه یکفی الندب وفاءً للنذر ویصیرالندب عنواناً ووجهاً للفعل، لا الوجوب العارضی من ناحیة النذر، وبه قوامالامتثال وعبادیّته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ینوی الندب ونیّة الوجوب بنحو داعی الداعی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المنذور وشبهه لا یصیر الوجوب وجهاً له، فلا معنی لقصده، بل یقصدالمندوب وفاءً لنذره أو عهده أو إجارته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بل ینوی الندب ونیّة الوجوب بنحو داعی الداعی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الأمر الخاصّ المتوجّه بالعمل المخصوص کفی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تعلّق الوجوب بعنوان الاعتکاف، وقد مرّ أنّه ممنوع، وعلیهفمقتضی القاعدة ـ بناءً علی اعتبار قصد الوجه ـ هی نیّة الاستحباب، کصلاةاللیل إذا تعلّق النذر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لأنّ الوجوب المذکور لا ینافی الندب فی مقام الداعویّة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التعلیل مناقشة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التعلیل محلّ نظر، والظاهر کفایة نیّة الوجوب فی الثالث، کما أنّ الأقوی کفایةنیّة کلٍّ من الوجوب والندب فی الواجب بالعرض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نظیر الحجّ المندوب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ویمکن دعوی أنّ المستفاد من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فسخه بلا شرط حرام، وذلک لایقتضی وجوب صومه إلّا عرضاً، لا حقیقة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إن أراد نیّة الوجه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وجوباً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فی نیّة الصوم ما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نیّة الصوم ما هو الأظهر، والإشکال الآتی 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کشهر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أقربه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لاإشکال فیه مع بقاء النیّة ارتکازاً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فیه بعد کون النیّة عبارةً عن الداعی القربی القابل للاستمرار إلیحامل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استمرار العزم علی مقتضاها إلی طلوع الفجر، کما مرّ فی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مع بقائها ولو إجمالاً إلی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تقدیم النیّة إذا نوی أنّه سیکون معتکفاً عند أوّل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طلوعالفجر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وجوباً تجدید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کشهر رمضان، وقد مرّ حکمه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أنّه لا یضرّ مع حصول نیّة 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التعلیق، وإلّا فمرجع تقیید الأمر إلی توصیفه، ولا ضیر فیتخلّفه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یضرَّ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مراراً الفرق بینهما والثمرة المترتّبة علیهما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أنّه لا أثر للتقیید فی أمثال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کان علی وجه التقیید إن حصل قصد القربة فی الجملة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أثر للتقیید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مراراً أنّه لا أثر للتقیید فی أمثال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یضرّ حتّی فی هذه الصورة، کما مرّ فی نظائر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صحّة الصوم المندوب من المسافر،وعلیهذایصحّ منه‌الاعتکاف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الفانی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أن یفرّع عدم الصحّة منهماعلی لزوم اللَبث فی المسجد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لصورة انقطاع دمه فی اللیلة الاُولی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لا یجوز لهما نفس الاعتکاف، وهو اللَبث فی المساجد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خروجهما لأجل عدم صحّة اللَبث منهما، فلا تصل النوبة إلی عدم صحّةصومهما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لا یجوز لهما نفس اللَبث فی المسجد ذاتاً وبقصد التعبّد تشریعاً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یتحصّل لی المراد من هذه العبارة بنحوٍ سالمٍ عن الإشکال،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من عدم الفصل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الصحّة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الإشکال، بل المنع؛ إذ الظاهر عدم صحّة الاعتکاف مع الفصل فیالأیّام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والأحوط أن یأتی بالبقیّة رجاءً، أو یجدّد النیّة للاعتکاف الجدیدمقروناً بالشرائط المقرّرة له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إلّا أنّ کون ما بعد العید جزءاً لما قبله محلّ إشکال، والأحوط الإتیان بهرجاءً، أو إنشاء اعتکاف جدید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یبعد فی الاعتکاف الواحد، ویصحّ فی المتعدّد مع اجتماع الشرائط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بعید، إلّا إذا کان ما بعد العید اعتکافاً مستقلّاً جامعاً للشرائط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لاعتبار التوالی فی الاعتکاف، إلّا أن یکون بعد العید اعتکافاً آخرمع شرائط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الفصل بالعید لایکون المجموع اعتکافاً واحداً، نعم، یصحّ ما ذکره إن کانما بعدالعیداعتکافاً آخر، فیعتبر فیه ما یعتبر فی کلّ اعتکاف من الشروط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یصحّ أن یکون ما بعد العید جزءاً لما قبله، بل یکون اعتکافاً مستقلّاً، فیعتبرفیه أن لا یکون أقلّ من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بالعِید فی الاعتکاف الواحد مذهب للشرط، مثل الفصل به أو بغیرهفیما إذا کان من قصده الاعتکاف بالحدّ الأقلّ وهو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بالعید یمنع عن کون الطرفین اعتکافاً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یکون ما بعد العیداعتکافاً آخر إذا کان جامعاً لشرائطه الّتی منها النیّة المستقلّة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منع ویکون الباقی اعتکافاً ثانیاً إذا جمع الشرائط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صحّة الاعتکاف الواحد مع الفصل بین أیّامه محلّ نظر، نعم، یصحّ أن یکون مابعد العید اعتکافاً آخر بشروطه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صحّة الاعتکاف الواحد مع الفصل بین أیّامه، نعم، یصحّ ما ذکره،علی أن یکون لبثه بعد العید اعتکافاً آخر، لا متمّماً لما قبله، فحینئذ یعتبر فیهمقارنة النیّة لأوّله، وعدم کونه أقلَّ من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الفصل بینها ینافی وحدة الاعتکاف بما أنّه عبادة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أیّام الاعتکافَین، وإلّا فی الاعتکاف الواحد لا یجوز الفصل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صحّة الاعتکاف الواحد مع الفصل بین أیّامه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الفصل بالعید لا یکون المجموع اعتکافاً واحداً، فله اعتکاف آخر ثلاثةأیّام أو أزید بعد العید بشروطه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بین أیّام اعتکافٍ واحدٍ محلّ إشکال، إلّا أن یکون بعد العید اعتکافاًمستقلّاً فیعتبر فیه أن لا یکون أقلّ من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ویعتبر ما بعد العید اعتکافاً مستقلّاً، فلابدّ وأن لا یکون أقلّ من ثلاثة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قصد الزائد کذلک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تردّد، وکذا فی الازدیاد ببعض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بعضهم هو الأحوط لو لم یکن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الأحوط لو لم یکن 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نعم، لا إشکال فی وجوب الیوم السادس إذا اعتکف خمسةأیّام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ما ذکره البعض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کما لا یخفی علی من راجع نصوص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أقربه ما ذکره بعضهم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تأمّل فیه إن شاء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لایخلو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التأمّل تأمّل، وما ذکره البعض هو الأحوط لو لم یکن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أحوط،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الیوم الصومیّ فیجری فیه ما تقدّم فی تحدیده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التعبیر مسامحة،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انتهاء الیوم الّذی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التعبیر مسامحة وینتهی الیوم بانتهاء زمان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وتحدیده بغروب الشمس هنا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ذهابها عن قمّة الرأس، علی ما تقدّم فی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إلی ما ینتهی به زمان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والأظهر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لو لم یکن أقوی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أقربه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صدر الدین الصدر،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الکفایة 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کفایتها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عدم کفایتها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الکفایة؛ لأنّ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الرابع بالخیار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الإمام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إلی جعل الیومالرابع متعلّقاً للخیار بجعله أوّل الثلاثة الاُخر وذلک لشمول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ثلاثة أیّاماُخر للیوم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فلا یمکن الأخذ بإطلاق الخیار بالنسبة إلی أبعاض الیومالرابع بجعله ظرفاً للخیار علی نحو الاستغراق أبعاضاً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بل الأقوی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اللنکرانی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زین الدین، 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یبعد عدم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جوازه فی کلّ مسجد تتعبّد فیه جماعة لإطلاق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لمیکن جامع البلد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تنعقد به الجماعة الصحیحة، والأحوط کونه مسجد البلد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یصلّی فیه 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کلّ مسجد تنعقد فیه الجماعة، والأحوط کونه فی مسجد البلد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المساجد الأربعة محلّ إشکال، فلا یُترک الاحتیاط بإتیانه رجاءً فیغیرها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وأن یکون الجامع ممّا تنعقد فیه الجماعة الصحیحة، وهذا الشرطفی غیر المساجد الأربعة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صلّی فیه إمام عدل بصلاة 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اختصّ بإمامته غیر العادل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صلّی فیها المعصوم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فی فرض کون مکثه جائزاً صحّة اعتکافه وصومه إذا لم یکن منافیاًلحقّ المولی، کما مرّ، ولا یتوقّف علی إذنه له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یفهم منه الفسخ من قبله فإنّه مسلّط علی فسخ مهایاته، وبعده لا یقدرالعبد علی 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یفهم منه الفسخ من 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بل منع إذا لم یکن منافیاً لحقّه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الاعتکاف منافیاً لحقّه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منافیاً لحقّه، 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منافعه أوقات الاعتکاف ملکاً للمستأجر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منافیاً لحقّه،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استأجره بنحو ملکٍ علیه منفعة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الصحّة أقرب وإن أثم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عمل لا یجتمع مع الاعتکاف، لکنّ ذلک فی ما لایملک عمل نفسه،والأصحّ اعتکافه وکان عاصیاً بترکه لِما استُؤجِر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الإجارة بحیث ملک منفعة الاعتکاف، وإلّا فغیر معلوم، بل فی بعضفروعه معلوم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بحیث لایملک الأجیر عمل نفسه، وإلّا فمعصیته فی ترک الوفاءلایوجب بطلان الاعتکاف، غایة الأمر یکون ضدّاً للواجب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لایملک عمل نفسه أصلاً وإلّا فیقوّی الصحّة وإن عصی فی صورةالمنافاة للحقّ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منافیاً لحقّه، وإلّا فالظاهر عدم اعتبار إذنه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آجر نفسه بجمیع منافعه بأن یکون جمیع تصرّفاته للمستأجر کالعبد،وحینئذٍ فلو کان مجازاً فی نفس المکث ولم یکن اعتکافه للاکتساب یصحّ ولومن دون إذنه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بالنسبة إلی الیومَین الأوّلَین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خصوص الیومَین الأوّلَین، وأمّا فی الثالث فمحلّ تأمّل؛ لعدم إطلاقٍ فیدلیله علی وجهٍ یتکفّل لإحراز قابلیّة المحلّ، فدلیل وجوب الاعتکاف یُخرِجالمحلّ عن القابلیّة، کما هو الشأن فی وجه عدم مزاحمة حقوق الزوج لجمیعواجباته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الیومَین الأوّلَین، وإلّا ففی الیوم الثالث الواجب، نفوذ إذنه محلّ إشکال؛لعدم إطلاقٍ فی دلیله علی وجهٍ یتکفّل لإحراز قابلیة المحلّ، فدلیل وجوبالاعتکاف یُخرج المحلّ من القابلیّة، کما لا یخفی، کما هو الشأن فی وجه عدممزاحمة حقوق الزوج لجمیع واجباته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الغالب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لکن 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مطلقاً من جهة اعتبار الصوم فی الاعتکاف، وقد تقدّمالاحتیاط فیه، فإذا کان الصوم واجباً أو مندوباً مأذوناً فیه فلا مانع من الاعتکافإذا لم ینافِ حقّ الزوج، علی أنّ عدم منافاته حقّ الزوج غیر متصوّر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محلّ نظر، نعم، إذا کان مکثها فی المسجد بدون إذنه حراماً بطلاعتکافها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نعم، مع النهی والإیذاء من مخالفته فالأقوی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مع سبق النهی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مع نهی أحدهما إذا کان عن شفقة وإن لم یکن موجباًللأذیّة، کما تقدّم فی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منافاته لحقّ الزوج غیر متصوّر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کان المانع عن الحقّ من جهته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اشتراط الإذن فی الولد فی الصوم المندوب والاحتیاط فیه فی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إذن الزوج لا یعتبر فی نفس الاعتکاف إذا لم یکن منافیاً لحقّه،وأمّا أصل الخروج من البیت والتوقّف فی المسجد فجوازه مشروط بالإذن، ومععدمه فالأقوی بطلان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بالنسبة إلی الزوج والوالد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ولو فرض النهی من الزوج أو الوالدین فالأقوی بطلان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الاحتیاط من جهة اعتبار الصوم فی الاعتکاف، وعلیه فلا یُترکالاحتیاط فی ما إذا کان صوم الزوجة تطوّعاً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بالنسبة إلی الزوج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مراعاة هذا الاحتیاط جیّد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سیّما إذا استلزم الخروج من بیتها ـ کما هو الغالب ـ لا یُترک فی هذهالصورة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وخصوصاً بالنسبة إلی صوم الزوجة إن کان تطوّعاً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الإعادة إذا کان واجباً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النسیان نظر؛ لعدم دلیلٍ وافٍ لرفع شرطیّة الاستمرار الواقعی المستفاد مندلیله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النسیان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بطلان الاعتکاف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الناسی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البطلان فی الناسی، سواء کان للحکم أم للموضوع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النسیان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فی صورة النسیان غیر بعید لو لم یکن هو 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البطلان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السیستانی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لو کان الاعتکاف واجباً بنذر وشبهه، أو صام یومَین بحیث وجب علیه الیوم الثالث، وأمّا فی غیرهما فعدم البطلان لو خرج ناسیاً أو مکرَهَاً محلّإشکال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مضطرّاً أو لحاجةٍ لابدّ منها، فلا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البطلان لا یخلو من إشکال، خصوصاً فی ما إذا أطال زمان الخروجبحیث خرج عن صدق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عدم البطلان مع الخروج نسیاناً إشکال، بل لا یبعد البطلان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یبطل الاعتکاف لو طال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کغسل الجُمُعة وسائر الأغسال المندوبة إن لم یکن الاغتسال فی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قد یجب، کما لو کان زمن الاغتسال فیه مساویاً لزمن الخروج أو أقصرمنه، وإلّا لم یجز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بل یجب علیه الخروج، نعم، إذا کان فی أحد المسجدَین تَیمَّمَوخرج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فیتیمّم فوراً ویخرج من المسجدَین، وفی غیرهما یخرج بلاتیمّم، وإن تمکّن من الغسل بلا لبث علی 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ولا یجوز إلّا إذا کان زمان الغسل أقلّ من زمن الخروج فیجب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ولا یجوز للجنب فی المسجدَین مطلقاً وفی غیرهما إذا توقّف علیالمکث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إذا استلزم المکث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فی المسجدَین، ویجب علیه التیمّم والخروج للاغتسال ولا یجوزفی غیرهما مع استلزام اللبث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إذا استلزم المکث، نعم، لا بأس به فی حال الخروج إن أمکن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فی ما إذا لزم اللَبث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مع استلزامه المکث والتلویث مطلقاً، بل وفی حال الخروج أیضاًإذا استلزم زماناً أکثر من زمان الخروج بلا غسل علی الأحوط، وأمّا فی غیرالجنابة فلا بأس بالاغتسال فی المسجد إن لم یکن فیه محذور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إذا استلزم زیادة اللَبث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تمکّن من الاغتسال فی المسجد من غیر مکث، ولم یستلزم محرّماً آخرکالتلویث وجب علی الأحوط، وإلّا لم یجز مطلقاً وإن کان زمان الغسل أقلّ منزمان الخروج، هذا فی غیر المسجدین، وأمّا فیهما فإن لم یکن زمان الغسلأطول من زمان التیمّم وکذا من زمان الخروج وجب الغسل فی المسجد ما لمیستلزم محرّماً، وإلّا وجب الغسل خارجه، هذا بالإضافة إلی الاغتسال منالجنابة ونحوها، وأمّا الاغتسال للاستحاضة وکذلک الأغسال المندوبة فالأحوطالإتیان بها فی المسجد مع الإمکان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فی المسجدَین مطلقاً، وفی غیرهما مع التوقّف علی المکث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یجوز فی ما إذا لزم اللَبث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للجنب فی المسجدین مطلقاً ولا فی غیرهما إذا توقّف علیالمکث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إن کان من الجنابة، علی تفصیل تقدّم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فی ما إذا کان مستلزماً لِلَّبث المحرَّم أو تلویث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ولا یجوز فی المسجدَین للجُنُب مطلقاً وفی غیرهما إذا توقّف علیالمکث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ومکث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کونه أحوط تأمّل، بل لا یبعد عدم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لقوّة عدم صدق الحاجة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المستحاضة، بل والجنب إن لم یستلزم المکث، وإلّا یلزم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المسجدَین إن کان الخروج أبطأ من الغسل أو مساویاً له، بل لا یخلومن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إذا لزم من الغسل فی الخارج زیادة اللَبث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أحوط بالنسبة إلی غیر الجنب، وأمّا الجنب فقد تقدّم أنّه 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أقوی فی ما کان للاستحاضة، وکذلک الأغسال المندوبة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واجب إذا استلزم المکث غیر الجائز فی الخارج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قوّة إذا کان أمد الاجتیاز فی المسجدَین أطول من أمدالاغتسال، وفی غیرهما إذا لم یستلزم مکثاً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وجوبه علی المستحاضة ونحوها ممّن لا یکون مکثه فی المسجدمحرّماً إذا لم یترتّب علیه محذور من هتک أو نحوه، وأمّا بالإضافة إلی الجُنُبونحوه ممّن یکون مکثه فی المسجد محرّماً فإن لم یکن زمان غسله فیه أکثر منزمان خروجه عنه وجب علیه الغسل فیه إذا لم یستلزم محذوراً آخر من هتک أونحوه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إن کان بنحو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إلّا إذا کان زمان الاغتسال أقلّ من مدّة الخروج أو مساویاً لها، أمّافی المسجدَین فلابدّ من التیمّم، کما تقدّم تفصیله فی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یحرم علیالجنب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هذا الاحتیاط لو کان الاعتکاف فی أحد المسجدَین مسجد الحرامومسجد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إذا استلزم الغسل فی الخارج زیادة اللَبث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الجواز إذا کان الاغتسال حال المکث، نعم، الاغتسال فی حالالخروج جائز، وهو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لأنّ جمیع الآنات داخلة فی العبادة علی وجه یضرّه الارتداد، کماهو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لو لم یکن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الصوم عن الغیر فی الاعتکاف عن نفسه أو عن غیر مَن یکون صائماًعنه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محلّ تأمّل، نعم، لو اعتکف عمّن صام عنه استئجاراً فالظاهر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الصوم عن الغیر لغیر مَن له الاعتکاف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انصراف فی البَین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ذلک إذا کان الاعتکاف لنفسه، أو عن میّتٍ غیر مَن صام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الصوم عن الغیر مطلقاً ـ أجیراً کان أو ولیّاً أو متبرّعاً ـ فی الاعتکافعن غیر ذلک الغیر سواء کان لنفسه أو لغیره محلّ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إذا کان النذر مطلقاً، وأمّا فی المعیَّن فلا یجوز بعده إیجار نفسه للصوم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الاعتکاف منذوراً مطلقاً، وأمّا إذا کان منذوراً فی أیّام معیّنة ففی جوازإیجار نفسه لصوم تلک الأیّام بعد النذر تأمّل، بل منع، نعم، لا بأس به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إذا کان الاعتکاف منذوراً فی أیّام معیّنة، نعم، فی المنذور المطلقلا بأس بما فی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نذر أن یعتکف أیّاماً معیّنة لم یجز أن یؤجر نفسه لصوم تلک الأیّام بعد النذرویجوز قبله والفرق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یکن الاعتکاف واجباً فی أیّام معیّنة قبل أن یؤجِر نفسه فی خصوصتلک الأیّام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الاعتکاف منذوراً بنحو الإطلاق، وأمّا إذا کان منذوراً فی أیّام معیّنةفلا یجوز أن یؤجر نفسه لصوم تلک الأیّام، ولو فرض الجواز إذا کان الإیجارقبله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إشکال فیه، وإن کان الجواز لا یخلو من وجه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قلنا بأنّ تعلُّق النذر لا یستتبع إلّا مجرّد وجوب الوفاء به، ولا یسریالوجوب إلی العنوان المنذور، فنفس الاعتکاف أیضاً لا یصیر واجباً فضلاً عنالصوم، وإن لم نقل بذلک کما هو ظاهرهم علی خلاف ما هو التحقیق عندنا،فالظاهر صیرورة الصوم أیضاً 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فی النذر المطلق یجوز قطعالاعتکاف فی الیومَین الأوّلَین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بأس؛ إذ لو وجب الاعتکاف بالنذر فقد وجب الصوم اللازم فیه فکیفیبقی الصوم المندوب کصوم أیّام البیض مثلاً علی ندبه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وجب الاعتکاف بالنذر فقد وجب صومه أیضاً لا محالة، ولا یعقل بقاوهعلی صفة الندب علی کلّ حال، والمنذور المطلق إنّما یجوز قطعه فی الیومَینالأوّلَین؛ لعدم تعیّن زمانه، ولا یفرق فی ذلک بین أن یکون صومه تابعاً له أوواجباً مضیّقاً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وجب الاعتکاف بالنذر فقد وجب صومه أیضاً لا محالة، ولا یعقل بقاوهعلی صفة الندب علی کلّ حال، والمنذور المطلق إنّما یجوز قطعه فی الیومَینالأولَین؛ لعدم تعیّن زمانه، ولا یفرق فی ذلک بین أن یکون صومه تابعاً له أوواجباً مضیّقاً آخر، ویجوز قطعه ولو لم یجز قطع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یؤتی به بعنوانه، لا بعنوان کونه لأجل الاعتکاف، کالإتیان بصوم أیّامالبیض مثلاً بهذا العنوان، فلا یعتبر الإتیان به لأجل الاعتکاف فی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قطع النظر عن الاعتکاف، وإلّا فیحرم قطعه بعد الیومین ولو بدون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لم یجز القطع فی النذر المعیّن مطلقاً، وفی الثالث من غیره مطلقاً، کما هوواضح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حرم قطعه فی المنذور وفی الیوم الثالث من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الإشکال فیه فی المسألة الرابعة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فیه من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یقصد المنذور وما استُوجِر علیه، وإلّا فلا یبعد الإجزاء وإن کان آثماً منجهة حنث نذره، یعنی ترک الصوم لأجل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الإجزاء إذا کان المنذور مجرّد کونه صائماً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یقصد أحدهما، وأمّا إن قصد کونه عن أحدهما فلا یبعد الإجزاء، وإنحنث النذر من جهة ترک الصوم للاعتکاف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الاعتکاف المعهود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المنذور الاعتکاف الشرعی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ما إذا نذر الاعتکاف الّذی ورد فی الشرع، لا بالمعنی اللغوی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نظره إلی الاعتکاف الشرعی المصطلح، ولا وجه لبطلانه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المنذور الاعتکاف المصطلح، وإلّا فلا ضیر فی انعقاد النذر؛ إذ مطلقالصوم والمکث کلّ منهما فی المسجد راجح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قصد الاعتکاف المعهود، وإلّا فالظاهر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 کان المنذور الاعتکاف المجعول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الاعتکاف المعهود وإلّا 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لو نذر اعتکاف أربعة أیّام أو أزید واتّفق کون الرابع مثلاً عیداً فالظاهربطلان نذره، وإن کان الأحوط اعتکاف ما عدا العید من الأیّام السابقة علیه، بلوما بعده، خصوصاً إذا کان ثلاثة أیّام أو أزید، نعم، لو رجع نذره إلی اعتکافَینفاتّفق یوم الثالث عیداً یجب الاعتکاف بعد العید، أو اتّفق الرابع وجب الاعتکافقبله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بطلانه نظر؛ لإطلاق دلیله بعد تمشّی القصد منه، فیجب قضاوه لو ترکهلجهله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صائماً ذلک الیوم فیعتکف فی أثنائه ویُتِمّه ثلاثة؛ بناءً علی کفایةالتلفیق، کما 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للحکم بالبطلان علی الإطلاق، فلو أراد اعتکافه من حین القدوموکان صام فی ذلک الیوم صحّ، ووجب علیه اعتکافه وتتمیمه ثلاثة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الصحّة لا تخلو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یتمکّن من اللَبث فی المسجد واجداً للشرط، وهو الصوم حین طلوعالفجر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الصحّة فی بعض الصور غیر بعیدة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بالبطلان فی بعض صور المسألة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للبطلان مع إمکان الاحتیاط؛ لجریان العلم الإجمالی فیالتدریجیّات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للبطلان إذا کان له طریق إلی الامتثال من ناحیة إحراز یوم قدومه، أوالإتیان بالاعتکاف یوم قدومه بما له من الشرائط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نشأ من صحّة الاعتکاف ثلاثة أیّام تلفیقاً، والأحوط لِمَن نذرذلک أن یصوم یوم احتمال قدومه مقدّمةً ویعتکف من حینه، فإن قَدِمَ بین الیومیعتکف رجاءً ویُتِمّه ثلاثة أیّام تلفیقاً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الحکم بالبطلان مطلقاً إشکال، خصوصاً إذا احتمل صحّة الاعتکافالتلفیقی والتزمنا بجریان العلم الإجمالی فی التدریجیّات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 ووجب علیه الاعتکاف من الفجر إن علم قدومه أثناء النهار، وإلّااعتکف من زمان قدومه وضمّ إلیه ثلاثةَ أیّام، نعم، إذا کان من قصده الاعتکافمن الفجر بطل النذر فی هذا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لإطلاق دلیله بعد تمشّی القصد منه، فیجب قضاؤه لو ترکه لجهله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للحکم بالبطلان إذا أمکنه الاحتیاط، وإذا کان صائماً ونوی الاعتکافحین قدومه وأتمّه بثلاثةِ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وجوب الاعتکاف علیه من زمان قدومه ولو فی آخر النهار،ویضیف إلیه ثلاثةَ أیّام، نعم، لو کان قصده الاعتکاف من ساعة القدوم وإضافةیومَین فقط فهو باطل؛ إذ لا اعتکاف أقلّ من ثلاثة أیّام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 علی الأقوی، ووجب الاعتکاف من الفجر لو علم قدومه فی أثناءالنهار، ومن حین القدوم لو لم یعلم بذلک، وحینئذٍ إن صام فی ذلک الیوم یُتِمّهثلاثة أیّام، وإلّا ضمّ إلیه الثلاثة، نعم، لو قصد الاعتکاف من الفجر ولم یعلمبالقدوم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وقَدِمَ قبل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یبطل إذا علم یوم وروده ولو فی أثنائه، بل یجب أن ینوی صوم ذلکالیوم من فجره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یمکن له الاستعلام فیجب علیه، ولو نذر الاعتکاف من حین قدومه وکانذلک الیوم صائماً صحّ، ووجب علیه ضمّ ثلاثة أیّام؛ بناءً علی الإشکال فیالتلفیق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عدم کفایة التلفیق، کما اخترناه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صام فیذلک الیوم الّذی علم بالقدوم بعد طلوع فجره یصحّ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تفصیلاً أو إجمالاً، ومع عدمهما فإن أمکنه الاستعلام فالظاهر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علی الأحوط ما إذا کان له طریق إلی الاستعلام، وحینئذٍ لابدّ من الوفاءبالنذر ولو بالاحتیاط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یقصد حین النذر من الیوم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فلا إشکال حینئذٍ فی دخول اللیلةالاُولی، ومن المعلوم أنّ النذر یتبع قصد الناذر، اللهمّ إلّا أن یناقش فی صحّةالنذر کذلک، وفیه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فیه تابع لقصد الناذر، ومع الإطلاق لا یبعد عدم وجوب الإدخال وإنکان الإدخال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إذا لم تکن داخلة فی قصد الناذر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المقصود منه ثلاثین یوماً، لا ما بینَ الهِلالَین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إضافة یوم علیه بناءً علی وجوب التیمّم بالثالث عند زیادة یومَین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یجب علیه ذلک، ویضمّ إلیه یوماً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یضمّ إلیه حینئذٍ یوماً؛ بناءً علی وجوب کلّ ثالث، کما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بَرِّ نذره، وإلّا فمقدّمة لتتمیم اعتکافه یجب ضمّ یوم آخر لتتمیم الثلاثة بعدالسابع والعشرین؛ للعمومات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علی وجوب الثالث بعد الاثنین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ضمّ یوم،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ویجب إضافة یوم بناءً علی وجوبها کلّما زاد یومَین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وجب الثالث لکلّ یومَین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تأمّلٍ أحوطُه ضَمّ الناقص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لو لم یکن أقوی تتمیمه بیوم،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یجب تتمیمه بیومٍ آخر علی القول بوجوب کلّ ثالثٍ من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یضمّ إلیه یوماً بناء علی وجوب الثالث من کلّ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یجب تتمیمه بیوم آخر علی الأحوط لو لم یکن أقوی، بل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بإتمامه ثلاثین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الأحوط ضمّ یومٍ إلیه بناءً علی ما تقدّم من الاحتیاط فی الإتیان بکلّثالث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یجب تتمیمه بیومٍ آخر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یضمّ إلیه یوماً؛ بناءً علی وجوب کلّ ثالث لتتمیم الثلاثی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یجزی بین الهِلالَین فی صورة النقصان، بل یجب إتمامه بالثلاثین بناءً علیوجوب کلّ 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تتمیمه بیوم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ناحیة بَرِّ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تتمیمه بیوم آخر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ویتمّه بیوم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ضمّ یوم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الأحوط حینئذٍ ضمّ یوم آخر،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وجوبه نظر أقربه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یعتکف یوماً من نذره ثمّ یضمّ إلیه یومَین مندوبَین أو واجبَین بغیر النذر،لکنّ الأحوط الترک، وعلی فرض الجواز یجوز یومَین فیومَین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یومَین، أو بالاختلاف، فیضمّ فی کلٍّ ما یکون مکمّلاً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یومَین فیومَین، بل یضمّ إلی کلِّ یومَین یوماً ثالثاً، لکنّ هذا النحو منالتفریق فی الصورتین خلاف المنصرف إلیه من صیغة النذر وإنشائه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مبنیّ علی أحد 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علی اعتبار القصد فی الوفاء بالنذر، وإمّا أنیکون فی المنذور خصوصیة، وهی موجودة فی الیوم الأوّل دون الیومَینالآخَرَین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یومَین فیومَین، فیضمّ إلی کلّ یومَین یوماً آخر، ویجوز له التفریق بأیّ نحوٍمراعیاً لإتمام ثالثِ کلِّ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یومَین فیومَین مع إتمام کلِّ 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یتحقّق التفریق المذکور وما یشبهه إلّا أن یکون لمتعلّق النذر خصوصیةلاتنطبق إلّا علی الیوم الأوّل مثلاً، کما إذا کان المنذور الاعتکاف مع کون صومهلأجله، فصام فی الیوم الأوّل بهذا العنوان وأتی بالیومَین الأخیرَین بعنوانالإیجار وشبهه، وإلّا فلا محالة ینطبق متعلّق النذر علی مجموع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یومَین فیومَین، ویضمّ إلی کلٍّ یوماً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یومَین فیومَین، ویضمّ إلی کلٍّ منهما یوماً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أن یفرّقه بأیّ نحوٍ شاء إذا أتمّ کلّ مرّةٍ منه ثلاثة أیّام بالإضافة إلی ماینقص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ما هو المنساق مقصوداً له فی نذره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الشرط علی 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قضاء المنذور بجملته، لا خصوص ما أخلّ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قضاء المنذور بتمامه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المنذور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وحینئذٍ یُراعی التتابع لا محالة؛ لأنّ المنذور کان مشروطاًبالتتابع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قضاء المنذور بأجمعه، لا قضاء خصوص ما أخلّ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قضاء المنذور بتمامه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تمام المنذور، لا ما أخلّ بالخصوص، والظاهر أنّ التعبیر بالقضاء مسامحة؛لفرض عدم تعیّن الوقت الخاصّ فی المنذور، وتعیّن کمّیة الزمان أعمّ من تعیّنالوقت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المنذور کلّه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قضاء المنذور بتمامه، وعلیه فالأظهر اعتبار التتابع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لزوماً، ولا بأس بترک الاحتیاطَین الآتِیَین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قضاء المنذور بأجمعه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عدم وجوبه فی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الاحتیاط استحبابیّ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استحبابیّ، بل لا وجهَ له بعد بطلان الکلّ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فیه نیّته عند النذر الاعتکاف فی کلّ یومٍ من تلک الأیّام مطلقاًفالاحتیاط غیر لازم، وإن کان فیجب الابتداء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بترکه؛ لکونه بأمر جدید موسّع بإطلاق دلیله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وجوب الإتیان بالمنذور ثانیاً؛ لکونه مشروطاً بالتتابع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التعبیر بالقضاء لا یخلو من مسامحة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الشاهرودی، المرعشی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أنّه لا أثر للجعل فی تعیینه، بل ینطبق علیه قهراً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نواها لا بشرط من جهة الزیادة، وإن نواها بشرط لا بالنسبة إلیها ولابشرط بالنسبة إلی النقیصة وجب الثلاثة فقط، وأمّا إذا نواها بشرط لا بالنسبةإلی الزیادة والنقیصة بطل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یجب ذلک لو تابع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الخمینی، الخوئی، حسن القمّی، السیستانی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حسب کلّ شهر ثلاثین ما لم یعلم النقصان 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أمکن الاحتیاط فی أطراف الاحتمال بلا مشقّة قُدِّم علی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هذا إذا لم یمکن الاحتیاط، وإلّا لزم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یتمکّن من التعیین ولا من الاحتیاط بمقدار لم یستلزم الحرج فالأحوطأن یختار الشهر الأخیر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یتمکّن من الاحتیاط ولو بما تیسّر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اللازم الرجوع إلی الاحتیاط التامّ إن أمکن، وإلّا یرجع إلیالتبعیض فی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یحتاط ما لم یستلزم الحرج، ومع الحرج یعمل بالظنّ، ومع عدمه الأحوطالتأخیر إلی الاحتمال الأخیر، فیأتی بقصد الأعمّ من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العمل بالظنّ، فلابدّ من الاحتیاط، وإذا کان حرجیّاً فیعتکف فیالأخیر من المحتملات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وأشکل منه التخییر مع عدمه، فالأحوط مع عدم الحرج الجمعبین المحتملات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اللازم علیه الاحتیاط التامّ برعایة جمیع المحتملاتإن لم یستلزم الحرج والعسر المنفِیّین، وإن استلزم فالتبعیض فی الاحتیاط،وإن لم یمکن فالعمل بالظنّ، وإن لم یکن ظنّ فی البین فالأولی اختیار الشهرالأخیر مثلاً والإتیان بالاعتکاف بقصد ما فی الذمّة بدون قصد عنوان الأداءأو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یختار الشهر الأخیر المحتمل ویقصد به الأعمّ من الأداء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یحتاط ما لم یستلزم الحرج، ومعه یعمل بالظنّ، ومع عدمه یختار آخِرَزمانٍ یحتمل انطباق المنذور علیه، ویأتی به بقصد ما فی الذمّة من دون قصدالأداء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 الاحتیاط حرجیّاً، وإلّا فیعمل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یحتاط، فإذا استلزم الحرج عمل بالظنّ، فإذا فقد الظنّ اختار آخِر الأزمنةالمحتملة ویقصد به ما فی ذمّته من الأداء أو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اختیار الشهر الأخیر المحتمل، وإن تمکّن من الاحتیاط ولم یلزمالحرج یجب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حجّیّته، فلابدّ من الاحتیاط ما لم یستلزم الحرج، وإن استلزمذلک فالأحوط اختیار الشهر الأخیر، ویقصد به الأعمّ من الأداء والقضاء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یحسب کلّ شهرٍ ثلاثین یوماً ما لم یعلم النقصان 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یحتاط بالجمع بین المحتملات مع عدم استلزام الحرج، من غیر فرق بینصورة الظنّ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لم یمکن الاحتیاط، أو کان حرجیّاً، فمع عدم الظنّ یأخذ بالمحتملالأخیر ویأتی به بقصد الأعمّ من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ممّا ذکرنا أنّ التخییر لا محلّ ولا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یحتاط ما لم یستلزم الحرج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یختار الأخیر منها علی الأحوط، ولا ینوی الأداء والقضاء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ذکرناه من التفصیل فی باب الصوم، بل والرجوع إلی القرعة فیبعض صوره یجری فی المقام أیضاً، فراجع ما ذکرناه هناک تتبصّر بهفی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یوخّر إلی آخر شهر یحتمل أن یکون هو المنذور، فیعتکف بقصد القربةالمطلقة علی الأحوط فیه، وفی صورة الظنّ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ناشئ عن انسباق الوحدة من الطبیعة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من فروع جواز الاعتکاف فی کلّ جامع، وقد 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إتمامه فی مسجد آخَر إن أمکن، وکان النذر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قضاؤه علی الأحوط إن کان واجباً مضیقاً وإلّا وجب إعادته فی مسجدآخر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قصرت المدّة بحیث لا تخلّ بوحدة الاعتکاف، وکان الخروج منهکالخروج لضرورة فیصحّ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وجود أمارة علی دخولها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مع العلم بکونها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المراد هو التعیین بالنذر، وعلیه یشکل صحّته فی بعض الفروض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بملزمٍ شرعی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ملزم شرعی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بملزمٍ شرعیٍّ کالنَذر والعهد والیمین وغیرها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یشکل صحّته فی بعض الفروض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نذر أو عاهد الله بالمَکث فی مکان مخصوص من المسجد، وکان هذاالالتزام والشرط راجحاً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فیه جهة فضل بالنسبة إلی سائر الأمکنة وکان التعیّن حینئذٍ بملزمٍشرعی من نذر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له ملزم شرعی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بملزمٍ شرعیٍّ من إجارةٍ لذاک الموضع الخاصّ، أو دخوله فی قصد الناذربأولویّة، ونحو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یرجع إلی تقیید الامتثال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باقتراحٍ من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 قصده فلا یکون ملزماً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قطعاً لا تردید فیه، وهنا أمر یعجبنی ذکره،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الوالد الآیة العلّامةالمرحوم السیّد شمس الدین محمود الحسینی المرعشی النجفی، کان ینقل عنوالده العلّامة السیّد شرف الدین علیّ النجفی، عن والده العلّامة الحاج السیّدمحمّد الحائری، عن اُستاذه العلّامة فخر الشیعة وفقیه العصابة المحقّة مولاناالشیخ محمّد حسن النجفی صاحب الجواهر، عن شیخه العلّامة بحر العلومبالإطلاق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الحجرات والبیوتات الواقعة علی یمین المستقبِل إلی القبلة فیجامع الکوفة لیست من المسجد، بل زیدت علیه، ولم تُوقَف مسجداً لأجلالتسهیل للزائرین والعاکفین والرُکّع السجود، وسمعت هذا عن اُستاذی الزاهدالعلّامة الشیخ محمّد الحسین الشیرازی ثمّ النجفی ثمّ العسکری أیضاً، واللهالعالم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تکن أمارة علی جزئیّته ولو کانت ید المسلمین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الاطمئنان، وکذا إذا حصلا من غیره من المناشئ العقلائیة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أقربه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الکفایة، وکفایة حکم الحاکم أیضاً فی ما إذا ترافع عنده مَن یدّعیالملکیّة مع مَن یدّعی المسجدیّة حسبةً فحکم بالمسجدیّة، وإلّا ففی کفایةالحکم الابتدائی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ولا یخلو القول بعدم حجّیّته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کفایته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الکفایة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الاکتفاء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ما لم یُفِدِ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الاقتصار بصورة الترافع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منّا مراراً الإشکال فی حجّیّة حکمه فی أمثال هذه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لوکانت المسجدیّة مورد الترافع کأن یدّعی أحد ملکیّته وثبتت لدی الحاکممسجدیّته فحکم بها فتثبت المسجدیّة حینئذٍ بحکمه، لکن أین هذا من إطلاقحجّیّة حکمه بالمسجدیّة حتّی فی غیر مورد الترافع؟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بإطلاقه ولو بلا سبق خصومة حسبیّة منظور فیه، إلّا إذا ثبت کون مثلهذه الاُمور المورد لابتلاء عامّة الناس، نظیر هلال رمضان کافٍ فی ثبوتها نفسالحکم بلا احتیاج إلی سبق ترافع، ولو من جهة دعوی کون مثل هذه الجهاتالنوعیّة من وظائف حکّام الجور الثابتة فی المقبولة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المقابلة بإطلاقهالِحُکّامنا، ولکن مع ذلک للنظر فی ثبوت هذه الجهة أیضاً مجال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مورداً للحکم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 موارده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ما إذا ترافع عنده مَن یدّعی الملکیّة ومن یدّعی المسجدیّة فحکمبالمسجدیّة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ثبوته به محلّ إشکال، إلّا فی مورد الترافع بین المتخاصمین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مورداً للحکم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إذا ترافع عنده مَن یدّعی الملکیّة ومَن یدّعی المسجدیّة من بابالحسبة فحکم بالمسجدیّة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ما إذا حکم بالمسجدیّة عند الترافع إلیه، وإلّا ففی کفایته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یکن مسبوقاً بالترافع، کما هو الشأن فی حکمه فی الهلال؛ إذ فی مثلهذه الاُمور التی یُبتلی بها عامّة الناس یکون الحکم حجّةً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مورداً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حکم بالمسجدیّة عند الترافع والخصومة،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صحّ منه الحکم، کما لو کان مورداً للنزاع فی الملکیّة والمسجدیّة بینالمتخاصمَین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الترافع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فی المساجد الأربعة 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انعقاد الجماعة فیه، وإلّا فقد تقدّم دعوی وجود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کفایته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قد مرّ فی کتب الطهارة والصلاة والصوم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تفصیلٍ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المعیَّن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الواجب إتمامه، کما إذا کان مضیَّقاً أو منذور الإتمام، أمّا الواجب الموسَّعفلا یجب إتمامه بمجرّد الشروع فیه، کما 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والدلیل المذکور علیل، وکذا الحال فی الفرع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التعلیل شبهة، فیشکل ما بعده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الإتمام إنّما یتعلّق بالاعتکاف المأذون فیه، فإذا ارتفع الإذن ارتفعموضوع الوجوب، ومنه یظهر حکم ما یلیه، ولکنّ الاحتیاط لا یُترک فیالصورتَین، بل قبل الشروع فی العمل فی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أنّه لیس له منعه عن الشروع مع فرض الوجوب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وقبله إذا کان متعیّناً، وإلّا جاز الرجوع بعد الشروع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الظرف متعلّق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وقبله إذا کان معیّناً، وفی غیره یجوز مطلقاً إذا کان الوقت موسّعاً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لو نذر إتمامه إذا شرع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الظرف متعلّقاً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اعتراض علیه، فهو کما إذا نذر تمامالاعتکاف حیث شرع، وإن کان الظرف متعلّقاً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فیتوجّه علیه أنّهکما لا یجوز الرجوع بعده لا یجوز قبله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له منعه عنه قبل الشروع فیه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وقبله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تعلّق القید بالوجوب، لا بالرجوع، کما إذا نذر الإتمام بعد الشروع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وقبله أیضاً إذا کان واجباً قبل الشروع، کما لو نذر بإذنه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ذکرنا فی التعلیقة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واجباً من ناحیة النذر وشبهه فیؤثّر رجوع المولی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ترک الخروج مطلقاً إلّا للجمعة أو الجماعة أو التشییع أو العیادة أوالأمر الّذی هو واجب علیه شرعاً أو عادةً أو عقلاً، بل الآکد فی الاحتیاط قصرالجواز فی الجمعة أو الجماعة بمکّة المکرّمة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ترک الخروج إلّا للتشییع أو العیادة أو الجمعة أو الجماعة فی مکّة، أولحاجةٍ لابدّ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أن لا یخرج إلّا للعیادة أو الجمعة أو التشییع أو الجماعة فی مکّة أولحاجة لابدّ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إشکال، إلّا فی مکّة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نظر، نعم، یخرج المعتکِف فی المسجد الحرام ویصلّی بمکّة حیثشاء جماعةً وفرادی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مکّة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الخروج لحضور الجماعة مشکل، إلّا للجمعة، بل لا یصلّی فی خارجما اعتکف فیه وإن کان خروجه للحاجة التی یجوز لها الخروج، نعم، رُخِّصت لهالصلاة فی بیوت مکّة؛ لأنّها کلّها حَرَمُ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بل یمنع الخروج لحضور الجماعة إذا لم تکن واجبة کالجمعة، بلالظاهر المنع من أن یصلّی فی غیر الجامع الّذی اعتکف فیه وإن کان خروجهلضرورة، إلّا فی مکّة؛ لأنّها کلّها حَرَمُ الله، کما فی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لغیر الاُمور الضروریة والاُمور الواجبة ولغیر تشییع الجنازة وعیادةالمریض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صلاة الجمعة، نعم، یجوز الخروج للمعتکِف بمکّة والصلاة حیث شاء فیهاجماعةً أو فرادی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بها الجمعة فالظاهر هو الجواز لو کانت تُقام فی غیرالمسجد الّذی اعتکف فیه، وإن کان المراد بها الجماعة فهو محلّ إشکال حتّیفی مکّة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مطلقاً، بل إذا کان للمیّت نحو تعلّقٍ به حتّی یُعدّ ذلک من ضروریّاته العرفیّة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إلّا إذا کانت حاجة لابدّ له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کعیادة المریض ممّا یصدق علیه اللابدّیّة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ومنهاالأغسال المندوبة،کالجُمُعة ولیالی شهر رمضان ونحوهما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جوازخروجه لمطلق الحاجة وإن کانت راجحة دیناً أو دنیاً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إلّا إذا کانت حاجة لابدّ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أمکن،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أمکن إذا استلزم المکث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حکم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حکم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استلزم المکث،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حکم الاغتسال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أمکن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أمکن، ولکنّه استلزم المکث المحرّم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أمکن حال المکث،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حکم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السیستانی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استلزم المکث فیه، علی تفصیل تقدّم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أمکن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أمکن وکان مستلزماً لِلَّبثِ المحرَّم، أمّا إذا لم یستلزم ذلک فلا مانع منالاغتسال فیه، بل یجب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أمکن، وقد تقدّم فی الشرط الثامن حکم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وإن أمکن إذا کان مستلزماً لِلَّبثِ المحرّم، أو تلویث المسجد، 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بالمرّة أو فوراً، والحکم بالبطلان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استلزم تأخیر الخروج تأخیر عوده من أوّل أزمنة إمکانه، وإلّا فلا یبعدصحّة الاعتکاف وإن أثم بتأخیر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تیمّم وکان لبثه لضرورة، وإلّا فالخروج واجب وإن أمکن الاغتسال، إلّاإذا کان زمنه أقلّ من زمن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حرم لبثه لموجب آخر غیر الجنابة، کما لو خاف علی نفسه ونحو ذلکبطل اعتکافه مطلقاً، وکذا لو کان جُنُباً فی أوّل اعتکافه، ولو أجنب فی آخرزمانه وکان ما بقی منه لا یسع أزید من الاغتسال وینتهی بانتهائه فالظاهر أنیکون إیجاب الخروج علیه حینئذٍ خَتماً لاعتکافه ولبثه المحرّم بعد ذلک خارجاًعنه غیر مفسد له، ولو أجنب فی الأثناء یلزمه المبادرة إلی الخروج للاغتسال ثمّالرجوع لإتمام اعتکافه، ولو أخّر 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استلزم ذلک تأخّر رجوعه اللازمبعد الاغتسال عن أوّل أزمنة إمکانه، کما هو الغالب بطل اعتکافه، ولو لم یستلزمذلک کما إذا کان الماء بعیداً لا یصل إلیه إلّا بعد مدّة ویُؤتی بباب المسجد فیأیسر منها ولم یخرج بانتظاره فلا یبعد صحّة اعتکافه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حرم لبثه لموجب آخر غیر الجنابة، کما لو خاف علی نفسه ونحو ذلک بطلاعتکافه مطلقاً، وکذا لو کان جُنُباً فی أوّل اعتکافه، ولو أجنب فی آخر زمانهوکان ما بقی منه لا یسع أزید من الاغتسال وینتهی بانتهائه فالظاهر أن یکونإیجاب الخروج علیه حینئذٍ خَتماً لاعتکافه ولبثه المحرّم بعد ذلک خارجاً عنهغیر مفسد له، ولو أجنب فی الأثناء یلزمه المبادرة إلی الخروج للاغتسال ثمّالرجوع لإتمام اعتکافه، ولو أخّر 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استلزم ذلک تأخّر رجوعه اللازمبعد الاغتسال عن أوّل أزمنة إمکانه، کما هو الغالب بطل اعتکافه، ولو لم یستلزمذلک، کما إذا کان الماء بعیداً لا یصل إلیه إلّا بعد مدّة ویُوتی بباب المسجد فیأیسر منها ولم یخرج بانتظاره فلا یبعد صحّة اعتکافه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عدم بقاء الوقت للاعتکاف إلّا بمقدار الخروج لا وجه لبطلانه؛ لأنّهذا المقدار من الخروج خارج عن تحت الاختیار، بقی أم خرج، وتوهّم أنّبقاءه مقدّمة لارتکاب الزائد فیحرم من هذه الجهة منظور فیه جدّاً؛ إذ کیف یصیرالحدوث علّة البقاء مع اتّحادهما وجوداً، فلا یعقل اختلاف الرتبة بینهما، فلاوجه حینئذٍ لحرمة هذا اللبث جزماً، وإن حرم علیه اللبث الزائد باختیار ملزومه،ولکنّه خارج عن اعتکافه، کما لا یخفی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نظر، بل منع، کما أشرنا إلی ذلک فی رسالتنا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إذا کان فی آخر وقت الاعتکاف بحیث لا یسع الوقت بأزید منالخروج والاغتسال والعود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منع، نعم، لا یکون المکث الحرام جزءاً من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 الحکم بالبطلان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کلام فی عدم کون المکث الحرام جزءاً، إلّا أنّ بطلان الاعتکاف علیإطلاقه محلّ إشکالٍ ومنع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یتمّ ذلک فی بعض الصور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کلیّة فی هذا التعلیل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البطلان فیه وفی ما بعده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الصحّة لا تخلو من قوّة، وکذا إذا جلس علی الفراش المغصوب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بطلان اعتکافه نظر، بل منع؛ إذ السَبق إنّما اقتضی الأحقّیّة للسابق ما دامفیه علی وجهٍ یحرم مزاحمته بإخراجه، ولیس له إطلاق یشمل حال خروجهولو بإجبار، ولیس المراد من الأحقّیّة للسابق صیرورته ذات حقٍّ فی المحلّمطلقاً مانع عن سلطنة الغیر، کیف وظاهره کونه فی مقام صرف ترجیح السابقعلی غیره فی ما کان لهما بالنسبة إلی المحلّ جهة ربط من السلطنة علی تملّکالمنفعة أو الانتفاع، ومثل هذه السلطنة غیر الحقّ المعروف، کما لا یخفی؛ ولذالیس بإسقاطیّ، فتسویته مانع إطلاق دلیله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وتوهّم أنّ منع الإطلاق غیر کافٍلإثبات الجواز بل الاستصحاب یمنعه مدفوع، بأنّه کذلک لولا إطلاق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سلطنة کلّ أحدٍ فی الانتفاع عن هذه المحالّ فی نفسه ما لم یثبت الترجیح لأحدٍفیه، کما هو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البطلان؛ لعدم کونه حقّاً مالیّاً، وإنّما فعل حراماً، کما مرّ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وکذا فی ما بعده، نعم، ما أفاده فی جمیع صور المسألة هوالأحوط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صحّته وکذا الحال فی الفرع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الصحّة هی الأقوی وإن کان آثماً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بل منع،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تأمّل، وکذا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 ما بعده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إشکال، وکذا فی الفرع التالی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وکذلک فی ما بعده، بل الظاهر عدم البطلان فی ما إذا جلس علیفراش مغصوب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معلوم، بل لا یبعد صحّة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والمسلَّم حرمته هو إزالة الغیر عن مکانه، وأمّا اللبث بعد الإزالةفغیر معلوم الحرمة، مضافاً إلی أنّ اتّحاد الکون الاعتکافی مع المنهیّ عنه محلّتأمّل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ولا یبعد عدم البطلان، وأمّا الجلوس علی الفراش المغصوبونحوه فلا إشکال فی عدم البطلان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ولکنّه أحوط، وکذا فی بقیّة فروض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صحّته؛ فإنّ اللبث فی ذلک المکان بعد إزالته عن مکانه لایکون حراماً وإنقلنا بحرمة إزالته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الأظهر الصحّة،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بطلان الاعتکاف حینئذٍ؛ إذ التصرّف الغصبیّ غیر متّحد معالأکوان الاعتکافیّة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الأظهر هی الصحّة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لصدق التصرّف فی الغصب علی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وفی الفرع التالی، لکن لو لم یجتنب فالأقوی صحّةاعتکافه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تخلو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لوجوب الفرار من الغصب مهما أمکن الملازم لخروجه ولوعرضاً، 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وَذَرُوا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 لبس المغصوب والجلوس علیه؛ لحرمة اللبث فیهوعلیه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کانت هذه الحالات عن قصورٍ کی یوجب المعذوریّة فی ارتکاب الغصبفلا یکون مانعاً عن وقوع لبثه عبادةً، کما هو الشأن فی جمیع أبواب المزاحمات،کما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بالموضوع أو بالحکم عن قصور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جواز التصرّف فی مال الغیر بالإکراه والاضطرار ممنوع، نعم، یُرخّص فیه عند التزاحم بما هو أهمّ، کحفظ النفس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تحقّق شرط الإکراه بالنسبة إلی مال الغیر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غیر تقصیرٍ فی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المراعاة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نعم، لا اعتبار بالتفاوت الیسیر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مختصّ بالنهار؛ لمکان انصراف الظِلال إلی الظِلال من الشمس، فلایشمل اللیل والظِلال من ضوء القمر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بترکه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تجب مراعاة هذا الاحتیاط، وکذا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هو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عدم جواز الجلوس الزائد علی مقدار الحاجة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بعد قضاء الحاجة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یرجع الاستثناء إلی المشی تحت الظِلال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الیوم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الدین الصدر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منزلها نفس المسجد کالخادمة، وإلّا بقیت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الاعتکاف مندوباً أو واجباً موسّعاً ولم تُمضِ منه یومان، وکذلک إذاکان الاعتکاف مشروطاً بالرجوع إذا عرض عارض أو مطلقاً، ففی جمیع هذهالصور یجب علیها الخروج إلی منزلها للاعتداد فیه حتّی فی الواجب المعیّن إذاکان مشروطاً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یأذن الزوج لها بإتمام اعتکافها، هذا فی ما إذا لم یکن الإتمام واجباًعلیها، أو وجب بسبب النذر فقط، وإلّا فلابدّ لها من إتمام اعتکافها مطلقاً فی ماإذا لم تشترط الرجوع فی اعتکافها، وإلّا جاز لها الرجوع وعدم إتمامه، وإذاوجب علیها الخروج إلی منزلها فلو أتمّته فالحکم ببطلان اعتکافها مشکل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لِمُضِیّ یومَین،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تکن قد اشترطت الرجوع فی اعتکافها، والأوجه حینئذٍ أن تختار إتمامه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المعیَّن بمضیّ یومَین، وأمّا فی غیره کالمعیَّن بالإجارة والنذر وشبههفالظاهر تعیّن الخروج؛ لکشف الطلاق عن بطلان الاعتکاف إذا وقع قبل مضیّیومَین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الخروج فوراً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مشکلة ومحلّ تردّد تحتاج إلی مزید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أن ترجع إلی منزلها للاعتداد به، بل لا یخلو من قوّة، وتقضیاعتکافها بعد الخروج من العدّة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ترجیح الخروج وقضاء الاعتکاف بعد انقضاء العدّة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تعیّن الخروج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وجوب إتمام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اختیار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تعیین الخروج فوراً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تقدیم الخروج للاعتداد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تعیّن خروجها إلی منزلها للاعتداد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علیه إتمام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إتمام الاعتکاف علیها إذا کان واجباً معیّناً ولو لِمضیِّ یومَینولم تشترط فیه الرجوع، والمقام من تزاحم المقتضی واللامقتضی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ترجع إلی منزلها للاعتداد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الخروج ثمّ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الإتمام ثمّ الخروج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المقام من قبیل تعارض المقتضی واللامقتضی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بالإضافة إلی الیومَین الأوّلَین فلا موجب لوجوب الاعتکاف علیها فیهماإلّا بالنذر أو ما شاکله؛ فعندئذٍ إن أذِن الزوجُ الزوجةَ المذکورة بإتمام الاعتکافوجب علیها الإتمام وفاءً بالنذر أو نحوه، وأمّا إذا لم یأذن لها بذلک وجب علیهاالخروج؛ حیث إنّه یکشف عن بطلانه من الأوّل، وعلی کِلا التقدیرین فلا تزاحمفی البین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بالإضافة إلی الیوم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بنینا علی أنّ وجوب الخروجعلیها للاعتداد من أحکام العدّة فحینئذٍ إن لم یأذن الزوج لها بإتمام الاعتکافوقع التزاحم بین وجوب الخروج علیها و بین وجوب الاعتکاف فی هذا الیوم،وأمّا إذا أذِن لها فلا تزاحم؛ حیث لا یجب علیها الخروج عندئذٍ، وأمّا إذا بنیناعلی أنّ وجوب الخروج علیها من أحکام الزوجیّة وجب علیها إتمام الاعتکافحینئذٍ، ولا یجوز لها الخروج، وإن لم یأذن الزوج لها؛ إذ لا طاعة لمخلوقٍ فیمعصیة الخالق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والمقام من قبیل تعارض المقتضی واللامقتضی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الأهمّیّة یکفی وهو فی 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ومثلها المعتدّة للفسخ ونحوه وللوفاة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تأثیر شرط الرجوع متی شاء من غیر عروض عارض محلّ إشکال، بل منع،نعم، العارض أعمّ من الأعذار العادیّة ـ کقدوم الزوج من السفر ـ ومن الأعذارالتی تُبیح المحظورات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اشتراط الرجوع متی شاء ولم یعرض عارض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نعم، یکفی فی العارض العذر العرفی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بنی نیّة الاعتکاف علی الشرط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المیلانی، عبدالله الشیرازی، المرعشی، اللنکرانی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لعدم وفاء الدلیل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بأزید من تأثیر الشرط فی عقد اعتکافه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منع إذا لم یرجع إلی الاشتراط فی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اشتراطه فی النذر محلّ تأمّل، بل منع، نعم، یصحّ نذر الاعتکافالمشروط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رجوعه عرفاً إلی نذر الاعتکاف المشروط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ذلک، بل یمنع، إلّا أن یکون نذراً للاعتکاف المشروط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یرجع إلی الاشتراط فی الاعتکاف ضمناً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المنذور ـ أی الاعتکاف ـ مشروطاً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وحینئذٍ یکون الشرط قیداً فی الاعتکاف المنذور، فیلزم ذکره حین الشروعفیه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الشروع جریاً علی طبق نذره حسب ارتکازه، وإلّا فمشکل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ما إذا کان اعتکافه بعنوان الوفاء بالنذر، وإلّا فلا یجوز له الرجوع فیالیوم الثالث، فإذا خالف ورجع فی هذا الیوم عصی وإن تحقّق منه الوفاء بالنذر،ویجب علیه القضاء حینئذٍ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قصد إیقاع الاعتکاف وفاءً عن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حین عقدنیّته، مثل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اعتکفت إن لم یشتدَّ الحر أو البرد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اعتبار اشتراطه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یکفی، فلو لم یشترط فی الاعتکاف یجب تتمیم الثلاثة بالاعتکاف ولولم یجب بالنذر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یکفی، کما تقدّم، نعم، یکفی إذا نذر الاعتکاف المشروط ثمّ أتیبالاعتکاف وفاءً بنذره، وهو اشتراط إجمالیّ فی نفس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إتیان الاعتکاف وفاءً بنذره، فیکون من الاعتکاف المشروط بالرجوعإجمالاً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الکفایة، ولزوم الاشتراط حین الشروع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صحّته وترتّب الأثر علیه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المرعشی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إن لم یُخِلَّ بقصد القربة والامتثال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حال الشروع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اعتبار الجزم فی النیّة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المقصود فیها أعمّ من التکلیفیّة والوضعیّة؛ فإنّ الحرمة التکلیفیّة فی غیرالواجب بل المعیّن فی غیر الیوم الآخر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ما ذکر تکلیفاً فی ما لم یکن الاعتکاف واجباً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عبدالله الشیرازی، المرعشی، الآملی، زین الدین، حسنالقمّی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کلیهما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حرمتهما إشکال والاجتناب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وجوباً إلحاق اللمس والتقبیل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فیهما، وأولی منهما بالاحتیاط ما یصدق علیه المباشرة بما دونالفرج من التفخیذ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وقع لیلاً، أمّا فی النهار فیحرم؛ لمنافاته الصوم علی الأقلّ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أراد به الإحساس، وإلّا فشَمّه محرّم علی إطلاقه، ثمّ إنّه یحرم أیضاً التلذّذبالریحان، وهو کلّ نبتٍ طیّب الرائحة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التلذّذ به غیر معلوم فی موضوع الحرمة، وفاقد الحاسّة الشامّة لا یتحقّقمنه الشَمّ، لا أنّه لا یتلذّذ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اعتبار التلذّذ فی الطیب تأمّل، نعم، لایبعد فی الریحان، کما فی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فاقد الحاسّة فلا شَمّ له أصلاً حتّی یستثنی؛ لعدم التلذّذ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حرمة شَمّ الطیب وإن لم یتلذّذ به، نعم، یعتبر ذلک فی الریحان کما فیالنصّ، أمّا فاقد حاسّة الشَمّ فهو لا یَشَمّ، لا أنّه لا یتلذّذ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یعتبر فی الأوّل إلّا الإحساس، فلیس له شمّه للاشتراء ولا للتداوی إلّالضرورة، نعم، یعتبر التلذّذ فی الریحان، وهو کلّ نبتٍ طَیّب الرائحة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مَن بحکمه، کالمزکوم، والمثل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یُدرِک المزکوم رائحةَ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الأمر کذلک لو کان واجداً لحاسّة الشمّ، ولکنّه ممّن لا یتلذّذ بشمّه، کما قدیتّفق فی الأوحَدِیِّ من المستشِمِّین لاعوجاج السلیقة وفقدان الذوق، هذا لو کانالمدار التلذّذ الشخصیّ، وأمّا لو کان المعیار تلذّذ النوع فلا یجوز لهما الشمّ، ثمّالفاقد ومن بحکمه لا یشَمّ، لا أنّه لا یتلذّذ ففی العبارة مسامحة من القلمالشریف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فاقد حاسّة الشَمّ لا یَشَمّ، لا أنّه لا یتلذّذ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الفاقد لحاسّة الشَمّ لا یشَمّ الطیب أصلاً، لا أنّه یشمّه ولا یتلذّذ به، والأقویمع تحقّق الشمّ عدم الفرق بین التلذّذ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الفاقد للحاسّة المذکورة لایتحقّق منه الشمّ أصلاً، ومع تحقّقه وعدمالتلذّذ 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فاقداً حاسّة الشَمّ خارج عن موضوع شَمّ الطِیب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کما ذکر، لکن مع فقد الحسّ لا یصدق الشَمّ ظاهراً، والظاهر أنّه معتحقّق الشَمّ لو لم یتلذّذ 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الفرق مع شَمّ الطیب بین التلذّذ وعدمه، نعم، الفاقد لحاسّة الشمّلایحرم علیه ذلک؛ لأنّه لا یَشَمّ الطیب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لفقد موضوعه، لا لعدم الالتذاذ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لحوائج نفس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حرمة مطلق التجارة لا تخلو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فی صحّة الاعتکاف شبهة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الأولی قضاء الاعتکاف بعد إتمامه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جهة الحکم التکلیفی، وأمّا صحّة الاعتکاف 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الاضطرار أو مسّ الحاجة إلیهما إنّما یرفع الحرمة التکلیفیّة، أمّا المانعیّة إذااستُفیدت من صحیحة أبی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والمکروه،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ترتفع بالاضطرار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صحّة الاعتکاف معهما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حینئذٍ هو الرضا بالتصرّف، أو الهِبَة من الطرفین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بالمعنی الأعمّ الشامل لمطلق التجارة، کما سبق منه، وفی حکم التوکیلتحصیل الرضا بالتصرّف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جواز لبس المَخِیط ونحوه ممّا 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محلّ للاحتیاط أیضاً فی بعض المذکورات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إفسادها، أمّا حرمتها تکلیفاً فی غیر الواجب فمحلّ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إفسادها، وأمّا حرمتها تکلیفیّاً فی غیر الواجب فمحلّ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کلامٍ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بین وقوعها فی اللیل والنهار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مبطلیّة هذه الاُمور من غیر جهة إضرارها بالصوم نظر، دلیل علی إطلاقمانعیّتها عنه، والأصل یقتضی عدمها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البطلان باللمس والتقبیل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عرفت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أنّهما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الإشکال فی حرمتهما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فیهما، کما تقدّم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 حرمتهما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القوّة محلّ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ممنوعة، نعم، الاحتیاط أحسن وأولی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القوّة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الأقوی وبه یظهر الحال فی بقیّة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حرمتها التکلیفیّة بسبب الاعتکاف محلّ تأمّل، إلّا إذا وجب علیه إتمامه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 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لو أتی یومَین بعنوان الإتمام فالأحوط إتیانه بالثالث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المعیّن بالنذر ونحوه، وفی ما بحکمه کالیوم الثالث، وأمّا الواجب الموسَّعفالأحوط الأولی إعادته وإن أتمّه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الأحوط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الواجب المعیّن، وفی الیوم الثالث القضاء بعد الإتمام، وفیالواجب الموسّع الإعادة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للخروج عن المخالفة وتحصیلاً للجزم بالفراغ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المتعیَّن، فی مقام الاحتیاط الّذی یلزم رعایته 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أحوط فی الاستئناف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ذلک، وإن کان البطلان هو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المتعیّن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فی الواجب مطلقاً، وفی المستحبِّ فی الیوم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شبهة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الآملی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فلا یترک الاحتیاط فی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مشکل، فلا یُترک الاحتیاط فی الجمیع، کما فی الجماع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مفسدات الصوم، وأمّا فی غیرها فالاحتیاط الّذی ذکره فی الجماعیجری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التفرقة بین الجماع وغیره محلّ إشکال، فالأحوط فی صورة ارتکاب سائرالمحرّمات سهواً إتمامه إذا کان واجباً معیّناً، وقضاوه واستئنافه فی غیره إذا کانفی الیومین الأوّلَین، وإتمامه واستئنافه إذا کان فی الیوم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إلحاقه بغیره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إتمامه فی الواجب المعیَّن، وفی الثالث من غیره واستئنافه بدون إتمام مابیده فی غیر الموردَین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إذا کان مندوباً وکان الإفساد بعد الیومین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الشرط یشمل مثل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فعل المفسِد بقصد الرجوع، أو قَصَدَ الرجوع بعد ذلک، وإلّا ففیه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فیه، فراجع المسألة الحادیة والأربعین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النحو الّذی تقدّم بیانه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الظاهر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الشاهرودی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فعل المفسِد بقصد الرجوع ولم یرجع بعد ذلک ففیه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یُتمّ إذا کان فعل المفسد بقصد الرجوع عن الاعتکاف، أمّا إذالم یکن بقصده فیشکل، اللهمّ إلّا أن یکون قد رجع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منع؛ لعدم دلیلٍ وافٍ به، والأصل وجوبه، بل مشروعیّته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والصحیح 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والأصل عدم وجوبه، بل عدم مشروعیّته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الروحانی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یظهر من بعض الروایات مشروعیّة قضائه، حتّی مع عدم الشروع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للقضاء فی المندوب، وما ورد فی المورد ناظر إلی جبران ما لم یأتِبه، لا بعنوان أنّه قضاء، والفرق 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معنی لقضاء المندوب المطلق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لا یؤخّره بحیث یُعدّ تهاوناً موجباً لتفویته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مورد الاحتیاط ما إذا لم یکن الفوت کاشفاً عن بطلان النذر، کالمضیَّق أوالموسع مع الشروع فیه فی أوّل أزمنة الإمکان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یجب علی الولیّ لاشتراطه بتمکّن المیّت من قضائه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لو استقرّ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أنّ الواجب علیه قضاء الصوم فقط دون الاعتکاف، وإن کان قضاوه أیضاًأحوط، وقد تقدّم نظیر ذلک فی الصوم المنذور فیه التتابع، وقد احتاط الماتن فیقضائه هناک، وینبغی له أن یحتاط فی المقام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قضاء الصوم معتکِفاً، کما نذره المیّت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تفصیلٍ تقدّم فی کتاب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الصوم الواجب قضاوه عن المیّت غیر مقیّدٍ بسبب خاصّ، والاعتکاف أحدالأسباب الموجبة للصوم، فیجب قضاء الصوم عنه معتکِفاً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صومه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ویلحق به علی الأحوط الجماع المسبوق بالخروج المحرّم، وإن بطل اعتکافهبه بشرط عدم رفع یده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إذا جامع من غیر رفع الید عن الاعتکاف، وأمّا معه فلا تجب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مع عدم رفع الید عن الاعتکاف مع جوازه فی هذا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ککفّارة الظهار، کما لا یخلو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ککفّارة الظهار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أنّه لا یبعد أن تکون کفّارته ککفّارة الظهار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المرعشی، 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ثبوت الکفّارة فی قضاء شهر رمضان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تعیّنه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 ما إذا کان النذر متعلّقاً بأیّام معیّنة، أو لم یمکن استئناف الاعتکاف بعدإبطاله، وإلّا فلا کفّارة من جهة 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لم یمکن تدارکه فی شهر رمضان، أو کان متعلّقاً بأیّام معیّنة ماضیة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استلزمه إبطال الاعتکاف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الإکراه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السیستانی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11811</Words>
  <Characters>50422</Characters>
  <CharactersWithSpaces>63678</CharactersWithSpaces>
  <Paragraphs>1071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2026-08-24T06:07:07Z</dcterms:created>
  <dc:creator>ghaemiyeh.com</dc:creator>
  <dc:description/>
  <dc:language>en-US</dc:language>
  <cp:lastModifiedBy/>
  <dcterms:modified xsi:type="dcterms:W3CDTF">2026-08-24T09:37:28Z</dcterms:modified>
  <cp:revision>1</cp:revision>
  <dc:subject/>
  <dc:title>العروة الوثقی والتعلیقات علیها جلد 10</dc:title>
</cp:coreProperties>
</file>

<file path=docProps/custom.xml><?xml version="1.0" encoding="utf-8"?>
<Properties xmlns="http://schemas.openxmlformats.org/officeDocument/2006/custom-properties" xmlns:vt="http://schemas.openxmlformats.org/officeDocument/2006/docPropsVTypes"/>
</file>