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العروة الوثقی والتعلیقات علیها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6346_232238742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66348_232238742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66350_2322387425">
            <w:r>
              <w:rPr>
                <w:webHidden/>
                <w:rStyle w:val="IndexLink"/>
                <w:rtl w:val="true"/>
              </w:rPr>
              <w:t>فصل فی الماء المشکوک</w:t>
            </w:r>
            <w:r>
              <w:rPr>
                <w:rStyle w:val="IndexLink"/>
                <w:rtl w:val="true"/>
              </w:rPr>
              <w:tab/>
            </w:r>
            <w:r>
              <w:rPr>
                <w:rStyle w:val="IndexLink"/>
              </w:rPr>
              <w:t>13</w:t>
            </w:r>
          </w:hyperlink>
        </w:p>
        <w:p>
          <w:pPr>
            <w:pStyle w:val="Contents3"/>
            <w:tabs>
              <w:tab w:val="clear" w:pos="8459"/>
              <w:tab w:val="right" w:pos="9026" w:leader="dot"/>
            </w:tabs>
            <w:rPr/>
          </w:pPr>
          <w:hyperlink w:anchor="__RefHeading___Toc1666352_2322387425">
            <w:r>
              <w:rPr>
                <w:webHidden/>
                <w:rStyle w:val="IndexLink"/>
                <w:rtl w:val="true"/>
              </w:rPr>
              <w:t>الماء المشکوک النجاسة</w:t>
            </w:r>
            <w:r>
              <w:rPr>
                <w:rStyle w:val="IndexLink"/>
                <w:rtl w:val="true"/>
              </w:rPr>
              <w:tab/>
            </w:r>
            <w:r>
              <w:rPr>
                <w:rStyle w:val="IndexLink"/>
              </w:rPr>
              <w:t>13</w:t>
            </w:r>
          </w:hyperlink>
        </w:p>
        <w:p>
          <w:pPr>
            <w:pStyle w:val="Contents3"/>
            <w:tabs>
              <w:tab w:val="clear" w:pos="8459"/>
              <w:tab w:val="right" w:pos="9026" w:leader="dot"/>
            </w:tabs>
            <w:rPr/>
          </w:pPr>
          <w:hyperlink w:anchor="__RefHeading___Toc1666354_2322387425">
            <w:r>
              <w:rPr>
                <w:webHidden/>
                <w:rStyle w:val="IndexLink"/>
                <w:rtl w:val="true"/>
              </w:rPr>
              <w:t>الشک فی إطلاق الماء</w:t>
            </w:r>
            <w:r>
              <w:rPr>
                <w:rStyle w:val="IndexLink"/>
                <w:rtl w:val="true"/>
              </w:rPr>
              <w:tab/>
            </w:r>
            <w:r>
              <w:rPr>
                <w:rStyle w:val="IndexLink"/>
              </w:rPr>
              <w:t>13</w:t>
            </w:r>
          </w:hyperlink>
        </w:p>
        <w:p>
          <w:pPr>
            <w:pStyle w:val="Contents3"/>
            <w:tabs>
              <w:tab w:val="clear" w:pos="8459"/>
              <w:tab w:val="right" w:pos="9026" w:leader="dot"/>
            </w:tabs>
            <w:rPr/>
          </w:pPr>
          <w:hyperlink w:anchor="__RefHeading___Toc1666356_2322387425">
            <w:r>
              <w:rPr>
                <w:webHidden/>
                <w:rStyle w:val="IndexLink"/>
                <w:rtl w:val="true"/>
              </w:rPr>
              <w:t>الشک فی إباحة الماء</w:t>
            </w:r>
            <w:r>
              <w:rPr>
                <w:rStyle w:val="IndexLink"/>
                <w:rtl w:val="true"/>
              </w:rPr>
              <w:tab/>
            </w:r>
            <w:r>
              <w:rPr>
                <w:rStyle w:val="IndexLink"/>
              </w:rPr>
              <w:t>13</w:t>
            </w:r>
          </w:hyperlink>
        </w:p>
        <w:p>
          <w:pPr>
            <w:pStyle w:val="Contents3"/>
            <w:tabs>
              <w:tab w:val="clear" w:pos="8459"/>
              <w:tab w:val="right" w:pos="9026" w:leader="dot"/>
            </w:tabs>
            <w:rPr/>
          </w:pPr>
          <w:hyperlink w:anchor="__RefHeading___Toc1666358_2322387425">
            <w:r>
              <w:rPr>
                <w:webHidden/>
                <w:rStyle w:val="IndexLink"/>
                <w:rtl w:val="true"/>
              </w:rPr>
              <w:t>العلم الإجمالی بالنجاسة</w:t>
            </w:r>
            <w:r>
              <w:rPr>
                <w:rStyle w:val="IndexLink"/>
                <w:rtl w:val="true"/>
              </w:rPr>
              <w:tab/>
            </w:r>
            <w:r>
              <w:rPr>
                <w:rStyle w:val="IndexLink"/>
              </w:rPr>
              <w:t>15</w:t>
            </w:r>
          </w:hyperlink>
        </w:p>
        <w:p>
          <w:pPr>
            <w:pStyle w:val="Contents3"/>
            <w:tabs>
              <w:tab w:val="clear" w:pos="8459"/>
              <w:tab w:val="right" w:pos="9026" w:leader="dot"/>
            </w:tabs>
            <w:rPr/>
          </w:pPr>
          <w:hyperlink w:anchor="__RefHeading___Toc1666360_2322387425">
            <w:r>
              <w:rPr>
                <w:webHidden/>
                <w:rStyle w:val="IndexLink"/>
                <w:rtl w:val="true"/>
              </w:rPr>
              <w:t>حکم ما لو اشتبه مضاف فی محصور أو غیر محصور</w:t>
            </w:r>
            <w:r>
              <w:rPr>
                <w:rStyle w:val="IndexLink"/>
                <w:rtl w:val="true"/>
              </w:rPr>
              <w:tab/>
            </w:r>
            <w:r>
              <w:rPr>
                <w:rStyle w:val="IndexLink"/>
              </w:rPr>
              <w:t>21</w:t>
            </w:r>
          </w:hyperlink>
        </w:p>
        <w:p>
          <w:pPr>
            <w:pStyle w:val="Contents3"/>
            <w:tabs>
              <w:tab w:val="clear" w:pos="8459"/>
              <w:tab w:val="right" w:pos="9026" w:leader="dot"/>
            </w:tabs>
            <w:rPr/>
          </w:pPr>
          <w:hyperlink w:anchor="__RefHeading___Toc1666362_2322387425">
            <w:r>
              <w:rPr>
                <w:webHidden/>
                <w:rStyle w:val="IndexLink"/>
                <w:rtl w:val="true"/>
              </w:rPr>
              <w:t>حکم انحصار الماء فی المشکوک إطلاقة و إضافته</w:t>
            </w:r>
            <w:r>
              <w:rPr>
                <w:rStyle w:val="IndexLink"/>
                <w:rtl w:val="true"/>
              </w:rPr>
              <w:tab/>
            </w:r>
            <w:r>
              <w:rPr>
                <w:rStyle w:val="IndexLink"/>
              </w:rPr>
              <w:t>25</w:t>
            </w:r>
          </w:hyperlink>
        </w:p>
        <w:p>
          <w:pPr>
            <w:pStyle w:val="Contents3"/>
            <w:tabs>
              <w:tab w:val="clear" w:pos="8459"/>
              <w:tab w:val="right" w:pos="9026" w:leader="dot"/>
            </w:tabs>
            <w:rPr/>
          </w:pPr>
          <w:hyperlink w:anchor="__RefHeading___Toc1666364_2322387425">
            <w:r>
              <w:rPr>
                <w:webHidden/>
                <w:rStyle w:val="IndexLink"/>
                <w:rtl w:val="true"/>
              </w:rPr>
              <w:t>العلم الإجمالی بالنجاسة و الإضافة</w:t>
            </w:r>
            <w:r>
              <w:rPr>
                <w:rStyle w:val="IndexLink"/>
                <w:rtl w:val="true"/>
              </w:rPr>
              <w:tab/>
            </w:r>
            <w:r>
              <w:rPr>
                <w:rStyle w:val="IndexLink"/>
              </w:rPr>
              <w:t>28</w:t>
            </w:r>
          </w:hyperlink>
        </w:p>
        <w:p>
          <w:pPr>
            <w:pStyle w:val="Contents3"/>
            <w:tabs>
              <w:tab w:val="clear" w:pos="8459"/>
              <w:tab w:val="right" w:pos="9026" w:leader="dot"/>
            </w:tabs>
            <w:rPr/>
          </w:pPr>
          <w:hyperlink w:anchor="__RefHeading___Toc1666366_2322387425">
            <w:r>
              <w:rPr>
                <w:webHidden/>
                <w:rStyle w:val="IndexLink"/>
                <w:rtl w:val="true"/>
              </w:rPr>
              <w:t>العلم الإجمالی بالنجاسة أو الغصیبة</w:t>
            </w:r>
            <w:r>
              <w:rPr>
                <w:rStyle w:val="IndexLink"/>
                <w:rtl w:val="true"/>
              </w:rPr>
              <w:tab/>
            </w:r>
            <w:r>
              <w:rPr>
                <w:rStyle w:val="IndexLink"/>
              </w:rPr>
              <w:t>29</w:t>
            </w:r>
          </w:hyperlink>
        </w:p>
        <w:p>
          <w:pPr>
            <w:pStyle w:val="Contents3"/>
            <w:tabs>
              <w:tab w:val="clear" w:pos="8459"/>
              <w:tab w:val="right" w:pos="9026" w:leader="dot"/>
            </w:tabs>
            <w:rPr/>
          </w:pPr>
          <w:hyperlink w:anchor="__RefHeading___Toc1666368_2322387425">
            <w:r>
              <w:rPr>
                <w:webHidden/>
                <w:rStyle w:val="IndexLink"/>
                <w:rtl w:val="true"/>
              </w:rPr>
              <w:t>التوضؤ بالمشتبه بالمضاف</w:t>
            </w:r>
            <w:r>
              <w:rPr>
                <w:rStyle w:val="IndexLink"/>
                <w:rtl w:val="true"/>
              </w:rPr>
              <w:tab/>
            </w:r>
            <w:r>
              <w:rPr>
                <w:rStyle w:val="IndexLink"/>
              </w:rPr>
              <w:t>30</w:t>
            </w:r>
          </w:hyperlink>
        </w:p>
        <w:p>
          <w:pPr>
            <w:pStyle w:val="Contents3"/>
            <w:tabs>
              <w:tab w:val="clear" w:pos="8459"/>
              <w:tab w:val="right" w:pos="9026" w:leader="dot"/>
            </w:tabs>
            <w:rPr/>
          </w:pPr>
          <w:hyperlink w:anchor="__RefHeading___Toc1666370_2322387425">
            <w:r>
              <w:rPr>
                <w:webHidden/>
                <w:rStyle w:val="IndexLink"/>
                <w:rtl w:val="true"/>
              </w:rPr>
              <w:t>ملاقی الشبهة المحصورة</w:t>
            </w:r>
            <w:r>
              <w:rPr>
                <w:rStyle w:val="IndexLink"/>
                <w:rtl w:val="true"/>
              </w:rPr>
              <w:tab/>
            </w:r>
            <w:r>
              <w:rPr>
                <w:rStyle w:val="IndexLink"/>
              </w:rPr>
              <w:t>32</w:t>
            </w:r>
          </w:hyperlink>
        </w:p>
        <w:p>
          <w:pPr>
            <w:pStyle w:val="Contents3"/>
            <w:tabs>
              <w:tab w:val="clear" w:pos="8459"/>
              <w:tab w:val="right" w:pos="9026" w:leader="dot"/>
            </w:tabs>
            <w:rPr/>
          </w:pPr>
          <w:hyperlink w:anchor="__RefHeading___Toc1666372_2322387425">
            <w:r>
              <w:rPr>
                <w:webHidden/>
                <w:rStyle w:val="IndexLink"/>
                <w:rtl w:val="true"/>
              </w:rPr>
              <w:t>انحصار الماء فی المشتبهین</w:t>
            </w:r>
            <w:r>
              <w:rPr>
                <w:rStyle w:val="IndexLink"/>
                <w:rtl w:val="true"/>
              </w:rPr>
              <w:tab/>
            </w:r>
            <w:r>
              <w:rPr>
                <w:rStyle w:val="IndexLink"/>
              </w:rPr>
              <w:t>36</w:t>
            </w:r>
          </w:hyperlink>
        </w:p>
        <w:p>
          <w:pPr>
            <w:pStyle w:val="Contents3"/>
            <w:tabs>
              <w:tab w:val="clear" w:pos="8459"/>
              <w:tab w:val="right" w:pos="9026" w:leader="dot"/>
            </w:tabs>
            <w:rPr/>
          </w:pPr>
          <w:hyperlink w:anchor="__RefHeading___Toc1666374_2322387425">
            <w:r>
              <w:rPr>
                <w:webHidden/>
                <w:rStyle w:val="IndexLink"/>
                <w:rtl w:val="true"/>
              </w:rPr>
              <w:t>إذا کان هناک إناءان نجس و طاهر فاریق أحدهما</w:t>
            </w:r>
            <w:r>
              <w:rPr>
                <w:rStyle w:val="IndexLink"/>
                <w:rtl w:val="true"/>
              </w:rPr>
              <w:tab/>
            </w:r>
            <w:r>
              <w:rPr>
                <w:rStyle w:val="IndexLink"/>
              </w:rPr>
              <w:t>37</w:t>
            </w:r>
          </w:hyperlink>
        </w:p>
        <w:p>
          <w:pPr>
            <w:pStyle w:val="Contents3"/>
            <w:tabs>
              <w:tab w:val="clear" w:pos="8459"/>
              <w:tab w:val="right" w:pos="9026" w:leader="dot"/>
            </w:tabs>
            <w:rPr/>
          </w:pPr>
          <w:hyperlink w:anchor="__RefHeading___Toc1666376_2322387425">
            <w:r>
              <w:rPr>
                <w:webHidden/>
                <w:rStyle w:val="IndexLink"/>
                <w:rtl w:val="true"/>
              </w:rPr>
              <w:t>الحکم فی الماءین المشتبهین إذا توضأ أو اغتسل بأحدهما ثم بالآخر</w:t>
            </w:r>
            <w:r>
              <w:rPr>
                <w:rStyle w:val="IndexLink"/>
                <w:rtl w:val="true"/>
              </w:rPr>
              <w:tab/>
            </w:r>
            <w:r>
              <w:rPr>
                <w:rStyle w:val="IndexLink"/>
              </w:rPr>
              <w:t>40</w:t>
            </w:r>
          </w:hyperlink>
        </w:p>
        <w:p>
          <w:pPr>
            <w:pStyle w:val="Contents3"/>
            <w:tabs>
              <w:tab w:val="clear" w:pos="8459"/>
              <w:tab w:val="right" w:pos="9026" w:leader="dot"/>
            </w:tabs>
            <w:rPr/>
          </w:pPr>
          <w:hyperlink w:anchor="__RefHeading___Toc1666378_2322387425">
            <w:r>
              <w:rPr>
                <w:webHidden/>
                <w:rStyle w:val="IndexLink"/>
                <w:rtl w:val="true"/>
              </w:rPr>
              <w:t>العلم الإجمالی بالنجاسة بعد العمل</w:t>
            </w:r>
            <w:r>
              <w:rPr>
                <w:rStyle w:val="IndexLink"/>
                <w:rtl w:val="true"/>
              </w:rPr>
              <w:tab/>
            </w:r>
            <w:r>
              <w:rPr>
                <w:rStyle w:val="IndexLink"/>
              </w:rPr>
              <w:t>46</w:t>
            </w:r>
          </w:hyperlink>
        </w:p>
        <w:p>
          <w:pPr>
            <w:pStyle w:val="Contents3"/>
            <w:tabs>
              <w:tab w:val="clear" w:pos="8459"/>
              <w:tab w:val="right" w:pos="9026" w:leader="dot"/>
            </w:tabs>
            <w:rPr/>
          </w:pPr>
          <w:hyperlink w:anchor="__RefHeading___Toc1666380_2322387425">
            <w:r>
              <w:rPr>
                <w:webHidden/>
                <w:rStyle w:val="IndexLink"/>
                <w:rtl w:val="true"/>
              </w:rPr>
              <w:t>إستعمالی أحد المشتبهین بالغصبیة</w:t>
            </w:r>
            <w:r>
              <w:rPr>
                <w:rStyle w:val="IndexLink"/>
                <w:rtl w:val="true"/>
              </w:rPr>
              <w:tab/>
            </w:r>
            <w:r>
              <w:rPr>
                <w:rStyle w:val="IndexLink"/>
              </w:rPr>
              <w:t>49</w:t>
            </w:r>
          </w:hyperlink>
        </w:p>
        <w:p>
          <w:pPr>
            <w:pStyle w:val="Contents2"/>
            <w:tabs>
              <w:tab w:val="clear" w:pos="8743"/>
              <w:tab w:val="right" w:pos="9026" w:leader="dot"/>
            </w:tabs>
            <w:rPr/>
          </w:pPr>
          <w:hyperlink w:anchor="__RefHeading___Toc1666382_2322387425">
            <w:r>
              <w:rPr>
                <w:webHidden/>
                <w:rStyle w:val="IndexLink"/>
                <w:rtl w:val="true"/>
              </w:rPr>
              <w:t>فصل فی الأسآر</w:t>
            </w:r>
            <w:r>
              <w:rPr>
                <w:rStyle w:val="IndexLink"/>
                <w:rtl w:val="true"/>
              </w:rPr>
              <w:tab/>
            </w:r>
            <w:r>
              <w:rPr>
                <w:rStyle w:val="IndexLink"/>
              </w:rPr>
              <w:t>51</w:t>
            </w:r>
          </w:hyperlink>
        </w:p>
        <w:p>
          <w:pPr>
            <w:pStyle w:val="Contents3"/>
            <w:tabs>
              <w:tab w:val="clear" w:pos="8459"/>
              <w:tab w:val="right" w:pos="9026" w:leader="dot"/>
            </w:tabs>
            <w:rPr/>
          </w:pPr>
          <w:hyperlink w:anchor="__RefHeading___Toc1666384_2322387425">
            <w:r>
              <w:rPr>
                <w:webHidden/>
                <w:rStyle w:val="IndexLink"/>
                <w:rtl w:val="true"/>
              </w:rPr>
              <w:t>سؤر نجس العین</w:t>
            </w:r>
            <w:r>
              <w:rPr>
                <w:rStyle w:val="IndexLink"/>
                <w:rtl w:val="true"/>
              </w:rPr>
              <w:tab/>
            </w:r>
            <w:r>
              <w:rPr>
                <w:rStyle w:val="IndexLink"/>
              </w:rPr>
              <w:t>51</w:t>
            </w:r>
          </w:hyperlink>
        </w:p>
        <w:p>
          <w:pPr>
            <w:pStyle w:val="Contents3"/>
            <w:tabs>
              <w:tab w:val="clear" w:pos="8459"/>
              <w:tab w:val="right" w:pos="9026" w:leader="dot"/>
            </w:tabs>
            <w:rPr/>
          </w:pPr>
          <w:hyperlink w:anchor="__RefHeading___Toc1666386_2322387425">
            <w:r>
              <w:rPr>
                <w:webHidden/>
                <w:rStyle w:val="IndexLink"/>
                <w:rtl w:val="true"/>
              </w:rPr>
              <w:t>طهارة السؤر</w:t>
            </w:r>
            <w:r>
              <w:rPr>
                <w:rStyle w:val="IndexLink"/>
                <w:rtl w:val="true"/>
              </w:rPr>
              <w:tab/>
            </w:r>
            <w:r>
              <w:rPr>
                <w:rStyle w:val="IndexLink"/>
              </w:rPr>
              <w:t>51</w:t>
            </w:r>
          </w:hyperlink>
        </w:p>
        <w:p>
          <w:pPr>
            <w:pStyle w:val="Contents2"/>
            <w:tabs>
              <w:tab w:val="clear" w:pos="8743"/>
              <w:tab w:val="right" w:pos="9026" w:leader="dot"/>
            </w:tabs>
            <w:rPr/>
          </w:pPr>
          <w:hyperlink w:anchor="__RefHeading___Toc1666388_2322387425">
            <w:r>
              <w:rPr>
                <w:webHidden/>
                <w:rStyle w:val="IndexLink"/>
                <w:rtl w:val="true"/>
              </w:rPr>
              <w:t>فصل فی النجاسات</w:t>
            </w:r>
            <w:r>
              <w:rPr>
                <w:rStyle w:val="IndexLink"/>
                <w:rtl w:val="true"/>
              </w:rPr>
              <w:tab/>
            </w:r>
            <w:r>
              <w:rPr>
                <w:rStyle w:val="IndexLink"/>
              </w:rPr>
              <w:t>53</w:t>
            </w:r>
          </w:hyperlink>
        </w:p>
        <w:p>
          <w:pPr>
            <w:pStyle w:val="Contents3"/>
            <w:tabs>
              <w:tab w:val="clear" w:pos="8459"/>
              <w:tab w:val="right" w:pos="9026" w:leader="dot"/>
            </w:tabs>
            <w:rPr/>
          </w:pPr>
          <w:hyperlink w:anchor="__RefHeading___Toc1666390_2322387425">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1666392_2322387425">
            <w:r>
              <w:rPr>
                <w:webHidden/>
                <w:rStyle w:val="IndexLink"/>
                <w:rtl w:val="true"/>
              </w:rPr>
              <w:t>الأول والثانی</w:t>
            </w:r>
            <w:r>
              <w:rPr>
                <w:rStyle w:val="IndexLink"/>
                <w:rtl w:val="true"/>
              </w:rPr>
              <w:t xml:space="preserve">: </w:t>
            </w:r>
            <w:r>
              <w:rPr>
                <w:rStyle w:val="IndexLink"/>
                <w:rtl w:val="true"/>
              </w:rPr>
              <w:t>بول و غائط مالا یؤکل لحمه</w:t>
            </w:r>
            <w:r>
              <w:rPr>
                <w:rStyle w:val="IndexLink"/>
                <w:rtl w:val="true"/>
              </w:rPr>
              <w:tab/>
            </w:r>
            <w:r>
              <w:rPr>
                <w:rStyle w:val="IndexLink"/>
              </w:rPr>
              <w:t>53</w:t>
            </w:r>
          </w:hyperlink>
        </w:p>
        <w:p>
          <w:pPr>
            <w:pStyle w:val="Contents3"/>
            <w:tabs>
              <w:tab w:val="clear" w:pos="8459"/>
              <w:tab w:val="right" w:pos="9026" w:leader="dot"/>
            </w:tabs>
            <w:rPr/>
          </w:pPr>
          <w:hyperlink w:anchor="__RefHeading___Toc1666394_2322387425">
            <w:r>
              <w:rPr>
                <w:webHidden/>
                <w:rStyle w:val="IndexLink"/>
                <w:rtl w:val="true"/>
              </w:rPr>
              <w:t>بول و غائط ما یؤکل لحمه</w:t>
            </w:r>
            <w:r>
              <w:rPr>
                <w:rStyle w:val="IndexLink"/>
                <w:rtl w:val="true"/>
              </w:rPr>
              <w:tab/>
            </w:r>
            <w:r>
              <w:rPr>
                <w:rStyle w:val="IndexLink"/>
              </w:rPr>
              <w:t>58</w:t>
            </w:r>
          </w:hyperlink>
        </w:p>
        <w:p>
          <w:pPr>
            <w:pStyle w:val="Contents3"/>
            <w:tabs>
              <w:tab w:val="clear" w:pos="8459"/>
              <w:tab w:val="right" w:pos="9026" w:leader="dot"/>
            </w:tabs>
            <w:rPr/>
          </w:pPr>
          <w:hyperlink w:anchor="__RefHeading___Toc1666396_2322387425">
            <w:r>
              <w:rPr>
                <w:webHidden/>
                <w:rStyle w:val="IndexLink"/>
                <w:rtl w:val="true"/>
              </w:rPr>
              <w:t>فضلة مالا نفس له</w:t>
            </w:r>
            <w:r>
              <w:rPr>
                <w:rStyle w:val="IndexLink"/>
                <w:rtl w:val="true"/>
              </w:rPr>
              <w:tab/>
            </w:r>
            <w:r>
              <w:rPr>
                <w:rStyle w:val="IndexLink"/>
              </w:rPr>
              <w:t>59</w:t>
            </w:r>
          </w:hyperlink>
        </w:p>
        <w:p>
          <w:pPr>
            <w:pStyle w:val="Contents3"/>
            <w:tabs>
              <w:tab w:val="clear" w:pos="8459"/>
              <w:tab w:val="right" w:pos="9026" w:leader="dot"/>
            </w:tabs>
            <w:rPr/>
          </w:pPr>
          <w:hyperlink w:anchor="__RefHeading___Toc1666398_2322387425">
            <w:r>
              <w:rPr>
                <w:webHidden/>
                <w:rStyle w:val="IndexLink"/>
                <w:rtl w:val="true"/>
              </w:rPr>
              <w:t>ملاقاة النجاسة فی الباطن</w:t>
            </w:r>
            <w:r>
              <w:rPr>
                <w:rStyle w:val="IndexLink"/>
                <w:rtl w:val="true"/>
              </w:rPr>
              <w:tab/>
            </w:r>
            <w:r>
              <w:rPr>
                <w:rStyle w:val="IndexLink"/>
              </w:rPr>
              <w:t>59</w:t>
            </w:r>
          </w:hyperlink>
        </w:p>
        <w:p>
          <w:pPr>
            <w:pStyle w:val="Contents3"/>
            <w:tabs>
              <w:tab w:val="clear" w:pos="8459"/>
              <w:tab w:val="right" w:pos="9026" w:leader="dot"/>
            </w:tabs>
            <w:rPr/>
          </w:pPr>
          <w:hyperlink w:anchor="__RefHeading___Toc1666400_2322387425">
            <w:r>
              <w:rPr>
                <w:webHidden/>
                <w:rStyle w:val="IndexLink"/>
                <w:rtl w:val="true"/>
              </w:rPr>
              <w:t>بیع البول والغائط</w:t>
            </w:r>
            <w:r>
              <w:rPr>
                <w:rStyle w:val="IndexLink"/>
                <w:rtl w:val="true"/>
              </w:rPr>
              <w:tab/>
            </w:r>
            <w:r>
              <w:rPr>
                <w:rStyle w:val="IndexLink"/>
              </w:rPr>
              <w:t>63</w:t>
            </w:r>
          </w:hyperlink>
        </w:p>
        <w:p>
          <w:pPr>
            <w:pStyle w:val="Contents3"/>
            <w:tabs>
              <w:tab w:val="clear" w:pos="8459"/>
              <w:tab w:val="right" w:pos="9026" w:leader="dot"/>
            </w:tabs>
            <w:rPr/>
          </w:pPr>
          <w:hyperlink w:anchor="__RefHeading___Toc1666402_2322387425">
            <w:r>
              <w:rPr>
                <w:webHidden/>
                <w:rStyle w:val="IndexLink"/>
                <w:rtl w:val="true"/>
              </w:rPr>
              <w:t>الانتفاع بالبول والغائط</w:t>
            </w:r>
            <w:r>
              <w:rPr>
                <w:rStyle w:val="IndexLink"/>
                <w:rtl w:val="true"/>
              </w:rPr>
              <w:tab/>
            </w:r>
            <w:r>
              <w:rPr>
                <w:rStyle w:val="IndexLink"/>
              </w:rPr>
              <w:t>66</w:t>
            </w:r>
          </w:hyperlink>
        </w:p>
        <w:p>
          <w:pPr>
            <w:pStyle w:val="Contents3"/>
            <w:tabs>
              <w:tab w:val="clear" w:pos="8459"/>
              <w:tab w:val="right" w:pos="9026" w:leader="dot"/>
            </w:tabs>
            <w:rPr/>
          </w:pPr>
          <w:hyperlink w:anchor="__RefHeading___Toc1666404_2322387425">
            <w:r>
              <w:rPr>
                <w:webHidden/>
                <w:rStyle w:val="IndexLink"/>
                <w:rtl w:val="true"/>
              </w:rPr>
              <w:t>البول والغائط من الحیوان المشکوک</w:t>
            </w:r>
            <w:r>
              <w:rPr>
                <w:rStyle w:val="IndexLink"/>
                <w:rtl w:val="true"/>
              </w:rPr>
              <w:tab/>
            </w:r>
            <w:r>
              <w:rPr>
                <w:rStyle w:val="IndexLink"/>
              </w:rPr>
              <w:t>67</w:t>
            </w:r>
          </w:hyperlink>
        </w:p>
        <w:p>
          <w:pPr>
            <w:pStyle w:val="Contents3"/>
            <w:tabs>
              <w:tab w:val="clear" w:pos="8459"/>
              <w:tab w:val="right" w:pos="9026" w:leader="dot"/>
            </w:tabs>
            <w:rPr/>
          </w:pPr>
          <w:hyperlink w:anchor="__RefHeading___Toc1666406_2322387425">
            <w:r>
              <w:rPr>
                <w:webHidden/>
                <w:rStyle w:val="IndexLink"/>
                <w:rtl w:val="true"/>
              </w:rPr>
              <w:t>الثالث</w:t>
            </w:r>
            <w:r>
              <w:rPr>
                <w:rStyle w:val="IndexLink"/>
                <w:rtl w:val="true"/>
              </w:rPr>
              <w:t xml:space="preserve">: </w:t>
            </w:r>
            <w:r>
              <w:rPr>
                <w:rStyle w:val="IndexLink"/>
                <w:rtl w:val="true"/>
              </w:rPr>
              <w:t>المنی</w:t>
            </w:r>
            <w:r>
              <w:rPr>
                <w:rStyle w:val="IndexLink"/>
                <w:rtl w:val="true"/>
              </w:rPr>
              <w:tab/>
            </w:r>
            <w:r>
              <w:rPr>
                <w:rStyle w:val="IndexLink"/>
              </w:rPr>
              <w:t>76</w:t>
            </w:r>
          </w:hyperlink>
        </w:p>
        <w:p>
          <w:pPr>
            <w:pStyle w:val="Contents3"/>
            <w:tabs>
              <w:tab w:val="clear" w:pos="8459"/>
              <w:tab w:val="right" w:pos="9026" w:leader="dot"/>
            </w:tabs>
            <w:rPr/>
          </w:pPr>
          <w:hyperlink w:anchor="__RefHeading___Toc1666408_2322387425">
            <w:r>
              <w:rPr>
                <w:webHidden/>
                <w:rStyle w:val="IndexLink"/>
                <w:rtl w:val="true"/>
              </w:rPr>
              <w:t>الرابع</w:t>
            </w:r>
            <w:r>
              <w:rPr>
                <w:rStyle w:val="IndexLink"/>
                <w:rtl w:val="true"/>
              </w:rPr>
              <w:t xml:space="preserve">: </w:t>
            </w:r>
            <w:r>
              <w:rPr>
                <w:rStyle w:val="IndexLink"/>
                <w:rtl w:val="true"/>
              </w:rPr>
              <w:t>المیتة</w:t>
            </w:r>
            <w:r>
              <w:rPr>
                <w:rStyle w:val="IndexLink"/>
                <w:rtl w:val="true"/>
              </w:rPr>
              <w:tab/>
            </w:r>
            <w:r>
              <w:rPr>
                <w:rStyle w:val="IndexLink"/>
              </w:rPr>
              <w:t>76</w:t>
            </w:r>
          </w:hyperlink>
        </w:p>
        <w:p>
          <w:pPr>
            <w:pStyle w:val="Contents3"/>
            <w:tabs>
              <w:tab w:val="clear" w:pos="8459"/>
              <w:tab w:val="right" w:pos="9026" w:leader="dot"/>
            </w:tabs>
            <w:rPr/>
          </w:pPr>
          <w:hyperlink w:anchor="__RefHeading___Toc1666410_2322387425">
            <w:r>
              <w:rPr>
                <w:webHidden/>
                <w:rStyle w:val="IndexLink"/>
                <w:rtl w:val="true"/>
              </w:rPr>
              <w:t>الأجزاء المبانة من الحی</w:t>
            </w:r>
            <w:r>
              <w:rPr>
                <w:rStyle w:val="IndexLink"/>
                <w:rtl w:val="true"/>
              </w:rPr>
              <w:tab/>
            </w:r>
            <w:r>
              <w:rPr>
                <w:rStyle w:val="IndexLink"/>
              </w:rPr>
              <w:t>76</w:t>
            </w:r>
          </w:hyperlink>
        </w:p>
        <w:p>
          <w:pPr>
            <w:pStyle w:val="Contents3"/>
            <w:tabs>
              <w:tab w:val="clear" w:pos="8459"/>
              <w:tab w:val="right" w:pos="9026" w:leader="dot"/>
            </w:tabs>
            <w:rPr/>
          </w:pPr>
          <w:hyperlink w:anchor="__RefHeading___Toc1666412_2322387425">
            <w:r>
              <w:rPr>
                <w:webHidden/>
                <w:rStyle w:val="IndexLink"/>
                <w:rtl w:val="true"/>
              </w:rPr>
              <w:t>فأرة المسک</w:t>
            </w:r>
            <w:r>
              <w:rPr>
                <w:rStyle w:val="IndexLink"/>
                <w:rtl w:val="true"/>
              </w:rPr>
              <w:tab/>
            </w:r>
            <w:r>
              <w:rPr>
                <w:rStyle w:val="IndexLink"/>
              </w:rPr>
              <w:t>81</w:t>
            </w:r>
          </w:hyperlink>
        </w:p>
        <w:p>
          <w:pPr>
            <w:pStyle w:val="Contents3"/>
            <w:tabs>
              <w:tab w:val="clear" w:pos="8459"/>
              <w:tab w:val="right" w:pos="9026" w:leader="dot"/>
            </w:tabs>
            <w:rPr/>
          </w:pPr>
          <w:hyperlink w:anchor="__RefHeading___Toc1666414_2322387425">
            <w:r>
              <w:rPr>
                <w:webHidden/>
                <w:rStyle w:val="IndexLink"/>
                <w:rtl w:val="true"/>
              </w:rPr>
              <w:t>المراد من المیتة</w:t>
            </w:r>
            <w:r>
              <w:rPr>
                <w:rStyle w:val="IndexLink"/>
                <w:rtl w:val="true"/>
              </w:rPr>
              <w:tab/>
            </w:r>
            <w:r>
              <w:rPr>
                <w:rStyle w:val="IndexLink"/>
              </w:rPr>
              <w:t>90</w:t>
            </w:r>
          </w:hyperlink>
        </w:p>
        <w:p>
          <w:pPr>
            <w:pStyle w:val="Contents3"/>
            <w:tabs>
              <w:tab w:val="clear" w:pos="8459"/>
              <w:tab w:val="right" w:pos="9026" w:leader="dot"/>
            </w:tabs>
            <w:rPr/>
          </w:pPr>
          <w:hyperlink w:anchor="__RefHeading___Toc1666416_2322387425">
            <w:r>
              <w:rPr>
                <w:webHidden/>
                <w:rStyle w:val="IndexLink"/>
                <w:rtl w:val="true"/>
              </w:rPr>
              <w:t>أمارات التذکیة</w:t>
            </w:r>
            <w:r>
              <w:rPr>
                <w:rStyle w:val="IndexLink"/>
                <w:rtl w:val="true"/>
              </w:rPr>
              <w:tab/>
            </w:r>
            <w:r>
              <w:rPr>
                <w:rStyle w:val="IndexLink"/>
              </w:rPr>
              <w:t>90</w:t>
            </w:r>
          </w:hyperlink>
        </w:p>
        <w:p>
          <w:pPr>
            <w:pStyle w:val="Contents3"/>
            <w:tabs>
              <w:tab w:val="clear" w:pos="8459"/>
              <w:tab w:val="right" w:pos="9026" w:leader="dot"/>
            </w:tabs>
            <w:rPr/>
          </w:pPr>
          <w:hyperlink w:anchor="__RefHeading___Toc1666418_2322387425">
            <w:r>
              <w:rPr>
                <w:webHidden/>
                <w:rStyle w:val="IndexLink"/>
                <w:rtl w:val="true"/>
              </w:rPr>
              <w:t>ما یؤخذ من ید الکافر أو أرضهم</w:t>
            </w:r>
            <w:r>
              <w:rPr>
                <w:rStyle w:val="IndexLink"/>
                <w:rtl w:val="true"/>
              </w:rPr>
              <w:tab/>
            </w:r>
            <w:r>
              <w:rPr>
                <w:rStyle w:val="IndexLink"/>
              </w:rPr>
              <w:t>94</w:t>
            </w:r>
          </w:hyperlink>
        </w:p>
        <w:p>
          <w:pPr>
            <w:pStyle w:val="Contents3"/>
            <w:tabs>
              <w:tab w:val="clear" w:pos="8459"/>
              <w:tab w:val="right" w:pos="9026" w:leader="dot"/>
            </w:tabs>
            <w:rPr/>
          </w:pPr>
          <w:hyperlink w:anchor="__RefHeading___Toc1666420_2322387425">
            <w:r>
              <w:rPr>
                <w:webHidden/>
                <w:rStyle w:val="IndexLink"/>
                <w:rtl w:val="true"/>
              </w:rPr>
              <w:t>نجاسة السقط</w:t>
            </w:r>
            <w:r>
              <w:rPr>
                <w:rStyle w:val="IndexLink"/>
                <w:rtl w:val="true"/>
              </w:rPr>
              <w:tab/>
            </w:r>
            <w:r>
              <w:rPr>
                <w:rStyle w:val="IndexLink"/>
              </w:rPr>
              <w:t>96</w:t>
            </w:r>
          </w:hyperlink>
        </w:p>
        <w:p>
          <w:pPr>
            <w:pStyle w:val="Contents3"/>
            <w:tabs>
              <w:tab w:val="clear" w:pos="8459"/>
              <w:tab w:val="right" w:pos="9026" w:leader="dot"/>
            </w:tabs>
            <w:rPr/>
          </w:pPr>
          <w:hyperlink w:anchor="__RefHeading___Toc1666422_2322387425">
            <w:r>
              <w:rPr>
                <w:webHidden/>
                <w:rStyle w:val="IndexLink"/>
                <w:rtl w:val="true"/>
              </w:rPr>
              <w:t>نجاسة المیت قبل البرد</w:t>
            </w:r>
            <w:r>
              <w:rPr>
                <w:rStyle w:val="IndexLink"/>
                <w:rtl w:val="true"/>
              </w:rPr>
              <w:tab/>
            </w:r>
            <w:r>
              <w:rPr>
                <w:rStyle w:val="IndexLink"/>
              </w:rPr>
              <w:t>97</w:t>
            </w:r>
          </w:hyperlink>
        </w:p>
        <w:p>
          <w:pPr>
            <w:pStyle w:val="Contents3"/>
            <w:tabs>
              <w:tab w:val="clear" w:pos="8459"/>
              <w:tab w:val="right" w:pos="9026" w:leader="dot"/>
            </w:tabs>
            <w:rPr/>
          </w:pPr>
          <w:hyperlink w:anchor="__RefHeading___Toc1666424_2322387425">
            <w:r>
              <w:rPr>
                <w:webHidden/>
                <w:rStyle w:val="IndexLink"/>
                <w:rtl w:val="true"/>
              </w:rPr>
              <w:t>نجاسة المضغة و المشیمة</w:t>
            </w:r>
            <w:r>
              <w:rPr>
                <w:rStyle w:val="IndexLink"/>
                <w:rtl w:val="true"/>
              </w:rPr>
              <w:tab/>
            </w:r>
            <w:r>
              <w:rPr>
                <w:rStyle w:val="IndexLink"/>
              </w:rPr>
              <w:t>98</w:t>
            </w:r>
          </w:hyperlink>
        </w:p>
        <w:p>
          <w:pPr>
            <w:pStyle w:val="Contents3"/>
            <w:tabs>
              <w:tab w:val="clear" w:pos="8459"/>
              <w:tab w:val="right" w:pos="9026" w:leader="dot"/>
            </w:tabs>
            <w:rPr/>
          </w:pPr>
          <w:hyperlink w:anchor="__RefHeading___Toc1666426_2322387425">
            <w:r>
              <w:rPr>
                <w:webHidden/>
                <w:rStyle w:val="IndexLink"/>
                <w:rtl w:val="true"/>
              </w:rPr>
              <w:t>العضو المقطوع المعلق بالبدن</w:t>
            </w:r>
            <w:r>
              <w:rPr>
                <w:rStyle w:val="IndexLink"/>
                <w:rtl w:val="true"/>
              </w:rPr>
              <w:tab/>
            </w:r>
            <w:r>
              <w:rPr>
                <w:rStyle w:val="IndexLink"/>
              </w:rPr>
              <w:t>100</w:t>
            </w:r>
          </w:hyperlink>
        </w:p>
        <w:p>
          <w:pPr>
            <w:pStyle w:val="Contents3"/>
            <w:tabs>
              <w:tab w:val="clear" w:pos="8459"/>
              <w:tab w:val="right" w:pos="9026" w:leader="dot"/>
            </w:tabs>
            <w:rPr/>
          </w:pPr>
          <w:hyperlink w:anchor="__RefHeading___Toc1666428_2322387425">
            <w:r>
              <w:rPr>
                <w:webHidden/>
                <w:rStyle w:val="IndexLink"/>
                <w:rtl w:val="true"/>
              </w:rPr>
              <w:t>حکم الجند</w:t>
            </w:r>
            <w:r>
              <w:rPr>
                <w:rStyle w:val="IndexLink"/>
                <w:rtl w:val="true"/>
              </w:rPr>
              <w:tab/>
            </w:r>
            <w:r>
              <w:rPr>
                <w:rStyle w:val="IndexLink"/>
              </w:rPr>
              <w:t>101</w:t>
            </w:r>
          </w:hyperlink>
        </w:p>
        <w:p>
          <w:pPr>
            <w:pStyle w:val="Contents3"/>
            <w:tabs>
              <w:tab w:val="clear" w:pos="8459"/>
              <w:tab w:val="right" w:pos="9026" w:leader="dot"/>
            </w:tabs>
            <w:rPr/>
          </w:pPr>
          <w:hyperlink w:anchor="__RefHeading___Toc1666430_2322387425">
            <w:r>
              <w:rPr>
                <w:webHidden/>
                <w:rStyle w:val="IndexLink"/>
                <w:rtl w:val="true"/>
              </w:rPr>
              <w:t>بیع المیتة</w:t>
            </w:r>
            <w:r>
              <w:rPr>
                <w:rStyle w:val="IndexLink"/>
                <w:rtl w:val="true"/>
              </w:rPr>
              <w:tab/>
            </w:r>
            <w:r>
              <w:rPr>
                <w:rStyle w:val="IndexLink"/>
              </w:rPr>
              <w:t>105</w:t>
            </w:r>
          </w:hyperlink>
        </w:p>
        <w:p>
          <w:pPr>
            <w:pStyle w:val="Contents3"/>
            <w:tabs>
              <w:tab w:val="clear" w:pos="8459"/>
              <w:tab w:val="right" w:pos="9026" w:leader="dot"/>
            </w:tabs>
            <w:rPr/>
          </w:pPr>
          <w:hyperlink w:anchor="__RefHeading___Toc1666432_2322387425">
            <w:r>
              <w:rPr>
                <w:webHidden/>
                <w:rStyle w:val="IndexLink"/>
                <w:rtl w:val="true"/>
              </w:rPr>
              <w:t>الانتفاع بالمیتة</w:t>
            </w:r>
            <w:r>
              <w:rPr>
                <w:rStyle w:val="IndexLink"/>
                <w:rtl w:val="true"/>
              </w:rPr>
              <w:tab/>
            </w:r>
            <w:r>
              <w:rPr>
                <w:rStyle w:val="IndexLink"/>
              </w:rPr>
              <w:t>105</w:t>
            </w:r>
          </w:hyperlink>
        </w:p>
        <w:p>
          <w:pPr>
            <w:pStyle w:val="Contents3"/>
            <w:tabs>
              <w:tab w:val="clear" w:pos="8459"/>
              <w:tab w:val="right" w:pos="9026" w:leader="dot"/>
            </w:tabs>
            <w:rPr/>
          </w:pPr>
          <w:hyperlink w:anchor="__RefHeading___Toc1666434_2322387425">
            <w:r>
              <w:rPr>
                <w:webHidden/>
                <w:rStyle w:val="IndexLink"/>
                <w:rtl w:val="true"/>
              </w:rPr>
              <w:t>الخامس</w:t>
            </w:r>
            <w:r>
              <w:rPr>
                <w:rStyle w:val="IndexLink"/>
                <w:rtl w:val="true"/>
              </w:rPr>
              <w:t xml:space="preserve">: </w:t>
            </w:r>
            <w:r>
              <w:rPr>
                <w:rStyle w:val="IndexLink"/>
                <w:rtl w:val="true"/>
              </w:rPr>
              <w:t>الدم</w:t>
            </w:r>
            <w:r>
              <w:rPr>
                <w:rStyle w:val="IndexLink"/>
                <w:rtl w:val="true"/>
              </w:rPr>
              <w:tab/>
            </w:r>
            <w:r>
              <w:rPr>
                <w:rStyle w:val="IndexLink"/>
              </w:rPr>
              <w:t>106</w:t>
            </w:r>
          </w:hyperlink>
        </w:p>
        <w:p>
          <w:pPr>
            <w:pStyle w:val="Contents3"/>
            <w:tabs>
              <w:tab w:val="clear" w:pos="8459"/>
              <w:tab w:val="right" w:pos="9026" w:leader="dot"/>
            </w:tabs>
            <w:rPr/>
          </w:pPr>
          <w:hyperlink w:anchor="__RefHeading___Toc1666436_2322387425">
            <w:r>
              <w:rPr>
                <w:webHidden/>
                <w:rStyle w:val="IndexLink"/>
                <w:rtl w:val="true"/>
              </w:rPr>
              <w:t>السادس و السابع</w:t>
            </w:r>
            <w:r>
              <w:rPr>
                <w:rStyle w:val="IndexLink"/>
                <w:rtl w:val="true"/>
              </w:rPr>
              <w:t xml:space="preserve">: </w:t>
            </w:r>
            <w:r>
              <w:rPr>
                <w:rStyle w:val="IndexLink"/>
                <w:rtl w:val="true"/>
              </w:rPr>
              <w:t>الکلب و الخنزیر</w:t>
            </w:r>
            <w:r>
              <w:rPr>
                <w:rStyle w:val="IndexLink"/>
                <w:rtl w:val="true"/>
              </w:rPr>
              <w:tab/>
            </w:r>
            <w:r>
              <w:rPr>
                <w:rStyle w:val="IndexLink"/>
              </w:rPr>
              <w:t>127</w:t>
            </w:r>
          </w:hyperlink>
        </w:p>
        <w:p>
          <w:pPr>
            <w:pStyle w:val="Contents3"/>
            <w:tabs>
              <w:tab w:val="clear" w:pos="8459"/>
              <w:tab w:val="right" w:pos="9026" w:leader="dot"/>
            </w:tabs>
            <w:rPr/>
          </w:pPr>
          <w:hyperlink w:anchor="__RefHeading___Toc1666438_2322387425">
            <w:r>
              <w:rPr>
                <w:webHidden/>
                <w:rStyle w:val="IndexLink"/>
                <w:rtl w:val="true"/>
              </w:rPr>
              <w:t>الثامن</w:t>
            </w:r>
            <w:r>
              <w:rPr>
                <w:rStyle w:val="IndexLink"/>
                <w:rtl w:val="true"/>
              </w:rPr>
              <w:t xml:space="preserve">: </w:t>
            </w:r>
            <w:r>
              <w:rPr>
                <w:rStyle w:val="IndexLink"/>
                <w:rtl w:val="true"/>
              </w:rPr>
              <w:t>الکفر</w:t>
            </w:r>
            <w:r>
              <w:rPr>
                <w:rStyle w:val="IndexLink"/>
                <w:rtl w:val="true"/>
              </w:rPr>
              <w:tab/>
            </w:r>
            <w:r>
              <w:rPr>
                <w:rStyle w:val="IndexLink"/>
              </w:rPr>
              <w:t>129</w:t>
            </w:r>
          </w:hyperlink>
        </w:p>
        <w:p>
          <w:pPr>
            <w:pStyle w:val="Contents3"/>
            <w:tabs>
              <w:tab w:val="clear" w:pos="8459"/>
              <w:tab w:val="right" w:pos="9026" w:leader="dot"/>
            </w:tabs>
            <w:rPr/>
          </w:pPr>
          <w:hyperlink w:anchor="__RefHeading___Toc1666440_2322387425">
            <w:r>
              <w:rPr>
                <w:webHidden/>
                <w:rStyle w:val="IndexLink"/>
                <w:rtl w:val="true"/>
              </w:rPr>
              <w:t>المراد بالکافر</w:t>
            </w:r>
            <w:r>
              <w:rPr>
                <w:rStyle w:val="IndexLink"/>
                <w:rtl w:val="true"/>
              </w:rPr>
              <w:tab/>
            </w:r>
            <w:r>
              <w:rPr>
                <w:rStyle w:val="IndexLink"/>
              </w:rPr>
              <w:t>130</w:t>
            </w:r>
          </w:hyperlink>
        </w:p>
        <w:p>
          <w:pPr>
            <w:pStyle w:val="Contents3"/>
            <w:tabs>
              <w:tab w:val="clear" w:pos="8459"/>
              <w:tab w:val="right" w:pos="9026" w:leader="dot"/>
            </w:tabs>
            <w:rPr/>
          </w:pPr>
          <w:hyperlink w:anchor="__RefHeading___Toc1666442_2322387425">
            <w:r>
              <w:rPr>
                <w:webHidden/>
                <w:rStyle w:val="IndexLink"/>
                <w:rtl w:val="true"/>
              </w:rPr>
              <w:t>ولد الکافر</w:t>
            </w:r>
            <w:r>
              <w:rPr>
                <w:rStyle w:val="IndexLink"/>
                <w:rtl w:val="true"/>
              </w:rPr>
              <w:tab/>
            </w:r>
            <w:r>
              <w:rPr>
                <w:rStyle w:val="IndexLink"/>
              </w:rPr>
              <w:t>133</w:t>
            </w:r>
          </w:hyperlink>
        </w:p>
        <w:p>
          <w:pPr>
            <w:pStyle w:val="Contents3"/>
            <w:tabs>
              <w:tab w:val="clear" w:pos="8459"/>
              <w:tab w:val="right" w:pos="9026" w:leader="dot"/>
            </w:tabs>
            <w:rPr/>
          </w:pPr>
          <w:hyperlink w:anchor="__RefHeading___Toc1666444_2322387425">
            <w:r>
              <w:rPr>
                <w:webHidden/>
                <w:rStyle w:val="IndexLink"/>
                <w:rtl w:val="true"/>
              </w:rPr>
              <w:t>التاسع</w:t>
            </w:r>
            <w:r>
              <w:rPr>
                <w:rStyle w:val="IndexLink"/>
                <w:rtl w:val="true"/>
              </w:rPr>
              <w:t xml:space="preserve">: </w:t>
            </w:r>
            <w:r>
              <w:rPr>
                <w:rStyle w:val="IndexLink"/>
                <w:rtl w:val="true"/>
              </w:rPr>
              <w:t>الخمر</w:t>
            </w:r>
            <w:r>
              <w:rPr>
                <w:rStyle w:val="IndexLink"/>
                <w:rtl w:val="true"/>
              </w:rPr>
              <w:tab/>
            </w:r>
            <w:r>
              <w:rPr>
                <w:rStyle w:val="IndexLink"/>
              </w:rPr>
              <w:t>142</w:t>
            </w:r>
          </w:hyperlink>
        </w:p>
        <w:p>
          <w:pPr>
            <w:pStyle w:val="Contents3"/>
            <w:tabs>
              <w:tab w:val="clear" w:pos="8459"/>
              <w:tab w:val="right" w:pos="9026" w:leader="dot"/>
            </w:tabs>
            <w:rPr/>
          </w:pPr>
          <w:hyperlink w:anchor="__RefHeading___Toc1666446_2322387425">
            <w:r>
              <w:rPr>
                <w:webHidden/>
                <w:rStyle w:val="IndexLink"/>
                <w:rtl w:val="true"/>
              </w:rPr>
              <w:t>العاشر</w:t>
            </w:r>
            <w:r>
              <w:rPr>
                <w:rStyle w:val="IndexLink"/>
                <w:rtl w:val="true"/>
              </w:rPr>
              <w:t xml:space="preserve">: </w:t>
            </w:r>
            <w:r>
              <w:rPr>
                <w:rStyle w:val="IndexLink"/>
                <w:rtl w:val="true"/>
              </w:rPr>
              <w:t>الفقاع</w:t>
            </w:r>
            <w:r>
              <w:rPr>
                <w:rStyle w:val="IndexLink"/>
                <w:rtl w:val="true"/>
              </w:rPr>
              <w:tab/>
            </w:r>
            <w:r>
              <w:rPr>
                <w:rStyle w:val="IndexLink"/>
              </w:rPr>
              <w:t>153</w:t>
            </w:r>
          </w:hyperlink>
        </w:p>
        <w:p>
          <w:pPr>
            <w:pStyle w:val="Contents3"/>
            <w:tabs>
              <w:tab w:val="clear" w:pos="8459"/>
              <w:tab w:val="right" w:pos="9026" w:leader="dot"/>
            </w:tabs>
            <w:rPr/>
          </w:pPr>
          <w:hyperlink w:anchor="__RefHeading___Toc1666448_2322387425">
            <w:r>
              <w:rPr>
                <w:webHidden/>
                <w:rStyle w:val="IndexLink"/>
                <w:rtl w:val="true"/>
              </w:rPr>
              <w:t>الحادی عشر</w:t>
            </w:r>
            <w:r>
              <w:rPr>
                <w:rStyle w:val="IndexLink"/>
                <w:rtl w:val="true"/>
              </w:rPr>
              <w:t xml:space="preserve">: </w:t>
            </w:r>
            <w:r>
              <w:rPr>
                <w:rStyle w:val="IndexLink"/>
                <w:rtl w:val="true"/>
              </w:rPr>
              <w:t>عرق الجنب من حرام</w:t>
            </w:r>
            <w:r>
              <w:rPr>
                <w:rStyle w:val="IndexLink"/>
                <w:rtl w:val="true"/>
              </w:rPr>
              <w:tab/>
            </w:r>
            <w:r>
              <w:rPr>
                <w:rStyle w:val="IndexLink"/>
              </w:rPr>
              <w:t>154</w:t>
            </w:r>
          </w:hyperlink>
        </w:p>
        <w:p>
          <w:pPr>
            <w:pStyle w:val="Contents3"/>
            <w:tabs>
              <w:tab w:val="clear" w:pos="8459"/>
              <w:tab w:val="right" w:pos="9026" w:leader="dot"/>
            </w:tabs>
            <w:rPr/>
          </w:pPr>
          <w:hyperlink w:anchor="__RefHeading___Toc1666450_2322387425">
            <w:r>
              <w:rPr>
                <w:webHidden/>
                <w:rStyle w:val="IndexLink"/>
                <w:rtl w:val="true"/>
              </w:rPr>
              <w:t>الثانی عشر</w:t>
            </w:r>
            <w:r>
              <w:rPr>
                <w:rStyle w:val="IndexLink"/>
                <w:rtl w:val="true"/>
              </w:rPr>
              <w:t xml:space="preserve">: </w:t>
            </w:r>
            <w:r>
              <w:rPr>
                <w:rStyle w:val="IndexLink"/>
                <w:rtl w:val="true"/>
              </w:rPr>
              <w:t>عرق الابل الجلالة</w:t>
            </w:r>
            <w:r>
              <w:rPr>
                <w:rStyle w:val="IndexLink"/>
                <w:rtl w:val="true"/>
              </w:rPr>
              <w:tab/>
            </w:r>
            <w:r>
              <w:rPr>
                <w:rStyle w:val="IndexLink"/>
              </w:rPr>
              <w:t>165</w:t>
            </w:r>
          </w:hyperlink>
        </w:p>
        <w:p>
          <w:pPr>
            <w:pStyle w:val="Contents2"/>
            <w:tabs>
              <w:tab w:val="clear" w:pos="8743"/>
              <w:tab w:val="right" w:pos="9026" w:leader="dot"/>
            </w:tabs>
            <w:rPr/>
          </w:pPr>
          <w:hyperlink w:anchor="__RefHeading___Toc1666452_2322387425">
            <w:r>
              <w:rPr>
                <w:webHidden/>
                <w:rStyle w:val="IndexLink"/>
                <w:rtl w:val="true"/>
              </w:rPr>
              <w:t>فصل فی طرق ثبوت النجاسة</w:t>
            </w:r>
            <w:r>
              <w:rPr>
                <w:rStyle w:val="IndexLink"/>
                <w:rtl w:val="true"/>
              </w:rPr>
              <w:tab/>
            </w:r>
            <w:r>
              <w:rPr>
                <w:rStyle w:val="IndexLink"/>
              </w:rPr>
              <w:t>169</w:t>
            </w:r>
          </w:hyperlink>
        </w:p>
        <w:p>
          <w:pPr>
            <w:pStyle w:val="Contents3"/>
            <w:tabs>
              <w:tab w:val="clear" w:pos="8459"/>
              <w:tab w:val="right" w:pos="9026" w:leader="dot"/>
            </w:tabs>
            <w:rPr/>
          </w:pPr>
          <w:hyperlink w:anchor="__RefHeading___Toc1666454_2322387425">
            <w:r>
              <w:rPr>
                <w:webHidden/>
                <w:rStyle w:val="IndexLink"/>
                <w:rtl w:val="true"/>
              </w:rPr>
              <w:t>ثبوت النجاسة بالعلم الوجدانی وبالبینة العادلة</w:t>
            </w:r>
            <w:r>
              <w:rPr>
                <w:rStyle w:val="IndexLink"/>
                <w:rtl w:val="true"/>
              </w:rPr>
              <w:tab/>
            </w:r>
            <w:r>
              <w:rPr>
                <w:rStyle w:val="IndexLink"/>
              </w:rPr>
              <w:t>169</w:t>
            </w:r>
          </w:hyperlink>
        </w:p>
        <w:p>
          <w:pPr>
            <w:pStyle w:val="Contents3"/>
            <w:tabs>
              <w:tab w:val="clear" w:pos="8459"/>
              <w:tab w:val="right" w:pos="9026" w:leader="dot"/>
            </w:tabs>
            <w:rPr/>
          </w:pPr>
          <w:hyperlink w:anchor="__RefHeading___Toc1666456_2322387425">
            <w:r>
              <w:rPr>
                <w:webHidden/>
                <w:rStyle w:val="IndexLink"/>
                <w:rtl w:val="true"/>
              </w:rPr>
              <w:t>ثبوت النجاسة بقول ذی الید</w:t>
            </w:r>
            <w:r>
              <w:rPr>
                <w:rStyle w:val="IndexLink"/>
                <w:rtl w:val="true"/>
              </w:rPr>
              <w:tab/>
            </w:r>
            <w:r>
              <w:rPr>
                <w:rStyle w:val="IndexLink"/>
              </w:rPr>
              <w:t>171</w:t>
            </w:r>
          </w:hyperlink>
        </w:p>
        <w:p>
          <w:pPr>
            <w:pStyle w:val="Contents3"/>
            <w:tabs>
              <w:tab w:val="clear" w:pos="8459"/>
              <w:tab w:val="right" w:pos="9026" w:leader="dot"/>
            </w:tabs>
            <w:rPr/>
          </w:pPr>
          <w:hyperlink w:anchor="__RefHeading___Toc1666458_2322387425">
            <w:r>
              <w:rPr>
                <w:webHidden/>
                <w:rStyle w:val="IndexLink"/>
                <w:rtl w:val="true"/>
              </w:rPr>
              <w:t>عدم ثبوت النجاسة بمطلق الظن</w:t>
            </w:r>
            <w:r>
              <w:rPr>
                <w:rStyle w:val="IndexLink"/>
                <w:rtl w:val="true"/>
              </w:rPr>
              <w:tab/>
            </w:r>
            <w:r>
              <w:rPr>
                <w:rStyle w:val="IndexLink"/>
              </w:rPr>
              <w:t>172</w:t>
            </w:r>
          </w:hyperlink>
        </w:p>
        <w:p>
          <w:pPr>
            <w:pStyle w:val="Contents3"/>
            <w:tabs>
              <w:tab w:val="clear" w:pos="8459"/>
              <w:tab w:val="right" w:pos="9026" w:leader="dot"/>
            </w:tabs>
            <w:rPr/>
          </w:pPr>
          <w:hyperlink w:anchor="__RefHeading___Toc1666460_2322387425">
            <w:r>
              <w:rPr>
                <w:webHidden/>
                <w:rStyle w:val="IndexLink"/>
                <w:rtl w:val="true"/>
              </w:rPr>
              <w:t>عدم الاعتبار بعلم الوسواسی</w:t>
            </w:r>
            <w:r>
              <w:rPr>
                <w:rStyle w:val="IndexLink"/>
                <w:rtl w:val="true"/>
              </w:rPr>
              <w:tab/>
            </w:r>
            <w:r>
              <w:rPr>
                <w:rStyle w:val="IndexLink"/>
              </w:rPr>
              <w:t>173</w:t>
            </w:r>
          </w:hyperlink>
        </w:p>
        <w:p>
          <w:pPr>
            <w:pStyle w:val="Contents3"/>
            <w:tabs>
              <w:tab w:val="clear" w:pos="8459"/>
              <w:tab w:val="right" w:pos="9026" w:leader="dot"/>
            </w:tabs>
            <w:rPr/>
          </w:pPr>
          <w:hyperlink w:anchor="__RefHeading___Toc1666462_2322387425">
            <w:r>
              <w:rPr>
                <w:webHidden/>
                <w:rStyle w:val="IndexLink"/>
                <w:rtl w:val="true"/>
              </w:rPr>
              <w:t>ثبوت النجاسة بالعلم الإجمالی</w:t>
            </w:r>
            <w:r>
              <w:rPr>
                <w:rStyle w:val="IndexLink"/>
                <w:rtl w:val="true"/>
              </w:rPr>
              <w:tab/>
            </w:r>
            <w:r>
              <w:rPr>
                <w:rStyle w:val="IndexLink"/>
              </w:rPr>
              <w:t>176</w:t>
            </w:r>
          </w:hyperlink>
        </w:p>
        <w:p>
          <w:pPr>
            <w:pStyle w:val="Contents3"/>
            <w:tabs>
              <w:tab w:val="clear" w:pos="8459"/>
              <w:tab w:val="right" w:pos="9026" w:leader="dot"/>
            </w:tabs>
            <w:rPr/>
          </w:pPr>
          <w:hyperlink w:anchor="__RefHeading___Toc1666464_2322387425">
            <w:r>
              <w:rPr>
                <w:webHidden/>
                <w:rStyle w:val="IndexLink"/>
                <w:rtl w:val="true"/>
              </w:rPr>
              <w:t>فیما لا یعتبر بالبینة</w:t>
            </w:r>
            <w:r>
              <w:rPr>
                <w:rStyle w:val="IndexLink"/>
                <w:rtl w:val="true"/>
              </w:rPr>
              <w:tab/>
            </w:r>
            <w:r>
              <w:rPr>
                <w:rStyle w:val="IndexLink"/>
              </w:rPr>
              <w:t>177</w:t>
            </w:r>
          </w:hyperlink>
        </w:p>
        <w:p>
          <w:pPr>
            <w:pStyle w:val="Contents3"/>
            <w:tabs>
              <w:tab w:val="clear" w:pos="8459"/>
              <w:tab w:val="right" w:pos="9026" w:leader="dot"/>
            </w:tabs>
            <w:rPr/>
          </w:pPr>
          <w:hyperlink w:anchor="__RefHeading___Toc1666466_2322387425">
            <w:r>
              <w:rPr>
                <w:webHidden/>
                <w:rStyle w:val="IndexLink"/>
                <w:rtl w:val="true"/>
              </w:rPr>
              <w:t>فروع فی الشهادة بالنجاسة</w:t>
            </w:r>
            <w:r>
              <w:rPr>
                <w:rStyle w:val="IndexLink"/>
                <w:rtl w:val="true"/>
              </w:rPr>
              <w:tab/>
            </w:r>
            <w:r>
              <w:rPr>
                <w:rStyle w:val="IndexLink"/>
              </w:rPr>
              <w:t>178</w:t>
            </w:r>
          </w:hyperlink>
        </w:p>
        <w:p>
          <w:pPr>
            <w:pStyle w:val="Contents3"/>
            <w:tabs>
              <w:tab w:val="clear" w:pos="8459"/>
              <w:tab w:val="right" w:pos="9026" w:leader="dot"/>
            </w:tabs>
            <w:rPr/>
          </w:pPr>
          <w:hyperlink w:anchor="__RefHeading___Toc1666468_2322387425">
            <w:r>
              <w:rPr>
                <w:webHidden/>
                <w:rStyle w:val="IndexLink"/>
                <w:rtl w:val="true"/>
              </w:rPr>
              <w:t>قبول خبر صاحب الید بالنجاسة</w:t>
            </w:r>
            <w:r>
              <w:rPr>
                <w:rStyle w:val="IndexLink"/>
                <w:rtl w:val="true"/>
              </w:rPr>
              <w:tab/>
            </w:r>
            <w:r>
              <w:rPr>
                <w:rStyle w:val="IndexLink"/>
              </w:rPr>
              <w:t>196</w:t>
            </w:r>
          </w:hyperlink>
        </w:p>
        <w:p>
          <w:pPr>
            <w:pStyle w:val="Contents3"/>
            <w:tabs>
              <w:tab w:val="clear" w:pos="8459"/>
              <w:tab w:val="right" w:pos="9026" w:leader="dot"/>
            </w:tabs>
            <w:rPr/>
          </w:pPr>
          <w:hyperlink w:anchor="__RefHeading___Toc1666470_2322387425">
            <w:r>
              <w:rPr>
                <w:webHidden/>
                <w:rStyle w:val="IndexLink"/>
                <w:rtl w:val="true"/>
              </w:rPr>
              <w:t>لا یعتبر العدالة فی حجیة خبر صاحب الید مع الکلام فی اعتبار الإسلام والبلوغ</w:t>
            </w:r>
            <w:r>
              <w:rPr>
                <w:rStyle w:val="IndexLink"/>
                <w:rtl w:val="true"/>
              </w:rPr>
              <w:tab/>
            </w:r>
            <w:r>
              <w:rPr>
                <w:rStyle w:val="IndexLink"/>
              </w:rPr>
              <w:t>201</w:t>
            </w:r>
          </w:hyperlink>
        </w:p>
        <w:p>
          <w:pPr>
            <w:pStyle w:val="Contents3"/>
            <w:tabs>
              <w:tab w:val="clear" w:pos="8459"/>
              <w:tab w:val="right" w:pos="9026" w:leader="dot"/>
            </w:tabs>
            <w:rPr/>
          </w:pPr>
          <w:hyperlink w:anchor="__RefHeading___Toc1666472_2322387425">
            <w:r>
              <w:rPr>
                <w:webHidden/>
                <w:rStyle w:val="IndexLink"/>
                <w:rtl w:val="true"/>
              </w:rPr>
              <w:t>حکم ما إذا أخبر صاحب الید بعد الاستعمال</w:t>
            </w:r>
            <w:r>
              <w:rPr>
                <w:rStyle w:val="IndexLink"/>
                <w:rtl w:val="true"/>
              </w:rPr>
              <w:tab/>
            </w:r>
            <w:r>
              <w:rPr>
                <w:rStyle w:val="IndexLink"/>
              </w:rPr>
              <w:t>202</w:t>
            </w:r>
          </w:hyperlink>
        </w:p>
        <w:p>
          <w:pPr>
            <w:pStyle w:val="Contents2"/>
            <w:tabs>
              <w:tab w:val="clear" w:pos="8743"/>
              <w:tab w:val="right" w:pos="9026" w:leader="dot"/>
            </w:tabs>
            <w:rPr/>
          </w:pPr>
          <w:hyperlink w:anchor="__RefHeading___Toc1666474_2322387425">
            <w:r>
              <w:rPr>
                <w:webHidden/>
                <w:rStyle w:val="IndexLink"/>
                <w:rtl w:val="true"/>
              </w:rPr>
              <w:t>فصل فی کیفیّة تنجّس المتنجّسات</w:t>
            </w:r>
            <w:r>
              <w:rPr>
                <w:rStyle w:val="IndexLink"/>
                <w:rtl w:val="true"/>
              </w:rPr>
              <w:tab/>
            </w:r>
            <w:r>
              <w:rPr>
                <w:rStyle w:val="IndexLink"/>
              </w:rPr>
              <w:t>204</w:t>
            </w:r>
          </w:hyperlink>
        </w:p>
        <w:p>
          <w:pPr>
            <w:pStyle w:val="Contents3"/>
            <w:tabs>
              <w:tab w:val="clear" w:pos="8459"/>
              <w:tab w:val="right" w:pos="9026" w:leader="dot"/>
            </w:tabs>
            <w:rPr/>
          </w:pPr>
          <w:hyperlink w:anchor="__RefHeading___Toc1666476_2322387425">
            <w:r>
              <w:rPr>
                <w:webHidden/>
                <w:rStyle w:val="IndexLink"/>
                <w:rtl w:val="true"/>
              </w:rPr>
              <w:t>شروط التنجس</w:t>
            </w:r>
            <w:r>
              <w:rPr>
                <w:rStyle w:val="IndexLink"/>
                <w:rtl w:val="true"/>
              </w:rPr>
              <w:tab/>
            </w:r>
            <w:r>
              <w:rPr>
                <w:rStyle w:val="IndexLink"/>
              </w:rPr>
              <w:t>204</w:t>
            </w:r>
          </w:hyperlink>
        </w:p>
        <w:p>
          <w:pPr>
            <w:pStyle w:val="Contents3"/>
            <w:tabs>
              <w:tab w:val="clear" w:pos="8459"/>
              <w:tab w:val="right" w:pos="9026" w:leader="dot"/>
            </w:tabs>
            <w:rPr/>
          </w:pPr>
          <w:hyperlink w:anchor="__RefHeading___Toc1666478_2322387425">
            <w:r>
              <w:rPr>
                <w:webHidden/>
                <w:rStyle w:val="IndexLink"/>
                <w:rtl w:val="true"/>
              </w:rPr>
              <w:t>منجسیة المتنجس</w:t>
            </w:r>
            <w:r>
              <w:rPr>
                <w:rStyle w:val="IndexLink"/>
                <w:rtl w:val="true"/>
              </w:rPr>
              <w:tab/>
            </w:r>
            <w:r>
              <w:rPr>
                <w:rStyle w:val="IndexLink"/>
              </w:rPr>
              <w:t>219</w:t>
            </w:r>
          </w:hyperlink>
        </w:p>
        <w:p>
          <w:pPr>
            <w:pStyle w:val="Contents3"/>
            <w:tabs>
              <w:tab w:val="clear" w:pos="8459"/>
              <w:tab w:val="right" w:pos="9026" w:leader="dot"/>
            </w:tabs>
            <w:rPr/>
          </w:pPr>
          <w:hyperlink w:anchor="__RefHeading___Toc1666480_2322387425">
            <w:r>
              <w:rPr>
                <w:webHidden/>
                <w:rStyle w:val="IndexLink"/>
                <w:rtl w:val="true"/>
              </w:rPr>
              <w:t>فروع فی کیفیة التنجیس</w:t>
            </w:r>
            <w:r>
              <w:rPr>
                <w:rStyle w:val="IndexLink"/>
                <w:rtl w:val="true"/>
              </w:rPr>
              <w:tab/>
            </w:r>
            <w:r>
              <w:rPr>
                <w:rStyle w:val="IndexLink"/>
              </w:rPr>
              <w:t>224</w:t>
            </w:r>
          </w:hyperlink>
        </w:p>
        <w:p>
          <w:pPr>
            <w:pStyle w:val="Contents2"/>
            <w:tabs>
              <w:tab w:val="clear" w:pos="8743"/>
              <w:tab w:val="right" w:pos="9026" w:leader="dot"/>
            </w:tabs>
            <w:rPr/>
          </w:pPr>
          <w:hyperlink w:anchor="__RefHeading___Toc1666482_2322387425">
            <w:r>
              <w:rPr>
                <w:webHidden/>
                <w:rStyle w:val="IndexLink"/>
                <w:rtl w:val="true"/>
              </w:rPr>
              <w:t>فصل فی أحکام النجاسات</w:t>
            </w:r>
            <w:r>
              <w:rPr>
                <w:rStyle w:val="IndexLink"/>
                <w:rtl w:val="true"/>
              </w:rPr>
              <w:tab/>
            </w:r>
            <w:r>
              <w:rPr>
                <w:rStyle w:val="IndexLink"/>
              </w:rPr>
              <w:t>228</w:t>
            </w:r>
          </w:hyperlink>
        </w:p>
        <w:p>
          <w:pPr>
            <w:pStyle w:val="Contents3"/>
            <w:tabs>
              <w:tab w:val="clear" w:pos="8459"/>
              <w:tab w:val="right" w:pos="9026" w:leader="dot"/>
            </w:tabs>
            <w:rPr/>
          </w:pPr>
          <w:hyperlink w:anchor="__RefHeading___Toc1666484_2322387425">
            <w:r>
              <w:rPr>
                <w:webHidden/>
                <w:rStyle w:val="IndexLink"/>
                <w:rtl w:val="true"/>
              </w:rPr>
              <w:t>اشتراط الطهارة فی الصلاة</w:t>
            </w:r>
            <w:r>
              <w:rPr>
                <w:rStyle w:val="IndexLink"/>
                <w:rtl w:val="true"/>
              </w:rPr>
              <w:tab/>
            </w:r>
            <w:r>
              <w:rPr>
                <w:rStyle w:val="IndexLink"/>
              </w:rPr>
              <w:t>228</w:t>
            </w:r>
          </w:hyperlink>
        </w:p>
        <w:p>
          <w:pPr>
            <w:pStyle w:val="Contents3"/>
            <w:tabs>
              <w:tab w:val="clear" w:pos="8459"/>
              <w:tab w:val="right" w:pos="9026" w:leader="dot"/>
            </w:tabs>
            <w:rPr/>
          </w:pPr>
          <w:hyperlink w:anchor="__RefHeading___Toc1666486_2322387425">
            <w:r>
              <w:rPr>
                <w:webHidden/>
                <w:rStyle w:val="IndexLink"/>
                <w:rtl w:val="true"/>
              </w:rPr>
              <w:t>وجوب إزالة النجاسة عن المساجد</w:t>
            </w:r>
            <w:r>
              <w:rPr>
                <w:rStyle w:val="IndexLink"/>
                <w:rtl w:val="true"/>
              </w:rPr>
              <w:tab/>
            </w:r>
            <w:r>
              <w:rPr>
                <w:rStyle w:val="IndexLink"/>
              </w:rPr>
              <w:t>232</w:t>
            </w:r>
          </w:hyperlink>
        </w:p>
        <w:p>
          <w:pPr>
            <w:pStyle w:val="Contents3"/>
            <w:tabs>
              <w:tab w:val="clear" w:pos="8459"/>
              <w:tab w:val="right" w:pos="9026" w:leader="dot"/>
            </w:tabs>
            <w:rPr/>
          </w:pPr>
          <w:hyperlink w:anchor="__RefHeading___Toc1666488_2322387425">
            <w:r>
              <w:rPr>
                <w:webHidden/>
                <w:rStyle w:val="IndexLink"/>
                <w:rtl w:val="true"/>
              </w:rPr>
              <w:t>فروع فی لزوم تطهیر المسجد</w:t>
            </w:r>
            <w:r>
              <w:rPr>
                <w:rStyle w:val="IndexLink"/>
                <w:rtl w:val="true"/>
              </w:rPr>
              <w:tab/>
            </w:r>
            <w:r>
              <w:rPr>
                <w:rStyle w:val="IndexLink"/>
              </w:rPr>
              <w:t>235</w:t>
            </w:r>
          </w:hyperlink>
        </w:p>
        <w:p>
          <w:pPr>
            <w:pStyle w:val="Contents3"/>
            <w:tabs>
              <w:tab w:val="clear" w:pos="8459"/>
              <w:tab w:val="right" w:pos="9026" w:leader="dot"/>
            </w:tabs>
            <w:rPr/>
          </w:pPr>
          <w:hyperlink w:anchor="__RefHeading___Toc1666490_2322387425">
            <w:r>
              <w:rPr>
                <w:webHidden/>
                <w:rStyle w:val="IndexLink"/>
                <w:rtl w:val="true"/>
              </w:rPr>
              <w:t>فی أن المشاهد کالمساجد</w:t>
            </w:r>
            <w:r>
              <w:rPr>
                <w:rStyle w:val="IndexLink"/>
                <w:rtl w:val="true"/>
              </w:rPr>
              <w:tab/>
            </w:r>
            <w:r>
              <w:rPr>
                <w:rStyle w:val="IndexLink"/>
              </w:rPr>
              <w:t>263</w:t>
            </w:r>
          </w:hyperlink>
        </w:p>
        <w:p>
          <w:pPr>
            <w:pStyle w:val="Contents3"/>
            <w:tabs>
              <w:tab w:val="clear" w:pos="8459"/>
              <w:tab w:val="right" w:pos="9026" w:leader="dot"/>
            </w:tabs>
            <w:rPr/>
          </w:pPr>
          <w:hyperlink w:anchor="__RefHeading___Toc1666492_2322387425">
            <w:r>
              <w:rPr>
                <w:webHidden/>
                <w:rStyle w:val="IndexLink"/>
                <w:rtl w:val="true"/>
              </w:rPr>
              <w:t>أحکام فی حرمة تنجیس المصحف</w:t>
            </w:r>
            <w:r>
              <w:rPr>
                <w:rStyle w:val="IndexLink"/>
                <w:rtl w:val="true"/>
              </w:rPr>
              <w:tab/>
            </w:r>
            <w:r>
              <w:rPr>
                <w:rStyle w:val="IndexLink"/>
              </w:rPr>
              <w:t>264</w:t>
            </w:r>
          </w:hyperlink>
        </w:p>
        <w:p>
          <w:pPr>
            <w:pStyle w:val="Contents3"/>
            <w:tabs>
              <w:tab w:val="clear" w:pos="8459"/>
              <w:tab w:val="right" w:pos="9026" w:leader="dot"/>
            </w:tabs>
            <w:rPr/>
          </w:pPr>
          <w:hyperlink w:anchor="__RefHeading___Toc1666494_2322387425">
            <w:r>
              <w:rPr>
                <w:webHidden/>
                <w:rStyle w:val="IndexLink"/>
                <w:rtl w:val="true"/>
              </w:rPr>
              <w:t>فی إزالة النجاسة عن الطعام و ظروفه</w:t>
            </w:r>
            <w:r>
              <w:rPr>
                <w:rStyle w:val="IndexLink"/>
                <w:rtl w:val="true"/>
              </w:rPr>
              <w:tab/>
            </w:r>
            <w:r>
              <w:rPr>
                <w:rStyle w:val="IndexLink"/>
              </w:rPr>
              <w:t>274</w:t>
            </w:r>
          </w:hyperlink>
        </w:p>
        <w:p>
          <w:pPr>
            <w:pStyle w:val="Contents3"/>
            <w:tabs>
              <w:tab w:val="clear" w:pos="8459"/>
              <w:tab w:val="right" w:pos="9026" w:leader="dot"/>
            </w:tabs>
            <w:rPr/>
          </w:pPr>
          <w:hyperlink w:anchor="__RefHeading___Toc1666496_2322387425">
            <w:r>
              <w:rPr>
                <w:webHidden/>
                <w:rStyle w:val="IndexLink"/>
                <w:rtl w:val="true"/>
              </w:rPr>
              <w:t>فی حرمة انتفاع بالنجس</w:t>
            </w:r>
            <w:r>
              <w:rPr>
                <w:rStyle w:val="IndexLink"/>
                <w:rtl w:val="true"/>
              </w:rPr>
              <w:tab/>
            </w:r>
            <w:r>
              <w:rPr>
                <w:rStyle w:val="IndexLink"/>
              </w:rPr>
              <w:t>275</w:t>
            </w:r>
          </w:hyperlink>
        </w:p>
        <w:p>
          <w:pPr>
            <w:pStyle w:val="Contents3"/>
            <w:tabs>
              <w:tab w:val="clear" w:pos="8459"/>
              <w:tab w:val="right" w:pos="9026" w:leader="dot"/>
            </w:tabs>
            <w:rPr/>
          </w:pPr>
          <w:hyperlink w:anchor="__RefHeading___Toc1666498_2322387425">
            <w:r>
              <w:rPr>
                <w:webHidden/>
                <w:rStyle w:val="IndexLink"/>
                <w:rtl w:val="true"/>
              </w:rPr>
              <w:t>فی حرمة التسبیب إلی أکل النجس</w:t>
            </w:r>
            <w:r>
              <w:rPr>
                <w:rStyle w:val="IndexLink"/>
                <w:rtl w:val="true"/>
              </w:rPr>
              <w:tab/>
            </w:r>
            <w:r>
              <w:rPr>
                <w:rStyle w:val="IndexLink"/>
              </w:rPr>
              <w:t>277</w:t>
            </w:r>
          </w:hyperlink>
        </w:p>
        <w:p>
          <w:pPr>
            <w:pStyle w:val="Contents3"/>
            <w:tabs>
              <w:tab w:val="clear" w:pos="8459"/>
              <w:tab w:val="right" w:pos="9026" w:leader="dot"/>
            </w:tabs>
            <w:rPr/>
          </w:pPr>
          <w:hyperlink w:anchor="__RefHeading___Toc1666500_2322387425">
            <w:r>
              <w:rPr>
                <w:webHidden/>
                <w:rStyle w:val="IndexLink"/>
                <w:rtl w:val="true"/>
              </w:rPr>
              <w:t>فی حرمة سقی المسکرات للأطفال</w:t>
            </w:r>
            <w:r>
              <w:rPr>
                <w:rStyle w:val="IndexLink"/>
                <w:rtl w:val="true"/>
              </w:rPr>
              <w:tab/>
            </w:r>
            <w:r>
              <w:rPr>
                <w:rStyle w:val="IndexLink"/>
              </w:rPr>
              <w:t>280</w:t>
            </w:r>
          </w:hyperlink>
        </w:p>
        <w:p>
          <w:pPr>
            <w:pStyle w:val="Contents3"/>
            <w:tabs>
              <w:tab w:val="clear" w:pos="8459"/>
              <w:tab w:val="right" w:pos="9026" w:leader="dot"/>
            </w:tabs>
            <w:rPr/>
          </w:pPr>
          <w:hyperlink w:anchor="__RefHeading___Toc1666502_2322387425">
            <w:r>
              <w:rPr>
                <w:webHidden/>
                <w:rStyle w:val="IndexLink"/>
                <w:rtl w:val="true"/>
              </w:rPr>
              <w:t>بعض فروع الإعلام بالنجاسة</w:t>
            </w:r>
            <w:r>
              <w:rPr>
                <w:rStyle w:val="IndexLink"/>
                <w:rtl w:val="true"/>
              </w:rPr>
              <w:tab/>
            </w:r>
            <w:r>
              <w:rPr>
                <w:rStyle w:val="IndexLink"/>
              </w:rPr>
              <w:t>282</w:t>
            </w:r>
          </w:hyperlink>
        </w:p>
        <w:p>
          <w:pPr>
            <w:pStyle w:val="Contents2"/>
            <w:tabs>
              <w:tab w:val="clear" w:pos="8743"/>
              <w:tab w:val="right" w:pos="9026" w:leader="dot"/>
            </w:tabs>
            <w:rPr/>
          </w:pPr>
          <w:hyperlink w:anchor="__RefHeading___Toc1666504_2322387425">
            <w:r>
              <w:rPr>
                <w:webHidden/>
                <w:rStyle w:val="IndexLink"/>
                <w:rtl w:val="true"/>
              </w:rPr>
              <w:t>فصل فی الصلاة فی النجس</w:t>
            </w:r>
            <w:r>
              <w:rPr>
                <w:rStyle w:val="IndexLink"/>
                <w:rtl w:val="true"/>
              </w:rPr>
              <w:tab/>
            </w:r>
            <w:r>
              <w:rPr>
                <w:rStyle w:val="IndexLink"/>
              </w:rPr>
              <w:t>286</w:t>
            </w:r>
          </w:hyperlink>
        </w:p>
        <w:p>
          <w:pPr>
            <w:pStyle w:val="Contents3"/>
            <w:tabs>
              <w:tab w:val="clear" w:pos="8459"/>
              <w:tab w:val="right" w:pos="9026" w:leader="dot"/>
            </w:tabs>
            <w:rPr/>
          </w:pPr>
          <w:hyperlink w:anchor="__RefHeading___Toc1666506_2322387425">
            <w:r>
              <w:rPr>
                <w:webHidden/>
                <w:rStyle w:val="IndexLink"/>
                <w:rtl w:val="true"/>
              </w:rPr>
              <w:t>اصلاة فی النجس جهلاً</w:t>
            </w:r>
            <w:r>
              <w:rPr>
                <w:rStyle w:val="IndexLink"/>
                <w:rtl w:val="true"/>
              </w:rPr>
              <w:tab/>
            </w:r>
            <w:r>
              <w:rPr>
                <w:rStyle w:val="IndexLink"/>
              </w:rPr>
              <w:t>286</w:t>
            </w:r>
          </w:hyperlink>
        </w:p>
        <w:p>
          <w:pPr>
            <w:pStyle w:val="Contents3"/>
            <w:tabs>
              <w:tab w:val="clear" w:pos="8459"/>
              <w:tab w:val="right" w:pos="9026" w:leader="dot"/>
            </w:tabs>
            <w:rPr/>
          </w:pPr>
          <w:hyperlink w:anchor="__RefHeading___Toc1666508_2322387425">
            <w:r>
              <w:rPr>
                <w:webHidden/>
                <w:rStyle w:val="IndexLink"/>
                <w:rtl w:val="true"/>
              </w:rPr>
              <w:t>الالتفات إلی النجاسة فی الصلاة</w:t>
            </w:r>
            <w:r>
              <w:rPr>
                <w:rStyle w:val="IndexLink"/>
                <w:rtl w:val="true"/>
              </w:rPr>
              <w:tab/>
            </w:r>
            <w:r>
              <w:rPr>
                <w:rStyle w:val="IndexLink"/>
              </w:rPr>
              <w:t>288</w:t>
            </w:r>
          </w:hyperlink>
        </w:p>
        <w:p>
          <w:pPr>
            <w:pStyle w:val="Contents3"/>
            <w:tabs>
              <w:tab w:val="clear" w:pos="8459"/>
              <w:tab w:val="right" w:pos="9026" w:leader="dot"/>
            </w:tabs>
            <w:rPr/>
          </w:pPr>
          <w:hyperlink w:anchor="__RefHeading___Toc1666510_2322387425">
            <w:r>
              <w:rPr>
                <w:webHidden/>
                <w:rStyle w:val="IndexLink"/>
                <w:rtl w:val="true"/>
              </w:rPr>
              <w:t>اصلاة فی النجس ناسیاً</w:t>
            </w:r>
            <w:r>
              <w:rPr>
                <w:rStyle w:val="IndexLink"/>
                <w:rtl w:val="true"/>
              </w:rPr>
              <w:tab/>
            </w:r>
            <w:r>
              <w:rPr>
                <w:rStyle w:val="IndexLink"/>
              </w:rPr>
              <w:t>296</w:t>
            </w:r>
          </w:hyperlink>
        </w:p>
        <w:p>
          <w:pPr>
            <w:pStyle w:val="Contents3"/>
            <w:tabs>
              <w:tab w:val="clear" w:pos="8459"/>
              <w:tab w:val="right" w:pos="9026" w:leader="dot"/>
            </w:tabs>
            <w:rPr/>
          </w:pPr>
          <w:hyperlink w:anchor="__RefHeading___Toc1666512_2322387425">
            <w:r>
              <w:rPr>
                <w:webHidden/>
                <w:rStyle w:val="IndexLink"/>
                <w:rtl w:val="true"/>
              </w:rPr>
              <w:t>انحصار ثوب المصلی فی النجس</w:t>
            </w:r>
            <w:r>
              <w:rPr>
                <w:rStyle w:val="IndexLink"/>
                <w:rtl w:val="true"/>
              </w:rPr>
              <w:tab/>
            </w:r>
            <w:r>
              <w:rPr>
                <w:rStyle w:val="IndexLink"/>
              </w:rPr>
              <w:t>305</w:t>
            </w:r>
          </w:hyperlink>
        </w:p>
        <w:p>
          <w:pPr>
            <w:pStyle w:val="Contents3"/>
            <w:tabs>
              <w:tab w:val="clear" w:pos="8459"/>
              <w:tab w:val="right" w:pos="9026" w:leader="dot"/>
            </w:tabs>
            <w:rPr/>
          </w:pPr>
          <w:hyperlink w:anchor="__RefHeading___Toc1666514_2322387425">
            <w:r>
              <w:rPr>
                <w:webHidden/>
                <w:rStyle w:val="IndexLink"/>
                <w:rtl w:val="true"/>
              </w:rPr>
              <w:t>الصلاة فی النجس اضطراراً</w:t>
            </w:r>
            <w:r>
              <w:rPr>
                <w:rStyle w:val="IndexLink"/>
                <w:rtl w:val="true"/>
              </w:rPr>
              <w:tab/>
            </w:r>
            <w:r>
              <w:rPr>
                <w:rStyle w:val="IndexLink"/>
              </w:rPr>
              <w:t>319</w:t>
            </w:r>
          </w:hyperlink>
        </w:p>
        <w:p>
          <w:pPr>
            <w:pStyle w:val="Contents2"/>
            <w:tabs>
              <w:tab w:val="clear" w:pos="8743"/>
              <w:tab w:val="right" w:pos="9026" w:leader="dot"/>
            </w:tabs>
            <w:rPr/>
          </w:pPr>
          <w:hyperlink w:anchor="__RefHeading___Toc1666516_2322387425">
            <w:r>
              <w:rPr>
                <w:webHidden/>
                <w:rStyle w:val="IndexLink"/>
                <w:rtl w:val="true"/>
              </w:rPr>
              <w:t>فصل فیما یُعفی عنه فی الصلاة</w:t>
            </w:r>
            <w:r>
              <w:rPr>
                <w:rStyle w:val="IndexLink"/>
                <w:rtl w:val="true"/>
              </w:rPr>
              <w:tab/>
            </w:r>
            <w:r>
              <w:rPr>
                <w:rStyle w:val="IndexLink"/>
              </w:rPr>
              <w:t>325</w:t>
            </w:r>
          </w:hyperlink>
        </w:p>
        <w:p>
          <w:pPr>
            <w:pStyle w:val="Contents3"/>
            <w:tabs>
              <w:tab w:val="clear" w:pos="8459"/>
              <w:tab w:val="right" w:pos="9026" w:leader="dot"/>
            </w:tabs>
            <w:rPr/>
          </w:pPr>
          <w:hyperlink w:anchor="__RefHeading___Toc1666518_2322387425">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1666520_2322387425">
            <w:r>
              <w:rPr>
                <w:webHidden/>
                <w:rStyle w:val="IndexLink"/>
                <w:rtl w:val="true"/>
              </w:rPr>
              <w:t>الأول</w:t>
            </w:r>
            <w:r>
              <w:rPr>
                <w:rStyle w:val="IndexLink"/>
                <w:rtl w:val="true"/>
              </w:rPr>
              <w:t xml:space="preserve">: </w:t>
            </w:r>
            <w:r>
              <w:rPr>
                <w:rStyle w:val="IndexLink"/>
                <w:rtl w:val="true"/>
              </w:rPr>
              <w:t>دم الجروح والقروح</w:t>
            </w:r>
            <w:r>
              <w:rPr>
                <w:rStyle w:val="IndexLink"/>
                <w:rtl w:val="true"/>
              </w:rPr>
              <w:tab/>
            </w:r>
            <w:r>
              <w:rPr>
                <w:rStyle w:val="IndexLink"/>
              </w:rPr>
              <w:t>325</w:t>
            </w:r>
          </w:hyperlink>
        </w:p>
        <w:p>
          <w:pPr>
            <w:pStyle w:val="Contents3"/>
            <w:tabs>
              <w:tab w:val="clear" w:pos="8459"/>
              <w:tab w:val="right" w:pos="9026" w:leader="dot"/>
            </w:tabs>
            <w:rPr/>
          </w:pPr>
          <w:hyperlink w:anchor="__RefHeading___Toc1666522_2322387425">
            <w:r>
              <w:rPr>
                <w:webHidden/>
                <w:rStyle w:val="IndexLink"/>
                <w:rtl w:val="true"/>
              </w:rPr>
              <w:t>الثانی</w:t>
            </w:r>
            <w:r>
              <w:rPr>
                <w:rStyle w:val="IndexLink"/>
                <w:rtl w:val="true"/>
              </w:rPr>
              <w:t xml:space="preserve">: </w:t>
            </w:r>
            <w:r>
              <w:rPr>
                <w:rStyle w:val="IndexLink"/>
                <w:rtl w:val="true"/>
              </w:rPr>
              <w:t>الدم الأقل من الدرهم</w:t>
            </w:r>
            <w:r>
              <w:rPr>
                <w:rStyle w:val="IndexLink"/>
                <w:rtl w:val="true"/>
              </w:rPr>
              <w:tab/>
            </w:r>
            <w:r>
              <w:rPr>
                <w:rStyle w:val="IndexLink"/>
              </w:rPr>
              <w:t>334</w:t>
            </w:r>
          </w:hyperlink>
        </w:p>
        <w:p>
          <w:pPr>
            <w:pStyle w:val="Contents3"/>
            <w:tabs>
              <w:tab w:val="clear" w:pos="8459"/>
              <w:tab w:val="right" w:pos="9026" w:leader="dot"/>
            </w:tabs>
            <w:rPr/>
          </w:pPr>
          <w:hyperlink w:anchor="__RefHeading___Toc1666524_2322387425">
            <w:r>
              <w:rPr>
                <w:webHidden/>
                <w:rStyle w:val="IndexLink"/>
                <w:rtl w:val="true"/>
              </w:rPr>
              <w:t>الثالث</w:t>
            </w:r>
            <w:r>
              <w:rPr>
                <w:rStyle w:val="IndexLink"/>
                <w:rtl w:val="true"/>
              </w:rPr>
              <w:t xml:space="preserve">: </w:t>
            </w:r>
            <w:r>
              <w:rPr>
                <w:rStyle w:val="IndexLink"/>
                <w:rtl w:val="true"/>
              </w:rPr>
              <w:t>ما لا تتم الصلاة فیه</w:t>
            </w:r>
            <w:r>
              <w:rPr>
                <w:rStyle w:val="IndexLink"/>
                <w:rtl w:val="true"/>
              </w:rPr>
              <w:tab/>
            </w:r>
            <w:r>
              <w:rPr>
                <w:rStyle w:val="IndexLink"/>
              </w:rPr>
              <w:t>347</w:t>
            </w:r>
          </w:hyperlink>
        </w:p>
        <w:p>
          <w:pPr>
            <w:pStyle w:val="Contents3"/>
            <w:tabs>
              <w:tab w:val="clear" w:pos="8459"/>
              <w:tab w:val="right" w:pos="9026" w:leader="dot"/>
            </w:tabs>
            <w:rPr/>
          </w:pPr>
          <w:hyperlink w:anchor="__RefHeading___Toc1666526_2322387425">
            <w:r>
              <w:rPr>
                <w:webHidden/>
                <w:rStyle w:val="IndexLink"/>
                <w:rtl w:val="true"/>
              </w:rPr>
              <w:t>الرابع</w:t>
            </w:r>
            <w:r>
              <w:rPr>
                <w:rStyle w:val="IndexLink"/>
                <w:rtl w:val="true"/>
              </w:rPr>
              <w:t xml:space="preserve">: </w:t>
            </w:r>
            <w:r>
              <w:rPr>
                <w:rStyle w:val="IndexLink"/>
                <w:rtl w:val="true"/>
              </w:rPr>
              <w:t>المحمول المتنجس</w:t>
            </w:r>
            <w:r>
              <w:rPr>
                <w:rStyle w:val="IndexLink"/>
                <w:rtl w:val="true"/>
              </w:rPr>
              <w:tab/>
            </w:r>
            <w:r>
              <w:rPr>
                <w:rStyle w:val="IndexLink"/>
              </w:rPr>
              <w:t>349</w:t>
            </w:r>
          </w:hyperlink>
        </w:p>
        <w:p>
          <w:pPr>
            <w:pStyle w:val="Contents3"/>
            <w:tabs>
              <w:tab w:val="clear" w:pos="8459"/>
              <w:tab w:val="right" w:pos="9026" w:leader="dot"/>
            </w:tabs>
            <w:rPr/>
          </w:pPr>
          <w:hyperlink w:anchor="__RefHeading___Toc1666528_2322387425">
            <w:r>
              <w:rPr>
                <w:webHidden/>
                <w:rStyle w:val="IndexLink"/>
                <w:rtl w:val="true"/>
              </w:rPr>
              <w:t>الخامس</w:t>
            </w:r>
            <w:r>
              <w:rPr>
                <w:rStyle w:val="IndexLink"/>
                <w:rtl w:val="true"/>
              </w:rPr>
              <w:t xml:space="preserve">: </w:t>
            </w:r>
            <w:r>
              <w:rPr>
                <w:rStyle w:val="IndexLink"/>
                <w:rtl w:val="true"/>
              </w:rPr>
              <w:t>ثوب المربیة</w:t>
            </w:r>
            <w:r>
              <w:rPr>
                <w:rStyle w:val="IndexLink"/>
                <w:rtl w:val="true"/>
              </w:rPr>
              <w:tab/>
            </w:r>
            <w:r>
              <w:rPr>
                <w:rStyle w:val="IndexLink"/>
              </w:rPr>
              <w:t>352</w:t>
            </w:r>
          </w:hyperlink>
        </w:p>
        <w:p>
          <w:pPr>
            <w:pStyle w:val="Contents3"/>
            <w:tabs>
              <w:tab w:val="clear" w:pos="8459"/>
              <w:tab w:val="right" w:pos="9026" w:leader="dot"/>
            </w:tabs>
            <w:rPr/>
          </w:pPr>
          <w:hyperlink w:anchor="__RefHeading___Toc1666530_2322387425">
            <w:r>
              <w:rPr>
                <w:webHidden/>
                <w:rStyle w:val="IndexLink"/>
                <w:rtl w:val="true"/>
              </w:rPr>
              <w:t>السادس</w:t>
            </w:r>
            <w:r>
              <w:rPr>
                <w:rStyle w:val="IndexLink"/>
                <w:rtl w:val="true"/>
              </w:rPr>
              <w:t xml:space="preserve">: </w:t>
            </w:r>
            <w:r>
              <w:rPr>
                <w:rStyle w:val="IndexLink"/>
                <w:rtl w:val="true"/>
              </w:rPr>
              <w:t>العقو عن النجاسة حال الإضطرار</w:t>
            </w:r>
            <w:r>
              <w:rPr>
                <w:rStyle w:val="IndexLink"/>
                <w:rtl w:val="true"/>
              </w:rPr>
              <w:tab/>
            </w:r>
            <w:r>
              <w:rPr>
                <w:rStyle w:val="IndexLink"/>
              </w:rPr>
              <w:t>358</w:t>
            </w:r>
          </w:hyperlink>
        </w:p>
        <w:p>
          <w:pPr>
            <w:pStyle w:val="Contents2"/>
            <w:tabs>
              <w:tab w:val="clear" w:pos="8743"/>
              <w:tab w:val="right" w:pos="9026" w:leader="dot"/>
            </w:tabs>
            <w:rPr/>
          </w:pPr>
          <w:hyperlink w:anchor="__RefHeading___Toc1666532_2322387425">
            <w:r>
              <w:rPr>
                <w:webHidden/>
                <w:rStyle w:val="IndexLink"/>
                <w:rtl w:val="true"/>
              </w:rPr>
              <w:t>فصل فی المطهّرات</w:t>
            </w:r>
            <w:r>
              <w:rPr>
                <w:rStyle w:val="IndexLink"/>
                <w:rtl w:val="true"/>
              </w:rPr>
              <w:tab/>
            </w:r>
            <w:r>
              <w:rPr>
                <w:rStyle w:val="IndexLink"/>
              </w:rPr>
              <w:t>359</w:t>
            </w:r>
          </w:hyperlink>
        </w:p>
        <w:p>
          <w:pPr>
            <w:pStyle w:val="Contents3"/>
            <w:tabs>
              <w:tab w:val="clear" w:pos="8459"/>
              <w:tab w:val="right" w:pos="9026" w:leader="dot"/>
            </w:tabs>
            <w:rPr/>
          </w:pPr>
          <w:hyperlink w:anchor="__RefHeading___Toc1666534_2322387425">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1666536_2322387425">
            <w:r>
              <w:rPr>
                <w:webHidden/>
                <w:rStyle w:val="IndexLink"/>
                <w:rtl w:val="true"/>
              </w:rPr>
              <w:t>الأول</w:t>
            </w:r>
            <w:r>
              <w:rPr>
                <w:rStyle w:val="IndexLink"/>
                <w:rtl w:val="true"/>
              </w:rPr>
              <w:t xml:space="preserve">: </w:t>
            </w:r>
            <w:r>
              <w:rPr>
                <w:rStyle w:val="IndexLink"/>
                <w:rtl w:val="true"/>
              </w:rPr>
              <w:t>الماء</w:t>
            </w:r>
            <w:r>
              <w:rPr>
                <w:rStyle w:val="IndexLink"/>
                <w:rtl w:val="true"/>
              </w:rPr>
              <w:tab/>
            </w:r>
            <w:r>
              <w:rPr>
                <w:rStyle w:val="IndexLink"/>
              </w:rPr>
              <w:t>359</w:t>
            </w:r>
          </w:hyperlink>
        </w:p>
        <w:p>
          <w:pPr>
            <w:pStyle w:val="Contents3"/>
            <w:tabs>
              <w:tab w:val="clear" w:pos="8459"/>
              <w:tab w:val="right" w:pos="9026" w:leader="dot"/>
            </w:tabs>
            <w:rPr/>
          </w:pPr>
          <w:hyperlink w:anchor="__RefHeading___Toc1666538_2322387425">
            <w:r>
              <w:rPr>
                <w:webHidden/>
                <w:rStyle w:val="IndexLink"/>
                <w:rtl w:val="true"/>
              </w:rPr>
              <w:t>شروط مطهریة الماء</w:t>
            </w:r>
            <w:r>
              <w:rPr>
                <w:rStyle w:val="IndexLink"/>
                <w:rtl w:val="true"/>
              </w:rPr>
              <w:tab/>
            </w:r>
            <w:r>
              <w:rPr>
                <w:rStyle w:val="IndexLink"/>
              </w:rPr>
              <w:t>359</w:t>
            </w:r>
          </w:hyperlink>
        </w:p>
        <w:p>
          <w:pPr>
            <w:pStyle w:val="Contents3"/>
            <w:tabs>
              <w:tab w:val="clear" w:pos="8459"/>
              <w:tab w:val="right" w:pos="9026" w:leader="dot"/>
            </w:tabs>
            <w:rPr/>
          </w:pPr>
          <w:hyperlink w:anchor="__RefHeading___Toc1666540_2322387425">
            <w:r>
              <w:rPr>
                <w:webHidden/>
                <w:rStyle w:val="IndexLink"/>
                <w:rtl w:val="true"/>
              </w:rPr>
              <w:t>حکم استعمال الغسالة فی التطهیر</w:t>
            </w:r>
            <w:r>
              <w:rPr>
                <w:rStyle w:val="IndexLink"/>
                <w:rtl w:val="true"/>
              </w:rPr>
              <w:tab/>
            </w:r>
            <w:r>
              <w:rPr>
                <w:rStyle w:val="IndexLink"/>
              </w:rPr>
              <w:t>368</w:t>
            </w:r>
          </w:hyperlink>
        </w:p>
        <w:p>
          <w:pPr>
            <w:pStyle w:val="Contents3"/>
            <w:tabs>
              <w:tab w:val="clear" w:pos="8459"/>
              <w:tab w:val="right" w:pos="9026" w:leader="dot"/>
            </w:tabs>
            <w:rPr/>
          </w:pPr>
          <w:hyperlink w:anchor="__RefHeading___Toc1666542_2322387425">
            <w:r>
              <w:rPr>
                <w:webHidden/>
                <w:rStyle w:val="IndexLink"/>
                <w:rtl w:val="true"/>
              </w:rPr>
              <w:t>ما یعتبر فیه تعدد الغسل</w:t>
            </w:r>
            <w:r>
              <w:rPr>
                <w:rStyle w:val="IndexLink"/>
                <w:rtl w:val="true"/>
              </w:rPr>
              <w:tab/>
            </w:r>
            <w:r>
              <w:rPr>
                <w:rStyle w:val="IndexLink"/>
              </w:rPr>
              <w:t>369</w:t>
            </w:r>
          </w:hyperlink>
        </w:p>
        <w:p>
          <w:pPr>
            <w:pStyle w:val="Contents3"/>
            <w:tabs>
              <w:tab w:val="clear" w:pos="8459"/>
              <w:tab w:val="right" w:pos="9026" w:leader="dot"/>
            </w:tabs>
            <w:rPr/>
          </w:pPr>
          <w:hyperlink w:anchor="__RefHeading___Toc1666544_2322387425">
            <w:r>
              <w:rPr>
                <w:webHidden/>
                <w:rStyle w:val="IndexLink"/>
                <w:rtl w:val="true"/>
              </w:rPr>
              <w:t>ما یعتبر فیه الغسل مرة</w:t>
            </w:r>
            <w:r>
              <w:rPr>
                <w:rStyle w:val="IndexLink"/>
                <w:rtl w:val="true"/>
              </w:rPr>
              <w:tab/>
            </w:r>
            <w:r>
              <w:rPr>
                <w:rStyle w:val="IndexLink"/>
              </w:rPr>
              <w:t>370</w:t>
            </w:r>
          </w:hyperlink>
        </w:p>
        <w:p>
          <w:pPr>
            <w:pStyle w:val="Contents3"/>
            <w:tabs>
              <w:tab w:val="clear" w:pos="8459"/>
              <w:tab w:val="right" w:pos="9026" w:leader="dot"/>
            </w:tabs>
            <w:rPr/>
          </w:pPr>
          <w:hyperlink w:anchor="__RefHeading___Toc1666546_2322387425">
            <w:r>
              <w:rPr>
                <w:webHidden/>
                <w:rStyle w:val="IndexLink"/>
                <w:rtl w:val="true"/>
              </w:rPr>
              <w:t>کیفیة تطهیر الأوانی</w:t>
            </w:r>
            <w:r>
              <w:rPr>
                <w:rStyle w:val="IndexLink"/>
                <w:rtl w:val="true"/>
              </w:rPr>
              <w:tab/>
            </w:r>
            <w:r>
              <w:rPr>
                <w:rStyle w:val="IndexLink"/>
              </w:rPr>
              <w:t>372</w:t>
            </w:r>
          </w:hyperlink>
        </w:p>
        <w:p>
          <w:pPr>
            <w:pStyle w:val="Contents3"/>
            <w:tabs>
              <w:tab w:val="clear" w:pos="8459"/>
              <w:tab w:val="right" w:pos="9026" w:leader="dot"/>
            </w:tabs>
            <w:rPr/>
          </w:pPr>
          <w:hyperlink w:anchor="__RefHeading___Toc1666548_2322387425">
            <w:r>
              <w:rPr>
                <w:webHidden/>
                <w:rStyle w:val="IndexLink"/>
                <w:rtl w:val="true"/>
              </w:rPr>
              <w:t>فروع التطهیر بالماء</w:t>
            </w:r>
            <w:r>
              <w:rPr>
                <w:rStyle w:val="IndexLink"/>
                <w:rtl w:val="true"/>
              </w:rPr>
              <w:tab/>
            </w:r>
            <w:r>
              <w:rPr>
                <w:rStyle w:val="IndexLink"/>
              </w:rPr>
              <w:t>386</w:t>
            </w:r>
          </w:hyperlink>
        </w:p>
        <w:p>
          <w:pPr>
            <w:pStyle w:val="Contents3"/>
            <w:tabs>
              <w:tab w:val="clear" w:pos="8459"/>
              <w:tab w:val="right" w:pos="9026" w:leader="dot"/>
            </w:tabs>
            <w:rPr/>
          </w:pPr>
          <w:hyperlink w:anchor="__RefHeading___Toc1666550_2322387425">
            <w:r>
              <w:rPr>
                <w:webHidden/>
                <w:rStyle w:val="IndexLink"/>
                <w:rtl w:val="true"/>
              </w:rPr>
              <w:t>اثلانی</w:t>
            </w:r>
            <w:r>
              <w:rPr>
                <w:rStyle w:val="IndexLink"/>
                <w:rtl w:val="true"/>
              </w:rPr>
              <w:t xml:space="preserve">: </w:t>
            </w:r>
            <w:r>
              <w:rPr>
                <w:rStyle w:val="IndexLink"/>
                <w:rtl w:val="true"/>
              </w:rPr>
              <w:t>الأرض</w:t>
            </w:r>
            <w:r>
              <w:rPr>
                <w:rStyle w:val="IndexLink"/>
                <w:rtl w:val="true"/>
              </w:rPr>
              <w:tab/>
            </w:r>
            <w:r>
              <w:rPr>
                <w:rStyle w:val="IndexLink"/>
              </w:rPr>
              <w:t>440</w:t>
            </w:r>
          </w:hyperlink>
        </w:p>
        <w:p>
          <w:pPr>
            <w:pStyle w:val="Contents3"/>
            <w:tabs>
              <w:tab w:val="clear" w:pos="8459"/>
              <w:tab w:val="right" w:pos="9026" w:leader="dot"/>
            </w:tabs>
            <w:rPr/>
          </w:pPr>
          <w:hyperlink w:anchor="__RefHeading___Toc1666552_2322387425">
            <w:r>
              <w:rPr>
                <w:webHidden/>
                <w:rStyle w:val="IndexLink"/>
                <w:rtl w:val="true"/>
              </w:rPr>
              <w:t>کیفیة التطهیر بالأرض</w:t>
            </w:r>
            <w:r>
              <w:rPr>
                <w:rStyle w:val="IndexLink"/>
                <w:rtl w:val="true"/>
              </w:rPr>
              <w:tab/>
            </w:r>
            <w:r>
              <w:rPr>
                <w:rStyle w:val="IndexLink"/>
              </w:rPr>
              <w:t>440</w:t>
            </w:r>
          </w:hyperlink>
        </w:p>
        <w:p>
          <w:pPr>
            <w:pStyle w:val="Contents3"/>
            <w:tabs>
              <w:tab w:val="clear" w:pos="8459"/>
              <w:tab w:val="right" w:pos="9026" w:leader="dot"/>
            </w:tabs>
            <w:rPr/>
          </w:pPr>
          <w:hyperlink w:anchor="__RefHeading___Toc1666554_2322387425">
            <w:r>
              <w:rPr>
                <w:webHidden/>
                <w:rStyle w:val="IndexLink"/>
                <w:rtl w:val="true"/>
              </w:rPr>
              <w:t>تحدید الأرض المطهرة</w:t>
            </w:r>
            <w:r>
              <w:rPr>
                <w:rStyle w:val="IndexLink"/>
                <w:rtl w:val="true"/>
              </w:rPr>
              <w:tab/>
            </w:r>
            <w:r>
              <w:rPr>
                <w:rStyle w:val="IndexLink"/>
              </w:rPr>
              <w:t>443</w:t>
            </w:r>
          </w:hyperlink>
        </w:p>
        <w:p>
          <w:pPr>
            <w:pStyle w:val="Contents3"/>
            <w:tabs>
              <w:tab w:val="clear" w:pos="8459"/>
              <w:tab w:val="right" w:pos="9026" w:leader="dot"/>
            </w:tabs>
            <w:rPr/>
          </w:pPr>
          <w:hyperlink w:anchor="__RefHeading___Toc1666556_2322387425">
            <w:r>
              <w:rPr>
                <w:webHidden/>
                <w:rStyle w:val="IndexLink"/>
                <w:rtl w:val="true"/>
              </w:rPr>
              <w:t>و اعتبار طهارة الأرض فی التطهیر بها</w:t>
            </w:r>
            <w:r>
              <w:rPr>
                <w:rStyle w:val="IndexLink"/>
                <w:rtl w:val="true"/>
              </w:rPr>
              <w:tab/>
            </w:r>
            <w:r>
              <w:rPr>
                <w:rStyle w:val="IndexLink"/>
              </w:rPr>
              <w:t>446</w:t>
            </w:r>
          </w:hyperlink>
        </w:p>
        <w:p>
          <w:pPr>
            <w:pStyle w:val="Contents3"/>
            <w:tabs>
              <w:tab w:val="clear" w:pos="8459"/>
              <w:tab w:val="right" w:pos="9026" w:leader="dot"/>
            </w:tabs>
            <w:rPr/>
          </w:pPr>
          <w:hyperlink w:anchor="__RefHeading___Toc1666558_2322387425">
            <w:r>
              <w:rPr>
                <w:webHidden/>
                <w:rStyle w:val="IndexLink"/>
                <w:rtl w:val="true"/>
              </w:rPr>
              <w:t>تحدید ما یطهر بالأرض</w:t>
            </w:r>
            <w:r>
              <w:rPr>
                <w:rStyle w:val="IndexLink"/>
                <w:rtl w:val="true"/>
              </w:rPr>
              <w:tab/>
            </w:r>
            <w:r>
              <w:rPr>
                <w:rStyle w:val="IndexLink"/>
              </w:rPr>
              <w:t>447</w:t>
            </w:r>
          </w:hyperlink>
        </w:p>
        <w:p>
          <w:pPr>
            <w:pStyle w:val="Contents3"/>
            <w:tabs>
              <w:tab w:val="clear" w:pos="8459"/>
              <w:tab w:val="right" w:pos="9026" w:leader="dot"/>
            </w:tabs>
            <w:rPr/>
          </w:pPr>
          <w:hyperlink w:anchor="__RefHeading___Toc1666560_2322387425">
            <w:r>
              <w:rPr>
                <w:webHidden/>
                <w:rStyle w:val="IndexLink"/>
                <w:rtl w:val="true"/>
              </w:rPr>
              <w:t>فروع فی مطهریة الأرض</w:t>
            </w:r>
            <w:r>
              <w:rPr>
                <w:rStyle w:val="IndexLink"/>
                <w:rtl w:val="true"/>
              </w:rPr>
              <w:tab/>
            </w:r>
            <w:r>
              <w:rPr>
                <w:rStyle w:val="IndexLink"/>
              </w:rPr>
              <w:t>452</w:t>
            </w:r>
          </w:hyperlink>
        </w:p>
        <w:p>
          <w:pPr>
            <w:pStyle w:val="Contents3"/>
            <w:tabs>
              <w:tab w:val="clear" w:pos="8459"/>
              <w:tab w:val="right" w:pos="9026" w:leader="dot"/>
            </w:tabs>
            <w:rPr/>
          </w:pPr>
          <w:hyperlink w:anchor="__RefHeading___Toc1666562_2322387425">
            <w:r>
              <w:rPr>
                <w:webHidden/>
                <w:rStyle w:val="IndexLink"/>
                <w:rtl w:val="true"/>
              </w:rPr>
              <w:t>الثالث</w:t>
            </w:r>
            <w:r>
              <w:rPr>
                <w:rStyle w:val="IndexLink"/>
                <w:rtl w:val="true"/>
              </w:rPr>
              <w:t xml:space="preserve">: </w:t>
            </w:r>
            <w:r>
              <w:rPr>
                <w:rStyle w:val="IndexLink"/>
                <w:rtl w:val="true"/>
              </w:rPr>
              <w:t>الشمس</w:t>
            </w:r>
            <w:r>
              <w:rPr>
                <w:rStyle w:val="IndexLink"/>
                <w:rtl w:val="true"/>
              </w:rPr>
              <w:tab/>
            </w:r>
            <w:r>
              <w:rPr>
                <w:rStyle w:val="IndexLink"/>
              </w:rPr>
              <w:t>461</w:t>
            </w:r>
          </w:hyperlink>
        </w:p>
        <w:p>
          <w:pPr>
            <w:pStyle w:val="Contents3"/>
            <w:tabs>
              <w:tab w:val="clear" w:pos="8459"/>
              <w:tab w:val="right" w:pos="9026" w:leader="dot"/>
            </w:tabs>
            <w:rPr/>
          </w:pPr>
          <w:hyperlink w:anchor="__RefHeading___Toc1666564_2322387425">
            <w:r>
              <w:rPr>
                <w:webHidden/>
                <w:rStyle w:val="IndexLink"/>
                <w:rtl w:val="true"/>
              </w:rPr>
              <w:t>ما یطهر بالشمس</w:t>
            </w:r>
            <w:r>
              <w:rPr>
                <w:rStyle w:val="IndexLink"/>
                <w:rtl w:val="true"/>
              </w:rPr>
              <w:tab/>
            </w:r>
            <w:r>
              <w:rPr>
                <w:rStyle w:val="IndexLink"/>
              </w:rPr>
              <w:t>461</w:t>
            </w:r>
          </w:hyperlink>
        </w:p>
        <w:p>
          <w:pPr>
            <w:pStyle w:val="Contents3"/>
            <w:tabs>
              <w:tab w:val="clear" w:pos="8459"/>
              <w:tab w:val="right" w:pos="9026" w:leader="dot"/>
            </w:tabs>
            <w:rPr/>
          </w:pPr>
          <w:hyperlink w:anchor="__RefHeading___Toc1666566_2322387425">
            <w:r>
              <w:rPr>
                <w:webHidden/>
                <w:rStyle w:val="IndexLink"/>
                <w:rtl w:val="true"/>
              </w:rPr>
              <w:t>مطهریة الشمس للحصر البواری من المنقول</w:t>
            </w:r>
            <w:r>
              <w:rPr>
                <w:rStyle w:val="IndexLink"/>
                <w:rtl w:val="true"/>
              </w:rPr>
              <w:tab/>
            </w:r>
            <w:r>
              <w:rPr>
                <w:rStyle w:val="IndexLink"/>
              </w:rPr>
              <w:t>462</w:t>
            </w:r>
          </w:hyperlink>
        </w:p>
        <w:p>
          <w:pPr>
            <w:pStyle w:val="Contents3"/>
            <w:tabs>
              <w:tab w:val="clear" w:pos="8459"/>
              <w:tab w:val="right" w:pos="9026" w:leader="dot"/>
            </w:tabs>
            <w:rPr/>
          </w:pPr>
          <w:hyperlink w:anchor="__RefHeading___Toc1666568_2322387425">
            <w:r>
              <w:rPr>
                <w:webHidden/>
                <w:rStyle w:val="IndexLink"/>
                <w:rtl w:val="true"/>
              </w:rPr>
              <w:t>ما یعتبر فی مطهریة الشمس</w:t>
            </w:r>
            <w:r>
              <w:rPr>
                <w:rStyle w:val="IndexLink"/>
                <w:rtl w:val="true"/>
              </w:rPr>
              <w:tab/>
            </w:r>
            <w:r>
              <w:rPr>
                <w:rStyle w:val="IndexLink"/>
              </w:rPr>
              <w:t>465</w:t>
            </w:r>
          </w:hyperlink>
        </w:p>
        <w:p>
          <w:pPr>
            <w:pStyle w:val="Contents3"/>
            <w:tabs>
              <w:tab w:val="clear" w:pos="8459"/>
              <w:tab w:val="right" w:pos="9026" w:leader="dot"/>
            </w:tabs>
            <w:rPr/>
          </w:pPr>
          <w:hyperlink w:anchor="__RefHeading___Toc1666570_2322387425">
            <w:r>
              <w:rPr>
                <w:webHidden/>
                <w:rStyle w:val="IndexLink"/>
                <w:rtl w:val="true"/>
              </w:rPr>
              <w:t>فروع فی مطهریة الشمس</w:t>
            </w:r>
            <w:r>
              <w:rPr>
                <w:rStyle w:val="IndexLink"/>
                <w:rtl w:val="true"/>
              </w:rPr>
              <w:tab/>
            </w:r>
            <w:r>
              <w:rPr>
                <w:rStyle w:val="IndexLink"/>
              </w:rPr>
              <w:t>468</w:t>
            </w:r>
          </w:hyperlink>
        </w:p>
        <w:p>
          <w:pPr>
            <w:pStyle w:val="Contents3"/>
            <w:tabs>
              <w:tab w:val="clear" w:pos="8459"/>
              <w:tab w:val="right" w:pos="9026" w:leader="dot"/>
            </w:tabs>
            <w:rPr/>
          </w:pPr>
          <w:hyperlink w:anchor="__RefHeading___Toc1666572_2322387425">
            <w:r>
              <w:rPr>
                <w:webHidden/>
                <w:rStyle w:val="IndexLink"/>
                <w:rtl w:val="true"/>
              </w:rPr>
              <w:t>الرابع</w:t>
            </w:r>
            <w:r>
              <w:rPr>
                <w:rStyle w:val="IndexLink"/>
                <w:rtl w:val="true"/>
              </w:rPr>
              <w:t xml:space="preserve">: </w:t>
            </w:r>
            <w:r>
              <w:rPr>
                <w:rStyle w:val="IndexLink"/>
                <w:rtl w:val="true"/>
              </w:rPr>
              <w:t>الاستحالة</w:t>
            </w:r>
            <w:r>
              <w:rPr>
                <w:rStyle w:val="IndexLink"/>
                <w:rtl w:val="true"/>
              </w:rPr>
              <w:tab/>
            </w:r>
            <w:r>
              <w:rPr>
                <w:rStyle w:val="IndexLink"/>
              </w:rPr>
              <w:t>478</w:t>
            </w:r>
          </w:hyperlink>
        </w:p>
        <w:p>
          <w:pPr>
            <w:pStyle w:val="Contents3"/>
            <w:tabs>
              <w:tab w:val="clear" w:pos="8459"/>
              <w:tab w:val="right" w:pos="9026" w:leader="dot"/>
            </w:tabs>
            <w:rPr/>
          </w:pPr>
          <w:hyperlink w:anchor="__RefHeading___Toc1666574_2322387425">
            <w:r>
              <w:rPr>
                <w:webHidden/>
                <w:rStyle w:val="IndexLink"/>
                <w:rtl w:val="true"/>
              </w:rPr>
              <w:t>مطهریة الاستحالة للنجس والمتنجس</w:t>
            </w:r>
            <w:r>
              <w:rPr>
                <w:rStyle w:val="IndexLink"/>
                <w:rtl w:val="true"/>
              </w:rPr>
              <w:tab/>
            </w:r>
            <w:r>
              <w:rPr>
                <w:rStyle w:val="IndexLink"/>
              </w:rPr>
              <w:t>478</w:t>
            </w:r>
          </w:hyperlink>
        </w:p>
        <w:p>
          <w:pPr>
            <w:pStyle w:val="Contents3"/>
            <w:tabs>
              <w:tab w:val="clear" w:pos="8459"/>
              <w:tab w:val="right" w:pos="9026" w:leader="dot"/>
            </w:tabs>
            <w:rPr/>
          </w:pPr>
          <w:hyperlink w:anchor="__RefHeading___Toc1666576_2322387425">
            <w:r>
              <w:rPr>
                <w:webHidden/>
                <w:rStyle w:val="IndexLink"/>
                <w:rtl w:val="true"/>
              </w:rPr>
              <w:t>حکم تبدل الأوصاف و تفرق الأجزاء</w:t>
            </w:r>
            <w:r>
              <w:rPr>
                <w:rStyle w:val="IndexLink"/>
                <w:rtl w:val="true"/>
              </w:rPr>
              <w:tab/>
            </w:r>
            <w:r>
              <w:rPr>
                <w:rStyle w:val="IndexLink"/>
              </w:rPr>
              <w:t>479</w:t>
            </w:r>
          </w:hyperlink>
        </w:p>
        <w:p>
          <w:pPr>
            <w:pStyle w:val="Contents3"/>
            <w:tabs>
              <w:tab w:val="clear" w:pos="8459"/>
              <w:tab w:val="right" w:pos="9026" w:leader="dot"/>
            </w:tabs>
            <w:rPr/>
          </w:pPr>
          <w:hyperlink w:anchor="__RefHeading___Toc1666578_2322387425">
            <w:r>
              <w:rPr>
                <w:webHidden/>
                <w:rStyle w:val="IndexLink"/>
                <w:rtl w:val="true"/>
              </w:rPr>
              <w:t>حکم الشک فی الاستحالة</w:t>
            </w:r>
            <w:r>
              <w:rPr>
                <w:rStyle w:val="IndexLink"/>
                <w:rtl w:val="true"/>
              </w:rPr>
              <w:tab/>
            </w:r>
            <w:r>
              <w:rPr>
                <w:rStyle w:val="IndexLink"/>
              </w:rPr>
              <w:t>481</w:t>
            </w:r>
          </w:hyperlink>
        </w:p>
        <w:p>
          <w:pPr>
            <w:pStyle w:val="Contents3"/>
            <w:tabs>
              <w:tab w:val="clear" w:pos="8459"/>
              <w:tab w:val="right" w:pos="9026" w:leader="dot"/>
            </w:tabs>
            <w:rPr/>
          </w:pPr>
          <w:hyperlink w:anchor="__RefHeading___Toc1666580_2322387425">
            <w:r>
              <w:rPr>
                <w:webHidden/>
                <w:rStyle w:val="IndexLink"/>
                <w:rtl w:val="true"/>
              </w:rPr>
              <w:t>الخامس</w:t>
            </w:r>
            <w:r>
              <w:rPr>
                <w:rStyle w:val="IndexLink"/>
                <w:rtl w:val="true"/>
              </w:rPr>
              <w:t xml:space="preserve">: </w:t>
            </w:r>
            <w:r>
              <w:rPr>
                <w:rStyle w:val="IndexLink"/>
                <w:rtl w:val="true"/>
              </w:rPr>
              <w:t>الانقلاب</w:t>
            </w:r>
            <w:r>
              <w:rPr>
                <w:rStyle w:val="IndexLink"/>
                <w:rtl w:val="true"/>
              </w:rPr>
              <w:tab/>
            </w:r>
            <w:r>
              <w:rPr>
                <w:rStyle w:val="IndexLink"/>
              </w:rPr>
              <w:t>482</w:t>
            </w:r>
          </w:hyperlink>
        </w:p>
        <w:p>
          <w:pPr>
            <w:pStyle w:val="Contents3"/>
            <w:tabs>
              <w:tab w:val="clear" w:pos="8459"/>
              <w:tab w:val="right" w:pos="9026" w:leader="dot"/>
            </w:tabs>
            <w:rPr/>
          </w:pPr>
          <w:hyperlink w:anchor="__RefHeading___Toc1666582_2322387425">
            <w:r>
              <w:rPr>
                <w:webHidden/>
                <w:rStyle w:val="IndexLink"/>
                <w:rtl w:val="true"/>
              </w:rPr>
              <w:t>ما یشترط فی مطهریة الانقلاب</w:t>
            </w:r>
            <w:r>
              <w:rPr>
                <w:rStyle w:val="IndexLink"/>
                <w:rtl w:val="true"/>
              </w:rPr>
              <w:tab/>
            </w:r>
            <w:r>
              <w:rPr>
                <w:rStyle w:val="IndexLink"/>
              </w:rPr>
              <w:t>484</w:t>
            </w:r>
          </w:hyperlink>
        </w:p>
        <w:p>
          <w:pPr>
            <w:pStyle w:val="Contents3"/>
            <w:tabs>
              <w:tab w:val="clear" w:pos="8459"/>
              <w:tab w:val="right" w:pos="9026" w:leader="dot"/>
            </w:tabs>
            <w:rPr/>
          </w:pPr>
          <w:hyperlink w:anchor="__RefHeading___Toc1666584_2322387425">
            <w:r>
              <w:rPr>
                <w:webHidden/>
                <w:rStyle w:val="IndexLink"/>
                <w:rtl w:val="true"/>
              </w:rPr>
              <w:t>بعض فروع الانقلاب</w:t>
            </w:r>
            <w:r>
              <w:rPr>
                <w:rStyle w:val="IndexLink"/>
                <w:rtl w:val="true"/>
              </w:rPr>
              <w:tab/>
            </w:r>
            <w:r>
              <w:rPr>
                <w:rStyle w:val="IndexLink"/>
              </w:rPr>
              <w:t>491</w:t>
            </w:r>
          </w:hyperlink>
        </w:p>
        <w:p>
          <w:pPr>
            <w:pStyle w:val="Contents3"/>
            <w:tabs>
              <w:tab w:val="clear" w:pos="8459"/>
              <w:tab w:val="right" w:pos="9026" w:leader="dot"/>
            </w:tabs>
            <w:rPr/>
          </w:pPr>
          <w:hyperlink w:anchor="__RefHeading___Toc1666586_2322387425">
            <w:r>
              <w:rPr>
                <w:webHidden/>
                <w:rStyle w:val="IndexLink"/>
                <w:rtl w:val="true"/>
              </w:rPr>
              <w:t>التسهلاک و الاستحالة</w:t>
            </w:r>
            <w:r>
              <w:rPr>
                <w:rStyle w:val="IndexLink"/>
                <w:rtl w:val="true"/>
              </w:rPr>
              <w:tab/>
            </w:r>
            <w:r>
              <w:rPr>
                <w:rStyle w:val="IndexLink"/>
              </w:rPr>
              <w:t>493</w:t>
            </w:r>
          </w:hyperlink>
        </w:p>
        <w:p>
          <w:pPr>
            <w:pStyle w:val="Contents3"/>
            <w:tabs>
              <w:tab w:val="clear" w:pos="8459"/>
              <w:tab w:val="right" w:pos="9026" w:leader="dot"/>
            </w:tabs>
            <w:rPr/>
          </w:pPr>
          <w:hyperlink w:anchor="__RefHeading___Toc1666588_2322387425">
            <w:r>
              <w:rPr>
                <w:webHidden/>
                <w:rStyle w:val="IndexLink"/>
                <w:rtl w:val="true"/>
              </w:rPr>
              <w:t>السادس</w:t>
            </w:r>
            <w:r>
              <w:rPr>
                <w:rStyle w:val="IndexLink"/>
                <w:rtl w:val="true"/>
              </w:rPr>
              <w:t xml:space="preserve">: </w:t>
            </w:r>
            <w:r>
              <w:rPr>
                <w:rStyle w:val="IndexLink"/>
                <w:rtl w:val="true"/>
              </w:rPr>
              <w:t>ذهاب الثلثین</w:t>
            </w:r>
            <w:r>
              <w:rPr>
                <w:rStyle w:val="IndexLink"/>
                <w:rtl w:val="true"/>
              </w:rPr>
              <w:tab/>
            </w:r>
            <w:r>
              <w:rPr>
                <w:rStyle w:val="IndexLink"/>
              </w:rPr>
              <w:t>496</w:t>
            </w:r>
          </w:hyperlink>
        </w:p>
        <w:p>
          <w:pPr>
            <w:pStyle w:val="Contents3"/>
            <w:tabs>
              <w:tab w:val="clear" w:pos="8459"/>
              <w:tab w:val="right" w:pos="9026" w:leader="dot"/>
            </w:tabs>
            <w:rPr/>
          </w:pPr>
          <w:hyperlink w:anchor="__RefHeading___Toc1666590_2322387425">
            <w:r>
              <w:rPr>
                <w:webHidden/>
                <w:rStyle w:val="IndexLink"/>
                <w:rtl w:val="true"/>
              </w:rPr>
              <w:t>کیفیة تقدیر الثلث والثلثین</w:t>
            </w:r>
            <w:r>
              <w:rPr>
                <w:rStyle w:val="IndexLink"/>
                <w:rtl w:val="true"/>
              </w:rPr>
              <w:tab/>
            </w:r>
            <w:r>
              <w:rPr>
                <w:rStyle w:val="IndexLink"/>
              </w:rPr>
              <w:t>502</w:t>
            </w:r>
          </w:hyperlink>
        </w:p>
        <w:p>
          <w:pPr>
            <w:pStyle w:val="Contents3"/>
            <w:tabs>
              <w:tab w:val="clear" w:pos="8459"/>
              <w:tab w:val="right" w:pos="9026" w:leader="dot"/>
            </w:tabs>
            <w:rPr/>
          </w:pPr>
          <w:hyperlink w:anchor="__RefHeading___Toc1666592_2322387425">
            <w:r>
              <w:rPr>
                <w:webHidden/>
                <w:rStyle w:val="IndexLink"/>
                <w:rtl w:val="true"/>
              </w:rPr>
              <w:t>طرق ثبوت ذهاب الثلثین</w:t>
            </w:r>
            <w:r>
              <w:rPr>
                <w:rStyle w:val="IndexLink"/>
                <w:rtl w:val="true"/>
              </w:rPr>
              <w:tab/>
            </w:r>
            <w:r>
              <w:rPr>
                <w:rStyle w:val="IndexLink"/>
              </w:rPr>
              <w:t>503</w:t>
            </w:r>
          </w:hyperlink>
        </w:p>
        <w:p>
          <w:pPr>
            <w:pStyle w:val="Contents3"/>
            <w:tabs>
              <w:tab w:val="clear" w:pos="8459"/>
              <w:tab w:val="right" w:pos="9026" w:leader="dot"/>
            </w:tabs>
            <w:rPr/>
          </w:pPr>
          <w:hyperlink w:anchor="__RefHeading___Toc1666594_2322387425">
            <w:r>
              <w:rPr>
                <w:webHidden/>
                <w:rStyle w:val="IndexLink"/>
                <w:rtl w:val="true"/>
              </w:rPr>
              <w:t>فروع فی مطهریة ذهاب الثلثین</w:t>
            </w:r>
            <w:r>
              <w:rPr>
                <w:rStyle w:val="IndexLink"/>
                <w:rtl w:val="true"/>
              </w:rPr>
              <w:tab/>
            </w:r>
            <w:r>
              <w:rPr>
                <w:rStyle w:val="IndexLink"/>
              </w:rPr>
              <w:t>504</w:t>
            </w:r>
          </w:hyperlink>
        </w:p>
        <w:p>
          <w:pPr>
            <w:pStyle w:val="Contents3"/>
            <w:tabs>
              <w:tab w:val="clear" w:pos="8459"/>
              <w:tab w:val="right" w:pos="9026" w:leader="dot"/>
            </w:tabs>
            <w:rPr/>
          </w:pPr>
          <w:hyperlink w:anchor="__RefHeading___Toc1666596_2322387425">
            <w:r>
              <w:rPr>
                <w:webHidden/>
                <w:rStyle w:val="IndexLink"/>
                <w:rtl w:val="true"/>
              </w:rPr>
              <w:t>السابع</w:t>
            </w:r>
            <w:r>
              <w:rPr>
                <w:rStyle w:val="IndexLink"/>
                <w:rtl w:val="true"/>
              </w:rPr>
              <w:t xml:space="preserve">: </w:t>
            </w:r>
            <w:r>
              <w:rPr>
                <w:rStyle w:val="IndexLink"/>
                <w:rtl w:val="true"/>
              </w:rPr>
              <w:t>الانتقال</w:t>
            </w:r>
            <w:r>
              <w:rPr>
                <w:rStyle w:val="IndexLink"/>
                <w:rtl w:val="true"/>
              </w:rPr>
              <w:tab/>
            </w:r>
            <w:r>
              <w:rPr>
                <w:rStyle w:val="IndexLink"/>
              </w:rPr>
              <w:t>520</w:t>
            </w:r>
          </w:hyperlink>
        </w:p>
        <w:p>
          <w:pPr>
            <w:pStyle w:val="Contents3"/>
            <w:tabs>
              <w:tab w:val="clear" w:pos="8459"/>
              <w:tab w:val="right" w:pos="9026" w:leader="dot"/>
            </w:tabs>
            <w:rPr/>
          </w:pPr>
          <w:hyperlink w:anchor="__RefHeading___Toc1666598_2322387425">
            <w:r>
              <w:rPr>
                <w:webHidden/>
                <w:rStyle w:val="IndexLink"/>
                <w:rtl w:val="true"/>
              </w:rPr>
              <w:t>انتقال دم الانسان إلی جوف البق</w:t>
            </w:r>
            <w:r>
              <w:rPr>
                <w:rStyle w:val="IndexLink"/>
                <w:rtl w:val="true"/>
              </w:rPr>
              <w:tab/>
            </w:r>
            <w:r>
              <w:rPr>
                <w:rStyle w:val="IndexLink"/>
              </w:rPr>
              <w:t>520</w:t>
            </w:r>
          </w:hyperlink>
        </w:p>
        <w:p>
          <w:pPr>
            <w:pStyle w:val="Contents3"/>
            <w:tabs>
              <w:tab w:val="clear" w:pos="8459"/>
              <w:tab w:val="right" w:pos="9026" w:leader="dot"/>
            </w:tabs>
            <w:rPr/>
          </w:pPr>
          <w:hyperlink w:anchor="__RefHeading___Toc1666600_2322387425">
            <w:r>
              <w:rPr>
                <w:webHidden/>
                <w:rStyle w:val="IndexLink"/>
                <w:rtl w:val="true"/>
              </w:rPr>
              <w:t>حکم دم البق الخارج بعد قتله</w:t>
            </w:r>
            <w:r>
              <w:rPr>
                <w:rStyle w:val="IndexLink"/>
                <w:rtl w:val="true"/>
              </w:rPr>
              <w:tab/>
            </w:r>
            <w:r>
              <w:rPr>
                <w:rStyle w:val="IndexLink"/>
              </w:rPr>
              <w:t>521</w:t>
            </w:r>
          </w:hyperlink>
        </w:p>
        <w:p>
          <w:pPr>
            <w:pStyle w:val="Contents3"/>
            <w:tabs>
              <w:tab w:val="clear" w:pos="8459"/>
              <w:tab w:val="right" w:pos="9026" w:leader="dot"/>
            </w:tabs>
            <w:rPr/>
          </w:pPr>
          <w:hyperlink w:anchor="__RefHeading___Toc1666602_2322387425">
            <w:r>
              <w:rPr>
                <w:webHidden/>
                <w:rStyle w:val="IndexLink"/>
                <w:rtl w:val="true"/>
              </w:rPr>
              <w:t>الثامن</w:t>
            </w:r>
            <w:r>
              <w:rPr>
                <w:rStyle w:val="IndexLink"/>
                <w:rtl w:val="true"/>
              </w:rPr>
              <w:t xml:space="preserve">: </w:t>
            </w:r>
            <w:r>
              <w:rPr>
                <w:rStyle w:val="IndexLink"/>
                <w:rtl w:val="true"/>
              </w:rPr>
              <w:t>الإسلام</w:t>
            </w:r>
            <w:r>
              <w:rPr>
                <w:rStyle w:val="IndexLink"/>
                <w:rtl w:val="true"/>
              </w:rPr>
              <w:tab/>
            </w:r>
            <w:r>
              <w:rPr>
                <w:rStyle w:val="IndexLink"/>
              </w:rPr>
              <w:t>523</w:t>
            </w:r>
          </w:hyperlink>
        </w:p>
        <w:p>
          <w:pPr>
            <w:pStyle w:val="Contents3"/>
            <w:tabs>
              <w:tab w:val="clear" w:pos="8459"/>
              <w:tab w:val="right" w:pos="9026" w:leader="dot"/>
            </w:tabs>
            <w:rPr/>
          </w:pPr>
          <w:hyperlink w:anchor="__RefHeading___Toc1666604_2322387425">
            <w:r>
              <w:rPr>
                <w:webHidden/>
                <w:rStyle w:val="IndexLink"/>
                <w:rtl w:val="true"/>
              </w:rPr>
              <w:t>فیما یطهر بالإسلام من الکافر</w:t>
            </w:r>
            <w:r>
              <w:rPr>
                <w:rStyle w:val="IndexLink"/>
                <w:rtl w:val="true"/>
              </w:rPr>
              <w:tab/>
            </w:r>
            <w:r>
              <w:rPr>
                <w:rStyle w:val="IndexLink"/>
              </w:rPr>
              <w:t>525</w:t>
            </w:r>
          </w:hyperlink>
        </w:p>
        <w:p>
          <w:pPr>
            <w:pStyle w:val="Contents3"/>
            <w:tabs>
              <w:tab w:val="clear" w:pos="8459"/>
              <w:tab w:val="right" w:pos="9026" w:leader="dot"/>
            </w:tabs>
            <w:rPr/>
          </w:pPr>
          <w:hyperlink w:anchor="__RefHeading___Toc1666606_2322387425">
            <w:r>
              <w:rPr>
                <w:webHidden/>
                <w:rStyle w:val="IndexLink"/>
                <w:rtl w:val="true"/>
              </w:rPr>
              <w:t>فیما یتحقق به الإسلام</w:t>
            </w:r>
            <w:r>
              <w:rPr>
                <w:rStyle w:val="IndexLink"/>
                <w:rtl w:val="true"/>
              </w:rPr>
              <w:tab/>
            </w:r>
            <w:r>
              <w:rPr>
                <w:rStyle w:val="IndexLink"/>
              </w:rPr>
              <w:t>529</w:t>
            </w:r>
          </w:hyperlink>
        </w:p>
        <w:p>
          <w:pPr>
            <w:pStyle w:val="Contents3"/>
            <w:tabs>
              <w:tab w:val="clear" w:pos="8459"/>
              <w:tab w:val="right" w:pos="9026" w:leader="dot"/>
            </w:tabs>
            <w:rPr/>
          </w:pPr>
          <w:hyperlink w:anchor="__RefHeading___Toc1666608_2322387425">
            <w:r>
              <w:rPr>
                <w:webHidden/>
                <w:rStyle w:val="IndexLink"/>
                <w:rtl w:val="true"/>
              </w:rPr>
              <w:t>التاسع</w:t>
            </w:r>
            <w:r>
              <w:rPr>
                <w:rStyle w:val="IndexLink"/>
                <w:rtl w:val="true"/>
              </w:rPr>
              <w:t xml:space="preserve">: </w:t>
            </w:r>
            <w:r>
              <w:rPr>
                <w:rStyle w:val="IndexLink"/>
                <w:rtl w:val="true"/>
              </w:rPr>
              <w:t>التبعیة</w:t>
            </w:r>
            <w:r>
              <w:rPr>
                <w:rStyle w:val="IndexLink"/>
                <w:rtl w:val="true"/>
              </w:rPr>
              <w:tab/>
            </w:r>
            <w:r>
              <w:rPr>
                <w:rStyle w:val="IndexLink"/>
              </w:rPr>
              <w:t>532</w:t>
            </w:r>
          </w:hyperlink>
        </w:p>
        <w:p>
          <w:pPr>
            <w:pStyle w:val="Contents3"/>
            <w:tabs>
              <w:tab w:val="clear" w:pos="8459"/>
              <w:tab w:val="right" w:pos="9026" w:leader="dot"/>
            </w:tabs>
            <w:rPr/>
          </w:pPr>
          <w:hyperlink w:anchor="__RefHeading___Toc1666610_2322387425">
            <w:r>
              <w:rPr>
                <w:webHidden/>
                <w:rStyle w:val="IndexLink"/>
                <w:rtl w:val="true"/>
              </w:rPr>
              <w:t>العاشر</w:t>
            </w:r>
            <w:r>
              <w:rPr>
                <w:rStyle w:val="IndexLink"/>
                <w:rtl w:val="true"/>
              </w:rPr>
              <w:t xml:space="preserve">: </w:t>
            </w:r>
            <w:r>
              <w:rPr>
                <w:rStyle w:val="IndexLink"/>
                <w:rtl w:val="true"/>
              </w:rPr>
              <w:t>زوال العین</w:t>
            </w:r>
            <w:r>
              <w:rPr>
                <w:rStyle w:val="IndexLink"/>
                <w:rtl w:val="true"/>
              </w:rPr>
              <w:tab/>
            </w:r>
            <w:r>
              <w:rPr>
                <w:rStyle w:val="IndexLink"/>
              </w:rPr>
              <w:t>539</w:t>
            </w:r>
          </w:hyperlink>
        </w:p>
        <w:p>
          <w:pPr>
            <w:pStyle w:val="Contents3"/>
            <w:tabs>
              <w:tab w:val="clear" w:pos="8459"/>
              <w:tab w:val="right" w:pos="9026" w:leader="dot"/>
            </w:tabs>
            <w:rPr/>
          </w:pPr>
          <w:hyperlink w:anchor="__RefHeading___Toc1666612_2322387425">
            <w:r>
              <w:rPr>
                <w:webHidden/>
                <w:rStyle w:val="IndexLink"/>
                <w:rtl w:val="true"/>
              </w:rPr>
              <w:t>الحادی عشر</w:t>
            </w:r>
            <w:r>
              <w:rPr>
                <w:rStyle w:val="IndexLink"/>
                <w:rtl w:val="true"/>
              </w:rPr>
              <w:t xml:space="preserve">: </w:t>
            </w:r>
            <w:r>
              <w:rPr>
                <w:rStyle w:val="IndexLink"/>
                <w:rtl w:val="true"/>
              </w:rPr>
              <w:t>استبراء الحیوان الجلال</w:t>
            </w:r>
            <w:r>
              <w:rPr>
                <w:rStyle w:val="IndexLink"/>
                <w:rtl w:val="true"/>
              </w:rPr>
              <w:tab/>
            </w:r>
            <w:r>
              <w:rPr>
                <w:rStyle w:val="IndexLink"/>
              </w:rPr>
              <w:t>545</w:t>
            </w:r>
          </w:hyperlink>
        </w:p>
        <w:p>
          <w:pPr>
            <w:pStyle w:val="Contents3"/>
            <w:tabs>
              <w:tab w:val="clear" w:pos="8459"/>
              <w:tab w:val="right" w:pos="9026" w:leader="dot"/>
            </w:tabs>
            <w:rPr/>
          </w:pPr>
          <w:hyperlink w:anchor="__RefHeading___Toc1666614_2322387425">
            <w:r>
              <w:rPr>
                <w:webHidden/>
                <w:rStyle w:val="IndexLink"/>
                <w:rtl w:val="true"/>
              </w:rPr>
              <w:t>معنی الجلل</w:t>
            </w:r>
            <w:r>
              <w:rPr>
                <w:rStyle w:val="IndexLink"/>
                <w:rtl w:val="true"/>
              </w:rPr>
              <w:tab/>
            </w:r>
            <w:r>
              <w:rPr>
                <w:rStyle w:val="IndexLink"/>
              </w:rPr>
              <w:t>545</w:t>
            </w:r>
          </w:hyperlink>
        </w:p>
        <w:p>
          <w:pPr>
            <w:pStyle w:val="Contents3"/>
            <w:tabs>
              <w:tab w:val="clear" w:pos="8459"/>
              <w:tab w:val="right" w:pos="9026" w:leader="dot"/>
            </w:tabs>
            <w:rPr/>
          </w:pPr>
          <w:hyperlink w:anchor="__RefHeading___Toc1666616_2322387425">
            <w:r>
              <w:rPr>
                <w:webHidden/>
                <w:rStyle w:val="IndexLink"/>
                <w:rtl w:val="true"/>
              </w:rPr>
              <w:t>ما یحصل به الاستبراء عن الجلل</w:t>
            </w:r>
            <w:r>
              <w:rPr>
                <w:rStyle w:val="IndexLink"/>
                <w:rtl w:val="true"/>
              </w:rPr>
              <w:tab/>
            </w:r>
            <w:r>
              <w:rPr>
                <w:rStyle w:val="IndexLink"/>
              </w:rPr>
              <w:t>545</w:t>
            </w:r>
          </w:hyperlink>
        </w:p>
        <w:p>
          <w:pPr>
            <w:pStyle w:val="Contents3"/>
            <w:tabs>
              <w:tab w:val="clear" w:pos="8459"/>
              <w:tab w:val="right" w:pos="9026" w:leader="dot"/>
            </w:tabs>
            <w:rPr/>
          </w:pPr>
          <w:hyperlink w:anchor="__RefHeading___Toc1666618_2322387425">
            <w:r>
              <w:rPr>
                <w:webHidden/>
                <w:rStyle w:val="IndexLink"/>
                <w:rtl w:val="true"/>
              </w:rPr>
              <w:t>مدة الاستبراء فی الحیوانات</w:t>
            </w:r>
            <w:r>
              <w:rPr>
                <w:rStyle w:val="IndexLink"/>
                <w:rtl w:val="true"/>
              </w:rPr>
              <w:tab/>
            </w:r>
            <w:r>
              <w:rPr>
                <w:rStyle w:val="IndexLink"/>
              </w:rPr>
              <w:t>546</w:t>
            </w:r>
          </w:hyperlink>
        </w:p>
        <w:p>
          <w:pPr>
            <w:pStyle w:val="Contents3"/>
            <w:tabs>
              <w:tab w:val="clear" w:pos="8459"/>
              <w:tab w:val="right" w:pos="9026" w:leader="dot"/>
            </w:tabs>
            <w:rPr/>
          </w:pPr>
          <w:hyperlink w:anchor="__RefHeading___Toc1666620_2322387425">
            <w:r>
              <w:rPr>
                <w:webHidden/>
                <w:rStyle w:val="IndexLink"/>
                <w:rtl w:val="true"/>
              </w:rPr>
              <w:t>الثانی عشر</w:t>
            </w:r>
            <w:r>
              <w:rPr>
                <w:rStyle w:val="IndexLink"/>
                <w:rtl w:val="true"/>
              </w:rPr>
              <w:t xml:space="preserve">: </w:t>
            </w:r>
            <w:r>
              <w:rPr>
                <w:rStyle w:val="IndexLink"/>
                <w:rtl w:val="true"/>
              </w:rPr>
              <w:t>حجر الاستنجاء</w:t>
            </w:r>
            <w:r>
              <w:rPr>
                <w:rStyle w:val="IndexLink"/>
                <w:rtl w:val="true"/>
              </w:rPr>
              <w:tab/>
            </w:r>
            <w:r>
              <w:rPr>
                <w:rStyle w:val="IndexLink"/>
              </w:rPr>
              <w:t>547</w:t>
            </w:r>
          </w:hyperlink>
        </w:p>
        <w:p>
          <w:pPr>
            <w:pStyle w:val="Contents3"/>
            <w:tabs>
              <w:tab w:val="clear" w:pos="8459"/>
              <w:tab w:val="right" w:pos="9026" w:leader="dot"/>
            </w:tabs>
            <w:rPr/>
          </w:pPr>
          <w:hyperlink w:anchor="__RefHeading___Toc1666622_2322387425">
            <w:r>
              <w:rPr>
                <w:webHidden/>
                <w:rStyle w:val="IndexLink"/>
                <w:rtl w:val="true"/>
              </w:rPr>
              <w:t>الثالث عشر</w:t>
            </w:r>
            <w:r>
              <w:rPr>
                <w:rStyle w:val="IndexLink"/>
                <w:rtl w:val="true"/>
              </w:rPr>
              <w:t xml:space="preserve">: </w:t>
            </w:r>
            <w:r>
              <w:rPr>
                <w:rStyle w:val="IndexLink"/>
                <w:rtl w:val="true"/>
              </w:rPr>
              <w:t>خروج الدم من الذبیحة</w:t>
            </w:r>
            <w:r>
              <w:rPr>
                <w:rStyle w:val="IndexLink"/>
                <w:rtl w:val="true"/>
              </w:rPr>
              <w:tab/>
            </w:r>
            <w:r>
              <w:rPr>
                <w:rStyle w:val="IndexLink"/>
              </w:rPr>
              <w:t>547</w:t>
            </w:r>
          </w:hyperlink>
        </w:p>
        <w:p>
          <w:pPr>
            <w:pStyle w:val="Contents3"/>
            <w:tabs>
              <w:tab w:val="clear" w:pos="8459"/>
              <w:tab w:val="right" w:pos="9026" w:leader="dot"/>
            </w:tabs>
            <w:rPr/>
          </w:pPr>
          <w:hyperlink w:anchor="__RefHeading___Toc1666624_2322387425">
            <w:r>
              <w:rPr>
                <w:webHidden/>
                <w:rStyle w:val="IndexLink"/>
                <w:rtl w:val="true"/>
              </w:rPr>
              <w:t>الرابع عشر</w:t>
            </w:r>
            <w:r>
              <w:rPr>
                <w:rStyle w:val="IndexLink"/>
                <w:rtl w:val="true"/>
              </w:rPr>
              <w:t xml:space="preserve">: </w:t>
            </w:r>
            <w:r>
              <w:rPr>
                <w:rStyle w:val="IndexLink"/>
                <w:rtl w:val="true"/>
              </w:rPr>
              <w:t>نزح البئر</w:t>
            </w:r>
            <w:r>
              <w:rPr>
                <w:rStyle w:val="IndexLink"/>
                <w:rtl w:val="true"/>
              </w:rPr>
              <w:tab/>
            </w:r>
            <w:r>
              <w:rPr>
                <w:rStyle w:val="IndexLink"/>
              </w:rPr>
              <w:t>548</w:t>
            </w:r>
          </w:hyperlink>
        </w:p>
        <w:p>
          <w:pPr>
            <w:pStyle w:val="Contents3"/>
            <w:tabs>
              <w:tab w:val="clear" w:pos="8459"/>
              <w:tab w:val="right" w:pos="9026" w:leader="dot"/>
            </w:tabs>
            <w:rPr/>
          </w:pPr>
          <w:hyperlink w:anchor="__RefHeading___Toc1666626_2322387425">
            <w:r>
              <w:rPr>
                <w:webHidden/>
                <w:rStyle w:val="IndexLink"/>
                <w:rtl w:val="true"/>
              </w:rPr>
              <w:t>الخامس عشر</w:t>
            </w:r>
            <w:r>
              <w:rPr>
                <w:rStyle w:val="IndexLink"/>
                <w:rtl w:val="true"/>
              </w:rPr>
              <w:t xml:space="preserve">: </w:t>
            </w:r>
            <w:r>
              <w:rPr>
                <w:rStyle w:val="IndexLink"/>
                <w:rtl w:val="true"/>
              </w:rPr>
              <w:t>تیمم المیت</w:t>
            </w:r>
            <w:r>
              <w:rPr>
                <w:rStyle w:val="IndexLink"/>
                <w:rtl w:val="true"/>
              </w:rPr>
              <w:tab/>
            </w:r>
            <w:r>
              <w:rPr>
                <w:rStyle w:val="IndexLink"/>
              </w:rPr>
              <w:t>548</w:t>
            </w:r>
          </w:hyperlink>
        </w:p>
        <w:p>
          <w:pPr>
            <w:pStyle w:val="Contents3"/>
            <w:tabs>
              <w:tab w:val="clear" w:pos="8459"/>
              <w:tab w:val="right" w:pos="9026" w:leader="dot"/>
            </w:tabs>
            <w:rPr/>
          </w:pPr>
          <w:hyperlink w:anchor="__RefHeading___Toc1666628_2322387425">
            <w:r>
              <w:rPr>
                <w:webHidden/>
                <w:rStyle w:val="IndexLink"/>
                <w:rtl w:val="true"/>
              </w:rPr>
              <w:t>السادس عشر</w:t>
            </w:r>
            <w:r>
              <w:rPr>
                <w:rStyle w:val="IndexLink"/>
                <w:rtl w:val="true"/>
              </w:rPr>
              <w:t xml:space="preserve">: </w:t>
            </w:r>
            <w:r>
              <w:rPr>
                <w:rStyle w:val="IndexLink"/>
                <w:rtl w:val="true"/>
              </w:rPr>
              <w:t>الاستبراء بالخرطات</w:t>
            </w:r>
            <w:r>
              <w:rPr>
                <w:rStyle w:val="IndexLink"/>
                <w:rtl w:val="true"/>
              </w:rPr>
              <w:tab/>
            </w:r>
            <w:r>
              <w:rPr>
                <w:rStyle w:val="IndexLink"/>
              </w:rPr>
              <w:t>550</w:t>
            </w:r>
          </w:hyperlink>
        </w:p>
        <w:p>
          <w:pPr>
            <w:pStyle w:val="Contents3"/>
            <w:tabs>
              <w:tab w:val="clear" w:pos="8459"/>
              <w:tab w:val="right" w:pos="9026" w:leader="dot"/>
            </w:tabs>
            <w:rPr/>
          </w:pPr>
          <w:hyperlink w:anchor="__RefHeading___Toc1666630_2322387425">
            <w:r>
              <w:rPr>
                <w:webHidden/>
                <w:rStyle w:val="IndexLink"/>
                <w:rtl w:val="true"/>
              </w:rPr>
              <w:t>السابع عشر</w:t>
            </w:r>
            <w:r>
              <w:rPr>
                <w:rStyle w:val="IndexLink"/>
                <w:rtl w:val="true"/>
              </w:rPr>
              <w:t xml:space="preserve">: </w:t>
            </w:r>
            <w:r>
              <w:rPr>
                <w:rStyle w:val="IndexLink"/>
                <w:rtl w:val="true"/>
              </w:rPr>
              <w:t>زوال التغیر</w:t>
            </w:r>
            <w:r>
              <w:rPr>
                <w:rStyle w:val="IndexLink"/>
                <w:rtl w:val="true"/>
              </w:rPr>
              <w:tab/>
            </w:r>
            <w:r>
              <w:rPr>
                <w:rStyle w:val="IndexLink"/>
              </w:rPr>
              <w:t>550</w:t>
            </w:r>
          </w:hyperlink>
        </w:p>
        <w:p>
          <w:pPr>
            <w:pStyle w:val="Contents3"/>
            <w:tabs>
              <w:tab w:val="clear" w:pos="8459"/>
              <w:tab w:val="right" w:pos="9026" w:leader="dot"/>
            </w:tabs>
            <w:rPr/>
          </w:pPr>
          <w:hyperlink w:anchor="__RefHeading___Toc1666632_2322387425">
            <w:r>
              <w:rPr>
                <w:webHidden/>
                <w:rStyle w:val="IndexLink"/>
                <w:rtl w:val="true"/>
              </w:rPr>
              <w:t>الثامن عشر</w:t>
            </w:r>
            <w:r>
              <w:rPr>
                <w:rStyle w:val="IndexLink"/>
                <w:rtl w:val="true"/>
              </w:rPr>
              <w:t xml:space="preserve">: </w:t>
            </w:r>
            <w:r>
              <w:rPr>
                <w:rStyle w:val="IndexLink"/>
                <w:rtl w:val="true"/>
              </w:rPr>
              <w:t>غیبة المسلم</w:t>
            </w:r>
            <w:r>
              <w:rPr>
                <w:rStyle w:val="IndexLink"/>
                <w:rtl w:val="true"/>
              </w:rPr>
              <w:tab/>
            </w:r>
            <w:r>
              <w:rPr>
                <w:rStyle w:val="IndexLink"/>
              </w:rPr>
              <w:t>551</w:t>
            </w:r>
          </w:hyperlink>
        </w:p>
        <w:p>
          <w:pPr>
            <w:pStyle w:val="Contents3"/>
            <w:tabs>
              <w:tab w:val="clear" w:pos="8459"/>
              <w:tab w:val="right" w:pos="9026" w:leader="dot"/>
            </w:tabs>
            <w:rPr/>
          </w:pPr>
          <w:hyperlink w:anchor="__RefHeading___Toc1666634_2322387425">
            <w:r>
              <w:rPr>
                <w:webHidden/>
                <w:rStyle w:val="IndexLink"/>
                <w:rtl w:val="true"/>
              </w:rPr>
              <w:t>شروط مطهریة غیبة المسلم</w:t>
            </w:r>
            <w:r>
              <w:rPr>
                <w:rStyle w:val="IndexLink"/>
                <w:rtl w:val="true"/>
              </w:rPr>
              <w:tab/>
            </w:r>
            <w:r>
              <w:rPr>
                <w:rStyle w:val="IndexLink"/>
              </w:rPr>
              <w:t>551</w:t>
            </w:r>
          </w:hyperlink>
        </w:p>
        <w:p>
          <w:pPr>
            <w:pStyle w:val="Contents3"/>
            <w:tabs>
              <w:tab w:val="clear" w:pos="8459"/>
              <w:tab w:val="right" w:pos="9026" w:leader="dot"/>
            </w:tabs>
            <w:rPr/>
          </w:pPr>
          <w:hyperlink w:anchor="__RefHeading___Toc1666636_2322387425">
            <w:r>
              <w:rPr>
                <w:webHidden/>
                <w:rStyle w:val="IndexLink"/>
                <w:rtl w:val="true"/>
              </w:rPr>
              <w:t>فروع فی المطهرات</w:t>
            </w:r>
            <w:r>
              <w:rPr>
                <w:rStyle w:val="IndexLink"/>
                <w:rtl w:val="true"/>
              </w:rPr>
              <w:tab/>
            </w:r>
            <w:r>
              <w:rPr>
                <w:rStyle w:val="IndexLink"/>
              </w:rPr>
              <w:t>558</w:t>
            </w:r>
          </w:hyperlink>
        </w:p>
        <w:p>
          <w:pPr>
            <w:pStyle w:val="Contents2"/>
            <w:tabs>
              <w:tab w:val="clear" w:pos="8743"/>
              <w:tab w:val="right" w:pos="9026" w:leader="dot"/>
            </w:tabs>
            <w:rPr/>
          </w:pPr>
          <w:hyperlink w:anchor="__RefHeading___Toc1666638_2322387425">
            <w:r>
              <w:rPr>
                <w:webHidden/>
                <w:rStyle w:val="IndexLink"/>
                <w:rtl w:val="true"/>
              </w:rPr>
              <w:t>فصل طرق ثبوت التطهیر</w:t>
            </w:r>
            <w:r>
              <w:rPr>
                <w:rStyle w:val="IndexLink"/>
                <w:rtl w:val="true"/>
              </w:rPr>
              <w:tab/>
            </w:r>
            <w:r>
              <w:rPr>
                <w:rStyle w:val="IndexLink"/>
              </w:rPr>
              <w:t>568</w:t>
            </w:r>
          </w:hyperlink>
        </w:p>
        <w:p>
          <w:pPr>
            <w:pStyle w:val="Contents3"/>
            <w:tabs>
              <w:tab w:val="clear" w:pos="8459"/>
              <w:tab w:val="right" w:pos="9026" w:leader="dot"/>
            </w:tabs>
            <w:rPr/>
          </w:pPr>
          <w:hyperlink w:anchor="__RefHeading___Toc1666640_2322387425">
            <w:r>
              <w:rPr>
                <w:webHidden/>
                <w:rStyle w:val="IndexLink"/>
                <w:rtl w:val="true"/>
              </w:rPr>
              <w:t>اشارة</w:t>
            </w:r>
            <w:r>
              <w:rPr>
                <w:rStyle w:val="IndexLink"/>
                <w:rtl w:val="true"/>
              </w:rPr>
              <w:tab/>
            </w:r>
            <w:r>
              <w:rPr>
                <w:rStyle w:val="IndexLink"/>
              </w:rPr>
              <w:t>568</w:t>
            </w:r>
          </w:hyperlink>
        </w:p>
        <w:p>
          <w:pPr>
            <w:pStyle w:val="Contents3"/>
            <w:tabs>
              <w:tab w:val="clear" w:pos="8459"/>
              <w:tab w:val="right" w:pos="9026" w:leader="dot"/>
            </w:tabs>
            <w:rPr/>
          </w:pPr>
          <w:hyperlink w:anchor="__RefHeading___Toc1666642_2322387425">
            <w:r>
              <w:rPr>
                <w:webHidden/>
                <w:rStyle w:val="IndexLink"/>
                <w:rtl w:val="true"/>
              </w:rPr>
              <w:t>الأول والثانیک العلم الوجدانی والبینة</w:t>
            </w:r>
            <w:r>
              <w:rPr>
                <w:rStyle w:val="IndexLink"/>
                <w:rtl w:val="true"/>
              </w:rPr>
              <w:tab/>
            </w:r>
            <w:r>
              <w:rPr>
                <w:rStyle w:val="IndexLink"/>
              </w:rPr>
              <w:t>568</w:t>
            </w:r>
          </w:hyperlink>
        </w:p>
        <w:p>
          <w:pPr>
            <w:pStyle w:val="Contents3"/>
            <w:tabs>
              <w:tab w:val="clear" w:pos="8459"/>
              <w:tab w:val="right" w:pos="9026" w:leader="dot"/>
            </w:tabs>
            <w:rPr/>
          </w:pPr>
          <w:hyperlink w:anchor="__RefHeading___Toc1666644_2322387425">
            <w:r>
              <w:rPr>
                <w:webHidden/>
                <w:rStyle w:val="IndexLink"/>
                <w:rtl w:val="true"/>
              </w:rPr>
              <w:t>الثالث</w:t>
            </w:r>
            <w:r>
              <w:rPr>
                <w:rStyle w:val="IndexLink"/>
                <w:rtl w:val="true"/>
              </w:rPr>
              <w:t xml:space="preserve">: </w:t>
            </w:r>
            <w:r>
              <w:rPr>
                <w:rStyle w:val="IndexLink"/>
                <w:rtl w:val="true"/>
              </w:rPr>
              <w:t>إخبار ذی الید</w:t>
            </w:r>
            <w:r>
              <w:rPr>
                <w:rStyle w:val="IndexLink"/>
                <w:rtl w:val="true"/>
              </w:rPr>
              <w:tab/>
            </w:r>
            <w:r>
              <w:rPr>
                <w:rStyle w:val="IndexLink"/>
              </w:rPr>
              <w:t>569</w:t>
            </w:r>
          </w:hyperlink>
        </w:p>
        <w:p>
          <w:pPr>
            <w:pStyle w:val="Contents3"/>
            <w:tabs>
              <w:tab w:val="clear" w:pos="8459"/>
              <w:tab w:val="right" w:pos="9026" w:leader="dot"/>
            </w:tabs>
            <w:rPr/>
          </w:pPr>
          <w:hyperlink w:anchor="__RefHeading___Toc1666646_2322387425">
            <w:r>
              <w:rPr>
                <w:webHidden/>
                <w:rStyle w:val="IndexLink"/>
                <w:rtl w:val="true"/>
              </w:rPr>
              <w:t>الرابع</w:t>
            </w:r>
            <w:r>
              <w:rPr>
                <w:rStyle w:val="IndexLink"/>
                <w:rtl w:val="true"/>
              </w:rPr>
              <w:t xml:space="preserve">: </w:t>
            </w:r>
            <w:r>
              <w:rPr>
                <w:rStyle w:val="IndexLink"/>
                <w:rtl w:val="true"/>
              </w:rPr>
              <w:t>غیبة المسلم</w:t>
            </w:r>
            <w:r>
              <w:rPr>
                <w:rStyle w:val="IndexLink"/>
                <w:rtl w:val="true"/>
              </w:rPr>
              <w:tab/>
            </w:r>
            <w:r>
              <w:rPr>
                <w:rStyle w:val="IndexLink"/>
              </w:rPr>
              <w:t>569</w:t>
            </w:r>
          </w:hyperlink>
        </w:p>
        <w:p>
          <w:pPr>
            <w:pStyle w:val="Contents3"/>
            <w:tabs>
              <w:tab w:val="clear" w:pos="8459"/>
              <w:tab w:val="right" w:pos="9026" w:leader="dot"/>
            </w:tabs>
            <w:rPr/>
          </w:pPr>
          <w:hyperlink w:anchor="__RefHeading___Toc1666648_2322387425">
            <w:r>
              <w:rPr>
                <w:webHidden/>
                <w:rStyle w:val="IndexLink"/>
                <w:rtl w:val="true"/>
              </w:rPr>
              <w:t>الخامس</w:t>
            </w:r>
            <w:r>
              <w:rPr>
                <w:rStyle w:val="IndexLink"/>
                <w:rtl w:val="true"/>
              </w:rPr>
              <w:t xml:space="preserve">: </w:t>
            </w:r>
            <w:r>
              <w:rPr>
                <w:rStyle w:val="IndexLink"/>
                <w:rtl w:val="true"/>
              </w:rPr>
              <w:t>إخبار الوکیل</w:t>
            </w:r>
            <w:r>
              <w:rPr>
                <w:rStyle w:val="IndexLink"/>
                <w:rtl w:val="true"/>
              </w:rPr>
              <w:tab/>
            </w:r>
            <w:r>
              <w:rPr>
                <w:rStyle w:val="IndexLink"/>
              </w:rPr>
              <w:t>569</w:t>
            </w:r>
          </w:hyperlink>
        </w:p>
        <w:p>
          <w:pPr>
            <w:pStyle w:val="Contents3"/>
            <w:tabs>
              <w:tab w:val="clear" w:pos="8459"/>
              <w:tab w:val="right" w:pos="9026" w:leader="dot"/>
            </w:tabs>
            <w:rPr/>
          </w:pPr>
          <w:hyperlink w:anchor="__RefHeading___Toc1666650_2322387425">
            <w:r>
              <w:rPr>
                <w:webHidden/>
                <w:rStyle w:val="IndexLink"/>
                <w:rtl w:val="true"/>
              </w:rPr>
              <w:t>السادس</w:t>
            </w:r>
            <w:r>
              <w:rPr>
                <w:rStyle w:val="IndexLink"/>
                <w:rtl w:val="true"/>
              </w:rPr>
              <w:t xml:space="preserve">: </w:t>
            </w:r>
            <w:r>
              <w:rPr>
                <w:rStyle w:val="IndexLink"/>
                <w:rtl w:val="true"/>
              </w:rPr>
              <w:t>غسل مسلم له بعنوان التطهیر</w:t>
            </w:r>
            <w:r>
              <w:rPr>
                <w:rStyle w:val="IndexLink"/>
                <w:rtl w:val="true"/>
              </w:rPr>
              <w:tab/>
            </w:r>
            <w:r>
              <w:rPr>
                <w:rStyle w:val="IndexLink"/>
              </w:rPr>
              <w:t>571</w:t>
            </w:r>
          </w:hyperlink>
        </w:p>
        <w:p>
          <w:pPr>
            <w:pStyle w:val="Contents3"/>
            <w:tabs>
              <w:tab w:val="clear" w:pos="8459"/>
              <w:tab w:val="right" w:pos="9026" w:leader="dot"/>
            </w:tabs>
            <w:rPr/>
          </w:pPr>
          <w:hyperlink w:anchor="__RefHeading___Toc1666652_2322387425">
            <w:r>
              <w:rPr>
                <w:webHidden/>
                <w:rStyle w:val="IndexLink"/>
                <w:rtl w:val="true"/>
              </w:rPr>
              <w:t>السابع</w:t>
            </w:r>
            <w:r>
              <w:rPr>
                <w:rStyle w:val="IndexLink"/>
                <w:rtl w:val="true"/>
              </w:rPr>
              <w:t xml:space="preserve">: </w:t>
            </w:r>
            <w:r>
              <w:rPr>
                <w:rStyle w:val="IndexLink"/>
                <w:rtl w:val="true"/>
              </w:rPr>
              <w:t>إخبار عدل واحد</w:t>
            </w:r>
            <w:r>
              <w:rPr>
                <w:rStyle w:val="IndexLink"/>
                <w:rtl w:val="true"/>
              </w:rPr>
              <w:tab/>
            </w:r>
            <w:r>
              <w:rPr>
                <w:rStyle w:val="IndexLink"/>
              </w:rPr>
              <w:t>572</w:t>
            </w:r>
          </w:hyperlink>
        </w:p>
        <w:p>
          <w:pPr>
            <w:pStyle w:val="Contents3"/>
            <w:tabs>
              <w:tab w:val="clear" w:pos="8459"/>
              <w:tab w:val="right" w:pos="9026" w:leader="dot"/>
            </w:tabs>
            <w:rPr/>
          </w:pPr>
          <w:hyperlink w:anchor="__RefHeading___Toc1666654_2322387425">
            <w:r>
              <w:rPr>
                <w:webHidden/>
                <w:rStyle w:val="IndexLink"/>
                <w:rtl w:val="true"/>
              </w:rPr>
              <w:t>فروع فی ثبوت الطهارة</w:t>
            </w:r>
            <w:r>
              <w:rPr>
                <w:rStyle w:val="IndexLink"/>
                <w:rtl w:val="true"/>
              </w:rPr>
              <w:tab/>
            </w:r>
            <w:r>
              <w:rPr>
                <w:rStyle w:val="IndexLink"/>
              </w:rPr>
              <w:t>574</w:t>
            </w:r>
          </w:hyperlink>
        </w:p>
        <w:p>
          <w:pPr>
            <w:pStyle w:val="Contents3"/>
            <w:tabs>
              <w:tab w:val="clear" w:pos="8459"/>
              <w:tab w:val="right" w:pos="9026" w:leader="dot"/>
            </w:tabs>
            <w:rPr/>
          </w:pPr>
          <w:hyperlink w:anchor="__RefHeading___Toc1666656_2322387425">
            <w:r>
              <w:rPr>
                <w:webHidden/>
                <w:rStyle w:val="IndexLink"/>
                <w:rtl w:val="true"/>
              </w:rPr>
              <w:t>وظیفة الوسواسی</w:t>
            </w:r>
            <w:r>
              <w:rPr>
                <w:rStyle w:val="IndexLink"/>
                <w:rtl w:val="true"/>
              </w:rPr>
              <w:tab/>
            </w:r>
            <w:r>
              <w:rPr>
                <w:rStyle w:val="IndexLink"/>
              </w:rPr>
              <w:t>586</w:t>
            </w:r>
          </w:hyperlink>
        </w:p>
        <w:p>
          <w:pPr>
            <w:pStyle w:val="Contents2"/>
            <w:tabs>
              <w:tab w:val="clear" w:pos="8743"/>
              <w:tab w:val="right" w:pos="9026" w:leader="dot"/>
            </w:tabs>
            <w:rPr/>
          </w:pPr>
          <w:hyperlink w:anchor="__RefHeading___Toc1666658_2322387425">
            <w:r>
              <w:rPr>
                <w:webHidden/>
                <w:rStyle w:val="IndexLink"/>
                <w:rtl w:val="true"/>
              </w:rPr>
              <w:t>فهرس محتویات الجزء الثانی</w:t>
            </w:r>
            <w:r>
              <w:rPr>
                <w:rStyle w:val="IndexLink"/>
                <w:rtl w:val="true"/>
              </w:rPr>
              <w:tab/>
            </w:r>
            <w:r>
              <w:rPr>
                <w:rStyle w:val="IndexLink"/>
              </w:rPr>
              <w:t>587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73_134803"/>
      <w:bookmarkStart w:id="1" w:name="pg13273_134803"/>
      <w:bookmarkEnd w:id="1"/>
    </w:p>
    <w:p>
      <w:pPr>
        <w:pStyle w:val="Heading2"/>
        <w:numPr>
          <w:ilvl w:val="1"/>
          <w:numId w:val="1"/>
        </w:numPr>
        <w:rPr/>
      </w:pPr>
      <w:bookmarkStart w:id="2" w:name="pg13273_134803"/>
      <w:bookmarkStart w:id="3" w:name="__RefHeading___Toc1666346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العروه‌الوثقی تالیف آیه‌الله‌العظمی‌السیدمحمدکاظم الطباطبائی‌الیزدی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موسسه‌السبطین علیهما‌السلام‌العالمیه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موسسه‌السبطین علیهماالسلام‌العالمیه،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نهایه‌الماءالمستعمل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ثبوت‌التطهیر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حکم‌الاوانی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دائم‌الحدث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فضل‌الصلوات‌الیومیه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قبول‌الصلاة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الصلاة و ارکانها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و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 و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الواجب بالنذر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کیفیه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فی صحه الاجاره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۱۱۶۱۴۵۹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6348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73_134809"/>
      <w:bookmarkStart w:id="8" w:name="pg13273_134809"/>
      <w:bookmarkEnd w:id="8"/>
    </w:p>
    <w:p>
      <w:pPr>
        <w:pStyle w:val="Heading2"/>
        <w:numPr>
          <w:ilvl w:val="1"/>
          <w:numId w:val="1"/>
        </w:numPr>
        <w:rPr/>
      </w:pPr>
      <w:bookmarkStart w:id="9" w:name="pg13273_134809"/>
      <w:bookmarkStart w:id="10" w:name="__RefHeading___Toc1666350_2322387425"/>
      <w:bookmarkStart w:id="11" w:name="_Toc3"/>
      <w:bookmarkEnd w:id="9"/>
      <w:bookmarkEnd w:id="10"/>
      <w:r>
        <w:rPr>
          <w:rtl w:val="true"/>
        </w:rPr>
        <w:t>فصل فی الماء المشکوک</w:t>
      </w:r>
      <w:bookmarkEnd w:id="11"/>
    </w:p>
    <w:p>
      <w:pPr>
        <w:pStyle w:val="Heading3"/>
        <w:numPr>
          <w:ilvl w:val="2"/>
          <w:numId w:val="1"/>
        </w:numPr>
        <w:rPr/>
      </w:pPr>
      <w:bookmarkStart w:id="12" w:name="__RefHeading___Toc1666352_2322387425"/>
      <w:bookmarkStart w:id="13" w:name="_Toc4"/>
      <w:bookmarkEnd w:id="12"/>
      <w:r>
        <w:rPr>
          <w:rtl w:val="true"/>
        </w:rPr>
        <w:t>الماء المشکوک النجاسة</w:t>
      </w:r>
      <w:bookmarkEnd w:id="13"/>
    </w:p>
    <w:p>
      <w:pPr>
        <w:pStyle w:val="BookText"/>
        <w:rPr/>
      </w:pPr>
      <w:r>
        <w:rPr>
          <w:rFonts w:ascii="IRNazanin" w:hAnsi="IRNazanin" w:eastAsia="IRNazanin"/>
          <w:color w:val="111111"/>
          <w:sz w:val="28"/>
          <w:sz w:val="28"/>
          <w:szCs w:val="28"/>
          <w:rtl w:val="true"/>
          <w:lang w:bidi="fa-IR"/>
        </w:rPr>
        <w:t>الماء المشکوک نجاسته طاهر ، إلاّ مع العلم بنجاسته سابقاً ،</w:t>
      </w:r>
    </w:p>
    <w:p>
      <w:pPr>
        <w:pStyle w:val="Heading3"/>
        <w:numPr>
          <w:ilvl w:val="2"/>
          <w:numId w:val="1"/>
        </w:numPr>
        <w:rPr/>
      </w:pPr>
      <w:bookmarkStart w:id="14" w:name="__RefHeading___Toc1666354_2322387425"/>
      <w:bookmarkStart w:id="15" w:name="_Toc5"/>
      <w:bookmarkEnd w:id="14"/>
      <w:r>
        <w:rPr>
          <w:rtl w:val="true"/>
        </w:rPr>
        <w:t>الشک فی إطلاق الماء</w:t>
      </w:r>
      <w:bookmarkEnd w:id="15"/>
    </w:p>
    <w:p>
      <w:pPr>
        <w:pStyle w:val="BookText"/>
        <w:rPr/>
      </w:pPr>
      <w:r>
        <w:rPr>
          <w:rFonts w:ascii="IRNazanin" w:hAnsi="IRNazanin" w:eastAsia="IRNazanin"/>
          <w:color w:val="111111"/>
          <w:sz w:val="28"/>
          <w:sz w:val="28"/>
          <w:szCs w:val="28"/>
          <w:rtl w:val="true"/>
          <w:lang w:bidi="fa-IR"/>
        </w:rPr>
        <w:t>والمشکوک إطلاقه لا یجری</w:t>
      </w:r>
      <w:r>
        <w:rPr>
          <w:rStyle w:val="FootnoteAnchor"/>
          <w:rtl w:val="true"/>
        </w:rPr>
        <w:footnoteReference w:id="2"/>
      </w:r>
      <w:r>
        <w:rPr>
          <w:rFonts w:ascii="IRNazanin" w:hAnsi="IRNazanin" w:eastAsia="IRNazanin"/>
          <w:color w:val="111111"/>
          <w:sz w:val="28"/>
          <w:sz w:val="28"/>
          <w:szCs w:val="28"/>
          <w:rtl w:val="true"/>
          <w:lang w:bidi="fa-IR"/>
        </w:rPr>
        <w:t>علیه حکم المطلق</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کرّاً لا یحکم بانفعاله بملاقاة النجاسة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یجری حکم المضاف، فلا یحکم بنجاسته إذا لاقی النجاسة وکان کرّاً، والأحوط اجتنابه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حکم المضاف، فملاقیه لا یحکم بنجاسته کما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استعمله فی رفع الحدث، مثل رفع النجاسة فیحکم ببقائها، وإذا استعمله فی رفع الخبث فیحکم ببقائه، نعم لو کان کرّاً فیحکم بعدم انفعاله بملاقاة النجس،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مع سبق إطلاقه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16" w:name="__RefHeading___Toc1666356_2322387425"/>
      <w:bookmarkStart w:id="17" w:name="_Toc6"/>
      <w:bookmarkEnd w:id="16"/>
      <w:r>
        <w:rPr>
          <w:rtl w:val="true"/>
        </w:rPr>
        <w:t>الشک فی إباحة الماء</w:t>
      </w:r>
      <w:bookmarkEnd w:id="17"/>
    </w:p>
    <w:p>
      <w:pPr>
        <w:pStyle w:val="BookText"/>
        <w:rPr/>
      </w:pPr>
      <w:r>
        <w:rPr>
          <w:rFonts w:ascii="IRNazanin" w:hAnsi="IRNazanin" w:eastAsia="IRNazanin"/>
          <w:color w:val="111111"/>
          <w:sz w:val="28"/>
          <w:sz w:val="28"/>
          <w:szCs w:val="28"/>
          <w:rtl w:val="true"/>
          <w:lang w:bidi="fa-IR"/>
        </w:rPr>
        <w:t>والمشکوک إباحته</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الشکّ فی أصل ملکیّـته للغیر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لم یحتمل ملکیّة الغیر کماء الغدیر فی الصحراء مثلاً أم 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الملکیّة إجمالاً وتردّد بین کونه مالکاً له أو لغیره فالأحوط الاجتناب عنه، إلاّ مع سبق إباحته أو إحراز رضا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محکوم</w:t>
      </w:r>
    </w:p>
    <w:p>
      <w:pPr>
        <w:pStyle w:val="BookText"/>
        <w:rPr/>
      </w:pPr>
      <w:r>
        <w:rPr>
          <w:rFonts w:ascii="Amiri" w:hAnsi="Amiri" w:eastAsia="Amiri" w:cs="Amiri"/>
          <w:color w:val="111111"/>
          <w:sz w:val="28"/>
          <w:sz w:val="28"/>
          <w:szCs w:val="28"/>
          <w:rtl w:val="true"/>
          <w:lang w:bidi="ar-SA"/>
        </w:rPr>
        <w:t>بالإباحة</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الماء المردّد بین کونه ملکاً له أو ملکاً لغیره، إلاّ مع سبق الملکیّة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الشکّ فی أصل ثبوت الملکیّة لأحد، وأمّا إذا کانت الملکیّة معلومة وتردّد بین کونه ملکاً له أو لغیره فالأحوط الاجتناب، إلاّ مع رضا ذلک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احتمل کونه من المباحات الأصلیّة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الشکّ فی الإباحة سبباً عن الشکّ فی کونه ملکاً له فالأحوط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الأصل فی الأموال الحرمة 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إذا احتمل ملکیّة الغیر، إلاّ مع سبق الإباحة أو إحراز رضا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احتمل کونه من المباحات الأصلیّة، أو کان منها واحتمل بقاؤه، أو کان مملوکاً لغیر محترم المال واحتمل بقاؤه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المردّد بین کونه ملکاً له ولغیره یحتاط، إلاّ فی المسبوق بملکیّـته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تردّد فی أ نّه ملکه أو ملک غیره فلابدّ من الاحتیاط بالاستئذان من ذلک الغیر، وإذا علم بملکه سابقاً استصحبه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مـع سبـق ملکیّة الغیر، أو کونه فی ید الغیر المحتمل</w:t>
      </w:r>
      <w:bookmarkStart w:id="18" w:name="pg13273_134811"/>
    </w:p>
    <w:p>
      <w:pPr>
        <w:pStyle w:val="BookText"/>
        <w:rPr/>
      </w:pPr>
      <w:bookmarkEnd w:id="18"/>
      <w:r>
        <w:rPr>
          <w:rFonts w:ascii="IRNazanin" w:hAnsi="IRNazanin" w:eastAsia="IRNazanin"/>
          <w:color w:val="111111"/>
          <w:sz w:val="28"/>
          <w:sz w:val="28"/>
          <w:szCs w:val="28"/>
          <w:rtl w:val="true"/>
          <w:lang w:bidi="fa-IR"/>
        </w:rPr>
        <w:t>کونه له</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لمن یقوم هو مقامه کالولی والوکیل، أو مع تردّده بینه وبین الغیر مع کونه تحت یدهما، أو لا ید لأحدهما علیه مع عدم العلم بالحالة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لمن کان کنفسه، کالموکّل والمولّی علیه ونحوهما؛ لکون الید أمارة الملکیّة، فالتصرّف فیه منوط برضا ذی الید، وهنا صور ربّما یختلف حکمها، کما هو واضح علی النقیب النّقاد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666358_2322387425"/>
      <w:bookmarkStart w:id="20" w:name="_Toc7"/>
      <w:bookmarkEnd w:id="19"/>
      <w:r>
        <w:rPr>
          <w:rtl w:val="true"/>
        </w:rPr>
        <w:t>العلم الإجمالی بالنجاسة</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نجس أو مغصوب</w:t>
      </w:r>
      <w:r>
        <w:rPr>
          <w:rStyle w:val="FootnoteAnchor"/>
          <w:rtl w:val="true"/>
        </w:rPr>
        <w:footnoteReference w:id="7"/>
      </w:r>
      <w:r>
        <w:rPr>
          <w:rFonts w:ascii="IRNazanin" w:hAnsi="IRNazanin" w:eastAsia="IRNazanin"/>
          <w:color w:val="111111"/>
          <w:sz w:val="28"/>
          <w:sz w:val="28"/>
          <w:szCs w:val="28"/>
          <w:rtl w:val="true"/>
          <w:lang w:bidi="fa-IR"/>
        </w:rPr>
        <w:t>فی محصور، کإناء فی عشرةٍ یجب الاجتناب عن الجمیع</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یمکن الاحتیال بالتوضّؤِ من أحدهما ثمّ غسل مواضع الوضوء بالماء الثانی، ثمّ التوضّؤِ منه حتّی یحصل القطع بوجود وضوء بالماء الطاهر، أو لا ؟ وسیأتی البحث عنه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هـذا مبنیّ علی تنجّز العلم الإجمالی بالنسبة إلی جمیع الأطراف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ما یرتبط بالنجس المشتبه بالشبهة المحصورة فی المسألة السابعة والعاشرة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وإن اشتبه فی غیر المحصور</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وصلت کثرة الأطراف إلی حدٍّ یکون احتمال انطباق المعلوم بالإجمال موهوماً بنحو یطمئنّ بعدمه، أو وصلت الکثرة إلی حدٍّ لا یمکن للمکلّف المخالفة القطعیّة، وتمام الکلام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کواحد فی ألف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غیر المحصور لیس عنواناً بنفسه، بل المناط عدم تنجّز التکلیف بخروج بعض الأطراف عن محلّ الابتلاء، أو لزوم الحرج فی الاجتناب عن الجمیع، أو ضعف الاحتمال الناشئ من العلم الإجمالی بمثابة لا یُعتنی به عند العقلاء، ومنها یختلف المقامان فی جواز ارتکاب تمام الأطراف،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مجرّد الکثرة ملاکاً لغیر المحصورة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ضابطة المحصور وغیر المحصور الشیوع فی القلّة والکثرة، بل المدار علی کونه ممّا یمکن حصره عادةً، أو لا یمکن، کشاة فی البلد، أو ثوب فی السوق مع سعة البلد وکثرة الثیاب فی الأسواق، وإنّما لا یجب الاجتناب عن غیر المحصور إذا لم یقصد من أوّل الأمر ارتکاب النجس أو الحرام، وإلاّ یعاقب علیه لو أصابه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هذا من غیر المحصور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باب المثال، وإلاّ فلا کلّیّة له؛ لأ نّه یختلف بحسب الموارد والمدارک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الشبهة غیر المحصورة عند الفقهاء ما تکون أطرافها بالغة من الکثرة حدّاً یوجب خروج بعضها عن محلّ الابتلاء، وبحکمها أن تکون الکثرة موجبة لحدوث مانع آخر من التکلیف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الواحد فی ألف من غیر المحصور إشکال، بل منع، بل الضابط فیه بلوغ المشتبهات من الکثرة حدّاً لا یتمکّن عادةً من جمیعها، ومع الشکّ فی أ نّه کذلک یلحقه حکم المحصور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کون الواحد فی الألف ونظیره ملاک کون الشبهة غیر محصورة، بل المناط بلوغ الأطراف إلی حدٍّ لا یتمکّن فی العادة ارتکاب جمیعها، وهذا یختلف بحسب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مقدار أوجبت کثرته خروج بعضه عن محلّ الابتلاء 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فی کون الشبهة غیر محصورة هو أن یکون الابتلاء بجمیع الأطراف ممتنعاً عادةً، فبناءً علی هذا لو اشتبهت حبّة نجسة من الحنطة مثلاً فی ألفٍ یجب الاجتناب عنها؛ لإمکان الابتلاء بالجمیع عادةً، فکثرة العدد لیس دائماً هو المناط کما تُوهمه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المثال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المثال فی جمیع الموارد من أمثلة الشبهة الغیر المحصورة إشکال، ومن البدیهی اختلاف الحال بحسب الموارد والمقامات؛ إذ الواحد من الألف من شیاه البلد مثلاً داخل فی غیر المحصور عرفاً، وأمّا الواحد من الحنطة فی ألف حنطة لیس من الموارد الغیر محصورة، والشاهد العرف، فالحریّ أن یجعل المعیار عدم تنجّز التکلیف، إمّا لضعف الاحتمال بحیث لا یعتنی به لدی العقلاء، ولا یعدّ مورداً للعلم؛ لخروج بعض الأطراف عن محلّ الابتلاء، أو لطروء الحرج أو إحدی أخواته من الطوارئ بعد فرض تساقط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اشتباه الواحد فی ألف من الشبهة غیر المحصورة دائماً، وفی عدم وجوب الاجتناب عنها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 اشتباه الواحد فی ألف ضابطاً کلّیاً فی الشبهة الغیر محصورة فی جمیع الموارد لا یخلو من نظر؛ لاختلاف المقامات والموارد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المثال من مناقشة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انطباق ما یمنع عن تنجّز العلم عرفاً علیه، وهو مختلف حسب اختلاف الموارد، ومع الشکّ فیه وجب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الشبهة غیر المحصورة هی أن تکثر أطراف الشبهة حتّی توجب کثرة أطرافها عروض أحد موانع التکلیف فی بعضها من عسرٍ أو اضطرار أو خروج عن محلّ الابتلاء، فلا یکون العلم الإجمالی منجّزاً، وإذا لم یعرض أحد الموانع یجب الاحتیاط فی الشبهة وإن بلغت أطراف الشبهة فی الکثرة ما بلغت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غیر المحصور لیس العدد بما هو، بل الملاک إمّا کون احتمال التکلیف فی کلّ فرد ضعیفاً جدّاً بحیث لا یعتنی به العقلاء، وإمّا بثبوت مانع من ضرر أو حرج أو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المدار فی عدم وجوب الاجتناب هو خروج بعض الأطراف عن محلّ الابتلاء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المیزان فی عدم تنجیز العلم الإجمالی کثرة الأطراف، بل المیزان فیه خروج بعض الأطراف عن محلّ الابتلاء، بحیث لا یکون توجیه التکلیف إلیه ممکناً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حکم المحصور، وإنّما الإشکال فی المثال، فإنّ هذا المقدار من العدد لیس من غیر المحصور دائماً، فإنّ حبّة نجسة من الحنطة فی ألف یعدّ من المحصور؛ لإمکان الابتلاء بالأطراف، کما أ نّه قد یعدّ واحد فی خمسمائة مثلاً من غیر المحصور، فعلی هذا فلابدّ من بیان المناط، فالظاهر المدار هو بلوغ الأطراف علی حدّ من الکثرة یمنع عن تنجیز العلم الإجمالی عرفاً، بحیث لا یعتنی العقلاء باحتمال الحرام، سواء کان منشؤه خروج بعض أطراف الکثرة من محلّ الابتلاء، أو استلزامه الحرج، أو امتناع الابتلاء بجمیع الأطراف عادةً، أو ممّا لا یمکن حصره عادةً، أو غیر ذلک، وعلی ما ذکرنا یختلف الحکم باختلاف المقامات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هذا من غیر المحصور محلّ نظر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لا یجب</w:t>
      </w:r>
      <w:r>
        <w:rPr>
          <w:rStyle w:val="FootnoteAnchor"/>
          <w:rtl w:val="true"/>
        </w:rPr>
        <w:footnoteReference w:id="10"/>
      </w:r>
      <w:r>
        <w:rPr>
          <w:rFonts w:ascii="IRNazanin" w:hAnsi="IRNazanin" w:eastAsia="IRNazanin"/>
          <w:color w:val="111111"/>
          <w:sz w:val="28"/>
          <w:sz w:val="28"/>
          <w:szCs w:val="28"/>
          <w:rtl w:val="true"/>
          <w:lang w:bidi="fa-IR"/>
        </w:rPr>
        <w:t>الاجتناب</w:t>
      </w:r>
      <w:r>
        <w:rPr>
          <w:rStyle w:val="FootnoteAnchor"/>
          <w:rtl w:val="true"/>
        </w:rPr>
        <w:footnoteReference w:id="11"/>
      </w:r>
      <w:r>
        <w:rPr>
          <w:rFonts w:ascii="IRNazanin" w:hAnsi="IRNazanin" w:eastAsia="IRNazanin"/>
          <w:color w:val="111111"/>
          <w:sz w:val="28"/>
          <w:sz w:val="28"/>
          <w:szCs w:val="28"/>
          <w:rtl w:val="true"/>
          <w:lang w:bidi="fa-IR"/>
        </w:rPr>
        <w:t>عن شیء منه</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یرتکب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المدار فی لزوم الاجتناب وعدمه فی موارد العلم الإجمالی علی کون تمام الأطراف فی محلّ الابتلاء عادة وعدمه، فقد یجب الاجتناب عن الألف، وقد لا یجب عن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ارتکاب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یرتکب الجمیع دفعة أو مع قصده من أوّل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بمقدار الحرام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یجوز ارتکاب الجمیع علی الأحوط، وفی جواز ارتکاب مقدار معتدّ به منه إشکال إذا کانت نسبته إلی البقیّة نسبة المحصور إلی المحصور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الفرق فی الحدّ المذکور بالنسبة إلی وجوب الموافقة القطعیّة والمخالفة القطعیّـة، لکـنّ القـدر المتیقّن من بناء العقـلاء بالنسبة إلی الموافقـة القطعیّة، وأمّا بالنسبة إلی المخالفة القطعیّة فالأحوط عدم ارتکاب جمیع الأطراف، بل یُبقی مقداراً حذراً من المخالفة القطعیّة، کما أنّ الأحوط فی صورة الشکّ فی أ نّه من المحصور أو من غیر المحصور، وجوب الاجتناب عن جمیع الأطراف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لیس له الارتکاب بحدٍّ یطمئنّ معه بارتکاب النجس أو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3273_134816"/>
    </w:p>
    <w:p>
      <w:pPr>
        <w:pStyle w:val="Heading3"/>
        <w:numPr>
          <w:ilvl w:val="2"/>
          <w:numId w:val="1"/>
        </w:numPr>
        <w:rPr/>
      </w:pPr>
      <w:bookmarkStart w:id="22" w:name="__RefHeading___Toc1666360_2322387425"/>
      <w:bookmarkStart w:id="23" w:name="_Toc8"/>
      <w:bookmarkEnd w:id="21"/>
      <w:bookmarkEnd w:id="22"/>
      <w:r>
        <w:rPr>
          <w:rtl w:val="true"/>
        </w:rPr>
        <w:t>حکم ما لو اشتبه مضاف فی محصور أو غیر محصور</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اشتبه مضاف فی محصور یجوز</w:t>
      </w:r>
      <w:r>
        <w:rPr>
          <w:rStyle w:val="FootnoteAnchor"/>
          <w:rtl w:val="true"/>
        </w:rPr>
        <w:footnoteReference w:id="13"/>
      </w:r>
      <w:r>
        <w:rPr>
          <w:rFonts w:ascii="Amiri" w:hAnsi="Amiri" w:eastAsia="Amiri" w:cs="Amiri"/>
          <w:color w:val="111111"/>
          <w:sz w:val="28"/>
          <w:sz w:val="28"/>
          <w:szCs w:val="28"/>
          <w:rtl w:val="true"/>
          <w:lang w:bidi="ar-SA"/>
        </w:rPr>
        <w:t>أن یکرّر</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یعدّ لعباً، ویجب تکراره مع انحصار الماء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عدم وجود ماءٍ مطلق، وإلاّ کرّر الوضوء ما لم یُعدّ عبثاً، وإلاّ تیمّم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 الدین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الانحصار وعدم ماءٍ مطلقٍ غیر مشتبه، وإلاّ فالأولی التوضّؤ أو الاغتسال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وجود ماء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وجد ماءً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تحصیل الماء المطلق المعلوم تفصیلاً، ولو بمزج المشتبهین لو أمکن حصول الإطلاق به، لمکان شرطیّة إحراز إطلاق الماء، وإن لم یمکن فالتکرار، وعند انکفاء أحد طرفی الشبهة المحصورة المردّدة بین الإطلاق والإضافة، الأحوط الجمع بین الوضوء بالطرف الباقی والتیمّم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 أو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عدد یعلم استعمال مطلق فی ضمنه، فإذا کانا اثنین یتوضّأ بهما، وإن کانت ثلاثة أو أزید یکفی التوضّوء باثنین إذا کان المضاف واحداً،</w:t>
      </w:r>
    </w:p>
    <w:p>
      <w:pPr>
        <w:pStyle w:val="BookText"/>
        <w:rPr/>
      </w:pPr>
      <w:r>
        <w:rPr>
          <w:rFonts w:ascii="IRNazanin" w:hAnsi="IRNazanin" w:eastAsia="IRNazanin"/>
          <w:color w:val="111111"/>
          <w:sz w:val="28"/>
          <w:sz w:val="28"/>
          <w:szCs w:val="28"/>
          <w:rtl w:val="true"/>
          <w:lang w:bidi="fa-IR"/>
        </w:rPr>
        <w:t>وإن کان المضاف اثنین فی الثلاثة یجب</w:t>
      </w:r>
      <w:r>
        <w:rPr>
          <w:rStyle w:val="FootnoteAnchor"/>
          <w:rtl w:val="true"/>
        </w:rPr>
        <w:footnoteReference w:id="15"/>
      </w:r>
      <w:r>
        <w:rPr>
          <w:rFonts w:ascii="IRNazanin" w:hAnsi="IRNazanin" w:eastAsia="IRNazanin"/>
          <w:color w:val="111111"/>
          <w:sz w:val="28"/>
          <w:sz w:val="28"/>
          <w:szCs w:val="28"/>
          <w:rtl w:val="true"/>
          <w:lang w:bidi="fa-IR"/>
        </w:rPr>
        <w:t>استعمال الکلّ، وإن کان اثنین فی أربعة تکفی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والمعیار</w:t>
      </w:r>
      <w:r>
        <w:rPr>
          <w:rStyle w:val="FootnoteAnchor"/>
          <w:rtl w:val="true"/>
        </w:rPr>
        <w:footnoteReference w:id="16"/>
      </w:r>
      <w:r>
        <w:rPr>
          <w:rFonts w:ascii="IRNazanin" w:hAnsi="IRNazanin" w:eastAsia="IRNazanin"/>
          <w:color w:val="111111"/>
          <w:sz w:val="28"/>
          <w:sz w:val="28"/>
          <w:szCs w:val="28"/>
          <w:rtl w:val="true"/>
          <w:lang w:bidi="fa-IR"/>
        </w:rPr>
        <w:t>أن یزاد علی عدد المضاف المعلوم بواحد</w:t>
      </w:r>
      <w:r>
        <w:rPr>
          <w:rStyle w:val="FootnoteAnchor"/>
          <w:rtl w:val="true"/>
        </w:rPr>
        <w:footnoteReference w:id="17"/>
      </w:r>
      <w:r>
        <w:rPr>
          <w:rFonts w:ascii="IRNazanin" w:hAnsi="IRNazanin" w:eastAsia="IRNazanin"/>
          <w:color w:val="111111"/>
          <w:sz w:val="28"/>
          <w:sz w:val="28"/>
          <w:szCs w:val="28"/>
          <w:rtl w:val="true"/>
          <w:lang w:bidi="fa-IR"/>
        </w:rPr>
        <w:t>، وإن اشتبه فی غیر المحصور</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 نّه کالمشتبه فی المحصور، فیلزم التکرار علی حذو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غیر المحصور هنا کالمحصور فی وجوب التکرار حتّی یحصل العلم بحصول التطهیر بالماء المطلق لوجوب إحراز الشرط، وهو إطلاق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جاز استعمال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کلّ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 نّه کالمحصور، فیجب التکرار بما یزید علی المضاف المعلوم بینها بواحد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یعامل معاملة المحصور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اللازم هو الاحتیاط بتکرار الوضوء حتّی یعلم بحصول التوضّـوء بالماء 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لزوم تکرار الوضوء أو الغسل بما یزید علی المضاف المعلوم بینها بواحد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إذا کان المضاف</w:t>
      </w:r>
    </w:p>
    <w:p>
      <w:pPr>
        <w:pStyle w:val="BookText"/>
        <w:rPr/>
      </w:pPr>
      <w:r>
        <w:rPr>
          <w:rFonts w:ascii="IRNazanin" w:hAnsi="IRNazanin" w:eastAsia="IRNazanin"/>
          <w:color w:val="111111"/>
          <w:sz w:val="28"/>
          <w:sz w:val="28"/>
          <w:szCs w:val="28"/>
          <w:rtl w:val="true"/>
          <w:lang w:bidi="fa-IR"/>
        </w:rPr>
        <w:t>واحداً فی ألف</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المدار علی العدد، بل علی صیرورة کلّ طرف کالشبهة البدویّة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والمعیار أن لا یعدّ</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فرضه لا بأس بعدم إجراء حکم الشبهة البدویّة أیضاً، ولکن لا یتمّ فی جمیع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ما فی الجمع بین جعل العلم الإجمالی ـ کَلاَ علم ـ والشبهة ـ کلا شبهة ـ من الإشکال؛ لاختلاف الأثر، والحکم فی کون المعیار أیّهما، فلو جعل العلم کَلاَ علم کان کلّ واحد من الأطراف فی حکم الشبهة البدویّة مجری للاُصول العملیّة، ومن البدیهی أن المتّبع فی المقام الاحتیاط، ولازمه فی المثال عدم جواز الاکتفاء باستعمال واحد من الأطراف فی الوضوء مثلاً؛ للزوم إحراز التوضّؤِ بالمطلق هذا، وأمّا لو جعلت الشبهة کلا شبهة، وأنّ المضاف الموجود کالعدم فالاکتفاء بوضوء واحد من الأطراف متوجّه لکون المورد بمثابة العلم بإطلاق الجمیع بعد فرض المضاف فی البین کلا مضاف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الاعتناء بالعلم فی غیر المحصور لا یوجب زوال الشکّ والشبهة، ولیس فی المقام أصل یفید الإطلاق کما کان فی السابق أصل یفید الطهارة، فحینئذٍ استصحاب الحدث والخبث یقتضی عدم الاکتفاء بهذا الماء فی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المعیار موهومیّة احتمال انطباق المعلوم بالإجمال علی کلّ واحد بحیث لا یعبأ به العقلاء، فحینئذٍ إن لم یحتمل الزیادة علیه احتمالاً معتدّاً به فلا یجری علیه حکم الشبهة المحصورة، وهو الاحتیاط فی المقام، وإلاّ فیجری علیه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الإجمالی</w:t>
      </w:r>
    </w:p>
    <w:p>
      <w:pPr>
        <w:pStyle w:val="BookText"/>
        <w:rPr/>
      </w:pPr>
      <w:r>
        <w:rPr>
          <w:rFonts w:ascii="Amiri" w:hAnsi="Amiri" w:eastAsia="Amiri" w:cs="Amiri"/>
          <w:color w:val="111111"/>
          <w:sz w:val="28"/>
          <w:sz w:val="28"/>
          <w:szCs w:val="28"/>
          <w:rtl w:val="true"/>
          <w:lang w:bidi="ar-SA"/>
        </w:rPr>
        <w:t xml:space="preserve">علماً </w:t>
      </w:r>
      <w:r>
        <w:rPr>
          <w:rStyle w:val="FootnoteAnchor"/>
          <w:rtl w:val="true"/>
        </w:rPr>
        <w:footnoteReference w:id="21"/>
      </w:r>
      <w:r>
        <w:rPr>
          <w:rFonts w:ascii="IRNazanin" w:hAnsi="IRNazanin" w:eastAsia="IRNazanin"/>
          <w:color w:val="111111"/>
          <w:sz w:val="28"/>
          <w:sz w:val="28"/>
          <w:szCs w:val="28"/>
          <w:rtl w:val="true"/>
          <w:lang w:bidi="fa-IR"/>
        </w:rPr>
        <w:t>، ویجعل المضاف المشتبه بحکم العدم</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المعیار ما ذکر، بل المعیار ضعف الاحتمال بحیث لا یعتنی به العقلاء کما أشار إلیه، فمع انحصار المضاف بواحد فی مقابل ألف احتمالٍ لا یبعد جواز الغسل أو الوضوء، لکن لا ینبغی ترک الاحتیاط بالتکرار بالوجه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یکون احتمال الإضافة فی کلّ طرف موهوناً، بحیث یطمئنّ بعدمها، ولا تنافی بین وجود العلم بتعلّق التکلیف بفرد فی مجموع أفراد، وعدم اعتباره عقلائیّاً بالنسبة إلی کلّ 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یجری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الجریان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یجری، فیجب الاحتیاط بالتکرار بما یزید علی المضاف المعلوم إجمالاً بواحد؛ لإحراز الشرط، وهو إطلاق الماء، ولیس عدم المحصوریّة أمارةً علی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یجری، فیجب الاحتیاط بالتکـرار بما یزید علی المضاف بواحد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یجری علیه حکمها فیحتاط فیه، إلاّ إذا کان الاحتمال غیر 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24" w:name="pg13273_134820"/>
    </w:p>
    <w:p>
      <w:pPr>
        <w:pStyle w:val="BookText"/>
        <w:rPr/>
      </w:pPr>
      <w:bookmarkEnd w:id="24"/>
      <w:r>
        <w:rPr>
          <w:rFonts w:ascii="IRNazanin" w:hAnsi="IRNazanin" w:eastAsia="IRNazanin"/>
          <w:color w:val="111111"/>
          <w:sz w:val="28"/>
          <w:sz w:val="28"/>
          <w:szCs w:val="28"/>
          <w:rtl w:val="true"/>
          <w:lang w:bidi="fa-IR"/>
        </w:rPr>
        <w:t xml:space="preserve">حکم الشبهة البدویّة أیضاً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لو کان حکم الشبهة البدویّة هو الاحتیاط لا یجری ذلک فی غیر المحصورة، کما فی المقام ونظائره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یجری حکمها لو کان هو الاحتیاط، کما فی المقام ونظائره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إحراز المائیّة شرط، فلو احتمل کون المائع مضافاً فلا یجوز التطهیر به، إلاّ إذا کان الاحتمال موهوماً جدّاً لا یعتنی به العقلاء، وهذا من غیر فرق بین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الاحتیاط 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لازم إلاّ إذا صدق عرفاً إحراز إطلاق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لابدّ منه لتحصیل شرط الوضوء أو الغسل وهذا لا ینافی عدم وجوب الاحتیاط من جهة العلم الإجمالی لأنّ الشبهة غیر محصورة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لازم، نعم لو کان احتمال المضاف ضعیفاً بحیث یصدق إحراز الإطلاق عرفاً فلا مانع من التطهیر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666362_2322387425"/>
      <w:bookmarkStart w:id="26" w:name="_Toc9"/>
      <w:bookmarkEnd w:id="25"/>
      <w:r>
        <w:rPr>
          <w:rtl w:val="true"/>
        </w:rPr>
        <w:t>حکم انحصار الماء فی المشکوک إطلاقة و إضافته</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عنده إلاّ ماء مشکوک إطلاقه </w:t>
      </w:r>
    </w:p>
    <w:p>
      <w:pPr>
        <w:pStyle w:val="BookText"/>
        <w:rPr/>
      </w:pPr>
      <w:r>
        <w:rPr>
          <w:rFonts w:ascii="IRNazanin" w:hAnsi="IRNazanin" w:eastAsia="IRNazanin"/>
          <w:color w:val="111111"/>
          <w:sz w:val="28"/>
          <w:sz w:val="28"/>
          <w:szCs w:val="28"/>
          <w:rtl w:val="true"/>
          <w:lang w:bidi="fa-IR"/>
        </w:rPr>
        <w:t>وإضافته، ولم یتیقّن</w:t>
      </w:r>
      <w:r>
        <w:rPr>
          <w:rStyle w:val="FootnoteAnchor"/>
          <w:rtl w:val="true"/>
        </w:rPr>
        <w:footnoteReference w:id="24"/>
      </w:r>
      <w:r>
        <w:rPr>
          <w:rFonts w:ascii="Amiri" w:hAnsi="Amiri" w:eastAsia="Amiri" w:cs="Amiri"/>
          <w:color w:val="111111"/>
          <w:sz w:val="28"/>
          <w:sz w:val="28"/>
          <w:szCs w:val="28"/>
          <w:rtl w:val="true"/>
          <w:lang w:bidi="ar-SA"/>
        </w:rPr>
        <w:t>أ نّه کان فی السابق مطلقاً یتیمّم</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لمکان انحلال العلم بسبب جریان الأصل المحرز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یحتاط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للصلاة ونحوها، والأولی 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 بما ذکر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محمّد تقی الخونساری، عبداللّه الشیرازی،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 إن لم یکن أقوی، إلاّ إذاکان مسبوقاً بعدم الوجدان قبله فله الاقتصار علی التیمّم فی وجه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للعلم الإجمالی بأنّ تکلیفه إمّا الوضوء أو التیمّم، وفقدان الماء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بنحو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فی صورة عدم جریان أصالة عدم وجدان الماء، کما إذا کان مسبوقاً بوجود الماء المعلوم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کما یشیر إلیه فی نظیره فی المسألة الخامسة، والفرق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ذلک لو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یحتاط بالجمع بین التیمّم والوضوء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به، کما سیأتی منه فی مسألة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 الوضوء به لا یخلو من قوّة، ولا یُترک الاحتیاط بالتیمّم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 وجوباً فی غیر ما إذا کانت الحالة السابقة هی الإضافة، وأمّا فی هذه الصورة فیتیمّم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صورة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w:t>
      </w:r>
      <w:bookmarkStart w:id="27" w:name="pg13273_134822"/>
    </w:p>
    <w:p>
      <w:pPr>
        <w:pStyle w:val="BookText"/>
        <w:rPr/>
      </w:pPr>
      <w:bookmarkEnd w:id="27"/>
      <w:r>
        <w:rPr>
          <w:rFonts w:ascii="Amiri" w:hAnsi="Amiri" w:eastAsia="Amiri" w:cs="Amiri"/>
          <w:color w:val="111111"/>
          <w:sz w:val="28"/>
          <w:sz w:val="28"/>
          <w:szCs w:val="28"/>
          <w:rtl w:val="true"/>
          <w:lang w:bidi="ar-SA"/>
        </w:rPr>
        <w:t>التیمّم</w:t>
      </w:r>
      <w:r>
        <w:rPr>
          <w:rStyle w:val="FootnoteAnchor"/>
          <w:rtl w:val="true"/>
        </w:rPr>
        <w:footnoteReference w:id="26"/>
      </w:r>
      <w:r>
        <w:rPr>
          <w:rFonts w:ascii="IRNazanin" w:hAnsi="IRNazanin" w:eastAsia="IRNazanin"/>
          <w:color w:val="111111"/>
          <w:sz w:val="28"/>
          <w:sz w:val="28"/>
          <w:szCs w:val="28"/>
          <w:rtl w:val="true"/>
          <w:lang w:bidi="fa-IR"/>
        </w:rPr>
        <w:t>والوضوء به</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الجمع متعیّن؛ لدوران تکلیفه بینهما، وعدم انحلال العلم بالأصل؛ لأ نّه إن کان مسبوقاً بالإطلاق یجب علیه الوضوء فقط، وإن کان مسبوقاً بالإضافة یجب علیه التیمّم، وفی فرض عدم العلم بالحالة السابقة یتعیّن علیه الجمع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Heading3"/>
        <w:numPr>
          <w:ilvl w:val="2"/>
          <w:numId w:val="1"/>
        </w:numPr>
        <w:rPr/>
      </w:pPr>
      <w:bookmarkStart w:id="28" w:name="__RefHeading___Toc1666364_2322387425"/>
      <w:bookmarkStart w:id="29" w:name="_Toc10"/>
      <w:bookmarkEnd w:id="28"/>
      <w:r>
        <w:rPr>
          <w:rtl w:val="true"/>
        </w:rPr>
        <w:t>العلم الإجمالی بالنجاسة و الإضافة</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أنّ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نجس أو مضاف</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 الشرب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0" w:name="pg13273_134823"/>
    </w:p>
    <w:p>
      <w:pPr>
        <w:pStyle w:val="BookText"/>
        <w:rPr/>
      </w:pPr>
      <w:bookmarkEnd w:id="30"/>
      <w:r>
        <w:rPr>
          <w:rFonts w:ascii="IRNazanin" w:hAnsi="IRNazanin" w:eastAsia="IRNazanin"/>
          <w:color w:val="111111"/>
          <w:sz w:val="28"/>
          <w:sz w:val="28"/>
          <w:szCs w:val="28"/>
          <w:rtl w:val="true"/>
          <w:lang w:bidi="fa-IR"/>
        </w:rPr>
        <w:t>یجوز شربه</w:t>
      </w:r>
      <w:r>
        <w:rPr>
          <w:rStyle w:val="FootnoteAnchor"/>
          <w:rtl w:val="true"/>
        </w:rPr>
        <w:footnoteReference w:id="29"/>
      </w:r>
      <w:r>
        <w:rPr>
          <w:rFonts w:ascii="IRNazanin" w:hAnsi="IRNazanin" w:eastAsia="IRNazanin"/>
          <w:color w:val="111111"/>
          <w:sz w:val="28"/>
          <w:sz w:val="28"/>
          <w:szCs w:val="28"/>
          <w:rtl w:val="true"/>
          <w:lang w:bidi="fa-IR"/>
        </w:rPr>
        <w:t>، ولکن لا یجوز</w:t>
      </w:r>
      <w:r>
        <w:rPr>
          <w:rStyle w:val="FootnoteAnchor"/>
          <w:rtl w:val="true"/>
        </w:rPr>
        <w:footnoteReference w:id="30"/>
      </w:r>
      <w:r>
        <w:rPr>
          <w:rFonts w:ascii="IRNazanin" w:hAnsi="IRNazanin" w:eastAsia="IRNazanin"/>
          <w:color w:val="111111"/>
          <w:sz w:val="28"/>
          <w:sz w:val="28"/>
          <w:szCs w:val="28"/>
          <w:rtl w:val="true"/>
          <w:lang w:bidi="fa-IR"/>
        </w:rPr>
        <w:t>التوضّوء به،</w:t>
      </w:r>
    </w:p>
    <w:p>
      <w:pPr>
        <w:pStyle w:val="Heading3"/>
        <w:numPr>
          <w:ilvl w:val="2"/>
          <w:numId w:val="1"/>
        </w:numPr>
        <w:rPr/>
      </w:pPr>
      <w:bookmarkStart w:id="31" w:name="__RefHeading___Toc1666366_2322387425"/>
      <w:bookmarkStart w:id="32" w:name="_Toc11"/>
      <w:bookmarkEnd w:id="31"/>
      <w:r>
        <w:rPr>
          <w:rtl w:val="true"/>
        </w:rPr>
        <w:t>العلم الإجمالی بالنجاسة أو الغصیبة</w:t>
      </w:r>
      <w:bookmarkEnd w:id="32"/>
    </w:p>
    <w:p>
      <w:pPr>
        <w:pStyle w:val="BookText"/>
        <w:rPr/>
      </w:pPr>
      <w:r>
        <w:rPr>
          <w:rFonts w:ascii="IRNazanin" w:hAnsi="IRNazanin" w:eastAsia="IRNazanin"/>
          <w:color w:val="111111"/>
          <w:sz w:val="28"/>
          <w:sz w:val="28"/>
          <w:szCs w:val="28"/>
          <w:rtl w:val="true"/>
          <w:lang w:bidi="fa-IR"/>
        </w:rPr>
        <w:t>وکذا</w:t>
      </w:r>
      <w:r>
        <w:rPr>
          <w:rStyle w:val="FootnoteAnchor"/>
          <w:rtl w:val="true"/>
        </w:rPr>
        <w:footnoteReference w:id="31"/>
      </w:r>
      <w:r>
        <w:rPr>
          <w:rFonts w:ascii="IRNazanin" w:hAnsi="IRNazanin" w:eastAsia="IRNazanin"/>
          <w:color w:val="111111"/>
          <w:sz w:val="28"/>
          <w:sz w:val="28"/>
          <w:szCs w:val="28"/>
          <w:rtl w:val="true"/>
          <w:lang w:bidi="fa-IR"/>
        </w:rPr>
        <w:t>إذا علم</w:t>
      </w:r>
      <w:r>
        <w:rPr>
          <w:rStyle w:val="FootnoteAnchor"/>
          <w:rtl w:val="true"/>
        </w:rPr>
        <w:footnoteReference w:id="32"/>
      </w:r>
      <w:r>
        <w:rPr>
          <w:rFonts w:ascii="Amiri" w:hAnsi="Amiri" w:eastAsia="Amiri" w:cs="Amiri"/>
          <w:color w:val="111111"/>
          <w:sz w:val="28"/>
          <w:sz w:val="28"/>
          <w:szCs w:val="28"/>
          <w:rtl w:val="true"/>
          <w:lang w:bidi="ar-SA"/>
        </w:rPr>
        <w:t>أ نّه إمّا مضاف أو مغصوب</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بسبق الإباحة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الشرب فی بعض فروضه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علم أ نّه إمّا نجس أو مغصوب فلا یجوز شربه أیضاً، کما لا یجوز التوضّوء به</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بأنّه</w:t>
      </w:r>
      <w:bookmarkStart w:id="33" w:name="pg13273_134824"/>
    </w:p>
    <w:p>
      <w:pPr>
        <w:pStyle w:val="BookText"/>
        <w:rPr/>
      </w:pPr>
      <w:bookmarkEnd w:id="33"/>
      <w:r>
        <w:rPr>
          <w:rFonts w:ascii="IRNazanin" w:hAnsi="IRNazanin" w:eastAsia="IRNazanin"/>
          <w:color w:val="111111"/>
          <w:sz w:val="28"/>
          <w:sz w:val="28"/>
          <w:szCs w:val="28"/>
          <w:rtl w:val="true"/>
          <w:lang w:bidi="fa-IR"/>
        </w:rPr>
        <w:t>یجوز</w:t>
      </w:r>
      <w:r>
        <w:rPr>
          <w:rStyle w:val="FootnoteAnchor"/>
          <w:rtl w:val="true"/>
        </w:rPr>
        <w:footnoteReference w:id="35"/>
      </w:r>
      <w:r>
        <w:rPr>
          <w:rFonts w:ascii="Amiri" w:hAnsi="Amiri" w:eastAsia="Amiri" w:cs="Amiri"/>
          <w:color w:val="111111"/>
          <w:sz w:val="28"/>
          <w:sz w:val="28"/>
          <w:szCs w:val="28"/>
          <w:rtl w:val="true"/>
          <w:lang w:bidi="ar-SA"/>
        </w:rPr>
        <w:t xml:space="preserve">التوضّـوء به ضعیف جدّاً </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للعلم التفصیلی ببطلان الوضوء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قلنا بجواز اجتماع الأمر والنهی ـ کما هو المختار ـ إذ لا مؤمّن من حیث النجاسة؛ نظراً إلی العلم الإجمالی بالنجاسة أو حرمة التصرّفات من جهة الغصبیّة، فتسقط أصالة الطهارة بالمعارضة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666368_2322387425"/>
      <w:bookmarkStart w:id="35" w:name="_Toc12"/>
      <w:bookmarkEnd w:id="34"/>
      <w:r>
        <w:rPr>
          <w:rtl w:val="true"/>
        </w:rPr>
        <w:t>التوضؤ بالمشتبه بالمضاف</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اُریق</w:t>
      </w:r>
      <w:r>
        <w:rPr>
          <w:rStyle w:val="FootnoteAnchor"/>
          <w:rtl w:val="true"/>
        </w:rPr>
        <w:footnoteReference w:id="37"/>
      </w:r>
      <w:r>
        <w:rPr>
          <w:rFonts w:ascii="IRNazanin" w:hAnsi="IRNazanin" w:eastAsia="IRNazanin"/>
          <w:color w:val="111111"/>
          <w:sz w:val="28"/>
          <w:sz w:val="28"/>
          <w:szCs w:val="28"/>
          <w:rtl w:val="true"/>
          <w:lang w:bidi="fa-IR"/>
        </w:rPr>
        <w:t>أحـد الإناءین المشتبهین مـن حیـث النجاسة أو الغصبیّة ، لا یجوز</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لعدم تعارض الاُصول 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التوضّوء بالآخر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الماءان مسبوقین بالإضافة فیکفی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زال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w:t>
      </w:r>
    </w:p>
    <w:p>
      <w:pPr>
        <w:pStyle w:val="BookText"/>
        <w:rPr/>
      </w:pPr>
      <w:r>
        <w:rPr>
          <w:rFonts w:ascii="IRNazanin" w:hAnsi="IRNazanin" w:eastAsia="IRNazanin"/>
          <w:color w:val="111111"/>
          <w:sz w:val="28"/>
          <w:sz w:val="28"/>
          <w:szCs w:val="28"/>
          <w:rtl w:val="true"/>
          <w:lang w:bidi="fa-IR"/>
        </w:rPr>
        <w:t>الإجمالی</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 نّه بعد تنجّزه لا یسقط أثره، فلا یجوز التوضّؤ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اُریق أحد المشتبهین من حیث الإضافة لا یکفی الوضوء بالآخر، بل الأحوط 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الانحصار ومع وجود المطلق یتعیّن التوضّؤ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انحصار الماء به، وجواز الاکتفاء بالتیمّم فی صورة العلم بسبق الإضافة لا یخلو من قوّة، والأحوط ما أفاده من الجمع، ثمّ فی لزوم تقدیم الوضوء علی التیمّم أو التخییر کلام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کفایة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صورة الانحصار، وأمّا مع وجود ماء آخر فیتعیّن الوضوء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صورة الانحصار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 وبین 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مع الانحصار، وأمّا مع وجود الماء المطلق فیتعیّن الوضوء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العلم بالحالة السابقة، فمع العلم بکونه مضافاً سابقاً یتیمّم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لا یبعد جواز الاکتفاء بالتیمّم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الجمع بینهما مع عدم وجود المطلق، وإلاّ یتعیّن الوضوء به؛ لما مرّ فی المسألة الثالثة، والفرق بین هذه المسألة وبین المسألة الثالثة بإیجاب الاحتیاط فی ما نحن فیه، والفتوی بالتیمّم فی الثالثة لیس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3273_134826"/>
    </w:p>
    <w:p>
      <w:pPr>
        <w:pStyle w:val="Heading3"/>
        <w:numPr>
          <w:ilvl w:val="2"/>
          <w:numId w:val="1"/>
        </w:numPr>
        <w:rPr/>
      </w:pPr>
      <w:bookmarkStart w:id="37" w:name="__RefHeading___Toc1666370_2322387425"/>
      <w:bookmarkStart w:id="38" w:name="_Toc13"/>
      <w:bookmarkEnd w:id="36"/>
      <w:bookmarkEnd w:id="37"/>
      <w:r>
        <w:rPr>
          <w:rtl w:val="true"/>
        </w:rPr>
        <w:t>ملاقی الشبهة المحصورة</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الشبهة المحصورة</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ملاقٍ بعض أطراف الشبهة المحصورة، ولم تکن الحالة السابقة فی الأطراف النجاسة، ولم یکن العلم الإجمالی حاصلاً بعد الملاقاة وفقد الملاقَی ـ بالفتح ـ قبله، وإلاّ فالأقوی وجوب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ملاقی بعضها لا کلّها، ولا یخفی أنّ فی المسألة صوراً، ولعلّ بعضاً منها تنشعب منه صورتان، ولیست هذه الصور علی نهجٍ واحدٍ متساویة الأقدام فی الحکم، والتفصیل موکول إلی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ملاقی بعض أطراف الشبهة، أمّا إذا لاقی الشیء جمیع أطراف الشبهة فلا ریب فی نجاسته، وکذا إذا لاقی شیء أحد طرفی الشبهة ولاقی شیء آخر الطرف الثانی فإنّه یجب اجتناب هذین الشیئین الملاقیین إذا کانا محلّ ابتلائه کالأصلین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الحالة السابقة فی الملاقَی ـ بالفتح ـ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بالنجاسة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الحالة السابقة فی أطرافها النجاسة، وإلاّ فلا یترک الاحتیاط بالاجتناب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الأطراف معلومة السبق بالنجاسة، وإلاّ فالأحوط إن لم یکن أقوی وجوب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کانت الحالة السابقة فی المشتبهین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الحالة السابقة فی الأطراف النجاسة، وإلاّ فنجاسة ملاقی بعض الأطراف قویّ، بناءً علی جریان الاُصول فی أطراف العلم الإجمالی إذا لم یستلزم طرح تکلیف منجّز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لاقی بعض أطرافها لا جمیعها، وإلاّ فلا شبهة فی 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لم یعلم سبق الأطراف بها، وإلاّ لزم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الحالة السابقة فیحکم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ملاقی بعض الأطراف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الحالة السابقة فی أطرافها النجاسة، ثمّ علم إجمالاً بطهارة بعضها، وإلاّ فی صورة ملاقاة جمیع الأطراف ولو کان الملاقی متعدّداً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کون الحالة السابقة فی أطرافها النجاسة، وفی المسألة تفصیل لا یسعه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بعدما علم من تعدّد الصور واختلافها حکماً یعلم کون إطلاق الماتن الحکم بعدم النجاسة محلّ تأمّل، ثمّ هذا کلّه لو لم تکن نجاسة الأطراف معلومة، ثمّ طرأ العلم بطهارة بعضها إجمالاً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الأطراف مسبوقة بالنجاسة حیث إنّه یحکم حینئذٍ بنجاسة ملاقی کلٍّ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الحالة السابقة فی الأطراف النجاسة، وأیضاً لم تکن الملاقاة قبل العلم الإجمالی، وإلاّ فلا یُترک الاحتیاط بالاجتناب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لاقی جمیع أطرافها، أو کانت الحالة السابقة للمشتبهین النجاسة، أو کانت الملاقاة قبل العلم بالنجاسة أو مقارنة معه، فإنّه یجب الاجتناب عن الملاقی فی جمیع هذه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هـذا إذا لاقی بعـض أطراف الشبهة ولـم تکـن الحالة السابقة فی أطراف النجاسـة، فلـو لاقی جمیعها أو کانت الحالة السابقة فیها النجاسة ثم علم بطهارة بعضها إجمالاً یحکم بوجوب الاجتناب عن الملاقی أیضاً، ثمّ إنّ الحکم بعـدم النجاسة فی صورة حصول الملاقاة بعد العلم الإجمالی، أمّا لو حصلت قبله فقـد یجـب الاجتناب عـن الملاقی أیضاً کما قـرّر فی محلّـه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یجب الاجتناب عنه إلاّ فی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هی الحالة السابقة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الملاقاة حاصلة فی زمان حدوث النجاسة فی الملاقَی ـ بالفتح ـ علی تقدیر کونه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الملاقاة لجمیع الأطراف، ولو کان الملاقی متعدّداً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لکنّ الأحوط الاجتناب</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إذا کانا مستصحِبَی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فیما إذا کانت الحالة السابقة فی الأطراف النجاسة، ثمّ علم إجمالاً بصیرورة بعضها طاهراً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سیّما إذا کان طرف الشبهة معلوم السبق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خصوصاً فیما لو کانت الحالة السابقة فی أطراف الشبهة النجاسة، ثمّ حدث العلم الإجمالی بطهارة بعض الأطراف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کانت الملاقاة بعد العلم الإجمالی، وإلاّ وجب الاجتناب عن الملاقی أیضاً، علی تفصیل ذکرناه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إذا کانت الحالة السابقة فی أطرافها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خصوصاً إن کانت الحالة السابقة النجاسة، وسیأتی منه رحمه‌الله الفتوی بوجوب الاجتناب حینئذٍ فی مسألة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بنجاسة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یُترک الاحتیاط مطلقاً فیما إذا حمل الملاقی عن الملاقَی شیئاً کما فی المایعات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باجتنابه، وخصوصاً إذا کان الطرفان معاً نجسین سابقاً، ثمّ علم بطهارة أحدهما غیر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3273_134829"/>
    </w:p>
    <w:p>
      <w:pPr>
        <w:pStyle w:val="Heading3"/>
        <w:numPr>
          <w:ilvl w:val="2"/>
          <w:numId w:val="1"/>
        </w:numPr>
        <w:rPr/>
      </w:pPr>
      <w:bookmarkStart w:id="40" w:name="__RefHeading___Toc1666372_2322387425"/>
      <w:bookmarkStart w:id="41" w:name="_Toc14"/>
      <w:bookmarkEnd w:id="39"/>
      <w:bookmarkEnd w:id="40"/>
      <w:r>
        <w:rPr>
          <w:rtl w:val="true"/>
        </w:rPr>
        <w:t>انحصار الماء فی المشتبهین</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انحصر الماء فی المشتبهین</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المشتبهین من حیث النجاسة کما تشهده قرینة الإهراق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منافٍ لما یأتی فی المسألة العاشرة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لمکان النصّ، وإن کان مقتضی القاعدة جواز الوضوء بواحد منهما، ثمّ الصلاة بعده، ثمّ غسل الید بالماء الثانی والتوضّؤ به، وإعادة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الماءان قلیلین، وإلاّ فلا یبعد القول بتعیّن الوضوء أو الاغتسال بنحو یذکره فی المسألة العاشرة، والأحوط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تشکل صحّة التیمّم قبل التخلّص من الماءین؛ بمثل إهراقهما مع التمکّن من تحصیل الطهارة الحدثیّة والخبثیّة بهما علی النحو الآتی فی التعلیقة علی المسألة العاشرة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ینافی ما یأتی منه قدس‌سره فی المسألة العاشرة، فلابدّ من التقیّد بمن لم یکن له طریق لتحصیل الطهارة المائیّة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وهـل</w:t>
      </w:r>
      <w:bookmarkStart w:id="42" w:name="pg13273_134830"/>
    </w:p>
    <w:p>
      <w:pPr>
        <w:pStyle w:val="BookText"/>
        <w:rPr/>
      </w:pPr>
      <w:bookmarkEnd w:id="42"/>
      <w:r>
        <w:rPr>
          <w:rFonts w:ascii="IRNazanin" w:hAnsi="IRNazanin" w:eastAsia="IRNazanin"/>
          <w:color w:val="111111"/>
          <w:sz w:val="28"/>
          <w:sz w:val="28"/>
          <w:szCs w:val="28"/>
          <w:rtl w:val="true"/>
          <w:lang w:bidi="fa-IR"/>
        </w:rPr>
        <w:t>یجـب إراقتهما أو لا؟ الأحـوط ذلـک</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بالتخلّص من الطاهر منهما ولو بتنجیس أو 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وظاهر الأمر بالإهراق الإرشاد إلی عدم الانتفاع، لا المولویّة ولا الشرطیّة، بمعنی کون الإراقة شرطاً لصحّة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الأقوی العدم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666374_2322387425"/>
      <w:bookmarkStart w:id="44" w:name="_Toc15"/>
      <w:bookmarkEnd w:id="43"/>
      <w:r>
        <w:rPr>
          <w:rtl w:val="true"/>
        </w:rPr>
        <w:t>إذا کان هناک إناءان نجس و طاهر فاریق أحدهما</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إناءان أحدهما المعیّن نجس، والآخر طاهر، فاُریق أحدهما ولم یعلم أ نّه أیّهما، فالباقی محکوم بالطهارة</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یکن للّذی اُریق أثر عملی مبتلیً به فعلاً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 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لما اُریق أثر عملی فی محلّ الابتلاء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الإناء الّذی اُریق ماوءه أو الموضع الّذی اُریق فیه الماء محلاًّ لابتلائه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غیر محکوم بذلک؛ للعلم إجمالاً بنجاسته أو نجاسة نفس الآنیة المُراق ماؤها، بل ومحلّ الإراقة فیما کان یبتلی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لـم یکـن للسالف أثر باقٍ ومحـلّ للابتلاء، کما إذا اُریـق علی أرض کانت محلّ الابتلاء للسجـدة أو التیمّم أو مسّ الشخص الرطوبة الباقیة منـه، فإنّه یحصـل العلـم الإجمالی بعـدم جـواز السجدة أو التیمّم أو الصلاة قبل تطهیر محلّ المسّ، أو عدم جواز شرب الباقی، فیجب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أثر عملی للّذی اُریق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للطرف المراق أثر بعد الإراقة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یکن للماء المراق مُلاقٍ له أثر شرعی، وإلاّ لم یحکم بطهارة الباقی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أثر عملی فعلی لما اُریق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لذلک الماء المراق ملاق موجود وهو موضع ابتلاء المکلّف، فیجب علیه اجتناب کلّ من الإناء الآخر وذلک الملاقی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للمُراق أثر فعلی فی محلّ الابتلاء، ولو نفس الآنیة أو ملاقیها، أو 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للمراق ملاقٍ موجود، وإلاّ فیجب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یکن للماء الّذی اُریق أثر عملی فعلی، ولو کان له أثر شرعی کما لو اُریق علی أرض کانت محلّ ابتلاء للسجدة مثلاً، یحکم بوجوب الاجتناب للعلم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للمراق ملاقٍ له أثر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وهذا</w:t>
      </w:r>
    </w:p>
    <w:p>
      <w:pPr>
        <w:pStyle w:val="BookText"/>
        <w:rPr/>
      </w:pPr>
      <w:r>
        <w:rPr>
          <w:rFonts w:ascii="IRNazanin" w:hAnsi="IRNazanin" w:eastAsia="IRNazanin"/>
          <w:color w:val="111111"/>
          <w:sz w:val="28"/>
          <w:sz w:val="28"/>
          <w:szCs w:val="28"/>
          <w:rtl w:val="true"/>
          <w:lang w:bidi="fa-IR"/>
        </w:rPr>
        <w:t>بخلاف ما لو کانا مشتبهین واُریق أحدهما، فإنّه یجب</w:t>
      </w:r>
      <w:r>
        <w:rPr>
          <w:rStyle w:val="FootnoteAnchor"/>
          <w:rtl w:val="true"/>
        </w:rPr>
        <w:footnoteReference w:id="45"/>
      </w:r>
      <w:r>
        <w:rPr>
          <w:rFonts w:ascii="IRNazanin" w:hAnsi="IRNazanin" w:eastAsia="IRNazanin"/>
          <w:color w:val="111111"/>
          <w:sz w:val="28"/>
          <w:sz w:val="28"/>
          <w:szCs w:val="28"/>
          <w:rtl w:val="true"/>
          <w:lang w:bidi="fa-IR"/>
        </w:rPr>
        <w:t>الاجتناب عن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أنّ الشبهة فی هذه الصورة بالنسبة إلی الباقی بدویّة</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لمکان حدوث العلم بعد الإراقة وتلف أحد طرفی الشبهة الطارئة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w:t>
      </w:r>
      <w:bookmarkStart w:id="45" w:name="pg13273_134832"/>
    </w:p>
    <w:p>
      <w:pPr>
        <w:pStyle w:val="BookText"/>
        <w:rPr/>
      </w:pPr>
      <w:bookmarkEnd w:id="45"/>
      <w:r>
        <w:rPr>
          <w:rFonts w:ascii="IRNazanin" w:hAnsi="IRNazanin" w:eastAsia="IRNazanin"/>
          <w:color w:val="111111"/>
          <w:sz w:val="28"/>
          <w:sz w:val="28"/>
          <w:szCs w:val="28"/>
          <w:rtl w:val="true"/>
          <w:lang w:bidi="fa-IR"/>
        </w:rPr>
        <w:t>الصورة الثانیة، فإنّ الماء الباقی کان طرفاً للشبهة من الأوّل، وقد حکم علیه بوجوب الاجتناب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إناء لا یعلم أ نّه لزید أو لعمرو، والمفروض أ نّه مأذون من قبل زید فقط فی التصرّف فی ماله، لا یجوز</w:t>
      </w:r>
      <w:r>
        <w:rPr>
          <w:rStyle w:val="FootnoteAnchor"/>
          <w:rtl w:val="true"/>
        </w:rPr>
        <w:footnoteReference w:id="47"/>
      </w:r>
      <w:r>
        <w:rPr>
          <w:rFonts w:ascii="IRNazanin" w:hAnsi="IRNazanin" w:eastAsia="IRNazanin"/>
          <w:color w:val="111111"/>
          <w:sz w:val="28"/>
          <w:sz w:val="28"/>
          <w:szCs w:val="28"/>
          <w:rtl w:val="true"/>
          <w:lang w:bidi="fa-IR"/>
        </w:rPr>
        <w:t>له استعماله، وکذا</w:t>
      </w:r>
      <w:r>
        <w:rPr>
          <w:rStyle w:val="FootnoteAnchor"/>
          <w:rtl w:val="true"/>
        </w:rPr>
        <w:footnoteReference w:id="48"/>
      </w:r>
      <w:r>
        <w:rPr>
          <w:rFonts w:ascii="IRNazanin" w:hAnsi="IRNazanin" w:eastAsia="IRNazanin"/>
          <w:color w:val="111111"/>
          <w:sz w:val="28"/>
          <w:sz w:val="28"/>
          <w:szCs w:val="28"/>
          <w:rtl w:val="true"/>
          <w:lang w:bidi="fa-IR"/>
        </w:rPr>
        <w:t>إذا علم أ نّه لزید مثلاً، لکن لا یعلم أ نّه مأذون من قبله أو من قبل عمرو</w:t>
      </w:r>
      <w:r>
        <w:rPr>
          <w:rFonts w:eastAsia="IRNazanin" w:cs="IRNazanin"/>
          <w:color w:val="111111"/>
          <w:sz w:val="28"/>
          <w:szCs w:val="28"/>
          <w:rtl w:val="true"/>
          <w:lang w:bidi="fa-IR"/>
        </w:rPr>
        <w:t>.</w:t>
      </w:r>
    </w:p>
    <w:p>
      <w:pPr>
        <w:pStyle w:val="Heading3"/>
        <w:numPr>
          <w:ilvl w:val="2"/>
          <w:numId w:val="1"/>
        </w:numPr>
        <w:rPr/>
      </w:pPr>
      <w:bookmarkStart w:id="46" w:name="__RefHeading___Toc1666376_2322387425"/>
      <w:bookmarkStart w:id="47" w:name="_Toc16"/>
      <w:bookmarkEnd w:id="46"/>
      <w:r>
        <w:rPr>
          <w:rtl w:val="true"/>
        </w:rPr>
        <w:t>الحکم فی الماءین المشتبهین إذا توضأ أو اغتسل بأحدهما ثم بالآخر</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الماءین المشتبهین</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 المشتبهان بالنجاسة، وأمّا المشتبهان بالغصب فحکمه التیمّم مع الانحصار؛ لعدم جواز استعماله، وأمّا المشتبهان بالإضافة فیجب علیه الوضوء بهما بالتکرار مع الانحصار، ویجوز مع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توضّأ بأحدهما أو اغتسل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وغسل بدنه من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 توضّأ</w:t>
      </w:r>
    </w:p>
    <w:p>
      <w:pPr>
        <w:pStyle w:val="BookText"/>
        <w:rPr/>
      </w:pPr>
      <w:r>
        <w:rPr>
          <w:rFonts w:ascii="IRNazanin" w:hAnsi="IRNazanin" w:eastAsia="IRNazanin"/>
          <w:color w:val="111111"/>
          <w:sz w:val="28"/>
          <w:sz w:val="28"/>
          <w:szCs w:val="28"/>
          <w:rtl w:val="true"/>
          <w:lang w:bidi="fa-IR"/>
        </w:rPr>
        <w:t>به أو اغتسل</w:t>
      </w:r>
      <w:r>
        <w:rPr>
          <w:rStyle w:val="FootnoteAnchor"/>
          <w:rtl w:val="true"/>
        </w:rPr>
        <w:footnoteReference w:id="50"/>
      </w:r>
      <w:r>
        <w:rPr>
          <w:rFonts w:ascii="Amiri" w:hAnsi="Amiri" w:eastAsia="Amiri" w:cs="Amiri"/>
          <w:color w:val="111111"/>
          <w:sz w:val="28"/>
          <w:sz w:val="28"/>
          <w:szCs w:val="28"/>
          <w:rtl w:val="true"/>
          <w:lang w:bidi="ar-SA"/>
        </w:rPr>
        <w:t>صحّ وضووءه</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الاحتیاط بالتکرار بإتیان الصلاة بعد کلٍّ من الوضوءین فی صورة قلّة الماءین وما یلحقها من کون الثانی قلیلاً کلام قد طوینا عنه کشحاً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وصحّت صلاته إن کان الثانی کرّاً، وإلاّ فلا یجوز له الدخول فی الصلاة قبل تطهیر بدنه مع التمکّن؛ لاستصحاب النجاسة، نعم لو کرّر الصلاة فأتی بها بعد کلّ وضوء أو غسل صحّت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 فی المسألة السابعة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إذا صلّی عقیب کلّ وضوء بالکیفیّة المذکورة تصحّ صلاته أیضاً، نعم لو اکتفی بصلاة واحدة عقیب الوضوءین تشکل صحّـتها، والظاهر جواز التیمّم مع الانحصار، والأولی أن یهریقهما ثمّ یتیمّم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غسله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مورد الانحصار، ویجب تطهیر أعضائه للصلاة، وأمّا فی صورة الانحصار فیتعیّن التیمّم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ینحصر الماء فیهما، أو لم یکونا قلیلین، وإلاّ فقد مرّ أ نّه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إذا أراد أن یصلّی کرّرها علی ما یکرّر الوضوء أو الغسل، وتکون صلاته الاُولی قبل غسل بدنه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وصحّت الصلاة لو کرّر وأتی بها بعد کلّ وضوء، ویحکم بنجاسة أعضاء الوضوء ظاهراً فیما إذا کان المشتبهان قلیلین، أو کان ثانیهما قلیلاً، وفی غیر هذه الصورة یحکم بالطهارة وصحّة الصلاة من غیر 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تصحیح صلاته أیضاً إن کرّرها بعد کلّ طهارة، لکنّ الأحوط إن لم یکن أقوی تعیّن التیمّم مع الانحصار والتطهیر بغیرها مع العدم، وقد مضی منه رحمه‌الله الفتوی بتعیّن التیمّم فی مسألة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مطلقاً هو الأقوی، وإن کان المشتبهان کرّین فیتعیّن التیمّم حینئذٍ مع الانحصار، ومع عدمه یجب الوضوء أو الغسل بالماء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صحّة الصلاة بهما محلّ إشکال، نعم لو کرّر الصلاة وأتی بها بعد کلّ وضوء لا یبعد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نظر، سیّما إذا کان کلاهما قلیلاً فلا یُترک الاحتیاط بإراقة الماء أوّلاً ثمّ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یصحّ، ویتعیّن علیه التیمّم مطلقاً علی الأقوی، کما مرّ فی المسألة السابعة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تعیّن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هو الأقوی، ویتعیّن التیمّم مع الانحصار، وأمّا مع عدم الانحصار یجب الوضوء أو الغسل بالماء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مقتضی القاعدة لولا ظهور النصّ علی خلافه، وقد أفتی به فی المسألة السابقة، ولکنّ صحّة العبادة مع هذا الوضوء أو الغسل مشکل، إلاّ علی الکیفیّة المتقدّمِ ذکرُها فی المسألة السابقة، هذا إذا لم یکن أحدهما کرّاً، وإلاّ صحّت العبادة بلا احتیاج إلی تکرار الصلاة عقیب کلّ 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هذا العمل، والتیمّم مع عدم وجدان ماءٍ آخر بعد إهراقهما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تصحّ الصلاة عقیبهما إلاّ بعد التطهیر، ولو صلّی عقیب کلّ منهما صحّت صلاته أیضاً، والأقوی جواز التیمّم مع الانحصار، والأولی إهراقهما ثمّ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قـد مـرّ أنّ ما أفاده هنا غیـر ملائم مـع ما ذکره فی المسألة السابعة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الأمر کذلک، إلاّ أ نّه لا تصحّ الصلاة عندئذٍ؛ للعلم الإجمالی بنجاسة بدنه بملاقاة الماء الأوّل أو الثانی وإن کان الثانی کرّاً علی ما بیّناه فی محلّه، وحینئذٍ فلابدّ من غسل تمام المحتملات حتّی یحکم بصحّة الصلاة، وبذلک یظهر الحال فی صورة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تکرار الصلاة بعد کلّ وضوء أو غسل، ولا فرق فی ذلک بین صورة الانحصار وعدمه، کما أ نّه فی صورة الانحصار یجوز الاکتفاء بالتیمّم وحده؛ لکون العمل بما فی المتن حرجیاً، وهو مرتفع شرعاً، والنصّ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الماء المطلق،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أ نّه یهریقهما ویتیمّم إرشاد إلی ذلـک، نعم لـو تکلّف وأتی بما فی المتن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وإن أمکن تصحیح الصلاة أیضاً بتکرارها بعد کلّ وضوء، فیتعیّن التیمّم مع الانحصار ویتعیّن علیه الوضوء بماءٍ طاهر غیره إذا کان موجوداً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إن صلّی بعد کلّ منهما فلا إشکال؛ للعلم بوقوع الصلاة مع طهارة البدن، وإذا صلّی بعدهما ففی صحّـتها إشکال، إلاّ إذا طهّر بدنه بماءٍ معلوم الطهارة قبلها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الصحّة هو الأقوی مطلقاً، وإن کان المشتبهان کرّین، ویتعیّن علیه التیمّم مع الانحصار لخبر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الماء المطلق،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وأمّا مع عدمه یجب الوضوء أو الغسل بالماء الآخر، نعم لو قطع النظر عن الروایة بدعوی الانصراف صحّ وضوؤه وغسله، بل إذا کان کلاهما أو الثانی قلیلاً یحکم بصحّة صلاته أیضاً إن کرّرت بعد کلّ وضوء، کما یحکم بنجاسة أعضاء الوضوء، ولو کان کلاهما أو الثانی کرّاً یحکم بصحّة صلاته من دون تکرار کما یحکم بطهارة أعضائه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لم یسوَّغ الامتثال الإجمالی مع التمکّن من التفصیلی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تعیّن التیمّم مع الانحصار والتطهّر بغیرهما مع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النحو مع وجدان ماء معلوم الطهارة، ومع الانحصار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الأحوط إراقتهما ثمّ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المشتبهین بالنجاسة، وأمّا المشتبهان بالإضافة والإطلاق فلا ریب فی ارتفاع الحدث والخبث بتکرّرهما، فیجب مع الانحصار ویجوز 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المشتبهان بالغصب فلا یجوز استعمال شیء منهما مع الالتفات لا فی الحدث ولا فی الخبث، فیتیمّم مع الانحصار ویصلّی بالنجاسة، ومع عدمه تجب الطهارة منهما بغیرهما، لکن لو عصی واستعمل أحدهما مع الانحصار أو عدمه ارتفع الخبث دون الحدث، ومع الغفلة أو الجهل أو النسیان یرتفع مع استعمال أحدهما کلٌّ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bookmarkStart w:id="48" w:name="pg13273_134837"/>
    </w:p>
    <w:p>
      <w:pPr>
        <w:pStyle w:val="BookText"/>
        <w:rPr/>
      </w:pPr>
      <w:bookmarkEnd w:id="48"/>
      <w:r>
        <w:rPr>
          <w:rFonts w:ascii="IRNazanin" w:hAnsi="IRNazanin" w:eastAsia="IRNazanin"/>
          <w:color w:val="111111"/>
          <w:sz w:val="28"/>
          <w:sz w:val="28"/>
          <w:szCs w:val="28"/>
          <w:rtl w:val="true"/>
          <w:lang w:bidi="fa-IR"/>
        </w:rPr>
        <w:t>الأحوط</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تعیّن التیمّم بعد إهراقهما کما فی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مصدر الروایة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 التیمّم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هو التیمّم وحده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666378_2322387425"/>
      <w:bookmarkStart w:id="50" w:name="_Toc17"/>
      <w:bookmarkEnd w:id="49"/>
      <w:r>
        <w:rPr>
          <w:rtl w:val="true"/>
        </w:rPr>
        <w:t>العلم الإجمالی بالنجاسة بعد العمل</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ماءان توضّأ بأحدهما أو اغتسل، وبعد الفراغ حصل له العلم بأنّ أحدهما کان نجساً، ولا یدری أ نّه هو الّذی توضّأ به أو غیره، ففی صحّة وضوئه أو غسله إشکال</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کلّ من الماءین أو الطرف الآخر باقیاً ومحلاًّ للابتلاء ولو ببعض 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فیعید احتیاطاً بعد تطهیر أعضائه أو إحداث موجب الغسل أو الوضوء، وإلاّ کانت الإعادة لغواً کما یظهر بالتأمّل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إعادة الوضوء أو الغسل بعد تطهیر محلّهما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 فعلاً بخروج الغیر مع أثره عن مورد الابتلاء قبل العلم ولو علی</w:t>
      </w:r>
    </w:p>
    <w:p>
      <w:pPr>
        <w:pStyle w:val="BookText"/>
        <w:rPr/>
      </w:pPr>
      <w:r>
        <w:rPr>
          <w:rFonts w:ascii="IRNazanin" w:hAnsi="IRNazanin" w:eastAsia="IRNazanin"/>
          <w:color w:val="111111"/>
          <w:sz w:val="28"/>
          <w:sz w:val="28"/>
          <w:szCs w:val="28"/>
          <w:rtl w:val="true"/>
          <w:lang w:bidi="fa-IR"/>
        </w:rPr>
        <w:t>القول بعدم جریان قاعدة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 جریان القاعدة، فإنّه لا دلیل معتبر علی اشتراط احتمال الأذکریّة حین العمل، وممّا ذکر یظهر الحال فیما یأتی من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لزوم الإعادة سیّما مع وجود الطرف الآخر أو ملاقیه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جریان قاعدة الفراغ هنا محلّ</w:t>
      </w:r>
    </w:p>
    <w:p>
      <w:pPr>
        <w:pStyle w:val="BookText"/>
        <w:rPr/>
      </w:pPr>
      <w:r>
        <w:rPr>
          <w:rFonts w:ascii="IRNazanin" w:hAnsi="IRNazanin" w:eastAsia="IRNazanin"/>
          <w:color w:val="111111"/>
          <w:sz w:val="28"/>
          <w:sz w:val="28"/>
          <w:szCs w:val="28"/>
          <w:rtl w:val="true"/>
          <w:lang w:bidi="fa-IR"/>
        </w:rPr>
        <w:t>إشکال</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بملاحظة غلبة الأذکریّة، وإن کان فی استفادة غلبته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ولذا نقول بأنّ هذه القاعدة من الاُصول العملیّة، لا الأمارة التعبّدیّة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إشکال فیها؛ لجریان قاعدة الفراغ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الجریان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یجری إذا کان کلّ واحد من الماءین أو الطرف الآخر باقیاً ومحلاًّ للابتلاء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لو جرت قاعدة الفراغ فی نفسها ولم نشترط احتمال الالتفات حین العمل، تشکل صحّة الوضوء فی المقام؛ لوجود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ببطلان الوضوء ونجاسة الأعضاء، أو نجاسة الإناء الباقی، فإنّ العلم الإجمالی فی المقام حاصل بنجاسة الملاقی وهو الأعضاء أو طرف الملاقَی ـ بالفتح ـ بعد الملاقاة، والحکم فیه جریان الاحتیاط فی الملاقی أیضاً علی ما قرّر فی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لاحتمال أن یکون اعتبار الالتفات حین العمل جموداً علی ما یستظهر من موثّق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 ح</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لا یخلو من إشکال، ثمّ علی فرض عدم اعتبار الالتفات یشکل الحکم بصحّة الوضوء أیضاً؛ لمکان تولّد علم إجمالی آخر وهو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بنجاسة طرف الملاقَی ـ بالفتح ـ أو الملاقی ـ بالکسر ـ وهی أعضاء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بطلان الوضوء فیما إذا کان الطرف الآخر أو ملاقیه باقیاً، وإلاّ فالوضوء محکوم بالصحّة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الإناء الثانی موجوداً ولو ببعض آثاره، فإنّه یعلم إجمالاً ببطلان وضوئه أو بنجاسة الإناء الآخر، فلا موضع لقاعدة الفراغ، ولابدّ من تطهیر الأعضاء ثمّ إعادة الوضوء أو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فی البین علم إجمالی منجّز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بناءً علی جریان القاعدة فی صورة عدم الالتفات إلی کیفیّة العمل حین صدوره منه؛ لوجود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بنجاسة جسده وبطلان وضوئه، أو نجاسة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الطرف الآخر محلاًّ للابتلاء ولو ببعض آثاره، وإلاّ فالأظهر جریانها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إذا علم بنجاسة أحدهما المعیّن وطهارة الآخر فتوضّأ، وبعد الفراغ شکّ فی أ نّه توضّأ من الطاهر أو من النجس، فالظاهر صحّة وضوئه؛ لقاعدة الفراغ</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علم أ نّه کان حین التوضّوء غافلاً عن نجاسة أحدهما یشکل </w:t>
      </w:r>
      <w:bookmarkStart w:id="51" w:name="pg13273_134840"/>
    </w:p>
    <w:p>
      <w:pPr>
        <w:pStyle w:val="BookText"/>
        <w:rPr/>
      </w:pPr>
      <w:bookmarkEnd w:id="51"/>
      <w:r>
        <w:rPr>
          <w:rFonts w:ascii="IRNazanin" w:hAnsi="IRNazanin" w:eastAsia="IRNazanin"/>
          <w:color w:val="111111"/>
          <w:sz w:val="28"/>
          <w:sz w:val="28"/>
          <w:szCs w:val="28"/>
          <w:rtl w:val="true"/>
          <w:lang w:bidi="fa-IR"/>
        </w:rPr>
        <w:t>جریانها</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 جریانها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المنع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جریان القاعدة فی الفرض وسابقه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تجری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الإشکال ضعیف، فالأقوی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فیه لزوم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المختار جریانها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666380_2322387425"/>
      <w:bookmarkStart w:id="53" w:name="_Toc18"/>
      <w:bookmarkEnd w:id="52"/>
      <w:r>
        <w:rPr>
          <w:rtl w:val="true"/>
        </w:rPr>
        <w:t>إستعمالی أحد المشتبهین بالغصبیة</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 أحد المشتبهین بالغصبیّة، لا یحکم</w:t>
      </w:r>
      <w:r>
        <w:rPr>
          <w:rStyle w:val="FootnoteAnchor"/>
          <w:rtl w:val="true"/>
        </w:rPr>
        <w:footnoteReference w:id="59"/>
      </w:r>
      <w:r>
        <w:rPr>
          <w:rFonts w:ascii="IRNazanin" w:hAnsi="IRNazanin" w:eastAsia="IRNazanin"/>
          <w:color w:val="111111"/>
          <w:sz w:val="28"/>
          <w:sz w:val="28"/>
          <w:szCs w:val="28"/>
          <w:rtl w:val="true"/>
          <w:lang w:bidi="fa-IR"/>
        </w:rPr>
        <w:t>علیه بالضمان</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یکونا معلومَی السبق بما یورث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المسألة أیضاً لو حصل العلم بغصبیّة أحد الإناءین بعد الاستعمال یحصل له العلم إجمالاً، إمّا بالضمان، أو بعدم جواز التصرّف فی الإناء الآخر، ومقتضی تنجّز العلم ترتیب أثر الطرفین والضمان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لأصالة عدمه؛ لأ نّه مترتّب علی إتلاف مال الغیر، فالموضوع المرکّب غیر محرز أحد جزءیه، نعم یمکن أن یقال بترتّب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بالنسبة إلی التالف، وعدم جواز الاستعمال بالنسبة إلی الباقی بادّعاء حصول العلم الإجمالی بعد استعمال أحد الطرفین، أمّا بالضمان لو کان هو مال الغیر، أو بعدم جواز استعمال الآخر لو کان التالف مال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الحکم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صورة حصول علم إجمالی منجّز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العلم بالغصبیّة سابقاً علی الاستعمال، ولم یکن هو الغاصب، وإلاّ فلابدّ من المصالحة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العلم الإجمالی حاصلاً قبل الاستعمال، وأمّا إذا حصل بعده فیتحقّق العلم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بالضمان، أو حرمة التصرّف فی الآخر، فمقتضی منجّزیّة العلم حصول الضمان وعدم جواز التصرّف فی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بعد تبیّن أنّ المستعمل هو المغصوب</w:t>
      </w:r>
      <w:r>
        <w:rPr>
          <w:rFonts w:eastAsia="IRNazanin" w:cs="IRNazanin"/>
          <w:color w:val="111111"/>
          <w:sz w:val="28"/>
          <w:szCs w:val="28"/>
          <w:rtl w:val="true"/>
          <w:lang w:bidi="fa-IR"/>
        </w:rPr>
        <w:t>.</w:t>
      </w:r>
      <w:bookmarkStart w:id="54" w:name="pg13273_134841"/>
    </w:p>
    <w:p>
      <w:pPr>
        <w:pStyle w:val="Heading2"/>
        <w:numPr>
          <w:ilvl w:val="1"/>
          <w:numId w:val="1"/>
        </w:numPr>
        <w:rPr/>
      </w:pPr>
      <w:bookmarkStart w:id="55" w:name="__RefHeading___Toc1666382_2322387425"/>
      <w:bookmarkStart w:id="56" w:name="_Toc19"/>
      <w:bookmarkEnd w:id="54"/>
      <w:bookmarkEnd w:id="55"/>
      <w:r>
        <w:rPr>
          <w:rtl w:val="true"/>
        </w:rPr>
        <w:t>فصل فی الأسآر</w:t>
      </w:r>
      <w:bookmarkEnd w:id="56"/>
    </w:p>
    <w:p>
      <w:pPr>
        <w:pStyle w:val="Heading3"/>
        <w:numPr>
          <w:ilvl w:val="2"/>
          <w:numId w:val="1"/>
        </w:numPr>
        <w:rPr/>
      </w:pPr>
      <w:bookmarkStart w:id="57" w:name="__RefHeading___Toc1666384_2322387425"/>
      <w:bookmarkStart w:id="58" w:name="_Toc20"/>
      <w:bookmarkEnd w:id="57"/>
      <w:r>
        <w:rPr>
          <w:rtl w:val="true"/>
        </w:rPr>
        <w:t>سؤر نجس العین</w:t>
      </w:r>
      <w:bookmarkEnd w:id="58"/>
    </w:p>
    <w:p>
      <w:pPr>
        <w:pStyle w:val="BookText"/>
        <w:rPr/>
      </w:pPr>
      <w:r>
        <w:rPr>
          <w:rFonts w:ascii="IRNazanin" w:hAnsi="IRNazanin" w:eastAsia="IRNazanin"/>
          <w:color w:val="111111"/>
          <w:sz w:val="28"/>
          <w:sz w:val="28"/>
          <w:szCs w:val="28"/>
          <w:rtl w:val="true"/>
          <w:lang w:bidi="fa-IR"/>
        </w:rPr>
        <w:t>سوءر</w:t>
      </w:r>
      <w:r>
        <w:rPr>
          <w:rStyle w:val="FootnoteAnchor"/>
          <w:rtl w:val="true"/>
        </w:rPr>
        <w:footnoteReference w:id="61"/>
      </w:r>
      <w:r>
        <w:rPr>
          <w:rFonts w:ascii="IRNazanin" w:hAnsi="IRNazanin" w:eastAsia="IRNazanin"/>
          <w:color w:val="111111"/>
          <w:sz w:val="28"/>
          <w:sz w:val="28"/>
          <w:szCs w:val="28"/>
          <w:rtl w:val="true"/>
          <w:lang w:bidi="fa-IR"/>
        </w:rPr>
        <w:t>نجس العین کالکلب والخنزیر والکافر</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 غیر المنکِر للّه ووحدانیّـته، وفی غیر الناصبی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مبنیّ علی نجاسة الکافر مطلقاً، ولا دلیل معتبر علی نجاسته، إلاّ الناصبی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سیجیء الکلام فیه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نجس،</w:t>
      </w:r>
    </w:p>
    <w:p>
      <w:pPr>
        <w:pStyle w:val="Heading3"/>
        <w:numPr>
          <w:ilvl w:val="2"/>
          <w:numId w:val="1"/>
        </w:numPr>
        <w:rPr/>
      </w:pPr>
      <w:bookmarkStart w:id="59" w:name="__RefHeading___Toc1666386_2322387425"/>
      <w:bookmarkStart w:id="60" w:name="_Toc21"/>
      <w:bookmarkEnd w:id="59"/>
      <w:r>
        <w:rPr>
          <w:rtl w:val="true"/>
        </w:rPr>
        <w:t>طهارة السؤر</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وسؤر طاهر </w:t>
      </w:r>
    </w:p>
    <w:p>
      <w:pPr>
        <w:pStyle w:val="BookText"/>
        <w:rPr/>
      </w:pPr>
      <w:r>
        <w:rPr>
          <w:rFonts w:ascii="IRNazanin" w:hAnsi="IRNazanin" w:eastAsia="IRNazanin"/>
          <w:color w:val="111111"/>
          <w:sz w:val="28"/>
          <w:sz w:val="28"/>
          <w:szCs w:val="28"/>
          <w:rtl w:val="true"/>
          <w:lang w:bidi="fa-IR"/>
        </w:rPr>
        <w:t>العین طاهر وإن کان حرام اللحم</w:t>
      </w:r>
      <w:r>
        <w:rPr>
          <w:rStyle w:val="FootnoteAnchor"/>
          <w:rtl w:val="true"/>
        </w:rPr>
        <w:footnoteReference w:id="63"/>
      </w:r>
      <w:r>
        <w:rPr>
          <w:rFonts w:ascii="IRNazanin" w:hAnsi="IRNazanin" w:eastAsia="IRNazanin"/>
          <w:color w:val="111111"/>
          <w:sz w:val="28"/>
          <w:sz w:val="28"/>
          <w:szCs w:val="28"/>
          <w:rtl w:val="true"/>
          <w:lang w:bidi="fa-IR"/>
        </w:rPr>
        <w:t>، أو کان من المسوخ، أو کان جلاّلاً</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وکذا المسوخ بناءً علی طهارتها کما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یکره سؤر</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فی بعض ما ذکر محلّ إشکال، والأولی ترکها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اللحم ما عدا الموءمن، بل والهرّة علی 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عطف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فالقول فیهما قویّ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یکره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سؤر مکروه اللحم کالخیل والبغال والحمیر، وکذا سؤر الحائض المتّهمة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غیر المأمونة کما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الأسآر، ح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ویستفاد 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الأسار،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الوضوء بسؤر الحائض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غیر المأمونة، بل الأولی ترک الوضوء بسؤرها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والجنب المتّهمة، بل مطلق الحائض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الغیر المأمونة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وغیر المتّهمة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مطلق المتّهم</w:t>
      </w:r>
      <w:r>
        <w:rPr>
          <w:rFonts w:eastAsia="IRNazanin" w:cs="IRNazanin"/>
          <w:color w:val="111111"/>
          <w:sz w:val="28"/>
          <w:szCs w:val="28"/>
          <w:rtl w:val="true"/>
          <w:lang w:bidi="fa-IR"/>
        </w:rPr>
        <w:t>.</w:t>
      </w:r>
      <w:bookmarkStart w:id="61" w:name="pg13273_134843"/>
    </w:p>
    <w:p>
      <w:pPr>
        <w:pStyle w:val="Heading2"/>
        <w:numPr>
          <w:ilvl w:val="1"/>
          <w:numId w:val="1"/>
        </w:numPr>
        <w:rPr/>
      </w:pPr>
      <w:bookmarkStart w:id="62" w:name="__RefHeading___Toc1666388_2322387425"/>
      <w:bookmarkStart w:id="63" w:name="_Toc22"/>
      <w:bookmarkEnd w:id="61"/>
      <w:bookmarkEnd w:id="62"/>
      <w:r>
        <w:rPr>
          <w:rtl w:val="true"/>
        </w:rPr>
        <w:t>فصل فی النجاسات</w:t>
      </w:r>
      <w:bookmarkEnd w:id="63"/>
    </w:p>
    <w:p>
      <w:pPr>
        <w:pStyle w:val="Heading3"/>
        <w:numPr>
          <w:ilvl w:val="2"/>
          <w:numId w:val="1"/>
        </w:numPr>
        <w:rPr/>
      </w:pPr>
      <w:bookmarkStart w:id="64" w:name="__RefHeading___Toc1666390_2322387425"/>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النجاسات اثنتا عشرة</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 نّها إحدی عشرة، باستثناء عرق الجنب من الحرام، وسیأتی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 نّها أقلّ من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إحدی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إحدی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666392_2322387425"/>
      <w:bookmarkStart w:id="67" w:name="_Toc24"/>
      <w:bookmarkEnd w:id="66"/>
      <w:r>
        <w:rPr>
          <w:rtl w:val="true"/>
        </w:rPr>
        <w:t>الأول والثانی</w:t>
      </w:r>
      <w:r>
        <w:rPr>
          <w:rtl w:val="true"/>
        </w:rPr>
        <w:t xml:space="preserve">: </w:t>
      </w:r>
      <w:r>
        <w:rPr>
          <w:rtl w:val="true"/>
        </w:rPr>
        <w:t>بول و غائط مالا یؤکل لحمه</w:t>
      </w:r>
      <w:bookmarkEnd w:id="6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والغائط من الحیوان الّذی لا یوءکل لحمه، إنساناً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برّیّاً أو بحریّاً، صغیراً أو کبیراً، بشرط أن یکون</w:t>
      </w:r>
      <w:r>
        <w:rPr>
          <w:rStyle w:val="FootnoteAnchor"/>
          <w:rtl w:val="true"/>
        </w:rPr>
        <w:footnoteReference w:id="67"/>
      </w:r>
      <w:r>
        <w:rPr>
          <w:rFonts w:ascii="IRNazanin" w:hAnsi="IRNazanin" w:eastAsia="IRNazanin"/>
          <w:color w:val="111111"/>
          <w:sz w:val="28"/>
          <w:sz w:val="28"/>
          <w:szCs w:val="28"/>
          <w:rtl w:val="true"/>
          <w:lang w:bidi="fa-IR"/>
        </w:rPr>
        <w:t xml:space="preserve">له دم </w:t>
      </w:r>
    </w:p>
    <w:p>
      <w:pPr>
        <w:pStyle w:val="BookText"/>
        <w:rPr/>
      </w:pPr>
      <w:r>
        <w:rPr>
          <w:rFonts w:ascii="IRNazanin" w:hAnsi="IRNazanin" w:eastAsia="IRNazanin"/>
          <w:color w:val="111111"/>
          <w:sz w:val="28"/>
          <w:sz w:val="28"/>
          <w:szCs w:val="28"/>
          <w:rtl w:val="true"/>
          <w:lang w:bidi="fa-IR"/>
        </w:rPr>
        <w:t>سائل</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هذا الاشتراط فی البول، فلو لا الاتّفاق لأمکن القول بنجاسة البول من کلّ حیوان ذی لحم مطلقاً، أی سواء کان له دم سائل أو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کلام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الطیور المحرّمة الأقوی عدم النجاسة</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النجاسة هی الأقوی، ویقوی فی الخفّاش طهارة بوله وخرئه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ـ بمقتضی تعلیل عدم البأس فی خرء الخطّاف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النجاسات،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 ممّا یوءکل ـ هو الاجتناب، مضافاً إلی إمکان حمل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النجاسات،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الغالب من مورد ابتلاء الناس من المأکول منها، فیبقی عموم الاجتناب عن أبوال ما لا یوءکل لحمه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خصوص الخشّاف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النجاسات،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متعارضتان، والجمع بینهما وإن اقتضی حمل الاجتناب علی الاستحباب إلاّ أنّ الکلام فی سنده؛ لعدم اتّکائهم به فیشکل أمره، فالأحوط فیه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الآملی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لکنّ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 الرفیعی، البجنوردی،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ولا خصوصیّة فی الخفّاش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أیضاً الاجتناب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خصوصاً الخفّاش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فیه أیضاً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بطهارة خرء الخفّاش وبوله أولی من سائر الطیور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ویقوی فی الخفّاش طهارة بوله وخرئه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وطهارة ما یخرج من الخفّاش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ویطلق علیه الخشّاف أیضاً بالقلب، وهو طائر ولودٌ یری الحمرة کالإنسان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من ذی الدم السائل، وهو ممنوع کما شهد به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فیه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فیه الطهارة، بل الطهارة فیه أظهر من الطهارة فی الطیور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 ذی النفس السائلة، وفیه تأمّل؛ لما نقل عن جماعة أنّهم اختبروه فوجدوه غیر سائل الدم، ولذا قالوا بأن الأقوی طهارة بوله وخرئه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وخصوصاً بوله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فی غیر المأکول بین أن یکون أصلیّاً کالسباع ونحوها، أو عارضیّاً </w:t>
      </w:r>
      <w:r>
        <w:rPr>
          <w:rStyle w:val="FootnoteAnchor"/>
          <w:rtl w:val="true"/>
        </w:rPr>
        <w:footnoteReference w:id="71"/>
      </w:r>
      <w:r>
        <w:rPr>
          <w:rFonts w:ascii="IRNazanin" w:hAnsi="IRNazanin" w:eastAsia="IRNazanin"/>
          <w:color w:val="111111"/>
          <w:sz w:val="28"/>
          <w:sz w:val="28"/>
          <w:szCs w:val="28"/>
          <w:rtl w:val="true"/>
          <w:lang w:bidi="fa-IR"/>
        </w:rPr>
        <w:t xml:space="preserve">کالجلاّل وموطوء </w:t>
      </w:r>
    </w:p>
    <w:p>
      <w:pPr>
        <w:pStyle w:val="BookText"/>
        <w:rPr/>
      </w:pPr>
      <w:r>
        <w:rPr>
          <w:rFonts w:ascii="IRNazanin" w:hAnsi="IRNazanin" w:eastAsia="IRNazanin"/>
          <w:color w:val="111111"/>
          <w:sz w:val="28"/>
          <w:sz w:val="28"/>
          <w:szCs w:val="28"/>
          <w:rtl w:val="true"/>
          <w:lang w:bidi="fa-IR"/>
        </w:rPr>
        <w:t>الإنسان</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فیه بین نفسه ونسله، کما لا فرق فی نسله بین الذکر والاُنثی، فعلی هذا یکون بول نسله وخرئه نجساً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البهائم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والغنم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الّذی شرب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النحو المستفاد من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الأطعمة المحرّمة، ح</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قوی واشتدّ، بل مطلقاً علی الأحوط، والأحوط الأولی الاجتناب عن بول وغائط کلّ حیوان ارتضع من حلیبه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 خنزیرة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اشتدّ لحمه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إشکال فیما رضع من لبنها رضاعاً یشتدّ به عظمه، وعلی الأحوط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بالارتضاع منها حتّی اشتدّ ونما، وبالاکتفاء بشربه مطلقاً وارتضاعه کذلک إشکال أحوطه الحرمة، والأحوط عدم اختصاص الحکم المزبور بخصوص الغنم، بل یعمّ الأنعام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قوی به واشتدّ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اشتدّ به لحمه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قوی به واشتدّ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اشتدّ به لحمه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اشتدّ عظمه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نبت لحمه واشتدّ عظمه به، ثمّ هل یلحق بالغنم غیره من الحیوانات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الروایة الواردة قیّدت باشتداد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مصدر الروایة فی الصفحة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مطلق الشرب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المحلّلة؟ 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قوی واشتدّ عظمه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اشتدّ ونما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حتّی اشتدّ عظمه، لا مطلق الشرب 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یسیراً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إذا اشتدّ لحمه به، وفی غیره لا یخلو من إشکال، والأحوط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الجَدی الّذی رضع منه حتّی اشتدّ لحمه وعظمه، ولا یُترک الاحتیاط بالاجتناب عن غیر الجدی أیضاً إذا کان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اشتداد لحمه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3273_134847"/>
    </w:p>
    <w:p>
      <w:pPr>
        <w:pStyle w:val="Heading3"/>
        <w:numPr>
          <w:ilvl w:val="2"/>
          <w:numId w:val="1"/>
        </w:numPr>
        <w:rPr/>
      </w:pPr>
      <w:bookmarkStart w:id="69" w:name="__RefHeading___Toc1666394_2322387425"/>
      <w:bookmarkStart w:id="70" w:name="_Toc25"/>
      <w:bookmarkEnd w:id="68"/>
      <w:bookmarkEnd w:id="69"/>
      <w:r>
        <w:rPr>
          <w:rtl w:val="true"/>
        </w:rPr>
        <w:t>بول و غائط ما یؤکل لحمه</w:t>
      </w:r>
      <w:bookmarkEnd w:id="70"/>
    </w:p>
    <w:p>
      <w:pPr>
        <w:pStyle w:val="BookText"/>
        <w:rPr/>
      </w:pPr>
      <w:r>
        <w:rPr>
          <w:rFonts w:ascii="IRNazanin" w:hAnsi="IRNazanin" w:eastAsia="IRNazanin"/>
          <w:color w:val="111111"/>
          <w:sz w:val="28"/>
          <w:sz w:val="28"/>
          <w:szCs w:val="28"/>
          <w:rtl w:val="true"/>
          <w:lang w:bidi="fa-IR"/>
        </w:rPr>
        <w:t>وأمّا البول والغائط من حلال اللحم فطاهر، حتّی الحمار والبغل والخیل، وکذا من حرام اللحم</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بوله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والاجتناب أولی، لا سیّما من بوله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النجاسة، إلاّ فیما لا یکون له 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فیما لا یعتدّ بلحمه فلا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الحکم بالنسبة إلی بوله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لیس له</w:t>
      </w:r>
      <w:bookmarkStart w:id="71" w:name="pg13273_134848"/>
    </w:p>
    <w:p>
      <w:pPr>
        <w:pStyle w:val="BookText"/>
        <w:rPr/>
      </w:pPr>
      <w:bookmarkEnd w:id="71"/>
      <w:r>
        <w:rPr>
          <w:rFonts w:ascii="IRNazanin" w:hAnsi="IRNazanin" w:eastAsia="IRNazanin"/>
          <w:color w:val="111111"/>
          <w:sz w:val="28"/>
          <w:sz w:val="28"/>
          <w:szCs w:val="28"/>
          <w:rtl w:val="true"/>
          <w:lang w:bidi="fa-IR"/>
        </w:rPr>
        <w:t>دم سائل</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إلاّ فیما لیس له لحم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إلاّ فیما لیس له لحم کالذباب، وإن کانت الطهارة ـ خصوصاً بالنسبة إلی الخرء ـ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التجنّب من أخبثَی غیر ذی النفس، إن کان ذا لحم معتدّ به عرفاً دون ما لا لحم له، أو کان لکن لقلّته لا یعتدّ به کالذباب والزنابیر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نجاسة بوله، وفی نجاسة غائطه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الاجتناب من بوله إن لم یکن من الطیور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طهارة بول ما له لحم منه تأمّل 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بنجاسته إلاّ فیما لا یکون له لحم ـ لولا الاتفاق ـ لکان قریباً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بالاجتناب عن بوله إذا کان له بول وعدّذا لحم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72" w:name="__RefHeading___Toc1666396_2322387425"/>
      <w:bookmarkStart w:id="73" w:name="_Toc26"/>
      <w:bookmarkEnd w:id="72"/>
      <w:r>
        <w:rPr>
          <w:rtl w:val="true"/>
        </w:rPr>
        <w:t>فضلة مالا نفس له</w:t>
      </w:r>
      <w:bookmarkEnd w:id="73"/>
    </w:p>
    <w:p>
      <w:pPr>
        <w:pStyle w:val="BookText"/>
        <w:rPr/>
      </w:pPr>
      <w:r>
        <w:rPr>
          <w:rFonts w:ascii="IRNazanin" w:hAnsi="IRNazanin" w:eastAsia="IRNazanin"/>
          <w:color w:val="111111"/>
          <w:sz w:val="28"/>
          <w:sz w:val="28"/>
          <w:szCs w:val="28"/>
          <w:rtl w:val="true"/>
          <w:lang w:bidi="fa-IR"/>
        </w:rPr>
        <w:t>کالسمک</w:t>
      </w:r>
      <w:r>
        <w:rPr>
          <w:rStyle w:val="FootnoteAnchor"/>
          <w:rtl w:val="true"/>
        </w:rPr>
        <w:footnoteReference w:id="75"/>
      </w:r>
      <w:r>
        <w:rPr>
          <w:rFonts w:ascii="IRNazanin" w:hAnsi="IRNazanin" w:eastAsia="IRNazanin"/>
          <w:color w:val="111111"/>
          <w:sz w:val="28"/>
          <w:sz w:val="28"/>
          <w:szCs w:val="28"/>
          <w:rtl w:val="true"/>
          <w:lang w:bidi="fa-IR"/>
        </w:rPr>
        <w:t>المحرّم ونحوه</w:t>
      </w:r>
      <w:r>
        <w:rPr>
          <w:rFonts w:eastAsia="IRNazanin" w:cs="IRNazanin"/>
          <w:color w:val="111111"/>
          <w:sz w:val="28"/>
          <w:szCs w:val="28"/>
          <w:rtl w:val="true"/>
          <w:lang w:bidi="fa-IR"/>
        </w:rPr>
        <w:t>.</w:t>
      </w:r>
    </w:p>
    <w:p>
      <w:pPr>
        <w:pStyle w:val="Heading3"/>
        <w:numPr>
          <w:ilvl w:val="2"/>
          <w:numId w:val="1"/>
        </w:numPr>
        <w:rPr/>
      </w:pPr>
      <w:bookmarkStart w:id="74" w:name="__RefHeading___Toc1666398_2322387425"/>
      <w:bookmarkStart w:id="75" w:name="_Toc27"/>
      <w:bookmarkEnd w:id="74"/>
      <w:r>
        <w:rPr>
          <w:rtl w:val="true"/>
        </w:rPr>
        <w:t>ملاقاة النجاسة فی الباطن</w:t>
      </w:r>
      <w:bookmarkEnd w:id="7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الغائط</w:t>
      </w:r>
      <w:r>
        <w:rPr>
          <w:rStyle w:val="FootnoteAnchor"/>
          <w:rtl w:val="true"/>
        </w:rPr>
        <w:footnoteReference w:id="76"/>
      </w:r>
      <w:r>
        <w:rPr>
          <w:rFonts w:ascii="IRNazanin" w:hAnsi="IRNazanin" w:eastAsia="IRNazanin"/>
          <w:color w:val="111111"/>
          <w:sz w:val="28"/>
          <w:sz w:val="28"/>
          <w:szCs w:val="28"/>
          <w:rtl w:val="true"/>
          <w:lang w:bidi="fa-IR"/>
        </w:rPr>
        <w:t xml:space="preserve">فی الباطن لا توجب </w:t>
      </w:r>
    </w:p>
    <w:p>
      <w:pPr>
        <w:pStyle w:val="BookText"/>
        <w:rPr/>
      </w:pPr>
      <w:r>
        <w:rPr>
          <w:rFonts w:ascii="Amiri" w:hAnsi="Amiri" w:eastAsia="Amiri" w:cs="Amiri"/>
          <w:color w:val="111111"/>
          <w:sz w:val="28"/>
          <w:sz w:val="28"/>
          <w:szCs w:val="28"/>
          <w:rtl w:val="true"/>
          <w:lang w:bidi="ar-SA"/>
        </w:rPr>
        <w:t>النجاسة</w:t>
      </w:r>
      <w:r>
        <w:rPr>
          <w:rStyle w:val="FootnoteAnchor"/>
          <w:rtl w:val="true"/>
        </w:rPr>
        <w:footnoteReference w:id="77"/>
      </w:r>
      <w:r>
        <w:rPr>
          <w:rFonts w:ascii="IRNazanin" w:hAnsi="IRNazanin" w:eastAsia="IRNazanin"/>
          <w:color w:val="111111"/>
          <w:sz w:val="28"/>
          <w:sz w:val="28"/>
          <w:szCs w:val="28"/>
          <w:rtl w:val="true"/>
          <w:lang w:bidi="fa-IR"/>
        </w:rPr>
        <w:t>، کالنوی الخارج</w:t>
      </w:r>
      <w:r>
        <w:rPr>
          <w:rStyle w:val="FootnoteAnchor"/>
          <w:rtl w:val="true"/>
        </w:rPr>
        <w:footnoteReference w:id="78"/>
      </w:r>
      <w:r>
        <w:rPr>
          <w:rFonts w:ascii="IRNazanin" w:hAnsi="IRNazanin" w:eastAsia="IRNazanin"/>
          <w:color w:val="111111"/>
          <w:sz w:val="28"/>
          <w:sz w:val="28"/>
          <w:szCs w:val="28"/>
          <w:rtl w:val="true"/>
          <w:lang w:bidi="fa-IR"/>
        </w:rPr>
        <w:t>من الإنسان</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بینه وبین شیشة الاحتقان، والأحوط الاجتناب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الدود الخارج منه إذا لم یکن معه شیء من الغائط، وإن کان ملاقیاً له فی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أدخل من الخارج شیئاً فلاقی الغائط فی الباطن کشیشة الاحتقان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قنینة الاحتقان، وتسمّی المِحقَنة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ملاقاتها له</w:t>
      </w:r>
      <w:r>
        <w:rPr>
          <w:rStyle w:val="FootnoteAnchor"/>
          <w:rtl w:val="true"/>
        </w:rPr>
        <w:footnoteReference w:id="80"/>
      </w:r>
      <w:r>
        <w:rPr>
          <w:rFonts w:ascii="IRNazanin" w:hAnsi="IRNazanin" w:eastAsia="IRNazanin"/>
          <w:color w:val="111111"/>
          <w:sz w:val="28"/>
          <w:sz w:val="28"/>
          <w:szCs w:val="28"/>
          <w:rtl w:val="true"/>
          <w:lang w:bidi="fa-IR"/>
        </w:rPr>
        <w:t>، فالأحوط</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الاجتناب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الأقوی أ نّه کالأوّل، ولا فرق فی الطهارة بین أن یکون الملاقی من الداخل کالدود، أو من الخارج کالنوی وشیشة الاحتقان، ولکنّ الأحوط الاجتناب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التنجّس بملاقاة النجاسة فی البواطن المحضة مطلقاً، ثمّ فی باطن السرّة والفم والأنف والاُذن والعین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الحکم بالطهارة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الطهارة فیه، ولم یظهر الفرق بینه وبین النوی الّذی ذکره فی صدر المسألة، ویحتمل ذلک أیضاً فیما لو دخل النجس والطاهر إلی الداخل فتلاقیا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التنجّس بملاقاة الباطن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طهارة مثل شیشة الاحتقان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عدمه فیما ذکر، وأشباهه ممّا لیس بمثابة الظاهر مرئیاً من الخارج کالدم بین الأسنان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شیشة الاحتقان والنوی، والأقوی أنّ الملاقاة فی الباطن لا توجب النجاسة مطلقاً، نعم ربّما یستشکل فی بعض الموارد أ نّها من الباطن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الفرق بینه وبین 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طهارته، ولم یظهر الفرق بینه وبین النوی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التنجّس فی الباطن المحض مطلقاً، نعم فی الباطن المحس بالظاهر کباطن السرّة والفم والأنف والاُذن إشکال، فلا یُترک الاحتیاط بالاجتناب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أنّ الملاقاة فی الباطن توجب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التنجّس بملاقاة النجاسة فی 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عدم الفرق بین النوی وشیشة الاحتقان، وقد مرّ أنّ الملاقاة فی الباطن لا توجب النجاسة مطلقاً، نعم الإشکال فی بعض الموارد من حیث المصداق وأ نّه من البواطن، أو کباطن العین والسرّة والاُذن والفم مثلاً، فمقتضی الدلیل ـ وهو قاعدة الطهارة واستصحابها ـ عدم الاجتناب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وأمّا إذا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3273_134851"/>
      <w:bookmarkStart w:id="77" w:name="pg13273_134851"/>
      <w:bookmarkEnd w:id="77"/>
    </w:p>
    <w:p>
      <w:pPr>
        <w:pStyle w:val="BookText"/>
        <w:rPr/>
      </w:pPr>
      <w:bookmarkStart w:id="78" w:name="pg13273_134851"/>
      <w:bookmarkEnd w:id="78"/>
      <w:r>
        <w:rPr>
          <w:rFonts w:ascii="IRNazanin" w:hAnsi="IRNazanin" w:eastAsia="IRNazanin"/>
          <w:color w:val="111111"/>
          <w:sz w:val="28"/>
          <w:sz w:val="28"/>
          <w:szCs w:val="28"/>
          <w:rtl w:val="true"/>
          <w:lang w:bidi="fa-IR"/>
        </w:rPr>
        <w:t>شکّ فی ملاقاته فلا یحکم علیه بالنجاسة، فلو خرج ماء الاحتقان ولم یعلم خلطه بالغائط ولا ملاقاته له</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مع الملاقاة إذا لم یکن فیه شیء من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بنجاسته</w:t>
      </w:r>
      <w:r>
        <w:rPr>
          <w:rFonts w:eastAsia="IRNazanin" w:cs="IRNazanin"/>
          <w:color w:val="111111"/>
          <w:sz w:val="28"/>
          <w:szCs w:val="28"/>
          <w:rtl w:val="true"/>
          <w:lang w:bidi="fa-IR"/>
        </w:rPr>
        <w:t>.</w:t>
      </w:r>
    </w:p>
    <w:p>
      <w:pPr>
        <w:pStyle w:val="Heading3"/>
        <w:numPr>
          <w:ilvl w:val="2"/>
          <w:numId w:val="1"/>
        </w:numPr>
        <w:rPr/>
      </w:pPr>
      <w:bookmarkStart w:id="79" w:name="__RefHeading___Toc1666400_2322387425"/>
      <w:bookmarkStart w:id="80" w:name="_Toc28"/>
      <w:bookmarkEnd w:id="79"/>
      <w:r>
        <w:rPr>
          <w:rtl w:val="true"/>
        </w:rPr>
        <w:t>بیع البول والغائط</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بیع البول</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فرض لهما نفع عقلائی معتدّ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بیع الأبوال مطلقاً إشکال إذا لم یکن لها منفعة مقصودة عقلائیّة غیر الشرب، وأمّا إذا کان لها منفعة مقصودة عقلائیّة غیر شربها فالظاهر جواز بیعها مطلقاً ولو کانت من غیر المأکول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إطلاقه ممنوع، بل إذا کان ذا نفع مقصود للعقلاء موجب لکونه مالاً عند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فیه منفعة محلّلة معتدّ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مالاً عرفاً بلحاظ المنفعة المحلّلة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المنفعة العقلائیّة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بیع بول ما عدا الإبل من مأکول اللحم محلّ إشکال؛ لعدم المنفعة المحلّلة المقصودة للعقلاء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لها منفعة محلّلة مقصودة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فرض له منفعة محلّلة موجبة لکونه 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ترتّب المنافع المحلّلة المقصودة المعتدّة العقلائیّة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 الأبوال مطلقاً محلّ إشکال؛ لعدم منفعة محلّلة معتدّ بها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بیع البول الطاهر یتوقّف علی وجود منفعة له عند العقلاء توجب کونه مالاً فی العرف، وهی غیر موجودة، فالأقوی عدم جواز بیعه، أمّا الغائط الطاهر فلا مانع من بیعه؛ لوجود المنفعة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والغائط</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بیع الأبوال مطلقاً إشکال إذا لم یکن لها منفعة مقصودة عقلائیّة غیر الشرب، وإلاّ فالظاهر جواز بیعها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بیع البول والغائط من مأکول اللحم وغیره إذا کان لهما منفعة مقصودة عقلائیّة، وإلاّ فلا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مأکول اللحم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لها منفعة محلّلة یحیث تُعدّ مالاً فی نظر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أمّا بیعهما غیر المأکول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مبنی علی الاحتیاط، لا سّیما فیما لیس له نفس سائلة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جوازه بشرط ترتّب منفعة محلّلة معتدّة عقلائیّة علیهما، و الوجوه التی تمسّک بها لعدم الجواز من روایة التحف، و خبر رسالة المحکم و المتشابه والدّعائم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و رسالة المحکم و المتشابه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و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لضعف الصدور بالإرسال و الدلالة بالإجمال غیر متوجّهة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والاتّفاق المتراءی أو المدّعی لیس بالإجماع المصطلح؛ لظهور استناد المتّفقین إلی ما أشرنا إلیه من المدارک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الغرض العقلائی المعتدّ به، و أمّا معه و عدم نهی الشارع عن ذلک الغرض بالخصوص فالأقوی الجواز؛ و إن کان الأحوط المنع منه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 ثمّ انّه تقدّم أنّ فضلة الطیور المحرمة طاهرة، فلا مانع من بیعها إذا وجدت لها المنفعة المقصودة، کفضلة الخفّاش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طاهراً کفضلات الاسماک فالظاهر جواز بیعها، و إن کان نجساً فإن تعلّقت الأغراض العقلائیّة ببیعها فلا یبعد الجواز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 إن کان الأظهر الجواز إذا کان مالاً عرفاً بلحاظ المنفعة المحلّلة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له غرض عقلائی، و أمّا إذا کان الغرض الصحیح العقلائی غیر النادر و عدم وجود النهی من الشارع عن هذا الغرض فلا مانع من بیعه، و لا فرق فی هذا الحکم بین کونهما نجسین أو طاهرین، کفضلات الطیور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جوازه لا یخلو من وجه إذا کانت لها منفعة محلّلة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لهما منفعة مقصودة عقلائیّة غیر محرّمة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3273_134853"/>
    </w:p>
    <w:p>
      <w:pPr>
        <w:pStyle w:val="Heading3"/>
        <w:numPr>
          <w:ilvl w:val="2"/>
          <w:numId w:val="1"/>
        </w:numPr>
        <w:rPr/>
      </w:pPr>
      <w:bookmarkStart w:id="82" w:name="__RefHeading___Toc1666402_2322387425"/>
      <w:bookmarkStart w:id="83" w:name="_Toc29"/>
      <w:bookmarkEnd w:id="81"/>
      <w:bookmarkEnd w:id="82"/>
      <w:r>
        <w:rPr>
          <w:rtl w:val="true"/>
        </w:rPr>
        <w:t>الانتفاع بالبول والغائط</w:t>
      </w:r>
      <w:bookmarkEnd w:id="8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w:t>
      </w:r>
      <w:r>
        <w:rPr>
          <w:rStyle w:val="FootnoteAnchor"/>
          <w:rtl w:val="true"/>
        </w:rPr>
        <w:footnoteReference w:id="85"/>
      </w:r>
      <w:r>
        <w:rPr>
          <w:rFonts w:ascii="IRNazanin" w:hAnsi="IRNazanin" w:eastAsia="IRNazanin"/>
          <w:color w:val="111111"/>
          <w:sz w:val="28"/>
          <w:sz w:val="28"/>
          <w:szCs w:val="28"/>
          <w:rtl w:val="true"/>
          <w:lang w:bidi="fa-IR"/>
        </w:rPr>
        <w:t>الانتفاع بهما فی التسمید ونحوه</w:t>
      </w:r>
      <w:r>
        <w:rPr>
          <w:rFonts w:eastAsia="IRNazanin" w:cs="IRNazanin"/>
          <w:color w:val="111111"/>
          <w:sz w:val="28"/>
          <w:szCs w:val="28"/>
          <w:rtl w:val="true"/>
          <w:lang w:bidi="fa-IR"/>
        </w:rPr>
        <w:t xml:space="preserve">. </w:t>
      </w:r>
      <w:bookmarkStart w:id="84" w:name="pg13273_134854"/>
    </w:p>
    <w:p>
      <w:pPr>
        <w:pStyle w:val="Heading3"/>
        <w:numPr>
          <w:ilvl w:val="2"/>
          <w:numId w:val="1"/>
        </w:numPr>
        <w:rPr/>
      </w:pPr>
      <w:bookmarkStart w:id="85" w:name="__RefHeading___Toc1666404_2322387425"/>
      <w:bookmarkStart w:id="86" w:name="_Toc30"/>
      <w:bookmarkEnd w:id="84"/>
      <w:bookmarkEnd w:id="85"/>
      <w:r>
        <w:rPr>
          <w:rtl w:val="true"/>
        </w:rPr>
        <w:t>البول والغائط من الحیوان المشکوک</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الشبهات الموضوعیّة مطلقاً الأحوط وجوباً الفحص، ثمّ إجراء الاُصول بعد عدم الظفر بالمعیّن لأحد أطراف الشکّ إلاّ فی محتمل التنجّس، فإنّه یجری أصل الطهارة فیه بلا حاجة إلی الفحص،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حیوان معیّن أنّه مأکول اللحم أو لا، لا یحکم بنجاسة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مطلقاً إذا کانت الشبهة موضوعیّة، ولخصوص المجتهد بعد الفحص فی الشبهة الحکمیّة، وأمّا العامّی یجب علیه الاحتیاط فیها أو الرجوع إلی مجتهده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لأصالة الطهارة الجاریة فی الشبهات الحکمیّة بعد الفحص عن الدلیل، وفی الموضوعیّة بدون الفحص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بوله وروثه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الشبهة الموضوعیّة، وأمّا فی غیرها فلا محیص للعامّی إلاّ الاجتناب أو الرجوع إلی من یقلِّده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کانت الشبهة موضوعیّة، سواء کان الحیوان المشکوک مردّداً بین مأکول اللحم ومحرّمه وبین کونه نجس العین أو طاهر العین، وأمّا باقی الشبهة الحکمیّة فیجب علی العامّی الاحتیاط أو الرجوع إلی مجتهده، وأمّا المجتهد فبعد استقرار الشکّ یعتنی بالطهارة لأصالتها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 حالٍ کلّ حیوان جرت أصالة الحلّیة فی لحمه، یکون بوله وروثه طاهراً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الشبهة الموضوعیّة، وکذا فی الحکمیّة بعد الفحص للفقیه ومن یرجع إلیه، وإلاّ فاللازم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p>
    <w:p>
      <w:pPr>
        <w:pStyle w:val="BookText"/>
        <w:rPr/>
      </w:pPr>
      <w:r>
        <w:rPr>
          <w:rFonts w:ascii="IRNazanin" w:hAnsi="IRNazanin" w:eastAsia="IRNazanin"/>
          <w:color w:val="111111"/>
          <w:sz w:val="28"/>
          <w:sz w:val="28"/>
          <w:szCs w:val="28"/>
          <w:rtl w:val="true"/>
          <w:lang w:bidi="fa-IR"/>
        </w:rPr>
        <w:t>لا یجوز</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یعلم بقبوله للتذکیة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لو تردّد بین محلَّل الأکل وبین محرَّمه الغیر القابل للتذکیة، وأمّا لو أحرز قبوله للتذکیة فلا إشکال فی جواز الأکل إلاّ علی بعض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یعلم بقبوله للتذکیة، وإلاّ فالظاهر جواز الأکل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إلاّ إذا علم قبوله التذکیة فإنّه یجوز أکله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الجواز، خصوصاً مع العلم بقابلیّـته للتذکیة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أکل لحمه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قابلیّـته للتذکیة من جهة أصالة عدمها، وأمّا مع العلم بها فلا بأس بأکله؛ لأصالة الحلّ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لو شکّ فی قبوله للتذکیة، وأمّا لو علم بقبوله لها فلا وجه؛ لعدم جواز أکل لحمه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إطلاقه ممنوع أیضاً، بل إذا کان مردّداً بین کونه مأکول اللحم وکونه محرّم اللحم مع عدم إحراز قبوله للتذکیة، وأمّا مع إحراز ذلک علی کلّ تقدیر، فالظاهر جواز أکل لحمه بعد تذکیته بمقتضی الأصل الحکمی لعدم الموضوعی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إحراز قبوله التذکیة، وإلاّ فیجوز أکله أیضاً ولو فی الشبهة الحکمیّة بعد الفحص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أکل لحمه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لو تردّد بین ما یحلّ أکله وبین ما لا یقبل التذکیة من محرّم الأکل، وأمّا إذا علم قبوله للتذکیة علی کلّ تقدیر فالظاهر جواز أکله بعد التذکیة، وإن کانت الشبهة حکمیّة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أحرز کون الحیوان قابلاً للتذکیة فحرمة أکله بعد الذبح الشرعی ممنوع؛ لأنّ المانع من أصالة الإباحة ـ وهی الأصل الحکمی ـ أصالة عدم التذکیة، وهی الأصل الموضوعی، وهی غیر جاریة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یحرز قابلیته للتذکیة علی کلّ تقدیر، وإلاّ فالأقوی الحکم بالحلّیة فی الشبهة الموضوعیّة مطلقاً، وفی الشبهة الحکمیّة یکون مثل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الأصل غیر أصیل، بل مقتضی الأصل جواز أکل لحمه إذا فرض کون الحیوان ممّا یقبل التذکیة، من غیر فرق بین کون الشبهة حکمیّة أو موضوعیّة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حلّیة الأکل مع العلم بقابلیّـته للتذکیة، ومع الشکّ فیها لا یُترک الاحتیاط، وإن کانت الحلّیة لا تخلو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إذا شکّ فی قبول تذکیته أیضاً، وإلاّ فیحلّ لحمه أیضاً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الشبهة الحکمیّة یحتاط العامّی أو یرجع إلی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یعلم بأنّ ذلک الحیوان ممّا تقع علیه التذکیة ویشکّ فی کون لحمه حراماً أو حلالاً، والأقوی جواز أکل لحمه بعد أن یذکّی، سواء کانت الشبهة فیه حکمیّة أم موضوعیّة، وقد یدور الأمر فی الحیوان بین کونه حلال اللحم وکونه ممّا لا یقبل التذکیة، والظاهر جواز أکل لحمه کذلک إذا کان ممّا یقبل التذکیة فی نظر أهل العرف، سواء کانت الشبهة فیه حکمیّة أم موضوعیّة، وإذا شکّ أهل العرف فی قبوله للتذکیة کما هو مشکوک شرعاً فالظاهر حرمة أکله، سواء کانت الشبهة فیه حکمیّة أم موضوعیّة، وفی جمیع هذه الصور لا یحکم بنجاسة بول الحیوان ولا روثه، نعم یتخیّر العامّی إذا کانت الشبهة حکمیّة بین أن یحتاط فیجتنب فی اللحم وفی البول والروث وبین أن یرجع إلی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یجوز مطلقاً، ولکن بعد الفحص فی الشبهة الحکمیّة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بمقتضی الأصل</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مانع من أکل لحمه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مقتضی الأصل الجواز إذا کان ممّا یقبل التذکیة وشکّ فی حلّیة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مقتضی الأصل جواز أکل لحمه، إلاّ إذا رجع الشکّ إلی قبوله للتذکیة، وقیل بعدم کفایة أصالة الحلّیة فی 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الشکّ فی حلّیة الحیوان ملازماً للشکّ فی قبوله للتذکیة أیضاً هو الأحوط، کما لو تردّد بین ما یحلّ أکله وبین ما لا یقبل التذکیة من المحرّم، أمّا إذا علم قبوله لها علی کلّ تقدیر، فالظاهر جواز أکله بعد التذکیة وإن کانت الشبهة حکمیّة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تردّد بین ما یحلّ أکله وبین ما لا یقبل التذکیة من غیر المأکول، وإلاّ فمقتضی الأصل هو جواز أکله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الشبهة الموضوعیّة، وکذا ما قبله، أمّا الحکمیّة فاللازم فیها علی العامّی الاحتیاط بالبناء علی النجاسة فی الأوّل والحرمة فی الثانی، أو الرجوع إلی المجتهد، وأمّا المجتهد فبعد استقرار الشکّ یفتی بالطهارة فی الأوّل، وبالحلّ فی الثانی إذا علم قبوله للتذکیة، وبالحرمة إذا لم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بمقتضی الأصل، إلاّ إذا لم یعلم قبوله للتذکیة، نعم یحتاط العامّی إن کانت الشبهة حکمیّة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الشکّ فی قبول الحیوان للتذکیّة، حکمیّة کانت أم موضوعیّة ـ لأ نّه بعد التنویع الشرعی المناسب للمقام والمستفاد من الجمع بین الأدلّة ـ لابدّ من إحراز کون الحیوان من النوع الّذی جعله الشارع موضوعاً للتذکیة، نعم إذا کان الشکّ فی حلّ أکله وحرمته محضاً تجری أصالة الحلّ، هذا بحسب طبع المسألة، وأمّا العامّی فعلیه الرجوع إلی مجتهده فی الشبهة الحکمیّة أو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استصحاب الحرمة حال الحیاة، أو أصالة عدم التذکیة أو أصالة الحرمة فی اللحوم، ونحوها، وهناک اُصول ادُّعیت وتَمَسَّکَ بکلّ واحد فریق، کأصالة قابلیة کلّ حیوان للتذکیة إلاّ ما خرج، کما یُتراءی ذلک من کلام غارس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eastAsia="IRNazanin" w:cs="IRNazanin"/>
          <w:color w:val="111111"/>
          <w:sz w:val="28"/>
          <w:szCs w:val="28"/>
          <w:lang w:bidi="fa-IR"/>
        </w:rPr>
        <w:t>5/522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وللکلام فی هذه الاُصول تفصیل لا یسعه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أصل فی المقام یقتضی الحرمة، أمّا مع العلم بقبول الحیوان للتذکیة فالأمر ظاهر، وأمّا مع الشکّ فیه فلأنّ المرجَع حینئذٍ هو عموم ما دلّ علی قبول کلّ حیوان للتذکیة إذا کانت الشبهة حکمیّة، واستصحاب عدم کون الحیوان المشکوک فیه من العناوین الخارجة إذا کانت الشبهة موضوعیّة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الشکّ فی حلّیة الحیوان ملازماً للشکّ فی قبوله للتذکیة، کما إذا تردّد الحیوان بین ما یحلّ أکله وبین ما لا یقبلها ممّا یحرم أکله، وأمّا إذا علم قبوله للتذکیة علی تقدیر فالظاهر جواز أکله بعد التذکیة وإن کانت الشبهة حکمیّة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 یقتضی الحلّیة، فإنّ مقتضی استصحاب العدم الأزلی عدم کون الحیوان داخلاً فیما لا یقبل التذکیة، کما أنّ أصالة الحلّ تقتضی حلّیة الأکل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لو شکّ فی قبوله التذکیة من غیر جهة احتمال عروض المانع، وإلاّ فالأصل یقتضی جواز أکل لحمه، بل لایبعد الجواز فی الشبهة الموضوعیّة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کانت الشبهة موضوعیّة وعلم أ نّه ممّا یقبل التذکیة فبعد تذکیته فمقتضی الأصل الحکم بجواز أکله؛ لعدم الموضوع، وإن کانت الشبهة حکمیّة فإن علم أ نّه قابل للتذکیة أو یشکّ بناءً علی أنّ کلّ حیوان قابل للتذکیة إلاّ الکلب والخنزیر والإنسان ـ کما حکی عن جماعة عدم الخلاف فیه ـ فالأصل أیضاً یقتضی جواز أکله بعد التذکیة، وإلاّ فلا یجوز، وقد مرّ أنّ العامّی فی هذه المسألة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الاحتیاط أو إلی من یقلِّده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إذا لم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یعلم</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دار الأمر بین کون المشکوک خرء حیوان غیر مأکول ذی نفس، وبین کونه غیر خرء بل عصارة نبات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دماً سائلاً أم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 نّه إذا شکّ فی شیء أ نّه من فضلة حلال اللحم أو حرامه، أو شکّ فی أ نّه من الحیوان الفلانی حتّی یکون نجساً، أو من الفلانی حتّی یکون طاهراً، کما إذا رأی شیئاً لا یدری أ نّه بعرة فأر أو بعرة خنفساء، ففی جمیع هذه الصور</w:t>
      </w:r>
      <w:r>
        <w:rPr>
          <w:rStyle w:val="FootnoteAnchor"/>
          <w:rtl w:val="true"/>
        </w:rPr>
        <w:footnoteReference w:id="90"/>
      </w:r>
      <w:r>
        <w:rPr>
          <w:rFonts w:ascii="IRNazanin" w:hAnsi="IRNazanin" w:eastAsia="IRNazanin"/>
          <w:color w:val="111111"/>
          <w:sz w:val="28"/>
          <w:sz w:val="28"/>
          <w:szCs w:val="28"/>
          <w:rtl w:val="true"/>
          <w:lang w:bidi="fa-IR"/>
        </w:rPr>
        <w:t>یبنی علی طهارته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بنجاسة فضلة الحیّة</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طهارتها، وأمّا فی بولها فقد مرّ منّا عدم اعتبار السیلان فی نجاسته، فعموم نجاسة البول الشامل لبول کلّ غیر المأکول من ذات اللحم یفید أنّه نجسٌ إلاّ الطیور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w:t>
      </w:r>
    </w:p>
    <w:p>
      <w:pPr>
        <w:pStyle w:val="BookText"/>
        <w:rPr/>
      </w:pPr>
      <w:r>
        <w:rPr>
          <w:rFonts w:ascii="IRNazanin" w:hAnsi="IRNazanin" w:eastAsia="IRNazanin"/>
          <w:color w:val="111111"/>
          <w:sz w:val="28"/>
          <w:sz w:val="28"/>
          <w:szCs w:val="28"/>
          <w:rtl w:val="true"/>
          <w:lang w:bidi="fa-IR"/>
        </w:rPr>
        <w:t>العلم</w:t>
      </w:r>
      <w:r>
        <w:rPr>
          <w:rStyle w:val="FootnoteAnchor"/>
          <w:rtl w:val="true"/>
        </w:rPr>
        <w:footnoteReference w:id="92"/>
      </w:r>
      <w:r>
        <w:rPr>
          <w:rFonts w:ascii="IRNazanin" w:hAnsi="IRNazanin" w:eastAsia="IRNazanin"/>
          <w:color w:val="111111"/>
          <w:sz w:val="28"/>
          <w:sz w:val="28"/>
          <w:szCs w:val="28"/>
          <w:rtl w:val="true"/>
          <w:lang w:bidi="fa-IR"/>
        </w:rPr>
        <w:t>بأنّ دمها سائل، نعم حُکی عن بعض السادة</w:t>
      </w:r>
      <w:r>
        <w:rPr>
          <w:rStyle w:val="FootnoteAnchor"/>
          <w:rtl w:val="true"/>
        </w:rPr>
        <w:footnoteReference w:id="93"/>
      </w:r>
      <w:r>
        <w:rPr>
          <w:rFonts w:ascii="IRNazanin" w:hAnsi="IRNazanin" w:eastAsia="IRNazanin"/>
          <w:color w:val="111111"/>
          <w:sz w:val="28"/>
          <w:sz w:val="28"/>
          <w:szCs w:val="28"/>
          <w:rtl w:val="true"/>
          <w:lang w:bidi="fa-IR"/>
        </w:rPr>
        <w:t>أنّ دمها سائل، ویمکن اختلاف الحیّات</w:t>
      </w:r>
      <w:r>
        <w:rPr>
          <w:rStyle w:val="FootnoteAnchor"/>
          <w:rtl w:val="true"/>
        </w:rPr>
        <w:footnoteReference w:id="94"/>
      </w:r>
      <w:r>
        <w:rPr>
          <w:rFonts w:ascii="IRNazanin" w:hAnsi="IRNazanin" w:eastAsia="IRNazanin"/>
          <w:color w:val="111111"/>
          <w:sz w:val="28"/>
          <w:sz w:val="28"/>
          <w:szCs w:val="28"/>
          <w:rtl w:val="true"/>
          <w:lang w:bidi="fa-IR"/>
        </w:rPr>
        <w:t>فی ذلک، وکذا لا یحکم بنجاسة فضلة التمساح</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ادّعی بعض علماء معرفة الحیوان أنّ له نفساً سائلة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للشکّ المذکور، وإن حکی عن الشهید أنّ جمیع الحیوانات البحریّة لیس لها دم سائل إلاّ التمساح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لکنّه غیر معلوم، والکلّیة المذکورة أیضاً غیر معلومة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دعوی الرؤیة بوجود الدم السائل فیها وفی السمک، بل فی سائر الحیوان البحریّ غیر معهود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3273_134861"/>
    </w:p>
    <w:p>
      <w:pPr>
        <w:pStyle w:val="Heading3"/>
        <w:numPr>
          <w:ilvl w:val="2"/>
          <w:numId w:val="1"/>
        </w:numPr>
        <w:rPr/>
      </w:pPr>
      <w:bookmarkStart w:id="88" w:name="__RefHeading___Toc1666406_2322387425"/>
      <w:bookmarkStart w:id="89" w:name="_Toc31"/>
      <w:bookmarkEnd w:id="87"/>
      <w:bookmarkEnd w:id="88"/>
      <w:r>
        <w:rPr>
          <w:rtl w:val="true"/>
        </w:rPr>
        <w:t>الثالث</w:t>
      </w:r>
      <w:r>
        <w:rPr>
          <w:rtl w:val="true"/>
        </w:rPr>
        <w:t xml:space="preserve">: </w:t>
      </w:r>
      <w:r>
        <w:rPr>
          <w:rtl w:val="true"/>
        </w:rPr>
        <w:t>المنی</w:t>
      </w:r>
      <w:bookmarkEnd w:id="8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والبلل المشتبه الخارج قبل الاستبراء بحکم المنیّ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 حیوان له دم سائل، حراماً کان أو حلالاً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طهارة منیّ الحیوان الّذی یؤکل لحمه وجه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برّیّاً أو بحریّاً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المذی</w:t>
      </w:r>
      <w:r>
        <w:rPr>
          <w:rStyle w:val="FootnoteAnchor"/>
          <w:rtl w:val="true"/>
        </w:rPr>
        <w:footnoteReference w:id="97"/>
      </w:r>
      <w:r>
        <w:rPr>
          <w:rFonts w:ascii="IRNazanin" w:hAnsi="IRNazanin" w:eastAsia="IRNazanin"/>
          <w:color w:val="111111"/>
          <w:sz w:val="28"/>
          <w:sz w:val="28"/>
          <w:szCs w:val="28"/>
          <w:rtl w:val="true"/>
          <w:lang w:bidi="fa-IR"/>
        </w:rPr>
        <w:t>والوذی والودی فطاهر من کلّ حیوان إلاّ نجس العین، وکذا رطوبات الفرج والدبر ما عدا البول والغائط</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والدم والمنی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Heading3"/>
        <w:numPr>
          <w:ilvl w:val="2"/>
          <w:numId w:val="1"/>
        </w:numPr>
        <w:rPr/>
      </w:pPr>
      <w:bookmarkStart w:id="90" w:name="__RefHeading___Toc1666408_2322387425"/>
      <w:bookmarkStart w:id="91" w:name="_Toc32"/>
      <w:bookmarkEnd w:id="90"/>
      <w:r>
        <w:rPr>
          <w:rtl w:val="true"/>
        </w:rPr>
        <w:t>الرابع</w:t>
      </w:r>
      <w:r>
        <w:rPr>
          <w:rtl w:val="true"/>
        </w:rPr>
        <w:t xml:space="preserve">: </w:t>
      </w:r>
      <w:r>
        <w:rPr>
          <w:rtl w:val="true"/>
        </w:rPr>
        <w:t>المیتة</w:t>
      </w:r>
      <w:bookmarkEnd w:id="91"/>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المیتة من کلّ ما له دم سائل، حلالاً کان أو حراماً </w:t>
      </w:r>
      <w:r>
        <w:rPr>
          <w:rStyle w:val="FootnoteAnchor"/>
          <w:rtl w:val="true"/>
        </w:rPr>
        <w:footnoteReference w:id="99"/>
      </w:r>
      <w:r>
        <w:rPr>
          <w:rFonts w:ascii="IRNazanin" w:hAnsi="IRNazanin" w:eastAsia="IRNazanin"/>
          <w:color w:val="111111"/>
          <w:sz w:val="28"/>
          <w:sz w:val="28"/>
          <w:szCs w:val="28"/>
          <w:rtl w:val="true"/>
          <w:lang w:bidi="fa-IR"/>
        </w:rPr>
        <w:t>،</w:t>
      </w:r>
    </w:p>
    <w:p>
      <w:pPr>
        <w:pStyle w:val="Heading3"/>
        <w:numPr>
          <w:ilvl w:val="2"/>
          <w:numId w:val="1"/>
        </w:numPr>
        <w:rPr/>
      </w:pPr>
      <w:bookmarkStart w:id="92" w:name="__RefHeading___Toc1666410_2322387425"/>
      <w:bookmarkStart w:id="93" w:name="_Toc33"/>
      <w:bookmarkEnd w:id="92"/>
      <w:r>
        <w:rPr>
          <w:rtl w:val="true"/>
        </w:rPr>
        <w:t>الأجزاء المبانة من الحی</w:t>
      </w:r>
      <w:bookmarkEnd w:id="93"/>
    </w:p>
    <w:p>
      <w:pPr>
        <w:pStyle w:val="BookText"/>
        <w:rPr/>
      </w:pPr>
      <w:r>
        <w:rPr>
          <w:rFonts w:ascii="IRNazanin" w:hAnsi="IRNazanin" w:eastAsia="IRNazanin"/>
          <w:color w:val="111111"/>
          <w:sz w:val="28"/>
          <w:sz w:val="28"/>
          <w:szCs w:val="28"/>
          <w:rtl w:val="true"/>
          <w:lang w:bidi="fa-IR"/>
        </w:rPr>
        <w:t>وکذا أجزاوءها المبانة منها وإن کانت صغاراً، عدا ما لا تحلّه الحیاة</w:t>
      </w:r>
      <w:r>
        <w:rPr>
          <w:rStyle w:val="FootnoteAnchor"/>
          <w:rtl w:val="true"/>
        </w:rPr>
        <w:footnoteReference w:id="100"/>
      </w:r>
      <w:r>
        <w:rPr>
          <w:rFonts w:ascii="IRNazanin" w:hAnsi="IRNazanin" w:eastAsia="IRNazanin"/>
          <w:color w:val="111111"/>
          <w:sz w:val="28"/>
          <w:sz w:val="28"/>
          <w:szCs w:val="28"/>
          <w:rtl w:val="true"/>
          <w:lang w:bidi="fa-IR"/>
        </w:rPr>
        <w:t>منها، کالصوف، والشعر، والوبر، والعظم</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العظم ممّا فیه الروح قطعا ـ إن أراد روح الحیوان فهو غیر معلوم، ولو سلّم فهو مستثنیً فی بعض الروایات، وإن أراد روح النبات فهو غیر ضائر؛ لأنّ المراد من المیتة میتة الحیوان الّذی حلّ فیه الروح الحیوانی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والقرن، والمنقار، والظفر</w:t>
      </w:r>
    </w:p>
    <w:p>
      <w:pPr>
        <w:pStyle w:val="BookText"/>
        <w:rPr/>
      </w:pPr>
      <w:r>
        <w:rPr>
          <w:rFonts w:ascii="IRNazanin" w:hAnsi="IRNazanin" w:eastAsia="IRNazanin"/>
          <w:color w:val="111111"/>
          <w:sz w:val="28"/>
          <w:sz w:val="28"/>
          <w:szCs w:val="28"/>
          <w:rtl w:val="true"/>
          <w:lang w:bidi="fa-IR"/>
        </w:rPr>
        <w:t>والمخلب والریش، والظلف، والسنّ، والبیضة إذا اکتست</w:t>
      </w:r>
      <w:r>
        <w:rPr>
          <w:rStyle w:val="FootnoteAnchor"/>
          <w:rtl w:val="true"/>
        </w:rPr>
        <w:footnoteReference w:id="102"/>
      </w:r>
      <w:r>
        <w:rPr>
          <w:rFonts w:ascii="IRNazanin" w:hAnsi="IRNazanin" w:eastAsia="IRNazanin"/>
          <w:color w:val="111111"/>
          <w:sz w:val="28"/>
          <w:sz w:val="28"/>
          <w:szCs w:val="28"/>
          <w:rtl w:val="true"/>
          <w:lang w:bidi="fa-IR"/>
        </w:rPr>
        <w:t>القشر الأعلی</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صلباً أو 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کانت من الحیوان الحلال أو الحرام، وسواء اُخذ ذلک بجزٍّ أو نتفٍ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غسل المنتوف من رطوبات المیتة</w:t>
      </w:r>
      <w:r>
        <w:rPr>
          <w:rStyle w:val="FootnoteAnchor"/>
          <w:rtl w:val="true"/>
        </w:rPr>
        <w:footnoteReference w:id="104"/>
      </w:r>
      <w:r>
        <w:rPr>
          <w:rFonts w:ascii="IRNazanin" w:hAnsi="IRNazanin" w:eastAsia="IRNazanin"/>
          <w:color w:val="111111"/>
          <w:sz w:val="28"/>
          <w:sz w:val="28"/>
          <w:szCs w:val="28"/>
          <w:rtl w:val="true"/>
          <w:lang w:bidi="fa-IR"/>
        </w:rPr>
        <w:t>، ویلحق بالمذکورات الأنفحة</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فیه علی المظروف، وهو الشیء الأصفر الّذی یجعل فی الجبن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 المأکول، واختلفت کلمة اللغویین وأهل الأدب فی ضبط حرکات حروف هذه اللفظة، کما اختلفت فی معناها، وأ نّها المظروف أی اللبن المستحیل فی الکرش أو الظرف أو هما معاً، کما هو المظنون، والأحوط الاقتصار علی المظروف، والحکم بطهارة باطن الظرف والتجنّب عن ظاهره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الأنفحة عبارة عن الظروف ففی طهارتها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المظروف، والأحوط لو لم یکن هو الأقوی الاجتناب عن الظرف، هذا فی مأکول اللحم، وأمّا فی غیره فالأقوی نجاسة الظرف والمظروف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یطلق علی المظروف وهو الشیء الأصفر الّذی یجعل فی الجبن ویکون فی کرش الجدی والحمل قبل الأکل، ویقال له بالفارسی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مایه پنیر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أ نّه لا إشکال فی طهارته،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 نّه ممّا تحلّه الحیاة، أو ممّا فیه الروح، کما علیه البعض للروایات، وقد یطلق علی السطح الداخلی من وعاء ذلک السطح، وهو سطح الداخل، وهو الشیء الأصفر یجبن به أیضاً ـ کما علیه العرف ـ فهو أیضاً محکوم بالطهارة، وقد یطلق علی السطح الخارجی من الوعاء ولا یحصل منه الجبن، والظاهر أ نّه طاهر أیضاً، مضافاً إلی أنّ کونه ممّا تحلّه الحیاة الحیوانیّة غیر معلوم؛ لعموم الاستثناء فی بعض الأخبار،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الأنفحة مثل البیضة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الأطعمة المحرمة،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الأحوط الاجتناب؛ لعدم صدق الأنفحة علیه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یحکم بطهارة المظروف، وهو اللبن المنعقد فی بطن الجدی ونحوه قبل أن یأکل، وقد یطلق علیه اللباء، وأمّا الظرف فنجس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اللبن فی</w:t>
      </w:r>
    </w:p>
    <w:p>
      <w:pPr>
        <w:pStyle w:val="BookText"/>
        <w:rPr/>
      </w:pPr>
      <w:r>
        <w:rPr>
          <w:rFonts w:ascii="IRNazanin" w:hAnsi="IRNazanin" w:eastAsia="IRNazanin"/>
          <w:color w:val="111111"/>
          <w:sz w:val="28"/>
          <w:sz w:val="28"/>
          <w:szCs w:val="28"/>
          <w:rtl w:val="true"/>
          <w:lang w:bidi="fa-IR"/>
        </w:rPr>
        <w:t>الضرع</w:t>
      </w:r>
      <w:r>
        <w:rPr>
          <w:rStyle w:val="FootnoteAnchor"/>
          <w:rtl w:val="true"/>
        </w:rPr>
        <w:footnoteReference w:id="106"/>
      </w:r>
      <w:r>
        <w:rPr>
          <w:rFonts w:ascii="IRNazanin" w:hAnsi="IRNazanin" w:eastAsia="IRNazanin"/>
          <w:color w:val="111111"/>
          <w:sz w:val="28"/>
          <w:sz w:val="28"/>
          <w:szCs w:val="28"/>
          <w:rtl w:val="true"/>
          <w:lang w:bidi="fa-IR"/>
        </w:rPr>
        <w:t>، ولا ینجس</w:t>
      </w:r>
      <w:r>
        <w:rPr>
          <w:rStyle w:val="FootnoteAnchor"/>
          <w:rtl w:val="true"/>
        </w:rPr>
        <w:footnoteReference w:id="107"/>
      </w:r>
      <w:r>
        <w:rPr>
          <w:rFonts w:ascii="IRNazanin" w:hAnsi="IRNazanin" w:eastAsia="IRNazanin"/>
          <w:color w:val="111111"/>
          <w:sz w:val="28"/>
          <w:sz w:val="28"/>
          <w:szCs w:val="28"/>
          <w:rtl w:val="true"/>
          <w:lang w:bidi="fa-IR"/>
        </w:rPr>
        <w:t>بملاقاة الضرع النجس، لکنّ الأحوط</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الاحتیاط 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فی غیر المأکول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لا یخلو من قوّة فی غیر المأکول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مهدی الشیرازی، عبداللّه الشیرازی، المرعشی،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فی غیر المأکول الأقوی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 أمّا من غیر المأکول فالأقوی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غیر المأکول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لبن غیر المأکول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اللبن الاجتناب</w:t>
      </w:r>
      <w:r>
        <w:rPr>
          <w:rStyle w:val="FootnoteAnchor"/>
          <w:rtl w:val="true"/>
        </w:rPr>
        <w:footnoteReference w:id="109"/>
      </w:r>
      <w:r>
        <w:rPr>
          <w:rFonts w:ascii="IRNazanin" w:hAnsi="IRNazanin" w:eastAsia="IRNazanin"/>
          <w:color w:val="111111"/>
          <w:sz w:val="28"/>
          <w:sz w:val="28"/>
          <w:szCs w:val="28"/>
          <w:rtl w:val="true"/>
          <w:lang w:bidi="fa-IR"/>
        </w:rPr>
        <w:t>، خصوصاً إذا کان من غیر مأکول اللحم</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 فیه من جهة التشکیک فی أنّ المقام مقام الجمع بین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المحرّمة،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المختلفة بالحمل علی الکراهة، أو مقام التعارض من جهة اشتمال بعض النواهی علی نوع من التأکید فتُرجّح الناهیة؛ لموافقتها مع العمومات،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المیلانی، الخمینی، الآملی،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طهارة لبن غیر مأکول اللحم إذا کان میتةً إشکال قویّ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فیه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الاجتناب عن لبن غیر مأکول اللحم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ترک الاحتیاط فی غیر مأکول اللحم؛ لظهور النصّ الدالّ علی الطهارة فی مأکول اللحم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ولابدّ</w:t>
      </w:r>
      <w:r>
        <w:rPr>
          <w:rStyle w:val="FootnoteAnchor"/>
          <w:rtl w:val="true"/>
        </w:rPr>
        <w:footnoteReference w:id="111"/>
      </w:r>
      <w:r>
        <w:rPr>
          <w:rFonts w:ascii="Amiri" w:hAnsi="Amiri" w:eastAsia="Amiri" w:cs="Amiri"/>
          <w:color w:val="111111"/>
          <w:sz w:val="28"/>
          <w:sz w:val="28"/>
          <w:szCs w:val="28"/>
          <w:rtl w:val="true"/>
          <w:lang w:bidi="ar-SA"/>
        </w:rPr>
        <w:t>من غسل ظاهر الأنفحة</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الظرف لو قیل بطهارتها بالأصالة وتنجّسها بالعرض، وقد مرّ ما یتعلّق بالمقام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الملاقی للمیتة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یطهر ظاهر الأنفحة، أی الظرف بالغسل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منجمداً وقابلاً للتطهیر، وأمّا الشیء الأصفر المائع فإطلاق دلیل الطهارة علیه یشمل کلاً من الطهارة الذاتیّة والعرضیّة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هذا فی میتة غیر نجس العین، وأمّا فیها فلا یستثنی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الأجزاء المبانة من الحیّ</w:t>
      </w:r>
      <w:r>
        <w:rPr>
          <w:rStyle w:val="FootnoteAnchor"/>
          <w:rtl w:val="true"/>
        </w:rPr>
        <w:footnoteReference w:id="113"/>
      </w:r>
      <w:r>
        <w:rPr>
          <w:rFonts w:ascii="IRNazanin" w:hAnsi="IRNazanin" w:eastAsia="IRNazanin"/>
          <w:color w:val="111111"/>
          <w:sz w:val="28"/>
          <w:sz w:val="28"/>
          <w:szCs w:val="28"/>
          <w:rtl w:val="true"/>
          <w:lang w:bidi="fa-IR"/>
        </w:rPr>
        <w:t>ممّا تحلّه الحیاة، کالمبانة من المیتة، إلاّ الأجزاء الصغار</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إبانتها بسهولة وبلا ألم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 نّها لا تعدّ فی نظر العرف من أجزاء البدن، بل تشبه عندهم بأوساخه، وإن کانت بالنظر الدقیق من أجزائه فالاستثناء منقطع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طهارة بعض المذکورات إشکال؛ لعدم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المشتملة علی اللحم والشحم، ولا فرق فیما ذکر بین أجزاء الإنسان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 زالت عنها الحیاة وتنفصل بسهولة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94" w:name="pg13273_134866"/>
    </w:p>
    <w:p>
      <w:pPr>
        <w:pStyle w:val="BookText"/>
        <w:rPr/>
      </w:pPr>
      <w:bookmarkEnd w:id="94"/>
      <w:r>
        <w:rPr>
          <w:rFonts w:ascii="IRNazanin" w:hAnsi="IRNazanin" w:eastAsia="IRNazanin"/>
          <w:color w:val="111111"/>
          <w:sz w:val="28"/>
          <w:sz w:val="28"/>
          <w:szCs w:val="28"/>
          <w:rtl w:val="true"/>
          <w:lang w:bidi="fa-IR"/>
        </w:rPr>
        <w:t>کالثألول</w:t>
      </w:r>
      <w:r>
        <w:rPr>
          <w:rStyle w:val="FootnoteAnchor"/>
          <w:rtl w:val="true"/>
        </w:rPr>
        <w:footnoteReference w:id="115"/>
      </w:r>
      <w:r>
        <w:rPr>
          <w:rFonts w:ascii="IRNazanin" w:hAnsi="IRNazanin" w:eastAsia="IRNazanin"/>
          <w:color w:val="111111"/>
          <w:sz w:val="28"/>
          <w:sz w:val="28"/>
          <w:szCs w:val="28"/>
          <w:rtl w:val="true"/>
          <w:lang w:bidi="fa-IR"/>
        </w:rPr>
        <w:t>والبثور، وکالجلدة الّتی تنفصل</w:t>
      </w:r>
      <w:r>
        <w:rPr>
          <w:rStyle w:val="FootnoteAnchor"/>
          <w:rtl w:val="true"/>
        </w:rPr>
        <w:footnoteReference w:id="116"/>
      </w:r>
      <w:r>
        <w:rPr>
          <w:rFonts w:ascii="Amiri" w:hAnsi="Amiri" w:eastAsia="Amiri" w:cs="Amiri"/>
          <w:color w:val="111111"/>
          <w:sz w:val="28"/>
          <w:sz w:val="28"/>
          <w:szCs w:val="28"/>
          <w:rtl w:val="true"/>
          <w:lang w:bidi="ar-SA"/>
        </w:rPr>
        <w:t>من الشفة</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انفصالها مع سهولة وبلا ألم، أو لا لعدم صدق الجزء المبان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بدن الأجرب عند الحکّ ونحو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666412_2322387425"/>
      <w:bookmarkStart w:id="96" w:name="_Toc34"/>
      <w:bookmarkEnd w:id="95"/>
      <w:r>
        <w:rPr>
          <w:rtl w:val="true"/>
        </w:rPr>
        <w:t>فأرة المسک</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فأرة</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للموضع حکّة تسقط بسببها تلک الجلدة مع ما فیهما من الدم، وقد تؤخذ هی من الغزال الغیر الحیّ المذکّی، وقد تؤخذ منه حال کونه میتة، وفی کون تلک الجلدة ممّا تحلّه الحیاة أو ممّا لا تحلّه کلام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المسک المبانة من الحیّ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طاهرة علـــی الأقــــوی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زالت حیاتها قبل انفصالها،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انفصلت عنه بنفسها لبلوغها الحدّ الّذی تنفصل عنده، وأمّا المقطوعة منه قبل ذلک فالأقوی نجاستها ونجاسة ما فیها من المسک إن کان مائعاً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انفصلت بنفسها أو اُخذت بعد زوال الاستمساک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مستعدّة للانفصال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زالت عنها الحیاة قبل الانفصال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بانت بالطبع أو حان وقت إبانتها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تکن مقطوعة عنه قبل بلوغها حدّ الانفصال، بمعنی أ نّه لا یکون جزءاً حیّاً مباناً من 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لم یعلم کونها من الأجزاء الّتی تحلّها الحیاة، وإلاّ ففی صورة عدم زوال الحیاة قبل الانفصال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الإبانة بعد کمال النضج، وإن لم تنفصل بنفسها، وکذا فی المبانة من المیّت، وأمّا المسک فهو طاهر ما لم یعلم ملاقاته مع الفأرة النجسة ذات الرطوبة المسریة، وممّا ذکر یعلم أ نّه لا معنی لأخذ الفأرة من ید المسلم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اُحرز أ نّها ممّا تحلّها الحیاة، فالأقوی نجاستها إذا انفصلت من الحیّ أو المیّت قبل بلوغها واستقلالها وزوال الحیاة عنها حال حیاة الظبی، ومع بلوغها حدّ الاستقلال واللفظ فالأقوی طهارتها، سواء اُبینت من الحیّ أو المیّت، ویتبعها المسک فی الطهارة والنجاسة إذا لاقاها برطوبة ساریة، ومع الشکّ فی حلول الحیاة محکومة بالطهارة مع ما فی جوفها، ومع العلم به والشکّ فی بلوغها ذلک الحدّ محکومة بالنجاسة، وکذا ینجس ما فیها إذا لاقاها برطوبة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لو زالت حیاتها قبل الانفصال وانفصلت بنفسها، وأمّا المبانة قبل تلک الحالة فالأظهر فیها النجاسة، وکذا الدم الّذی فیها لو کان مایعاً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زالت عنها الحیاة قبل الانفصال، وإلاّ ففی طهارتها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بلغت أوان الانفصال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أثبت العلم الحدیث أنّ وعاء المسک کیس رقیق جافّ یتولّد تحت جلد الذکر البالغ من ظباء المسک، وموضع الکیس دون سرّة الظبی وأمام قلفته، والمسک مادّة خاصّة تفرز وتخزن فی ذلک الکیس، ویحیط بالکیس منسوج خلوی مملوء بالعروق ویلتصق من الخارج بجلد الحیوان، وفأرة المسک هی المجموع من الکیس وما یحیط به، وعلی هذا فلا ریب فی طهارة المسک نفسه، سواء اُخذ من ظبی حیّ أو مذکّی أو میّت، وسواء کان سائلاً أم جامداً، ولا ریب فی طهارة الکیس الّذی یحتوی علی المسک، وأمّا مجموع الفأرة ـ ومنها المنسوج الخلوی الّذی یحیط بالکیس والجزء من جلد الحیوان الّذی یلتصق به وهما ممّا تحلّه الحیاة ـ فإن اُخذ من الحیوان المذکّی فهو طاهر، وکذا إذا اُخذ من الحیوان الحیّ وکانت الفأرة مستعدّة للانفصال عنه، وإن اُخذت الفأرة من المیّت أو من الحیّ وکانت مستعدّة للاتّصال فالظاهر نجاستها، نعم یمکن نزع الجلد والمنسوج الخلوی عن الکیس وهو طاهر کما تقدّم، ویطهر ظاهره عن نجاسته العرضیّة بملاقاتهما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الفأرة المبانة إذا لم یحن وقت قطعها فالظاهر نجاستها، سواء قطعت من حیّ أم میّت، أمّا غیرها فالظاهر طهارتها مطلقاً، والمبانة من المذکّی طاهرة مطلقاً حتّی وإن لم یحن وقت قطعها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إشکال، بل لا یبعد أن یکون الأقوی نجاستها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انفصلت عن الحیّ بنفسها، وأمّا الّتی تجری منه قبل بلوغ الحدّ الّذی تنفصل عنده فالأقوی نجاستها، وینجس ما فیها من المسک إن کان مائعاً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فرق بین المبانة من الحیّ أو المیّت، وکذا بین المذکّی وغیر المذکّی من ید المسلم أو الکافر، ولا أثر للید والسوق فی المقام؛ للشکّ بل القطع بأنّهما لیسا من الأجزاء الحیوانیّة الّتی تحلّها حیاة الحیوانی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بلوغها حدّاً لابدّ من لفظها، وأمّا مع انفصالها قبل بلوغها ذلک الحدّ فالأقوی نجاستها إذا اُحرز أ نّها ممّا تحلّه الحیاة، ومع الشکّ فهی محکومة بالطهارة، ولا فرق فی ذلک بین ما إذا انفصلت عن الحیّ أو المیّت، وأمّا ما فیها من المسک فهو محکوم بالطهارة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کـــــــان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119"/>
      </w:r>
      <w:r>
        <w:rPr>
          <w:rFonts w:ascii="IRNazanin" w:hAnsi="IRNazanin" w:eastAsia="IRNazanin"/>
          <w:color w:val="111111"/>
          <w:sz w:val="28"/>
          <w:sz w:val="28"/>
          <w:szCs w:val="28"/>
          <w:rtl w:val="true"/>
          <w:lang w:bidi="fa-IR"/>
        </w:rPr>
        <w:t>الاجتناب</w:t>
      </w:r>
      <w:r>
        <w:rPr>
          <w:rStyle w:val="FootnoteAnchor"/>
          <w:rtl w:val="true"/>
        </w:rPr>
        <w:footnoteReference w:id="120"/>
      </w:r>
      <w:r>
        <w:rPr>
          <w:rFonts w:ascii="IRNazanin" w:hAnsi="IRNazanin" w:eastAsia="IRNazanin"/>
          <w:color w:val="111111"/>
          <w:sz w:val="28"/>
          <w:sz w:val="28"/>
          <w:szCs w:val="28"/>
          <w:rtl w:val="true"/>
          <w:lang w:bidi="fa-IR"/>
        </w:rPr>
        <w:t>عنها، نعم لا إشکال</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مع الشروط الّتی أشرنا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زالت الحیاة عن الفأرة قبل الانفصال، وإلاّ فطهارة المسک مشروطة بعدم العلم بسرایة النجاسة من الفأرة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طهارة ما فیها من المسک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المبانة من المیّت</w:t>
      </w:r>
      <w:r>
        <w:rPr>
          <w:rStyle w:val="FootnoteAnchor"/>
          <w:rtl w:val="true"/>
        </w:rPr>
        <w:footnoteReference w:id="122"/>
      </w:r>
      <w:r>
        <w:rPr>
          <w:rFonts w:ascii="IRNazanin" w:hAnsi="IRNazanin" w:eastAsia="IRNazanin"/>
          <w:color w:val="111111"/>
          <w:sz w:val="28"/>
          <w:sz w:val="28"/>
          <w:szCs w:val="28"/>
          <w:rtl w:val="true"/>
          <w:lang w:bidi="fa-IR"/>
        </w:rPr>
        <w:t>ففیها إشکال</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الفأرة المبانة عن الحیّ أو المیّت إذا استغنت عن النمو بالاتّصال، وإن کان الأحوط الاجتناب، وأمّا المسک فلا إشکال فی طهارته مطلقاً، إلاّ إذا علم بسرایة الرطوبات النجسة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فیها أیضاً إذا لم یحرز أ نّها من الأجزاء الّتی تحلّها الحیاة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الإشکال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مات قبل أوان انفصالها، وإلاّ فالظاهر طهارتها ذاتاً، نعم یجب غسلها من رطوبات المیتة، ولا یُترک الاحتیاط فی مطلق المبانة قبل الوقت وإن اُخذت من الحیّ، نعم لا إشکال فی المبانة من المذکّی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فیها ولا فی مسکها لما مرّ، نعم لا یبعد الحکم بالطهارة قبل انفصالها فی الأجزاء الّتی کانت قبل الانفصال علی وصف تعدّ جسماً آخر ملصقة بجسم الحیوان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فی</w:t>
      </w:r>
    </w:p>
    <w:p>
      <w:pPr>
        <w:pStyle w:val="BookText"/>
        <w:rPr/>
      </w:pPr>
      <w:r>
        <w:rPr>
          <w:rFonts w:ascii="IRNazanin" w:hAnsi="IRNazanin" w:eastAsia="IRNazanin"/>
          <w:color w:val="111111"/>
          <w:sz w:val="28"/>
          <w:sz w:val="28"/>
          <w:szCs w:val="28"/>
          <w:rtl w:val="true"/>
          <w:lang w:bidi="fa-IR"/>
        </w:rPr>
        <w:t>مسکها</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برطوبته المسریة عند موت الظبی، وإلاّ فالظاهر عدم الإشکال فی طهارته ولو مع العلم بتاریخ الموت والشکّ فی انجماده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رطوبة مسریة حال موت الظبی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ملاقاته للفأرة برطوبة مسریة، وإلاّ فهو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علم بالرطوبة المسریة حال موت الظبی، وإلاّ فلا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بالرطوبة المسریة، وإلاّ فهو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بالرطوبة المسریة عند موت الظبی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طهارته، نعم یغسل مع العلم بالرطوبة المسریة، إلاّ إذا کان مائعاً لا یقبل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طهارة مسکها علی کلّ حال ما لم یتنجّس بالنجاسة العرضیّة، لأ نّه لیس ممّا تحلّه الحیاة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الفأرة ممّا تحلّها الحیاة واُحرز أ نّه کانت فی البین رطوبة مسریة حال الموت، وإلاّ فالأقوی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عدم انجماده حال حیاة الظبیة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المسک فی نفسه طاهر، نعم لو علم بملاقاته النجس مع الرطوبة حکم بنجاسته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ذا رطوبة مسریة حال موت الظبی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بالرطوبة المسریة عند موت الظبی، وإلاّ فهو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طهارة المسک، إلاّ فی صورة العلم بملاقاته مع النجاسة الرطبة الموجبة للسرایة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طهارته فی نفسه، نعم لو علم بملاقاته النجس مع الرطوبة المسریة حکم بنجاسته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نعــــــــــم</w:t>
      </w:r>
    </w:p>
    <w:p>
      <w:pPr>
        <w:pStyle w:val="BookText"/>
        <w:rPr/>
      </w:pPr>
      <w:r>
        <w:rPr>
          <w:rFonts w:ascii="Amiri" w:hAnsi="Amiri" w:eastAsia="Amiri" w:cs="Amiri"/>
          <w:color w:val="111111"/>
          <w:sz w:val="28"/>
          <w:sz w:val="28"/>
          <w:szCs w:val="28"/>
          <w:rtl w:val="true"/>
          <w:lang w:bidi="ar-SA"/>
        </w:rPr>
        <w:t>إذا اُخذت</w:t>
      </w:r>
      <w:r>
        <w:rPr>
          <w:rStyle w:val="FootnoteAnchor"/>
          <w:rtl w:val="true"/>
        </w:rPr>
        <w:footnoteReference w:id="125"/>
      </w:r>
      <w:r>
        <w:rPr>
          <w:rFonts w:ascii="IRNazanin" w:hAnsi="IRNazanin" w:eastAsia="IRNazanin"/>
          <w:color w:val="111111"/>
          <w:sz w:val="28"/>
          <w:sz w:val="28"/>
          <w:szCs w:val="28"/>
          <w:rtl w:val="true"/>
          <w:lang w:bidi="fa-IR"/>
        </w:rPr>
        <w:t>مـــــــن یــــــــــد المســــــــلم</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لید المسلم هنا، بل فی مطلق الحکم بالطهارة کما یأتی تفصیله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ید المسلم فی الحکم بطهارتها، إلاّ إذا علم بأخذها من الظبیة بعد موتها وشکّ فی تذکیتها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المشکوک انفصالها عن الحیّ والمیّت محکوم بالطهارة مطلقاً، ولا أثر للید فی المقام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فی الحکم بطهارته إلی الأخذ من ید المسلم، بل هو فی الفرض طاهر؛ لجریان أصالة الطهارة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علم أ نّها اُخذت من المیتة وشکّ فی تذکیتها، أمّا لو لم یعلم أ نّها اُخذت من الحیّ أو المیّت فیکفی فی الطهارة الشکّ، ولا یحتاج إلی ید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لو علم بکونها مبانة من المیّت وشکّ فی تذکیة الطبیة، وإلاّ فأصالة الطهارة محکمة، سواء اُخذت من ید المسلم أم من ید الکافر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اُخذت الفأرة من الظبیة بعد موتها وشکّ فی تذکیتها، وأمّا فیما إذا شکّ فی انفصالها عن الحیّ أو المیّت فیکفی فی الحکم بالطهارة نفس الشکّ ولا حاجة إلی ید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الکافر أیضاً، إلاّ مع العلم بأنّها اُخذت بعد الموت وکان قبل بلوغ أوان الانفصال وشکّ فی التذکیة وعدمها، فلا أثر لید الکافر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بأنّ الفأرة مأخوذة من المیتة، وشکّ فی تذکیتها توقّف الحکم بالطهارة علی أخذها من ید المسلم أو سوق المسلمین، وقد تقدّم الحکم منّا بطهارة المسک وطهارة الکیس الّذی یحتویه فی جمیع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الکافر، ولا فرق هنا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من ید الکافر ما لم یعلم أ نّها مبانة من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الکافر أیضاً، إلاّ أن یحرز بأنّها مأخوذة من المیّت وکانت قبل بلوغ أوان الانفصال وشکّ فی التذکیة وعدمها، فحینئذٍ یحکم بنجاستها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یحکم بطهارتها</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بالطهارة مع الشکّ، ولا أثر لید المسلم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القول بکونها 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الفأرة المشکوک کونها مبانة من الحیّ أو المیّت محکومة بالطهارة، ولو لم تؤخذ من ید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w:t>
      </w:r>
    </w:p>
    <w:p>
      <w:pPr>
        <w:pStyle w:val="BookText"/>
        <w:rPr/>
      </w:pPr>
      <w:r>
        <w:rPr>
          <w:rFonts w:ascii="IRNazanin" w:hAnsi="IRNazanin" w:eastAsia="IRNazanin"/>
          <w:color w:val="111111"/>
          <w:sz w:val="28"/>
          <w:sz w:val="28"/>
          <w:szCs w:val="28"/>
          <w:rtl w:val="true"/>
          <w:lang w:bidi="fa-IR"/>
        </w:rPr>
        <w:t>لم یعلم</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صرف الشکّ فی کونها مبانة من الحیّ أو المیّت فی الحکم بطهارتها، ولو لم یُؤخذ من ید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الصورة یحکم بطهارتها وإن اُخذت من ید الکافر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نّها مبانة من الحیّ أو المیّت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میتة ما لا نفس له</w:t>
      </w:r>
      <w:r>
        <w:rPr>
          <w:rStyle w:val="FootnoteAnchor"/>
          <w:rtl w:val="true"/>
        </w:rPr>
        <w:footnoteReference w:id="129"/>
      </w:r>
      <w:r>
        <w:rPr>
          <w:rFonts w:ascii="IRNazanin" w:hAnsi="IRNazanin" w:eastAsia="IRNazanin"/>
          <w:color w:val="111111"/>
          <w:sz w:val="28"/>
          <w:sz w:val="28"/>
          <w:szCs w:val="28"/>
          <w:rtl w:val="true"/>
          <w:lang w:bidi="fa-IR"/>
        </w:rPr>
        <w:t>طاهرة، کالوزغ والعقرب والخنفساء والسمک، وکذا الحیّة</w:t>
      </w:r>
      <w:r>
        <w:rPr>
          <w:rStyle w:val="FootnoteAnchor"/>
          <w:rtl w:val="true"/>
        </w:rPr>
        <w:footnoteReference w:id="130"/>
      </w:r>
      <w:r>
        <w:rPr>
          <w:rFonts w:ascii="IRNazanin" w:hAnsi="IRNazanin" w:eastAsia="IRNazanin"/>
          <w:color w:val="111111"/>
          <w:sz w:val="28"/>
          <w:sz w:val="28"/>
          <w:szCs w:val="28"/>
          <w:rtl w:val="true"/>
          <w:lang w:bidi="fa-IR"/>
        </w:rPr>
        <w:t>والتمساح، وإن قیل بکونهما ذا نفس؛ لعدم معلومیّة ذلک، مع أ نّه إذا کان بعض الحیّات کذلک لا یلزم الاجتناب</w:t>
      </w:r>
      <w:r>
        <w:rPr>
          <w:rStyle w:val="FootnoteAnchor"/>
          <w:rtl w:val="true"/>
        </w:rPr>
        <w:footnoteReference w:id="131"/>
      </w:r>
      <w:r>
        <w:rPr>
          <w:rFonts w:ascii="IRNazanin" w:hAnsi="IRNazanin" w:eastAsia="IRNazanin"/>
          <w:color w:val="111111"/>
          <w:sz w:val="28"/>
          <w:sz w:val="28"/>
          <w:szCs w:val="28"/>
          <w:rtl w:val="true"/>
          <w:lang w:bidi="fa-IR"/>
        </w:rPr>
        <w:t>عن المشکوک کونه کذلک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شیء أ نّه من أجزاء الحیوان أم لا فهو محکوم بالطهارة</w:t>
      </w:r>
      <w:r>
        <w:rPr>
          <w:rStyle w:val="FootnoteAnchor"/>
          <w:rtl w:val="true"/>
        </w:rPr>
        <w:footnoteReference w:id="132"/>
      </w:r>
      <w:r>
        <w:rPr>
          <w:rFonts w:ascii="IRNazanin" w:hAnsi="IRNazanin" w:eastAsia="IRNazanin"/>
          <w:color w:val="111111"/>
          <w:sz w:val="28"/>
          <w:sz w:val="28"/>
          <w:szCs w:val="28"/>
          <w:rtl w:val="true"/>
          <w:lang w:bidi="fa-IR"/>
        </w:rPr>
        <w:t>، وکذا إذا علم أ نّه من الحیوان لکن شکّ فی أ نّه ممّا له دم سائل أم لا</w:t>
      </w:r>
      <w:r>
        <w:rPr>
          <w:rFonts w:eastAsia="IRNazanin" w:cs="IRNazanin"/>
          <w:color w:val="111111"/>
          <w:sz w:val="28"/>
          <w:szCs w:val="28"/>
          <w:rtl w:val="true"/>
          <w:lang w:bidi="fa-IR"/>
        </w:rPr>
        <w:t xml:space="preserve">. </w:t>
      </w:r>
      <w:bookmarkStart w:id="97" w:name="pg13273_134874"/>
    </w:p>
    <w:p>
      <w:pPr>
        <w:pStyle w:val="Heading3"/>
        <w:numPr>
          <w:ilvl w:val="2"/>
          <w:numId w:val="1"/>
        </w:numPr>
        <w:rPr/>
      </w:pPr>
      <w:bookmarkStart w:id="98" w:name="__RefHeading___Toc1666414_2322387425"/>
      <w:bookmarkStart w:id="99" w:name="_Toc35"/>
      <w:bookmarkEnd w:id="97"/>
      <w:bookmarkEnd w:id="98"/>
      <w:r>
        <w:rPr>
          <w:rtl w:val="true"/>
        </w:rPr>
        <w:t>المراد من المیتة</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المیتة أعمّ ممّا مات حتف أنفه، أو قتل، أو ذبح علی غیر الوجه الشرعی</w:t>
      </w:r>
      <w:r>
        <w:rPr>
          <w:rFonts w:eastAsia="IRNazanin" w:cs="IRNazanin"/>
          <w:color w:val="111111"/>
          <w:sz w:val="28"/>
          <w:szCs w:val="28"/>
          <w:rtl w:val="true"/>
          <w:lang w:bidi="fa-IR"/>
        </w:rPr>
        <w:t>.</w:t>
      </w:r>
    </w:p>
    <w:p>
      <w:pPr>
        <w:pStyle w:val="Heading3"/>
        <w:numPr>
          <w:ilvl w:val="2"/>
          <w:numId w:val="1"/>
        </w:numPr>
        <w:rPr/>
      </w:pPr>
      <w:bookmarkStart w:id="100" w:name="__RefHeading___Toc1666416_2322387425"/>
      <w:bookmarkStart w:id="101" w:name="_Toc36"/>
      <w:bookmarkEnd w:id="100"/>
      <w:r>
        <w:rPr>
          <w:rtl w:val="true"/>
        </w:rPr>
        <w:t>أمارات التذکیة</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یوءخذ من ید المسلم</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یعلم سبقها بما یحکم معه بعدم التذکیة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سوق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عبداللّه الشیرازی،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لا أثر لها فی الحکم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جریانها علیه علی الوجه الشرعی، وکذا الاستعمال فی الفرع اللاحق، وکذا فی ید المسلم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مسبوقاً بید الکافر واحتمل إحراز المسلم للتذکیة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یتصرّف فیه بما یناسب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سوق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من سوق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سلطته علیه بتملّک العین أو المنفعة أو الانتفاع وغیرها، لکنّ ذلک فیما لو عامل مع ما بیده معاملة المذکّی کأن یستعمله فیما یشترط فیه الطهارة، من غیر فرق بین کون ذی الید ممّن یستحلّ ذبائح أهل الکتاب أو لا، ونظیر الید سوق الإسلام فی کونه أمارة، وفی صورة کون ید المسلم مسبوقة بید الکافر إشکال، والأحوط الاجتناب، نعم فیما لو احتمل سبق ید المسلم علی الکافر المذکور أو احتمل احتمالاً عقلائیّاً إحراز المسلم التذکیة کفی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 الأخبار أنّ المأخوذ من سوق الإسلام ولو من ید الکافر ـ إن لم یعلم سبقه بسوق الکفر ـ محکوم بالطهارة، والمأخوذ من سوق الکفر ولو من ید المسلم ـ إن لم یعلم سبقه بسوق الإسلام ـ محکوم بالنجاسة، إلاّ إذا عامل معه المسلم معاملة الطهارة مع احتمال إحرازه لها، لکن لا یُترک الاحتیاط فی المأخوذ من ید الکافر مطلقاً حیث اُدّعی الإجماع علی نجاسته، والإجماع علی طهارة المأخوذ من ید المسلم مطلقاً وإن ادُّعی أیضاً، لکنّ الأحوط الاجتناب من المأخوذ منه فی سوق 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سوقه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من سوق المسلمین، إن لم یعلم کون من یؤخذ منه کافراً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سوق المسلمین أو أراضیهم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اللحم أو الشحم</w:t>
      </w:r>
    </w:p>
    <w:p>
      <w:pPr>
        <w:pStyle w:val="BookText"/>
        <w:rPr/>
      </w:pPr>
      <w:r>
        <w:rPr>
          <w:rFonts w:ascii="IRNazanin" w:hAnsi="IRNazanin" w:eastAsia="IRNazanin"/>
          <w:color w:val="111111"/>
          <w:sz w:val="28"/>
          <w:sz w:val="28"/>
          <w:szCs w:val="28"/>
          <w:rtl w:val="true"/>
          <w:lang w:bidi="fa-IR"/>
        </w:rPr>
        <w:t>أو الجلد محکوم بالطهارة</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کونه مأخوذاً من الکافر، وإلاّ فالحکم بالطهارة مشکل، إلاّ إذا احتمل إحراز المسلم للتذکیة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العلم بمسبوقیّـتها بید الکافر، وأمّا معه فمع العلم بعدم فحص المسلم فالأحوط بل الأقوی وجوب الاجتناب عنه، ومع احتمال الفحص فالأحوط الاقتصار فی الحکم بالطهارة بما إذا عمل معه معاملة المذکّی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لحکومة الأمارة ـ کالید والسوق والأرض ـ علی الأصل، ولیعلم أنّ هذه الکواشف لیست عرضیّة، فإنّ السوق کاشف عن ید المسلم الکاشفة عن التذکیة، فالسوق کاشف عن کاشف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المأخوذ من سوق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تکون ید المسلم أمارة علی التذکیة والطهارة إذا کانت مقرونة بتصرّف المسلم فی ذلک الشیء تصرّفاً مناسباً للطهارة، کبیعه وأکله والصلاة فیه، وکذلک الأمر فی سوق المسلمین، وإذا کانت ید المسلم مسبوقة بید الکافر کالجلود واللحوم المستوردة من بلاد الکفار اُشکل الحکم بتذکیتها، بل هو فی غایة الإشکال، وکذلک سوق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مسبوقاً بید الکافر أو سوقه واحتمل إحراز المسلم للتذکیة احتمالاً عقلائیّاً، لو کانت ید المسلم متفرّعةً علی ید الکافر، بحیث کانت ید المسلم بمنزلة الآلة، کالجلود المأخوذة فی بلاد الکفر فالحکم بالطهارة مشکل، فلا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وبسائر آثار التذکیة إذا کانت مقرونةً بتصرّف مشعر بها، وکذا ما یؤخذ من سوق المسلمین إذا لم یعلم أنّ المأخوذ منه غیر مسلم، وما صنع فی أرض غلب فیها المسلمون، بلا فرق فی الثلاثة بین أن یکون مسبوقاً بید غیر المسلم أو سوقه وعدمه إذا احتمل أنّ ذا الید أو المأخوذ منه فی السوق أو المتصدّی للصنع محرز لتذکیته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العلم بکونه مسبوقاً بید الکافر، وأمّا مع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احتمل أنّ المسلم الّذی أخذه من الکافر قد تفحّص من حاله وأحرز تذکیته، بل وعمل المسلم معه معاملة المذکّی علی الأحوط فهو أیضاً محکوم بالطهارة، وأمّا لو علم أنّ المسلم أخذه من الکافر من غیر فحص فالأحوط بل الأقوی وجوب الاجتناب عنه فی خصوص الأکل والصلاة، وأمّا فی مثل النجاسة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لم یعلم</w:t>
      </w:r>
    </w:p>
    <w:p>
      <w:pPr>
        <w:pStyle w:val="BookText"/>
        <w:rPr/>
      </w:pPr>
      <w:r>
        <w:rPr>
          <w:rFonts w:ascii="IRNazanin" w:hAnsi="IRNazanin" w:eastAsia="IRNazanin"/>
          <w:color w:val="111111"/>
          <w:sz w:val="28"/>
          <w:sz w:val="28"/>
          <w:szCs w:val="28"/>
          <w:rtl w:val="true"/>
          <w:lang w:bidi="fa-IR"/>
        </w:rPr>
        <w:t>تذکیته</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احتمل صحّة عمل المسلم بالشراء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أ نّه عمل فی غیر بلاد الإسلام وبأیدی غیر أهله ولم یعلم سبق ید المسلم علیه، ثمّ وقع فی أیدی المسلمین فالحکم بتذکیته فی غایة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بسبق ید الکافر وأخذ المسلم من یده، وإلاّ فهو مشکل جدّاً، إلاّ إذا علم بسبق ید المسلم الآخر علی ید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یعلم أ نّه عمل فی غیر بلاد الإسلام، وأمّا لو علم أ نّه عمل فی بلاد الکفر وبأیدی أهله، ثمّ وقع فی أیدی المسلمین وکانت ید المسلم مسبوقة بید الکافر فالحکم بالطهارة فی غایة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 سبق ید الکافر أو سوقه علیه، ولم یحتمل إحراز المسلم للتذکیة احتمالاً عقلائیّاً، کما فی غالب الجلود المجلوبة من بلاد 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وصول المشکوک فیه فی یده بطریقٍ معتبرٍ دالٍّ علی التذکیة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العلم بکون ید المسلم عمیاء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الطهارة أن یکون مصنوعاً فی أرض الإسلام کما فی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 ح</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یوجد فی أرض المسلمین مطروحاً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 علیه أثر الاستعمال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أثر استعمال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استعمال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 الظاهر فی تحقّق التذکیة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أثراً ظاهراً یوجب الاطمئنان بتحقیق التذکیة،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أثر استعمال المسلمین المناسب للطهارة، کما تقدّم بیانه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اعتبار هذا الشرط،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استعمال المسلم الظاهر فی تحقّق التذکیة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لکنّ</w:t>
      </w:r>
      <w:bookmarkStart w:id="102" w:name="pg13273_134878"/>
    </w:p>
    <w:p>
      <w:pPr>
        <w:pStyle w:val="BookText"/>
        <w:rPr/>
      </w:pPr>
      <w:bookmarkEnd w:id="102"/>
      <w:r>
        <w:rPr>
          <w:rFonts w:ascii="IRNazanin" w:hAnsi="IRNazanin" w:eastAsia="IRNazanin"/>
          <w:color w:val="111111"/>
          <w:sz w:val="28"/>
          <w:sz w:val="28"/>
          <w:szCs w:val="28"/>
          <w:rtl w:val="true"/>
          <w:lang w:bidi="fa-IR"/>
        </w:rPr>
        <w:t>الأحوط</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إذا کانت ید المسلم أو سوقه مسبوقة بید الکافر، ولم یحتمل إحراز المسلم للتذکیة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الاجتناب</w:t>
      </w:r>
      <w:r>
        <w:rPr>
          <w:rFonts w:eastAsia="IRNazanin" w:cs="IRNazanin"/>
          <w:color w:val="111111"/>
          <w:sz w:val="28"/>
          <w:szCs w:val="28"/>
          <w:rtl w:val="true"/>
          <w:lang w:bidi="fa-IR"/>
        </w:rPr>
        <w:t>.</w:t>
      </w:r>
    </w:p>
    <w:p>
      <w:pPr>
        <w:pStyle w:val="Heading3"/>
        <w:numPr>
          <w:ilvl w:val="2"/>
          <w:numId w:val="1"/>
        </w:numPr>
        <w:rPr/>
      </w:pPr>
      <w:bookmarkStart w:id="103" w:name="__RefHeading___Toc1666418_2322387425"/>
      <w:bookmarkStart w:id="104" w:name="_Toc37"/>
      <w:bookmarkEnd w:id="103"/>
      <w:r>
        <w:rPr>
          <w:rtl w:val="true"/>
        </w:rPr>
        <w:t>ما یؤخذ من ید الکافر أو أرضهم</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یوءخذ من ید الکافر</w:t>
      </w:r>
      <w:r>
        <w:rPr>
          <w:rStyle w:val="FootnoteAnchor"/>
          <w:rtl w:val="true"/>
        </w:rPr>
        <w:footnoteReference w:id="138"/>
      </w:r>
      <w:r>
        <w:rPr>
          <w:rFonts w:ascii="IRNazanin" w:hAnsi="IRNazanin" w:eastAsia="IRNazanin"/>
          <w:color w:val="111111"/>
          <w:sz w:val="28"/>
          <w:sz w:val="28"/>
          <w:szCs w:val="28"/>
          <w:rtl w:val="true"/>
          <w:lang w:bidi="fa-IR"/>
        </w:rPr>
        <w:t>أو یوجد فی أرضهم محکوم</w:t>
      </w:r>
      <w:r>
        <w:rPr>
          <w:rStyle w:val="FootnoteAnchor"/>
          <w:rtl w:val="true"/>
        </w:rPr>
        <w:footnoteReference w:id="139"/>
      </w:r>
      <w:r>
        <w:rPr>
          <w:rFonts w:ascii="Amiri" w:hAnsi="Amiri" w:eastAsia="Amiri" w:cs="Amiri"/>
          <w:color w:val="111111"/>
          <w:sz w:val="28"/>
          <w:sz w:val="28"/>
          <w:szCs w:val="28"/>
          <w:rtl w:val="true"/>
          <w:lang w:bidi="ar-SA"/>
        </w:rPr>
        <w:t>بالنجاسة</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یعتبر فی طهارته التذکیة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الحکم بالنجاسة من إشکال، بل منع؛ لأنّ النجاسة مترتّبة علی عنوان المیتة، وهو لا یثبت باستصحاب عدم التذکیة، نعم المأخوذ من ید الکافر أو ما یوجد فی أرضهم لا یجوز أکله ولا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یظهر الحال فی کلّ ما یشکّ فی تذکیته وعدمها وإن لم یکن مأخوذاً من ید الکافر، کاللقطة فی البرّ ونحوها فی غیر بلاد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محکوم بالطهارة ما لم یعلم أ نّه غیر مذکّی، نعم لا یجوز أکله والصلاة فیه إلاّ أن یؤخذ من ید المسلم أو سوق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صورة الشکّ فی التذکیة عدم الحکم بالنجاسة، وإن کان لا یجوز الصلاة فیه، والفرق أنّ موضوع جواز الصلاة المذکّی، وموضوع النجاسة المیتة، وهی لا تثبت باستصحاب عدم التذکیة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الأحکام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النجاسة وصحّة الصلاة وحرمة الانتفاع وحرمة الأکل ثابتة لکلّ ما لم یذکّ تذکیة 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الحکم بطهارته وبجواز الصلاة فیه، نعم لا یجوز أکله ما لم یحرز کونه مذکّی ولو من جهة سبق أحد الاُمور الثلاثة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إذا علم</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تترتّب علیه آثار التذکیة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الشرط المذکور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ید المسلم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تترتّب علیه آثار التذکیة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صور الاحتمال أیضاً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توجد أمارة اُخری تدلّ علی سقوط ید الکافر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المیتة لا یطهر بالدبغ، ولا یقبل الطهارة شیء من المِیتات، سوی میّت المسلم فإنّه یطهر بالغسل</w:t>
      </w:r>
      <w:r>
        <w:rPr>
          <w:rFonts w:eastAsia="IRNazanin" w:cs="IRNazanin"/>
          <w:color w:val="111111"/>
          <w:sz w:val="28"/>
          <w:szCs w:val="28"/>
          <w:rtl w:val="true"/>
          <w:lang w:bidi="fa-IR"/>
        </w:rPr>
        <w:t xml:space="preserve">. </w:t>
      </w:r>
      <w:bookmarkStart w:id="105" w:name="pg13273_134880"/>
    </w:p>
    <w:p>
      <w:pPr>
        <w:pStyle w:val="Heading3"/>
        <w:numPr>
          <w:ilvl w:val="2"/>
          <w:numId w:val="1"/>
        </w:numPr>
        <w:rPr/>
      </w:pPr>
      <w:bookmarkStart w:id="106" w:name="__RefHeading___Toc1666420_2322387425"/>
      <w:bookmarkStart w:id="107" w:name="_Toc38"/>
      <w:bookmarkEnd w:id="105"/>
      <w:bookmarkEnd w:id="106"/>
      <w:r>
        <w:rPr>
          <w:rtl w:val="true"/>
        </w:rPr>
        <w:t>نجاسة السقط</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الحکم بطهارتهما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ولوج الروح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لعدم صدق المیتة علیه؛ إذ لا تکون إلاّ بعد الحیاة، ولیس هو من الأجزاء المبانة، نعم ادُّعی الإجماع علیه فی خصوص سقط الإنسان، وهو موافق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له مدرک إلاّ دعوی عدم الخلاف، وهو أیضاً لا یصلح للمدرکیّة؛ لعدم کونه إجماعاً تعبّدیّاً، وقوّة احتمال کونه تقییدیّاً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للحکم بالنجاسة سیّما بالنسبة إلی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الأظهر، واحتمال صدق عنوان المیتة أو الجیفة علیه قویّ، وما یمکن أن یناقش به ضعیف مردود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وإن کان الاحتیاط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الحکم بالطهارة فی الموردین وجه قویّ، والاحتیاط طریق النجاة، وممّا ذکرنا یظهر الحال فی المسألة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الفرخ قبل الولوج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محلّ إشکال؛ لضعف ما استدلّ علیه من صدق المیتة علیه، ومن صدق الجزء المبان منه، وغیر ذلک، ومع ذلک لأجل دعوی الإجماع وغیره فالأحوط الاجتناب عنهما خصوصاً عن سقط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الفرخ فی</w:t>
      </w:r>
      <w:bookmarkStart w:id="108" w:name="pg13273_134881"/>
    </w:p>
    <w:p>
      <w:pPr>
        <w:pStyle w:val="BookText"/>
        <w:rPr/>
      </w:pPr>
      <w:bookmarkEnd w:id="108"/>
      <w:r>
        <w:rPr>
          <w:rFonts w:ascii="IRNazanin" w:hAnsi="IRNazanin" w:eastAsia="IRNazanin"/>
          <w:color w:val="111111"/>
          <w:sz w:val="28"/>
          <w:sz w:val="28"/>
          <w:szCs w:val="28"/>
          <w:rtl w:val="true"/>
          <w:lang w:bidi="fa-IR"/>
        </w:rPr>
        <w:t>البیض</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نجاسة الفرخ قبل الولوج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الفرخ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الخمینی، محمّد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بالنجاسة فیهما لا یخلو من إشکال، والأحوط الاجتناب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بنجاسته إشکال، والاحتیاط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طهارتهما سیّما الثانی محتملة، 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 والأظهر فی الفرخ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ملاقاة المیتة بلا رطوبة مسریة لا توجب النجاسة علی الأقوی، وإن کان الأحوط</w:t>
      </w:r>
      <w:r>
        <w:rPr>
          <w:rStyle w:val="FootnoteAnchor"/>
          <w:rtl w:val="true"/>
        </w:rPr>
        <w:footnoteReference w:id="144"/>
      </w:r>
      <w:r>
        <w:rPr>
          <w:rFonts w:ascii="IRNazanin" w:hAnsi="IRNazanin" w:eastAsia="IRNazanin"/>
          <w:color w:val="111111"/>
          <w:sz w:val="28"/>
          <w:sz w:val="28"/>
          <w:szCs w:val="28"/>
          <w:rtl w:val="true"/>
          <w:lang w:bidi="fa-IR"/>
        </w:rPr>
        <w:t>غسل الملاقی، خصوصاً فی میتة الإنسان</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نجاسة المیتة خروج الروح من جمیع جسده، فلو مات بعض الجسد ولم تخرج الروح من تمامه لم ینجس</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666422_2322387425"/>
      <w:bookmarkStart w:id="110" w:name="_Toc39"/>
      <w:bookmarkEnd w:id="109"/>
      <w:r>
        <w:rPr>
          <w:rtl w:val="true"/>
        </w:rPr>
        <w:t>نجاسة المیت قبل البرد</w:t>
      </w:r>
      <w:bookmarkEnd w:id="11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خروج الروح یوجب النجاسة وإن کان قبل </w:t>
      </w:r>
      <w:bookmarkStart w:id="111" w:name="pg13273_134882"/>
    </w:p>
    <w:p>
      <w:pPr>
        <w:pStyle w:val="BookText"/>
        <w:rPr/>
      </w:pPr>
      <w:bookmarkEnd w:id="111"/>
      <w:r>
        <w:rPr>
          <w:rFonts w:ascii="IRNazanin" w:hAnsi="IRNazanin" w:eastAsia="IRNazanin"/>
          <w:color w:val="111111"/>
          <w:sz w:val="28"/>
          <w:sz w:val="28"/>
          <w:szCs w:val="28"/>
          <w:rtl w:val="true"/>
          <w:lang w:bidi="fa-IR"/>
        </w:rPr>
        <w:t>البرد</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الإنسان، وأمّا بعد برده فلا إشکال فی 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غیر 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الإنسان وغیره، نعم وجوب غسل المسّ للمیّت الإنسانی مخصوص بما بعد برده</w:t>
      </w:r>
      <w:r>
        <w:rPr>
          <w:rFonts w:eastAsia="IRNazanin" w:cs="IRNazanin"/>
          <w:color w:val="111111"/>
          <w:sz w:val="28"/>
          <w:szCs w:val="28"/>
          <w:rtl w:val="true"/>
          <w:lang w:bidi="fa-IR"/>
        </w:rPr>
        <w:t>.</w:t>
      </w:r>
    </w:p>
    <w:p>
      <w:pPr>
        <w:pStyle w:val="Heading3"/>
        <w:numPr>
          <w:ilvl w:val="2"/>
          <w:numId w:val="1"/>
        </w:numPr>
        <w:rPr/>
      </w:pPr>
      <w:bookmarkStart w:id="112" w:name="__RefHeading___Toc1666424_2322387425"/>
      <w:bookmarkStart w:id="113" w:name="_Toc40"/>
      <w:bookmarkEnd w:id="112"/>
      <w:r>
        <w:rPr>
          <w:rtl w:val="true"/>
        </w:rPr>
        <w:t>نجاسة المضغة و المشیمة</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المضغة نجسة</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بطهارتها،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نجاسة المضغة والمشیمة والقطعة الخارجة مع الطفل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فی المشیمة وقطعة اللحم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فیها وفیما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الشاهرودی، الخمینی، حسن القمّی،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بالنجاسة فیها وفیما بعدها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فیها وفیما بعدها؛ لضعف ما ذکروه دلیلاً علی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لنجاستها، وکذا المشیمة واللحم المذکور إن لم یحرز أنّهما ممّا تحلّه الحیاة، والأحوط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فیها وفی المشیمة وفی قطعة اللحم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نجاسة المذکورات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والدلیل علی نجاسة هذه الاُمور بعض ما أشرنا إلیه فی نجاسة السقط الغیر مولجةٍ فیه الروح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بنجاسة المذکورات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بالنجاسة فیها وفیما بعدها إشکال، والاحتیاط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فیها وفی باقی المذکورات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فیها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نجاستها ونجاسة ما بعدها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بنجاستها وما بعدها مشکل؛ لضعف ما استدلّ علیها، فالأحوط الاجتناب فی المذکورات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معتدّ به علی نجاسة المذکورات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w:t>
      </w:r>
      <w:bookmarkStart w:id="114" w:name="pg13273_134883"/>
    </w:p>
    <w:p>
      <w:pPr>
        <w:pStyle w:val="BookText"/>
        <w:rPr/>
      </w:pPr>
      <w:bookmarkEnd w:id="114"/>
      <w:r>
        <w:rPr>
          <w:rFonts w:ascii="IRNazanin" w:hAnsi="IRNazanin" w:eastAsia="IRNazanin"/>
          <w:color w:val="111111"/>
          <w:sz w:val="28"/>
          <w:sz w:val="28"/>
          <w:szCs w:val="28"/>
          <w:rtl w:val="true"/>
          <w:lang w:bidi="fa-IR"/>
        </w:rPr>
        <w:t>المشیمة</w:t>
      </w:r>
      <w:r>
        <w:rPr>
          <w:rStyle w:val="FootnoteAnchor"/>
          <w:rtl w:val="true"/>
        </w:rPr>
        <w:footnoteReference w:id="149"/>
      </w:r>
      <w:r>
        <w:rPr>
          <w:rFonts w:ascii="Amiri" w:hAnsi="Amiri" w:eastAsia="Amiri" w:cs="Amiri"/>
          <w:color w:val="111111"/>
          <w:sz w:val="28"/>
          <w:sz w:val="28"/>
          <w:szCs w:val="28"/>
          <w:rtl w:val="true"/>
          <w:lang w:bidi="ar-SA"/>
        </w:rPr>
        <w:t>وقطعة اللحم</w:t>
      </w:r>
      <w:r>
        <w:rPr>
          <w:rStyle w:val="FootnoteAnchor"/>
          <w:rtl w:val="true"/>
        </w:rPr>
        <w:footnoteReference w:id="150"/>
      </w:r>
      <w:r>
        <w:rPr>
          <w:rFonts w:ascii="IRNazanin" w:hAnsi="IRNazanin" w:eastAsia="IRNazanin"/>
          <w:color w:val="111111"/>
          <w:sz w:val="28"/>
          <w:sz w:val="28"/>
          <w:szCs w:val="28"/>
          <w:rtl w:val="true"/>
          <w:lang w:bidi="fa-IR"/>
        </w:rPr>
        <w:t>الّتی تخرج حین الوضع مع الطفل</w:t>
      </w:r>
      <w:r>
        <w:rPr>
          <w:rFonts w:eastAsia="IRNazanin" w:cs="IRNazanin"/>
          <w:color w:val="111111"/>
          <w:sz w:val="28"/>
          <w:szCs w:val="28"/>
          <w:rtl w:val="true"/>
          <w:lang w:bidi="fa-IR"/>
        </w:rPr>
        <w:t>.</w:t>
      </w:r>
    </w:p>
    <w:p>
      <w:pPr>
        <w:pStyle w:val="Heading3"/>
        <w:numPr>
          <w:ilvl w:val="2"/>
          <w:numId w:val="1"/>
        </w:numPr>
        <w:rPr/>
      </w:pPr>
      <w:bookmarkStart w:id="115" w:name="__RefHeading___Toc1666426_2322387425"/>
      <w:bookmarkStart w:id="116" w:name="_Toc41"/>
      <w:bookmarkEnd w:id="115"/>
      <w:r>
        <w:rPr>
          <w:rtl w:val="true"/>
        </w:rPr>
        <w:t>العضو المقطوع المعلق بالبدن</w:t>
      </w:r>
      <w:bookmarkEnd w:id="11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عضو من الحیّ وبقی معلّقاً متّصلاً به فهو طاهر ما دام</w:t>
      </w:r>
      <w:r>
        <w:rPr>
          <w:rStyle w:val="FootnoteAnchor"/>
          <w:rtl w:val="true"/>
        </w:rPr>
        <w:footnoteReference w:id="151"/>
      </w:r>
      <w:r>
        <w:rPr>
          <w:rFonts w:ascii="IRNazanin" w:hAnsi="IRNazanin" w:eastAsia="IRNazanin"/>
          <w:color w:val="111111"/>
          <w:sz w:val="28"/>
          <w:sz w:val="28"/>
          <w:szCs w:val="28"/>
          <w:rtl w:val="true"/>
          <w:lang w:bidi="fa-IR"/>
        </w:rPr>
        <w:t>الاتّصال، وینجس بعد الانفصال، نعم لو قطعت</w:t>
      </w:r>
      <w:r>
        <w:rPr>
          <w:rStyle w:val="FootnoteAnchor"/>
          <w:rtl w:val="true"/>
        </w:rPr>
        <w:footnoteReference w:id="152"/>
      </w:r>
      <w:r>
        <w:rPr>
          <w:rFonts w:ascii="IRNazanin" w:hAnsi="IRNazanin" w:eastAsia="IRNazanin"/>
          <w:color w:val="111111"/>
          <w:sz w:val="28"/>
          <w:sz w:val="28"/>
          <w:szCs w:val="28"/>
          <w:rtl w:val="true"/>
          <w:lang w:bidi="fa-IR"/>
        </w:rPr>
        <w:t>یده مثلاً، وکانت معلّقة بجلدة رقیقة</w:t>
      </w:r>
      <w:r>
        <w:rPr>
          <w:rStyle w:val="FootnoteAnchor"/>
          <w:rtl w:val="true"/>
        </w:rPr>
        <w:footnoteReference w:id="153"/>
      </w:r>
      <w:r>
        <w:rPr>
          <w:rFonts w:ascii="IRNazanin" w:hAnsi="IRNazanin" w:eastAsia="IRNazanin"/>
          <w:color w:val="111111"/>
          <w:sz w:val="28"/>
          <w:sz w:val="28"/>
          <w:szCs w:val="28"/>
          <w:rtl w:val="true"/>
          <w:lang w:bidi="fa-IR"/>
        </w:rPr>
        <w:t xml:space="preserve">، فالأحوط </w:t>
      </w:r>
      <w:bookmarkStart w:id="117" w:name="pg13273_134884"/>
    </w:p>
    <w:p>
      <w:pPr>
        <w:pStyle w:val="BookText"/>
        <w:rPr/>
      </w:pPr>
      <w:bookmarkEnd w:id="117"/>
      <w:r>
        <w:rPr>
          <w:rFonts w:ascii="IRNazanin" w:hAnsi="IRNazanin" w:eastAsia="IRNazanin"/>
          <w:color w:val="111111"/>
          <w:sz w:val="28"/>
          <w:sz w:val="28"/>
          <w:szCs w:val="28"/>
          <w:rtl w:val="true"/>
          <w:lang w:bidi="fa-IR"/>
        </w:rPr>
        <w:t>الاجتناب</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هذا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الحکم بالطهارة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التفصیل الّذی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هو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فیما إذا لم یُعدّ المنفصل من توابع البدن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کان لضعف اتّصاله لا یعدّ من توابع البدن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إن ماتت الید، وإن شکّ فی موت الید فاستصحاب الطهارة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النجاسة مترتّبة علی ما لا یعدّ فی العرف من توابع 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إذا لم یعدّ ما انفصل من توابع البدن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666428_2322387425"/>
      <w:bookmarkStart w:id="119" w:name="_Toc42"/>
      <w:bookmarkEnd w:id="118"/>
      <w:r>
        <w:rPr>
          <w:rtl w:val="true"/>
        </w:rPr>
        <w:t>حکم الجند</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کهیئة الکلب لیس ککلب الماء ویسمّی القندر، وله أربع خصیات اثنتان ظاهرتان واثنتان باطنتان، ومن شأنه أ نّه إذا رأی الصیادین له لأخذ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 بادستر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الموجود فی خصیتیه البارزتین هرب، فإذا جدّوا فی طلبه قطعهما بفیه ورمی بهما إلیهم إذ لا حاجة لهم إلاّ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حیوان یصلح أن یحیا فی الماء وخارج الماء وأکثر أوقاته فی الماء، ویتغذّی فیه بالسمک والسرطان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حیاة الحیوان للدمیری</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کونه خصیة کلب الماء إن لم یعلم ذلک واحتمل عدم کونه من أجزاء الحیوان فطاهر وحلال</w:t>
      </w:r>
      <w:r>
        <w:rPr>
          <w:rStyle w:val="FootnoteAnchor"/>
          <w:rtl w:val="true"/>
        </w:rPr>
        <w:footnoteReference w:id="155"/>
      </w:r>
      <w:r>
        <w:rPr>
          <w:rFonts w:ascii="IRNazanin" w:hAnsi="IRNazanin" w:eastAsia="IRNazanin"/>
          <w:color w:val="111111"/>
          <w:sz w:val="28"/>
          <w:sz w:val="28"/>
          <w:szCs w:val="28"/>
          <w:rtl w:val="true"/>
          <w:lang w:bidi="fa-IR"/>
        </w:rPr>
        <w:t>، وإن علم کونه</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نصّ علیه أهل الخبرة من علماء معرفة الحیوان، کصاحبَی التحفة والقراباذین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ثبت بإخبار أهل الخبرة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ثبت بحجّة 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فلا إشکال فی حرمته، لکنّه محکوم بالطهارة؛ لعدم العلم</w:t>
      </w:r>
      <w:r>
        <w:rPr>
          <w:rStyle w:val="FootnoteAnchor"/>
          <w:rtl w:val="true"/>
        </w:rPr>
        <w:footnoteReference w:id="157"/>
      </w:r>
      <w:r>
        <w:rPr>
          <w:rFonts w:ascii="IRNazanin" w:hAnsi="IRNazanin" w:eastAsia="IRNazanin"/>
          <w:color w:val="111111"/>
          <w:sz w:val="28"/>
          <w:sz w:val="28"/>
          <w:szCs w:val="28"/>
          <w:rtl w:val="true"/>
          <w:lang w:bidi="fa-IR"/>
        </w:rPr>
        <w:t>بأنّ ذلک الحیوان ممّا له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قلع سنّه أو قصّ ظفره فانقطع معه شیء من اللحم، فإن کان قلیلاً</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الفرق بینه وبین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مشکل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 تصدق علیه القطعة المبانة من الحیّ وأ نّها کالأوساخ، کما مرّ ذلک فی الثألول وقشر جلد الأجرب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القلیل والکثیر، ودعوی الانصراف عن القلیل ممنوعة، نعم لو عدّ من توابع السنّ عرفاً مثلاً یحکم بطهارته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جدّاً فهو طاهر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الاجتناب عنه وإن کان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نظر، فلا یُترک الاحتیاط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تأمّل فی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من غیر فرق بین القلیل والکثیر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ولا یُترک الاحتیاط بالاجتناب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الاجتناب وإن کان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ودعوی الانصراف لا وجه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نجس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القلیل والکثیر فی الحکم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نجس وإن کان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عُدّ من توابع السنّ والظفر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باجتنابه وإن کان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مدخلیة للقلّة فی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وإلاّ فنجس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عظماً مجرّداً وشکّ فی أ نّه من نجس العین أو من غیره یحکم علیه بالطهارة</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أرض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وجد فی أرض الإسلام یترتّب علیه سائر الأحکام من وجوب الدفن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حتّی لو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 نّه من الإنسان ولم یعلم أ نّه من کافر أو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3273_134887"/>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المطروح إن لم یعلم أ نّه من الحیوان الّذی له نفس أو من غیره کالسمک مثلاً محکوم بالطهارة</w:t>
      </w:r>
      <w:r>
        <w:rPr>
          <w:rFonts w:eastAsia="IRNazanin" w:cs="IRNazanin"/>
          <w:color w:val="111111"/>
          <w:sz w:val="28"/>
          <w:szCs w:val="28"/>
          <w:rtl w:val="true"/>
          <w:lang w:bidi="fa-IR"/>
        </w:rPr>
        <w:t>.</w:t>
      </w:r>
    </w:p>
    <w:p>
      <w:pPr>
        <w:pStyle w:val="Heading3"/>
        <w:numPr>
          <w:ilvl w:val="2"/>
          <w:numId w:val="1"/>
        </w:numPr>
        <w:rPr/>
      </w:pPr>
      <w:bookmarkStart w:id="121" w:name="__RefHeading___Toc1666430_2322387425"/>
      <w:bookmarkStart w:id="122" w:name="_Toc43"/>
      <w:bookmarkEnd w:id="121"/>
      <w:r>
        <w:rPr>
          <w:rtl w:val="true"/>
        </w:rPr>
        <w:t>بیع المیتة</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w:t>
      </w:r>
      <w:r>
        <w:rPr>
          <w:rStyle w:val="FootnoteAnchor"/>
          <w:rtl w:val="true"/>
        </w:rPr>
        <w:footnoteReference w:id="160"/>
      </w:r>
      <w:r>
        <w:rPr>
          <w:rFonts w:ascii="IRNazanin" w:hAnsi="IRNazanin" w:eastAsia="IRNazanin"/>
          <w:color w:val="111111"/>
          <w:sz w:val="28"/>
          <w:sz w:val="28"/>
          <w:szCs w:val="28"/>
          <w:rtl w:val="true"/>
          <w:lang w:bidi="fa-IR"/>
        </w:rPr>
        <w:t>بیع المیتة</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ببیع میتة ما لا نفس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فیما له نفس، وأمّا ما لا نفس له فالأقوی جواز بیعه إذا کان له منفعة محلّلة عقلائیّة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النجسة إذا کانت منفعتها مشروطة بالطهارة، ولا ینبغی ترک الاحتیاط فی غیر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فیما لا منفعة معتدّ لها، وعلی الأحوط فیما لو کانت لها منفعة معتدّة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ما إذا کانت لها منفعة محلّلة مقصودة، وإلاّ فالظاهر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النجسة، کما هو المفروض، وأمّا بیع میتة ما لا نفس له فلا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 فیما إذا کانت محکومة بالنجاسة، واستحباباً 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النجسة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123" w:name="__RefHeading___Toc1666432_2322387425"/>
      <w:bookmarkStart w:id="124" w:name="_Toc44"/>
      <w:bookmarkEnd w:id="123"/>
      <w:r>
        <w:rPr>
          <w:rtl w:val="true"/>
        </w:rPr>
        <w:t>الانتفاع بالمیتة</w:t>
      </w:r>
      <w:bookmarkEnd w:id="124"/>
    </w:p>
    <w:p>
      <w:pPr>
        <w:pStyle w:val="BookText"/>
        <w:rPr/>
      </w:pPr>
      <w:r>
        <w:rPr>
          <w:rFonts w:ascii="Amiri" w:hAnsi="Amiri" w:eastAsia="Amiri" w:cs="Amiri"/>
          <w:color w:val="111111"/>
          <w:sz w:val="28"/>
          <w:sz w:val="28"/>
          <w:szCs w:val="28"/>
          <w:rtl w:val="true"/>
          <w:lang w:bidi="ar-SA"/>
        </w:rPr>
        <w:t>لکنّ الأقوی</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هنا لا یلائم ما سیذکره فی حکم الأوانی من الأمر بالاحتیاط اللازم بترک استعمال المیتة فی غیر ما یشترط فیه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w:t>
      </w:r>
      <w:bookmarkStart w:id="125" w:name="pg13273_134888"/>
    </w:p>
    <w:p>
      <w:pPr>
        <w:pStyle w:val="BookText"/>
        <w:rPr/>
      </w:pPr>
      <w:bookmarkEnd w:id="125"/>
      <w:r>
        <w:rPr>
          <w:rFonts w:ascii="IRNazanin" w:hAnsi="IRNazanin" w:eastAsia="IRNazanin"/>
          <w:color w:val="111111"/>
          <w:sz w:val="28"/>
          <w:sz w:val="28"/>
          <w:szCs w:val="28"/>
          <w:rtl w:val="true"/>
          <w:lang w:bidi="fa-IR"/>
        </w:rPr>
        <w:t>الانتفاع</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لا یخلو العدم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کسدّ الساقیة، والإحراق فی الکورة، لا الانتفاعات المتعارفة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فیما لا یشترط فیه الطهارة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مثل تسمید الزرع وإطعام کلب الماشیة وجوارح الطیر، وأمّا الانتفاعات الشخصیّة کعلاج الجراحات والتدهین بها فمحلّ إشکال لا یُترک الاحتیاط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666434_2322387425"/>
      <w:bookmarkStart w:id="127" w:name="_Toc45"/>
      <w:bookmarkEnd w:id="126"/>
      <w:r>
        <w:rPr>
          <w:rtl w:val="true"/>
        </w:rPr>
        <w:t>الخامس</w:t>
      </w:r>
      <w:r>
        <w:rPr>
          <w:rtl w:val="true"/>
        </w:rPr>
        <w:t xml:space="preserve">: </w:t>
      </w:r>
      <w:r>
        <w:rPr>
          <w:rtl w:val="true"/>
        </w:rPr>
        <w:t>الدم</w:t>
      </w:r>
      <w:bookmarkEnd w:id="12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من کلّ ما له نفس سائلة</w:t>
      </w:r>
      <w:r>
        <w:rPr>
          <w:rStyle w:val="FootnoteAnchor"/>
          <w:rtl w:val="true"/>
        </w:rPr>
        <w:footnoteReference w:id="164"/>
      </w:r>
      <w:r>
        <w:rPr>
          <w:rFonts w:ascii="Amiri" w:hAnsi="Amiri" w:eastAsia="Amiri" w:cs="Amiri"/>
          <w:color w:val="111111"/>
          <w:sz w:val="28"/>
          <w:sz w:val="28"/>
          <w:szCs w:val="28"/>
          <w:rtl w:val="true"/>
          <w:lang w:bidi="ar-SA"/>
        </w:rPr>
        <w:t>، إنساناً أو غیره، کبیراً أو صغیراً، قلیلاً کان</w:t>
      </w:r>
      <w:r>
        <w:rPr>
          <w:rStyle w:val="FootnoteAnchor"/>
          <w:rtl w:val="true"/>
        </w:rPr>
        <w:footnoteReference w:id="165"/>
      </w:r>
      <w:r>
        <w:rPr>
          <w:rFonts w:ascii="IRNazanin" w:hAnsi="IRNazanin" w:eastAsia="IRNazanin"/>
          <w:color w:val="111111"/>
          <w:sz w:val="28"/>
          <w:sz w:val="28"/>
          <w:szCs w:val="28"/>
          <w:rtl w:val="true"/>
          <w:lang w:bidi="fa-IR"/>
        </w:rPr>
        <w:t>الدم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دم ما لا نفس له فطاهر</w:t>
      </w:r>
      <w:r>
        <w:rPr>
          <w:rStyle w:val="FootnoteAnchor"/>
          <w:rtl w:val="true"/>
        </w:rPr>
        <w:footnoteReference w:id="166"/>
      </w:r>
      <w:r>
        <w:rPr>
          <w:rFonts w:ascii="IRNazanin" w:hAnsi="IRNazanin" w:eastAsia="IRNazanin"/>
          <w:color w:val="111111"/>
          <w:sz w:val="28"/>
          <w:sz w:val="28"/>
          <w:szCs w:val="28"/>
          <w:rtl w:val="true"/>
          <w:lang w:bidi="fa-IR"/>
        </w:rPr>
        <w:t>، کبیراً کان أو صغیراً، کالسمک والبقّ والبرغوث، وکذا</w:t>
      </w:r>
      <w:r>
        <w:rPr>
          <w:rStyle w:val="FootnoteAnchor"/>
          <w:rtl w:val="true"/>
        </w:rPr>
        <w:footnoteReference w:id="167"/>
      </w:r>
      <w:r>
        <w:rPr>
          <w:rFonts w:ascii="IRNazanin" w:hAnsi="IRNazanin" w:eastAsia="IRNazanin"/>
          <w:color w:val="111111"/>
          <w:sz w:val="28"/>
          <w:sz w:val="28"/>
          <w:szCs w:val="28"/>
          <w:rtl w:val="true"/>
          <w:lang w:bidi="fa-IR"/>
        </w:rPr>
        <w:t xml:space="preserve">ما کان من غیر </w:t>
      </w:r>
    </w:p>
    <w:p>
      <w:pPr>
        <w:pStyle w:val="BookText"/>
        <w:rPr/>
      </w:pPr>
      <w:r>
        <w:rPr>
          <w:rFonts w:ascii="IRNazanin" w:hAnsi="IRNazanin" w:eastAsia="IRNazanin"/>
          <w:color w:val="111111"/>
          <w:sz w:val="28"/>
          <w:sz w:val="28"/>
          <w:szCs w:val="28"/>
          <w:rtl w:val="true"/>
          <w:lang w:bidi="fa-IR"/>
        </w:rPr>
        <w:t>الحیوان، کالموجود تحت الأحجار</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الدم النازل من السماء آیة لموسی علیه‌السلام ، أو الدم المصنوع فی زماننا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قتل سیّد الشهداء أرواحنا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ویستثنی من دم الحیوان، المتخلّف</w:t>
      </w:r>
      <w:r>
        <w:rPr>
          <w:rStyle w:val="FootnoteAnchor"/>
          <w:rtl w:val="true"/>
        </w:rPr>
        <w:footnoteReference w:id="169"/>
      </w:r>
      <w:r>
        <w:rPr>
          <w:rFonts w:ascii="IRNazanin" w:hAnsi="IRNazanin" w:eastAsia="IRNazanin"/>
          <w:color w:val="111111"/>
          <w:sz w:val="28"/>
          <w:sz w:val="28"/>
          <w:szCs w:val="28"/>
          <w:rtl w:val="true"/>
          <w:lang w:bidi="fa-IR"/>
        </w:rPr>
        <w:t>فی الذبیحة بعد خروج المتعارف</w:t>
      </w:r>
      <w:r>
        <w:rPr>
          <w:rStyle w:val="FootnoteAnchor"/>
          <w:rtl w:val="true"/>
        </w:rPr>
        <w:footnoteReference w:id="170"/>
      </w:r>
      <w:r>
        <w:rPr>
          <w:rFonts w:ascii="IRNazanin" w:hAnsi="IRNazanin" w:eastAsia="IRNazanin"/>
          <w:color w:val="111111"/>
          <w:sz w:val="28"/>
          <w:sz w:val="28"/>
          <w:szCs w:val="28"/>
          <w:rtl w:val="true"/>
          <w:lang w:bidi="fa-IR"/>
        </w:rPr>
        <w:t>، سواء کان فی العروق أو فی اللحم أو فی القلب أو الکبد، فإنّه طاهر</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الاجتناب عمّا یتخلّف فی الأجزاء الغیر مأکولة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إذا رجع دم المذبح إلی الجوف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لردّ النفس، أو لکون رأس الذبیحة فی علوّ کان نجساً، ویشترط فی طهارة المتخلّف أن یکون</w:t>
      </w:r>
    </w:p>
    <w:p>
      <w:pPr>
        <w:pStyle w:val="BookText"/>
        <w:rPr/>
      </w:pPr>
      <w:r>
        <w:rPr>
          <w:rFonts w:ascii="IRNazanin" w:hAnsi="IRNazanin" w:eastAsia="IRNazanin"/>
          <w:color w:val="111111"/>
          <w:sz w:val="28"/>
          <w:sz w:val="28"/>
          <w:szCs w:val="28"/>
          <w:rtl w:val="true"/>
          <w:lang w:bidi="fa-IR"/>
        </w:rPr>
        <w:t>ممّا یوءکل لحمه</w:t>
      </w:r>
      <w:r>
        <w:rPr>
          <w:rStyle w:val="FootnoteAnchor"/>
          <w:rtl w:val="true"/>
        </w:rPr>
        <w:footnoteReference w:id="172"/>
      </w:r>
      <w:r>
        <w:rPr>
          <w:rFonts w:ascii="IRNazanin" w:hAnsi="IRNazanin" w:eastAsia="IRNazanin"/>
          <w:color w:val="111111"/>
          <w:sz w:val="28"/>
          <w:sz w:val="28"/>
          <w:szCs w:val="28"/>
          <w:rtl w:val="true"/>
          <w:lang w:bidi="fa-IR"/>
        </w:rPr>
        <w:t>علی الأحوط</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ذکره، وکذا لا ینبغی ترکه فی المتخلّف فی الأجزاء المحرّمة من المأکول، کالطحال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فالمتخلّف من غیر المأکول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فی الجزء الغیر مأکول من المأکول کالطحال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المتخلّف فی أجزاء الغیر مأکول، کالمتخلّف فی البیضة والطحال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الأحوط إلحاق ما تخلّف فی الجزء غیر المأکول من المأکول به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المتخلّف فی الجزء غیر المأکول کالطحال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المتخلّف فی الجزء الغیر مأکول من مأکول اللحم کالطحال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المتخلّف فی جزء غیر مأکول من الذبیحة کالطحال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نجس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الأحوط الاجتناب من المتخلّف فی الجزء الغیر مأکول من مأکول اللحم کالطحال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المتخلّف فی الجزء الغیر مأکول من مأکول اللحکم کالطحال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الجزء الغیر مأکول من مأکول اللحم، کالطحال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العلقة المستحیلة من المنی نجسة</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محمّد رضا الگلپایگانی، مفتی الشیعة،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کانت طهارته فی العلقة الّتی فی البیض لا تخلو من رجحان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فیها وفی العلقة فی البیض، بل ونقطة الدم الموجودة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فیها وفیما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فیها وفیما بعدها، بل طهارة ما فی البیض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إنسان کان أو من غیره، حتّی العلقة فی البیض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الأقرب طهارتها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هذا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رعایة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الاجتناب عن النقطة من الدم الّذی یوجد فی البیض، لکن إذا کانت فی الصفار وعلیه جلدة رقیقة لا ینجس معه البیاض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 إذا تمزَّقت الجلدة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المتخلّف فی الذبیحة وإن کان طاهراً لکنّه حرام</w:t>
      </w:r>
      <w:r>
        <w:rPr>
          <w:rStyle w:val="FootnoteAnchor"/>
          <w:rtl w:val="true"/>
        </w:rPr>
        <w:footnoteReference w:id="175"/>
      </w:r>
      <w:r>
        <w:rPr>
          <w:rFonts w:ascii="IRNazanin" w:hAnsi="IRNazanin" w:eastAsia="IRNazanin"/>
          <w:color w:val="111111"/>
          <w:sz w:val="28"/>
          <w:sz w:val="28"/>
          <w:szCs w:val="28"/>
          <w:rtl w:val="true"/>
          <w:lang w:bidi="fa-IR"/>
        </w:rPr>
        <w:t>، إلاّ ما کان فی اللحم</w:t>
      </w:r>
      <w:r>
        <w:rPr>
          <w:rStyle w:val="FootnoteAnchor"/>
          <w:rtl w:val="true"/>
        </w:rPr>
        <w:footnoteReference w:id="176"/>
      </w:r>
      <w:r>
        <w:rPr>
          <w:rFonts w:ascii="Amiri" w:hAnsi="Amiri" w:eastAsia="Amiri" w:cs="Amiri"/>
          <w:color w:val="111111"/>
          <w:sz w:val="28"/>
          <w:sz w:val="28"/>
          <w:szCs w:val="28"/>
          <w:rtl w:val="true"/>
          <w:lang w:bidi="ar-SA"/>
        </w:rPr>
        <w:t>ممّا یعدُّ جزءاً منه</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تابعاً له وإن لم یستهلک بالکلّیة، ویکفی فی ذلک جریان سیرة المتشرّعة علی عدم التجنّب فی الکبد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الأبیض ـ إذا فرض العلم</w:t>
      </w:r>
      <w:r>
        <w:rPr>
          <w:rStyle w:val="FootnoteAnchor"/>
          <w:rtl w:val="true"/>
        </w:rPr>
        <w:footnoteReference w:id="178"/>
      </w:r>
      <w:r>
        <w:rPr>
          <w:rFonts w:ascii="IRNazanin" w:hAnsi="IRNazanin" w:eastAsia="IRNazanin"/>
          <w:color w:val="111111"/>
          <w:sz w:val="28"/>
          <w:sz w:val="28"/>
          <w:szCs w:val="28"/>
          <w:rtl w:val="true"/>
          <w:lang w:bidi="fa-IR"/>
        </w:rPr>
        <w:t>بکونه دماً ـ نجس</w:t>
      </w:r>
      <w:r>
        <w:rPr>
          <w:rStyle w:val="FootnoteAnchor"/>
          <w:rtl w:val="true"/>
        </w:rPr>
        <w:footnoteReference w:id="179"/>
      </w:r>
      <w:r>
        <w:rPr>
          <w:rFonts w:ascii="IRNazanin" w:hAnsi="IRNazanin" w:eastAsia="IRNazanin"/>
          <w:color w:val="111111"/>
          <w:sz w:val="28"/>
          <w:sz w:val="28"/>
          <w:szCs w:val="28"/>
          <w:rtl w:val="true"/>
          <w:lang w:bidi="fa-IR"/>
        </w:rPr>
        <w:t xml:space="preserve">، کما فی خبر فصد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ح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إتیان الخبر من باب الاستشهاد علی نجاسته خلاف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إذا صبّ علیه دواء غیّر لونه إلی البیاض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الّذی قد یوجد فی اللبن عند الحلب نجس ومنجّس للّبن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الّذی یخرج من بطن المذبوح ویکون ذکاته بذکاة اُمّه تمام دمه طاهر</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ولکنّه لا یخلو من</w:t>
      </w:r>
    </w:p>
    <w:p>
      <w:pPr>
        <w:pStyle w:val="BookText"/>
        <w:rPr/>
      </w:pPr>
      <w:r>
        <w:rPr>
          <w:rFonts w:ascii="IRNazanin" w:hAnsi="IRNazanin" w:eastAsia="IRNazanin"/>
          <w:color w:val="111111"/>
          <w:sz w:val="28"/>
          <w:sz w:val="28"/>
          <w:szCs w:val="28"/>
          <w:rtl w:val="true"/>
          <w:lang w:bidi="fa-IR"/>
        </w:rPr>
        <w:t>إشکال</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شمول معقد إجماع الدم المتخلّف فی الذبیحة لمثله تأمّل؛ لانصرافه إلی ما یبقی بعضه ویراق بعضه بالذبح، کالإشکال فی الدم المتخلّف فی الصید، والتسریة بالمناط فیه، فیه تأمّل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أحمد الخونساری،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الإشکال فیه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الاجتناب فی غیر ما یُعدّ جزءاً من بدنه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الاجتناب بالنسبة إلی غیر ما یبقی فی لحمه وعروقه بعد الذبح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لزوماً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الدم الّذی یکون فی المتخلّف فی غیر أوداجه الأربعة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الاجتناب، إلاّ فی الدم الّذی یعدّ جزءاً من لحمه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الإشکال فیه قویّ من جهة شمول ما دلّ علی نجاسة دم هذا الحیوان، فلا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 الّذی ذکاته بآلة الصید فی طهارة ما تخلّف فیه بعد خروج روحه إشکال</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فیما کان فی لحمه وعروقه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فیما کان فی لحمه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یخرج منه الدم بالمقدار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فی أوداجه الأربعة، لا فی مثل لحمه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بالاجتناب عن غیر ما یعدّ جزءاً من لحمه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کسابقه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لا یخلو عن 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البجنوردی،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إن خرج منه الدم بمقدار یتعارف خروجه من الذبیحة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لإطلاق أدلّة حلّیة الصید بالآلة، سواء خرج منه الدم المتعارف أو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ما خرج منه، فلا إشکال فی نجاسته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المشکوک فی کونه من الحیوان أو لا محکوم بالطهارة</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سبق کونه من ذی النفس، وکذا فی الفرع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بالنجاسة؛ لکون الدم مطلقاً نجساً، إلاّ ما خرج بالدلیل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أنّ الشیء الأحمر الّذی یشکّ فی أ نّه دم أم لا کذلک، وکذا إذا علم أ نّه من الحیوان الفلانی، ولکن لا یعلم أ نّه ممّا له نفس أم لا، کدم الحیّة والتمساح، وکذا إذا لم یعلم أ نّه دم شاة أو سمک، فإذا رأی فی ثوبه دماً لا یدری أ نّه منه أو من البقّ أو البرغوث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لفظه أو دفعه بعد انفصاله عن مصّ دم ذی النفس کالإنسان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فیما صار جزءاً لهما، وأمّا إذا علم أ نّه علی فرض کونه من البقّ لم یَستحِل فلابدّ من الاجتناب عنه إذا کان من ذی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یحکم بالطهارة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بأنّه علی تقدیر کونه من البقّ أو البرغوث أو نحوهما من غیر ذی النفس ممّا انتقل إلی واحدة منها من ذی النفس وخرج منه قبل عدّه جزءاً منه، وإلاّ فالاحوط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 أ نّه کان منه وشکّ فی انتقاله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العلم بأنّه علی فرض کونه من البقّ لم یستحل بعد ویکون من ذی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وأمّا الدم</w:t>
      </w:r>
    </w:p>
    <w:p>
      <w:pPr>
        <w:pStyle w:val="BookText"/>
        <w:rPr/>
      </w:pPr>
      <w:r>
        <w:rPr>
          <w:rFonts w:ascii="Amiri" w:hAnsi="Amiri" w:eastAsia="Amiri" w:cs="Amiri"/>
          <w:color w:val="111111"/>
          <w:sz w:val="28"/>
          <w:sz w:val="28"/>
          <w:szCs w:val="28"/>
          <w:rtl w:val="true"/>
          <w:lang w:bidi="ar-SA"/>
        </w:rPr>
        <w:t>المتخلّف</w:t>
      </w:r>
      <w:r>
        <w:rPr>
          <w:rStyle w:val="FootnoteAnchor"/>
          <w:rtl w:val="true"/>
        </w:rPr>
        <w:footnoteReference w:id="185"/>
      </w:r>
      <w:r>
        <w:rPr>
          <w:rFonts w:ascii="IRNazanin" w:hAnsi="IRNazanin" w:eastAsia="IRNazanin"/>
          <w:color w:val="111111"/>
          <w:sz w:val="28"/>
          <w:sz w:val="28"/>
          <w:szCs w:val="28"/>
          <w:rtl w:val="true"/>
          <w:lang w:bidi="fa-IR"/>
        </w:rPr>
        <w:t>فی الذبیحة إذا شکّ فی أ نّه من القسم الطاهر</w:t>
      </w:r>
      <w:r>
        <w:rPr>
          <w:rStyle w:val="FootnoteAnchor"/>
          <w:rtl w:val="true"/>
        </w:rPr>
        <w:footnoteReference w:id="186"/>
      </w:r>
      <w:r>
        <w:rPr>
          <w:rFonts w:ascii="IRNazanin" w:hAnsi="IRNazanin" w:eastAsia="IRNazanin"/>
          <w:color w:val="111111"/>
          <w:sz w:val="28"/>
          <w:sz w:val="28"/>
          <w:szCs w:val="28"/>
          <w:rtl w:val="true"/>
          <w:lang w:bidi="fa-IR"/>
        </w:rPr>
        <w:t>أو النجس</w:t>
      </w:r>
      <w:r>
        <w:rPr>
          <w:rStyle w:val="FootnoteAnchor"/>
          <w:rtl w:val="true"/>
        </w:rPr>
        <w:footnoteReference w:id="187"/>
      </w:r>
      <w:r>
        <w:rPr>
          <w:rFonts w:ascii="IRNazanin" w:hAnsi="IRNazanin" w:eastAsia="IRNazanin"/>
          <w:color w:val="111111"/>
          <w:sz w:val="28"/>
          <w:sz w:val="28"/>
          <w:szCs w:val="28"/>
          <w:rtl w:val="true"/>
          <w:lang w:bidi="fa-IR"/>
        </w:rPr>
        <w:t>، فالظاهر</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شکّ فی خروج ما یتعارف خروجه من الدم، فالأحوط بل الأقوی الحکم بالنجاسة، وإذا علم بخروج ما یتعارف خروجه من الدم فالظاهر الحکم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بنجاسته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الحکم بطهارته بناءً علی طهارة المتخلّف؛ لأصالتها، ولا یجری الاستصحاب فی نحو الفرض علی الأظهر، ولولا ذلک لأشکل الحکم فیما قبله أیضاً، وما أشار إلیه من التفصیل ضعیف غایته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شکّ بعد خروج الدم المعتاد فی کون دم خاصّ منه أو من المتخلّف فالظاهر أ نّه محکوم بالطهارة، نعم إذا شکّ فی خروج ما یعتاد خروجه فهو محکوم بالنجاسة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شکّ فی خروج ما یعتاد خروجه فهو الأحوط، ولا فرق حینئذٍ بین الصورتین، والتفصیل ضعیف، أمّا لو تردّد دم معیّن بعد خروج المعتاد بین أن یکون من الخارج أو من المعتاد فالحکم بطهارته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الحکم بطهارته، والاُصول المذکورة غیر ثابتة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کلتا صورتی التفصیل؛ لأنّ أصالة عدم الردّ أصل مثبت وأصالة عدم خروج المقدار المتعارف وکذا استصحاب النجاسة غیر خالٍ من المناقشة، فالمرجع وإن کان حینئذٍ قاعدة الطهارة إلاّ أنّ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بطهارته، والاُصول الّتی تمسّک بها لا أصل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الشکّ فی خروج ما یعتاد فالأحوط هو الحکم بالنجاسة، وأمّا إن کان الشکّ بعد خروج ما هو المعتاد بین کون الدم من الخارج أو المتخلّف فالحکم بالطهارة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بالاجتناب إن شکّ فی خروج الدم المعتاد وعدمه بلا فرق بین الصورتین، نعم لو علم بخروج الدم المعتاد وشکّ فی دم معیّن أ نّه من المتخلّف أو لا لا یبعد الحکم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جریان قاعدة الطهارة فی جمیع الصور المذکورة، لکنّ الأحوط الاجتناب فیما کان منشأ الشکّ خروج المقدار المتعارف من الدم عند الذبح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الحکم بطهارته إذا شکّ فی دم معیّن، بعد خروج ما هو المعتاد المتعارف، أ نّه من المعتاد أو من المتخلّف؛ لعدم جریان الاُصول المذکورة، وأمّا إذا شکّ فی خروج ما یتعارف ویعتاد من الدم وکان الشکّ ناشئاً من الشکّ فی الخروج، فلا یبعد الحکم بطهارته؛ للمناقشة فی الاُصول المذکورة، ولکنّ الاحتیاط اللازم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طهارته عملاً بقاعدة الطهارة، إلاّ إذا کان الحیوان محکوماً بعدم التذکیة ولو من جهة عدم إحراز خروج الدم المعتبر خروجه فی تحقّقها، ومجرّد کون رأس الذبیحة علی علوّ لا یمنع من خروجه، فالتفصیل الآتی لا وجه 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بالاستصحاب</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بالعامّ بعد کون المقام من باب الشکّ فی مصداق المخصّص اللبّی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شکّ فی خروج ما یعتاد خروجه فالأحوط الاجتناب، وأمّا لو تردّد دم معیّن بعد خروج المعتاد بین أن یکون من الخارج أو المتخلّف فالأقوی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عملاً بعموم ما دلّ علی نجاسة الدم، والمخصّص له 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استصحاب نجاسة الدم قبل التذکیة، ویشکل بأنّ الدم لم تثبت نجاسته ما دام فی الباطن کسائر النجاسات، وأمّا أصالة عدم خروج المقدار المتعارف، فیشکل بأنّ خروج المقدار المتعارف لم یذکر شرطاً فی الأدلّة، غایة الأمر أنّ المسفوح نجس والباقی طاهر، فلیس للخروج أثر شرعی إلاّ بالواسطة، کما أنّ أصالة عدم الردّ کذلک؛ إذ لا أثر شرعیّ للردّ، فهو من الاُصول المثبتة، فالمرجع قاعدة الطهارة فی جمیع الصور، ولکن لا یُترک الاحتیاط فیما شکّ فی خروج المقدار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الاعتماد علی الاستصحاب غیر سدید، سواء کان المستصحب نجاسة الدم قبل التذکیة أم عدم ردّ النفس، أم عدم خروج المقدار المتعارف، أم غیرها من الوجوه المحتملة؛ إذ بعضها لا حالة سابقة له، وبعضها یستلزم القول بالمثبت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والأقرب الطهارة، نعم مع الشکّ فی خروج المقدار المتعارف فالأحوط الاجتناب عن المتخلّف فضلاً عن مشکوکه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صحیح بناءً علی نجاسة الدم فی الباطن وکان الشکّ فی خروج الدم بالمقدار المعتاد، لکن فی المبنی إشکال، 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استصحاب نجاسة الدم قبل التذکیة، لکن فیه إشکال من جهة عدم ثبوت نجاسته ما دام فی الباطن، کالبول وغیره من النجاسات فلا یقین بنجاسته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مراده من الاستصحاب هو استصحاب بقاء الدم علی النجاسة، مع أ نّه لا مجال له؛ لعدم ثبوت النجاسة فی الزمان السابق، والأصلان المذکوران فی التفصیل کلاهما مثبتان لا یجریان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لا یخلو من</w:t>
      </w:r>
    </w:p>
    <w:p>
      <w:pPr>
        <w:pStyle w:val="BookText"/>
        <w:rPr/>
      </w:pPr>
      <w:r>
        <w:rPr>
          <w:rFonts w:ascii="IRNazanin" w:hAnsi="IRNazanin" w:eastAsia="IRNazanin"/>
          <w:color w:val="111111"/>
          <w:sz w:val="28"/>
          <w:sz w:val="28"/>
          <w:szCs w:val="28"/>
          <w:rtl w:val="true"/>
          <w:lang w:bidi="fa-IR"/>
        </w:rPr>
        <w:t>إشکال</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الیقین السابق بنجاسته، کما أنّ جریان الاستصحاب فی الصورتین الأخیرتین ممنوع؛ إلاّ علی الأصل المثبت فتجری قاعدة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وجهه فی نظره عدم إحراز اتّصال زمان الیقین بالشکّ، وهو وإن کان کذلک ویشکل الجریان ولو بناءً علی نجاسة الدم فی الباطن، لکن من جهة احتمال وجود الإطلاق وکون المخصّص لبّیاً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أشرنا إلی وجوهه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الحکم بالنجاسة فیما إذا کان الشکّ ناشئاً من الشکّ فی خروج الدم بالمقدار المعتاد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وجه للإشکال فی النجاسة، فإنّ مقتضی الاستصحاب عدم صدق عنوان المتخلّف علی المشکوک فیه، والتسبّب فی المقام لا أثر له؛ لعدم کونه شرعیّاً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ویحتمل التفصیل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ومرجعه إلی أنَّ الشکّ إمّا أن یکون فی زوال الطهارة بعد إحراز عنوان المتخلّف بسبب ما فلا یعتنی به، وإمّا أن یکون فی حصول هذا العنوان، فالمرجع الإطلاق إن قلنا به، أو استصحاب النجاسة وإن کان التعلیقی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ومستند الحکم بالطهارة فی الفرض الأوّل لیس هو أصالة عدم الردّ؛ لأ نّها مثبتة، بل أصالة الطهارة بعد ما لا دلیل علی نجاسة ما فی الباطن کی یجری استصحاب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لعدم الفرق بین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ما إذا کان الشکّ من جهة احتمال ردّ</w:t>
      </w:r>
    </w:p>
    <w:p>
      <w:pPr>
        <w:pStyle w:val="BookText"/>
        <w:rPr/>
      </w:pPr>
      <w:r>
        <w:rPr>
          <w:rFonts w:ascii="IRNazanin" w:hAnsi="IRNazanin" w:eastAsia="IRNazanin"/>
          <w:color w:val="111111"/>
          <w:sz w:val="28"/>
          <w:sz w:val="28"/>
          <w:szCs w:val="28"/>
          <w:rtl w:val="true"/>
          <w:lang w:bidi="fa-IR"/>
        </w:rPr>
        <w:t>النفس فیحکم بالطهارة؛ لأصالة عدم الردّ</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الأصل لیس بحجّة؛ لکونه مثبتاً، نعم لا یبعد الحکم بالطهارة لقاعدة الطهارة؛ لعدم جریان الأصل السببی من أصالة عدم خروج المقدار المتعارف فی هذا الشقّ من التفصیل، وعدم جریان استصحاب نجاسته قبل الذبح؛ لعدم ثبوت نجاسته ما دام فی الباطن، کما أشار إلیه فی المتن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عدم ترتّب الأثر الشرعی له أ نّه من الاُصول المثبتة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وبین ما کان لأجل احتمال کون رأسه علی علوٍّ فیحکم بالنجاسة؛ عملاً بأصالة عدم خروج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المقدار المتعارف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الجرح أو الدُمّل شیء أصفر یشکّ فی أ نّه دم أم لا محکوم بالطهارة، وکذا إذا شکّ من جهة الظلمة</w:t>
      </w:r>
      <w:r>
        <w:rPr>
          <w:rStyle w:val="FootnoteAnchor"/>
          <w:rtl w:val="true"/>
        </w:rPr>
        <w:footnoteReference w:id="192"/>
      </w:r>
      <w:r>
        <w:rPr>
          <w:rFonts w:ascii="IRNazanin" w:hAnsi="IRNazanin" w:eastAsia="IRNazanin"/>
          <w:color w:val="111111"/>
          <w:sz w:val="28"/>
          <w:sz w:val="28"/>
          <w:szCs w:val="28"/>
          <w:rtl w:val="true"/>
          <w:lang w:bidi="fa-IR"/>
        </w:rPr>
        <w:t xml:space="preserve">أ نّه دم أم قیح، </w:t>
      </w:r>
    </w:p>
    <w:p>
      <w:pPr>
        <w:pStyle w:val="BookText"/>
        <w:rPr/>
      </w:pPr>
      <w:r>
        <w:rPr>
          <w:rFonts w:ascii="IRNazanin" w:hAnsi="IRNazanin" w:eastAsia="IRNazanin"/>
          <w:color w:val="111111"/>
          <w:sz w:val="28"/>
          <w:sz w:val="28"/>
          <w:szCs w:val="28"/>
          <w:rtl w:val="true"/>
          <w:lang w:bidi="fa-IR"/>
        </w:rPr>
        <w:t>ولا یجب علیه الاستعلام</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عدم وجوب الاستعلام إذا کان الشکّ لظلمة ونحوها؛ فإنّ الشکّ فی مثلها غیر معلوم 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کلام فی عدم وجوب الفحص فی الشبهات الموضوعیّة إذا صدق فیها عنوان الشکّ وعدم العلم، ولکن لا یبعد وجوب الفحص والاستعلام فی مثل الظلمة وأمثالها من الموارد الّتی یکون الاستعلام فیها أمراً بسیطاً جدّاً بحیث لا یحتاج إلی عمل زائد یرفع به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 جسده فخرجت رطوبة یشکّ فی أ نّها دم أو ماء أصفر، یحکم علیها بالطهارة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الأصفر الّذی ینجمد علی الجرح عند البُرء طاهر؛ إلاّ إذا علم کونه دماً أو مخلوطاً به فإنّه نجس، إلاّ إذا استحال جلداً </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شیئاً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المراق فی الأمراق حال غلیانها نجس منجّس وإن کان قلیلاً مستهلکاً، والقول</w:t>
      </w:r>
      <w:r>
        <w:rPr>
          <w:rStyle w:val="FootnoteAnchor"/>
          <w:rtl w:val="true"/>
        </w:rPr>
        <w:footnoteReference w:id="195"/>
      </w:r>
      <w:r>
        <w:rPr>
          <w:rFonts w:ascii="IRNazanin" w:hAnsi="IRNazanin" w:eastAsia="IRNazanin"/>
          <w:color w:val="111111"/>
          <w:sz w:val="28"/>
          <w:sz w:val="28"/>
          <w:szCs w:val="28"/>
          <w:rtl w:val="true"/>
          <w:lang w:bidi="fa-IR"/>
        </w:rPr>
        <w:t>بطهارته بالنار لروایة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 ح</w:t>
      </w:r>
      <w:r>
        <w:rPr>
          <w:rFonts w:eastAsia="IRNazanin" w:cs="IRNazanin"/>
          <w:color w:val="111111"/>
          <w:sz w:val="28"/>
          <w:szCs w:val="28"/>
          <w:lang w:bidi="fa-IR"/>
        </w:rPr>
        <w:t>8</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سنداً، وهی روایة زکریا بن آدم عن الرضا علیه‌السلام ، ولکن فی المقام روایة صحیحة أیضاً، وهی صحیحة سعید الأعرج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الأطعمة المحرمة،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علی التقیّة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ضعف فی بعض الروایات الدالّة علی الطهارة، وقد عمل بها جمع من القدماء، ولکن لا یُترک الاحتیاط بالاجتناب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غرز إبرةً أو أدخل سکّیناً فی بدنه أو بدن حیوان، فإن لم یعلم ملاقاته للدم فی الباطن فطاهر، وإن علم ملاقاته لکنّه خرج نظیفاً </w:t>
      </w:r>
      <w:r>
        <w:rPr>
          <w:rStyle w:val="FootnoteAnchor"/>
          <w:rtl w:val="true"/>
        </w:rPr>
        <w:footnoteReference w:id="198"/>
      </w:r>
      <w:r>
        <w:rPr>
          <w:rFonts w:ascii="IRNazanin" w:hAnsi="IRNazanin" w:eastAsia="IRNazanin"/>
          <w:color w:val="111111"/>
          <w:sz w:val="28"/>
          <w:sz w:val="28"/>
          <w:szCs w:val="28"/>
          <w:rtl w:val="true"/>
          <w:lang w:bidi="fa-IR"/>
        </w:rPr>
        <w:t>فالأحوط</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التنجّس بملاقاة النجاسة فی البواطن المحضة لا یناسب ما هو المسلَّم من طهارة النواة والدود، فالأقوی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تنجّسه، والأولی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عدم التنجّس فی البواطن المحضة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کون الملاقاة فی الباطن توجب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الاجتناب</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لزومه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فیه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مضـی أنّ الملاقـاة فـی الباطــن لا توجب التنجیـس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لزوم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التنجّس، لکن 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طهارته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استهلک الــدم الخــارج من بیـن الأسنان فی ماء الفم فالظاهر طهارته</w:t>
      </w:r>
      <w:r>
        <w:rPr>
          <w:rStyle w:val="FootnoteAnchor"/>
          <w:rtl w:val="true"/>
        </w:rPr>
        <w:footnoteReference w:id="201"/>
      </w:r>
      <w:r>
        <w:rPr>
          <w:rFonts w:ascii="IRNazanin" w:hAnsi="IRNazanin" w:eastAsia="IRNazanin"/>
          <w:color w:val="111111"/>
          <w:sz w:val="28"/>
          <w:sz w:val="28"/>
          <w:szCs w:val="28"/>
          <w:rtl w:val="true"/>
          <w:lang w:bidi="fa-IR"/>
        </w:rPr>
        <w:t xml:space="preserve">، بل جواز </w:t>
      </w:r>
    </w:p>
    <w:p>
      <w:pPr>
        <w:pStyle w:val="BookText"/>
        <w:rPr/>
      </w:pPr>
      <w:r>
        <w:rPr>
          <w:rFonts w:ascii="IRNazanin" w:hAnsi="IRNazanin" w:eastAsia="IRNazanin"/>
          <w:color w:val="111111"/>
          <w:sz w:val="28"/>
          <w:sz w:val="28"/>
          <w:szCs w:val="28"/>
          <w:rtl w:val="true"/>
          <w:lang w:bidi="fa-IR"/>
        </w:rPr>
        <w:t>بلعه</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وإن کان له وجه وجیه، ولکنّ الاحتیاط بترک البلع ممّا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 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الخارج دم فی الفم فاستهلک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لزوم الاجتناب، نعم الأحوط الأولی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الاجتناب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الاجتناب،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الجواز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والأولی غسل الفم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إن لم یکن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بالمضمضة أو نحوها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المنجمد تحت الأظفار أو تحت الجلد من البدن إن </w:t>
      </w:r>
    </w:p>
    <w:p>
      <w:pPr>
        <w:pStyle w:val="BookText"/>
        <w:rPr/>
      </w:pPr>
      <w:r>
        <w:rPr>
          <w:rFonts w:ascii="IRNazanin" w:hAnsi="IRNazanin" w:eastAsia="IRNazanin"/>
          <w:color w:val="111111"/>
          <w:sz w:val="28"/>
          <w:sz w:val="28"/>
          <w:szCs w:val="28"/>
          <w:rtl w:val="true"/>
          <w:lang w:bidi="fa-IR"/>
        </w:rPr>
        <w:t>لم یستحل وصدق علیه الدم نجس</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ظهر، والحکم بتنجّس الماء الواصل إلیه ووجوب إخراجه یختصّ بما إذا عُدّ من الظواهر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ظهر بانخراق الجلد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انخرق الجلد ووصل الماء إلیه تنجّس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ویشکل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الوضوء أو الغسل، فیجب إخراجه إن لم یکن حرج، ومعه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الجبیرة لا یشمل المقام فیتعیّن التیمّم، لکنّ الاحتیاط بالجمع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یجعل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شیئاً مثل الجبیرة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یتوضّأ أو یغتسل، ویکتفی بغسل أطرافه، وأیضاً یجعل الجبیرة علیه ویمسح علیه ویتیمّم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ضمّ التیمّم إلیهما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فیتوضّأ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یغتسل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 بالتیمّم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ویتیمّم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أن یتیمّم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ضمّ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الجمع بین الوضوء بتلک الکیفیّة والتیمّم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والأظهر أنّ وظیفته التیمّم، ولا یکون المقام من موارد الوضوء أو الغسل مع الجبیرة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ویضمّ التیمّم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یتیمّم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تعیّن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علم أ نّه دم منجمد، وإن احتمل</w:t>
      </w:r>
    </w:p>
    <w:p>
      <w:pPr>
        <w:pStyle w:val="BookText"/>
        <w:rPr/>
      </w:pPr>
      <w:r>
        <w:rPr>
          <w:rFonts w:ascii="IRNazanin" w:hAnsi="IRNazanin" w:eastAsia="IRNazanin"/>
          <w:color w:val="111111"/>
          <w:sz w:val="28"/>
          <w:sz w:val="28"/>
          <w:szCs w:val="28"/>
          <w:rtl w:val="true"/>
          <w:lang w:bidi="fa-IR"/>
        </w:rPr>
        <w:t xml:space="preserve">کونه لحماً صار کالدم من جهة الرضّ، کما یکون کذلک غالباً </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الأمر بالعکس، وأنّ الغالب کونه دماً منجمداً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الغالب کذلک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الغلبة غیر معلومة، بل الدعوی کونه دماً، وکیف کان فاحتمال کونه لحماً یکفی فی 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الغلبة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طاهر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وجب إزالته مع عدم الحرج إذا عدّ من الظاهر بعد الانخراق؛ لاحتمال کونه حائلاً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 بالجمع بین الوضوء أو الغسل ـ مع وضع الخرقة وبدونها ـ وبین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الجمع فی الطهارة المائیّة بین وضع الخرقة، وبدونها ثمّ التیمّم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یتوضّأ أو یغتسل مع الجبیرة وبدونها ثمّ یتیّمم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بالاستصحاب یحرز عدم کونه دماً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3273_134907"/>
    </w:p>
    <w:p>
      <w:pPr>
        <w:pStyle w:val="Heading3"/>
        <w:numPr>
          <w:ilvl w:val="2"/>
          <w:numId w:val="1"/>
        </w:numPr>
        <w:rPr/>
      </w:pPr>
      <w:bookmarkStart w:id="129" w:name="__RefHeading___Toc1666436_2322387425"/>
      <w:bookmarkStart w:id="130" w:name="_Toc46"/>
      <w:bookmarkEnd w:id="128"/>
      <w:bookmarkEnd w:id="129"/>
      <w:r>
        <w:rPr>
          <w:rtl w:val="true"/>
        </w:rPr>
        <w:t>السادس و السابع</w:t>
      </w:r>
      <w:r>
        <w:rPr>
          <w:rtl w:val="true"/>
        </w:rPr>
        <w:t xml:space="preserve">: </w:t>
      </w:r>
      <w:r>
        <w:rPr>
          <w:rtl w:val="true"/>
        </w:rPr>
        <w:t>الکلب و الخنزیر</w:t>
      </w:r>
      <w:bookmarkEnd w:id="130"/>
    </w:p>
    <w:p>
      <w:pPr>
        <w:pStyle w:val="BookText"/>
        <w:rPr/>
      </w:pPr>
      <w:r>
        <w:rPr>
          <w:rFonts w:ascii="IRNazanin" w:hAnsi="IRNazanin" w:eastAsia="IRNazanin"/>
          <w:color w:val="111111"/>
          <w:sz w:val="28"/>
          <w:sz w:val="28"/>
          <w:szCs w:val="28"/>
          <w:rtl w:val="true"/>
          <w:lang w:bidi="fa-IR"/>
        </w:rPr>
        <w:t>السادس 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w:t>
      </w:r>
      <w:r>
        <w:rPr>
          <w:rStyle w:val="FootnoteAnchor"/>
          <w:rtl w:val="true"/>
        </w:rPr>
        <w:footnoteReference w:id="205"/>
      </w:r>
      <w:r>
        <w:rPr>
          <w:rFonts w:ascii="Amiri" w:hAnsi="Amiri" w:eastAsia="Amiri" w:cs="Amiri"/>
          <w:color w:val="111111"/>
          <w:sz w:val="28"/>
          <w:sz w:val="28"/>
          <w:szCs w:val="28"/>
          <w:rtl w:val="true"/>
          <w:lang w:bidi="ar-SA"/>
        </w:rPr>
        <w:t>والخنزیر البرّیّان</w:t>
      </w:r>
      <w:r>
        <w:rPr>
          <w:rStyle w:val="FootnoteAnchor"/>
          <w:rtl w:val="true"/>
        </w:rPr>
        <w:footnoteReference w:id="206"/>
      </w:r>
      <w:r>
        <w:rPr>
          <w:rFonts w:ascii="IRNazanin" w:hAnsi="IRNazanin" w:eastAsia="IRNazanin"/>
          <w:color w:val="111111"/>
          <w:sz w:val="28"/>
          <w:sz w:val="28"/>
          <w:szCs w:val="28"/>
          <w:rtl w:val="true"/>
          <w:lang w:bidi="fa-IR"/>
        </w:rPr>
        <w:t>دون البحریّ منهما، وکذا رطوباتهما وأجزاوءهما وإن کانت ممّا لا تحلّه الحیاة، کالشعر والعظم ونحوهما، ولو اجتمع أحدهما مع الآخر أو مع آخر</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حیوان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فتولّد منهما ولد، فإن صدق علیه اسم أحدهما تبعه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صدق علیه اسم أحد الحیوانات الاُخر، أو کان ممّا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له مثل فی الخارج کان</w:t>
      </w:r>
    </w:p>
    <w:p>
      <w:pPr>
        <w:pStyle w:val="BookText"/>
        <w:rPr/>
      </w:pPr>
      <w:r>
        <w:rPr>
          <w:rFonts w:ascii="Amiri" w:hAnsi="Amiri" w:eastAsia="Amiri" w:cs="Amiri"/>
          <w:color w:val="111111"/>
          <w:sz w:val="28"/>
          <w:sz w:val="28"/>
          <w:szCs w:val="28"/>
          <w:rtl w:val="true"/>
          <w:lang w:bidi="ar-SA"/>
        </w:rPr>
        <w:t xml:space="preserve">طاهراً </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 الاجتناب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الملفّق منهما کما أشرنا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فیما إذا عدّ المتولّد ملفّقاً منهما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وخصوصاً إذا کان المتولّد ملفّقاً منهما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إذا کان المتولّد منهما ملفّقاً منهما عرفاً، بأن کان نصف بدنه الکلب ونصفه الآخر الخنزیر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المتولّد 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یصدق علیه اسم أحد الحیوانات الطاهرة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کونه طاهراً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الاجتناب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المتولّد من أحدهما مع طاهر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إذا لم یصدق علیه اسم ذلک الطاهر، فلو نزا کلب علی شاة أو خروف علی کلبة ولم یصدق علی</w:t>
      </w:r>
      <w:bookmarkStart w:id="131" w:name="pg13273_134909"/>
    </w:p>
    <w:p>
      <w:pPr>
        <w:pStyle w:val="BookText"/>
        <w:rPr/>
      </w:pPr>
      <w:bookmarkEnd w:id="131"/>
      <w:r>
        <w:rPr>
          <w:rFonts w:ascii="Amiri" w:hAnsi="Amiri" w:eastAsia="Amiri" w:cs="Amiri"/>
          <w:color w:val="111111"/>
          <w:sz w:val="28"/>
          <w:sz w:val="28"/>
          <w:szCs w:val="28"/>
          <w:rtl w:val="true"/>
          <w:lang w:bidi="ar-SA"/>
        </w:rPr>
        <w:t>المتولّد منهما اسم الشاة، فالأحوط</w:t>
      </w:r>
      <w:r>
        <w:rPr>
          <w:rStyle w:val="FootnoteAnchor"/>
          <w:rtl w:val="true"/>
        </w:rPr>
        <w:footnoteReference w:id="209"/>
      </w:r>
      <w:r>
        <w:rPr>
          <w:rFonts w:ascii="IRNazanin" w:hAnsi="IRNazanin" w:eastAsia="IRNazanin"/>
          <w:color w:val="111111"/>
          <w:sz w:val="28"/>
          <w:sz w:val="28"/>
          <w:szCs w:val="28"/>
          <w:rtl w:val="true"/>
          <w:lang w:bidi="fa-IR"/>
        </w:rPr>
        <w:t>الاجتناب عنه، وإن لم یصدق علیه اسم الکلب</w:t>
      </w:r>
      <w:r>
        <w:rPr>
          <w:rFonts w:eastAsia="IRNazanin" w:cs="IRNazanin"/>
          <w:color w:val="111111"/>
          <w:sz w:val="28"/>
          <w:szCs w:val="28"/>
          <w:rtl w:val="true"/>
          <w:lang w:bidi="fa-IR"/>
        </w:rPr>
        <w:t>.</w:t>
      </w:r>
    </w:p>
    <w:p>
      <w:pPr>
        <w:pStyle w:val="Heading3"/>
        <w:numPr>
          <w:ilvl w:val="2"/>
          <w:numId w:val="1"/>
        </w:numPr>
        <w:rPr/>
      </w:pPr>
      <w:bookmarkStart w:id="132" w:name="__RefHeading___Toc1666438_2322387425"/>
      <w:bookmarkStart w:id="133" w:name="_Toc47"/>
      <w:bookmarkEnd w:id="132"/>
      <w:r>
        <w:rPr>
          <w:rtl w:val="true"/>
        </w:rPr>
        <w:t>الثامن</w:t>
      </w:r>
      <w:r>
        <w:rPr>
          <w:rtl w:val="true"/>
        </w:rPr>
        <w:t xml:space="preserve">: </w:t>
      </w:r>
      <w:r>
        <w:rPr>
          <w:rtl w:val="true"/>
        </w:rPr>
        <w:t>الکفر</w:t>
      </w:r>
      <w:bookmarkEnd w:id="133"/>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بأقسامه</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کلام فی نجاسة الکافر فی الجملة، إنّما الخلاف فی نجاسة أهل الکتاب، وأنّ أهل الکتاب علی من یصدق؟ فأمّا الأوّل فقد نقل الإجماع من أعاظم الفقهاء المتبحّرین من القدماء والمتأخّرین علی نجاسته حتّی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مصیر جمهور الأصحاب إلی القول بالتنجیس یقتضی الاستیحاش فی الذهاب إلی خلافه، لکن المتأمّل فی الروایات الواردة علی نجاسته یری أ نّها مخدوشة ومعارضة بما یستدلّ به علی طهارته من الصحاح، ولیس فی المقام دلیل صالح یدلّ علی نجاسته الذاتیّة، وإنّما یستفاد منه النجاسة العرضیّة الحاصلة من أکل الخنزیر وشرب الخمر والدم والمیتة، مع احتمال صدور هذه الروایات لأجل ترغیب المسلمین إلی التجنّب عنهم وجعل البینونة بینهم وبین المسلمین، نعم الأحوط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الحکم للکتابی مبنیّ علی الاحتیاط الاستحبابی، والمرتدّ یلحقه حکم الطائفة الّتی لحق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حتّـی المرتــدّ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نجاسة غیر المنکر للاُلوهیّة، وغیر المشرک وغیر من کان عدواً للّه تعالی، وغیر الناصب للنبیّ وأهل بیته ـ صلوات اللّه علیهم أجمعین ـ مبنیّة علی الاحتیاط، فمن ذلک یظهر الحکم فی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بقسمیه، والیهود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والنصاری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34" w:name="pg13273_134910"/>
    </w:p>
    <w:p>
      <w:pPr>
        <w:pStyle w:val="BookText"/>
        <w:rPr/>
      </w:pPr>
      <w:bookmarkEnd w:id="134"/>
      <w:r>
        <w:rPr>
          <w:rFonts w:ascii="IRNazanin" w:hAnsi="IRNazanin" w:eastAsia="IRNazanin"/>
          <w:color w:val="111111"/>
          <w:sz w:val="28"/>
          <w:sz w:val="28"/>
          <w:szCs w:val="28"/>
          <w:rtl w:val="true"/>
          <w:lang w:bidi="fa-IR"/>
        </w:rPr>
        <w:t>والمجوس</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النجاسة مشکلة، والأحوط استحباباً الاجتناب عن الکتابی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طهارة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والنصاری والمجوس والمنکر للضروری، وأمّا المرتدّ فیلحقه حکم ما تدیّن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أنّ الیهود والنصاری من أهل الکتاب، وهم الّذین ینسبون أنفسهم إلی أدیان سماویّة نسخها الإسلام، فاعتقد جماعة من المتأخّرین أنّ أهل الکتاب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وینجس بالنجاسات الّتی تلاقیه، فإذا طهّر نفسه منها فسؤره طاهر، ویجوز أکل الطعام الّذی یباشره، وهذا النظر لا یخلو من قوّة، نعم الأحوط الاجتناب عنه، وأمّا المجوس فی کونهم من أهل الکتاب محلّ بحث، فیظهر من جملة الأدلّة أ نّهم من أهل الکتاب فکان لهم نبی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العدو وما یناسبه،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رطوباته وأجزاوءه، سواء کانت ممّا تحلّه الحیاة أو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1666440_2322387425"/>
      <w:bookmarkStart w:id="136" w:name="_Toc48"/>
      <w:bookmarkEnd w:id="135"/>
      <w:r>
        <w:rPr>
          <w:rtl w:val="true"/>
        </w:rPr>
        <w:t>المراد بالکافر</w:t>
      </w:r>
      <w:bookmarkEnd w:id="136"/>
    </w:p>
    <w:p>
      <w:pPr>
        <w:pStyle w:val="BookText"/>
        <w:rPr/>
      </w:pPr>
      <w:r>
        <w:rPr>
          <w:rFonts w:ascii="IRNazanin" w:hAnsi="IRNazanin" w:eastAsia="IRNazanin"/>
          <w:color w:val="111111"/>
          <w:sz w:val="28"/>
          <w:sz w:val="28"/>
          <w:szCs w:val="28"/>
          <w:rtl w:val="true"/>
          <w:lang w:bidi="fa-IR"/>
        </w:rPr>
        <w:t>والمـراد بالکـافر</w:t>
      </w:r>
      <w:r>
        <w:rPr>
          <w:rStyle w:val="FootnoteAnchor"/>
          <w:rtl w:val="true"/>
        </w:rPr>
        <w:footnoteReference w:id="212"/>
      </w:r>
      <w:r>
        <w:rPr>
          <w:rFonts w:ascii="IRNazanin" w:hAnsi="IRNazanin" w:eastAsia="IRNazanin"/>
          <w:color w:val="111111"/>
          <w:sz w:val="28"/>
          <w:sz w:val="28"/>
          <w:szCs w:val="28"/>
          <w:rtl w:val="true"/>
          <w:lang w:bidi="fa-IR"/>
        </w:rPr>
        <w:t xml:space="preserve">من کـان منکـراً </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غیر معترف مع الالتفات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غیر معترف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جریان حکمه فیمن کان شاکّاً لا یقرّ بالشهادتین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غیر معترف بالثلاثة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به غیر المعترف بأحد هذه الثلاثة وإن لم ینکر، وکذلک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غیر معتقد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للاُلوهیّة</w:t>
      </w:r>
      <w:r>
        <w:rPr>
          <w:rStyle w:val="FootnoteAnchor"/>
          <w:rtl w:val="true"/>
        </w:rPr>
        <w:footnoteReference w:id="214"/>
      </w:r>
      <w:r>
        <w:rPr>
          <w:rFonts w:ascii="IRNazanin" w:hAnsi="IRNazanin" w:eastAsia="IRNazanin"/>
          <w:color w:val="111111"/>
          <w:sz w:val="28"/>
          <w:sz w:val="28"/>
          <w:szCs w:val="28"/>
          <w:rtl w:val="true"/>
          <w:lang w:bidi="fa-IR"/>
        </w:rPr>
        <w:t>، أو التوحید، أو الرسالة</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المعاد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ضروریّاً من ضروریّات الدین، مع الالتفات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الاجتناب عن منکر الضروری مطلقاً، وإن لم یکن ملتفتاً إلی کونه ضروریاً ورجع إنکاره إلی إنکار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کونه ضروریّاً بحیث یرجع إنکاره إلی إنکار الرسالة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فی الجملة بأن یرجع إلی تکذیب النبی صلی‌الله‌علیه‌و‌آله فی بعض ما بلّغه عن اللّه تعالی، سواء کان من الأحکام کالفرائض ولزوم مودّة ذوی القربی أو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الاجتناب</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هذا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منکر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فی المعاد والکبائر الضروریّة، بل الأقوی الاجتناب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بعض أفراده، کمنکر المعاد أو المستحلّ للکبائر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استفاده جماعة من الفقهاء من الدلیل أنّ إنکار الضروری سبب مستقلّ للکفر مطلقاً، ولکنّه محلّ تأمّل، ولا یبعد القول بأنّ الاحتیاط فی صورة الالتفات إلی کونه ضروریّاً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مع کون إنکاره؛ لبُعده عن محیط المسلمین، وعدم علمه بکونه من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منکر الضروری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فی منکر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مستحلّ الکبائر الضروریّة ومنکر المعاد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منکر المعاد ومستحلّ الکبائر الضروریّة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فی منکر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والفرق بین القاصر والمقصّر فیه محتمل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تفصیل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مطلقاً، وإن لم یکن</w:t>
      </w:r>
      <w:bookmarkStart w:id="137" w:name="pg13273_134913"/>
    </w:p>
    <w:p>
      <w:pPr>
        <w:pStyle w:val="BookText"/>
        <w:rPr/>
      </w:pPr>
      <w:bookmarkEnd w:id="137"/>
      <w:r>
        <w:rPr>
          <w:rFonts w:ascii="Amiri" w:hAnsi="Amiri" w:eastAsia="Amiri" w:cs="Amiri"/>
          <w:color w:val="111111"/>
          <w:sz w:val="28"/>
          <w:sz w:val="28"/>
          <w:szCs w:val="28"/>
          <w:rtl w:val="true"/>
          <w:lang w:bidi="ar-SA"/>
        </w:rPr>
        <w:t xml:space="preserve">ملتفتاً </w:t>
      </w:r>
      <w:r>
        <w:rPr>
          <w:rStyle w:val="FootnoteAnchor"/>
          <w:rtl w:val="true"/>
        </w:rPr>
        <w:footnoteReference w:id="217"/>
      </w:r>
      <w:r>
        <w:rPr>
          <w:rFonts w:ascii="Amiri" w:hAnsi="Amiri" w:eastAsia="Amiri" w:cs="Amiri"/>
          <w:color w:val="111111"/>
          <w:sz w:val="28"/>
          <w:sz w:val="28"/>
          <w:szCs w:val="28"/>
          <w:rtl w:val="true"/>
          <w:lang w:bidi="ar-SA"/>
        </w:rPr>
        <w:t>إلی کونه ضروریّاً</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666442_2322387425"/>
      <w:bookmarkStart w:id="139" w:name="_Toc49"/>
      <w:bookmarkEnd w:id="138"/>
      <w:r>
        <w:rPr>
          <w:rtl w:val="true"/>
        </w:rPr>
        <w:t>ولد الکافر</w:t>
      </w:r>
      <w:bookmarkEnd w:id="139"/>
    </w:p>
    <w:p>
      <w:pPr>
        <w:pStyle w:val="BookText"/>
        <w:rPr/>
      </w:pPr>
      <w:r>
        <w:rPr>
          <w:rFonts w:ascii="IRNazanin" w:hAnsi="IRNazanin" w:eastAsia="IRNazanin"/>
          <w:color w:val="111111"/>
          <w:sz w:val="28"/>
          <w:sz w:val="28"/>
          <w:szCs w:val="28"/>
          <w:rtl w:val="true"/>
          <w:lang w:bidi="fa-IR"/>
        </w:rPr>
        <w:t>وولد الکافر</w:t>
      </w:r>
      <w:r>
        <w:rPr>
          <w:rStyle w:val="FootnoteAnchor"/>
          <w:rtl w:val="true"/>
        </w:rPr>
        <w:footnoteReference w:id="218"/>
      </w:r>
      <w:r>
        <w:rPr>
          <w:rFonts w:ascii="IRNazanin" w:hAnsi="IRNazanin" w:eastAsia="IRNazanin"/>
          <w:color w:val="111111"/>
          <w:sz w:val="28"/>
          <w:sz w:val="28"/>
          <w:szCs w:val="28"/>
          <w:rtl w:val="true"/>
          <w:lang w:bidi="fa-IR"/>
        </w:rPr>
        <w:t>یتبعه فی النجاسة</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کان ممیّزاً ومظهراً للکفر، وإلاّ فالحکم بنجاسته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ولد الکافر ممیّزاً وأقرّ بالإسلام یکون طاهراً، وکذا غیر الممیّز إذا خرج بالکلّیة عن کفالة أبویه ودخل فی کفالة المسلم وتابعیّـته یکون طاهراً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بل القول بالطهارة قویّ، نعم الممیّز إن لم یسلم یحکم بکفره ویلحقه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للتبعیّة إذا کان ممیّزاً وکان منکراً للمذکورات، وأمّا فی غیره فإطلاق التبعیّة لمن کان مُعرضاً عنهم إلی المسلمین أو فی حالة الفحص والنظر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إذا أسلم بعد البلوغ أو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مع فرض کونه عاقلاً ممیّزاً، وکان إسلامه عن بصیرة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عقد القلب علی ما علیه عامّة المسلمین ولو تقلیداً مع إظهار الشهادتین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لا عن بصیرة کإسلام کثیر من السواد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لأ نّه لا فرق فی ثبوت أحکام الإسلام بین أن یکون عن بصیرة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إظهار الشهادتین کغیره ممّن یکون علی ظاهر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بـل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یکن عن بصیرة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 لا یختصّ بما یکون عن بصیرة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یعتبر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الأقوی</w:t>
      </w:r>
      <w:r>
        <w:rPr>
          <w:rStyle w:val="FootnoteAnchor"/>
          <w:rtl w:val="true"/>
        </w:rPr>
        <w:footnoteReference w:id="220"/>
      </w:r>
      <w:r>
        <w:rPr>
          <w:rFonts w:ascii="IRNazanin" w:hAnsi="IRNazanin" w:eastAsia="IRNazanin"/>
          <w:color w:val="111111"/>
          <w:sz w:val="28"/>
          <w:sz w:val="28"/>
          <w:szCs w:val="28"/>
          <w:rtl w:val="true"/>
          <w:lang w:bidi="fa-IR"/>
        </w:rPr>
        <w:t>، ولا فرق فی نجاسته بین کونه من حلال أو من الزنا</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نجاسته إذا کان من الزنا بحسب الأدلّة إشکال، والأحوط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 مذهبه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أحد الأبوین مسلماً فالولد تابع له إذا لم یکن عن زنا</w:t>
      </w:r>
      <w:r>
        <w:rPr>
          <w:rStyle w:val="FootnoteAnchor"/>
          <w:rtl w:val="true"/>
        </w:rPr>
        <w:footnoteReference w:id="222"/>
      </w:r>
      <w:r>
        <w:rPr>
          <w:rFonts w:ascii="IRNazanin" w:hAnsi="IRNazanin" w:eastAsia="IRNazanin"/>
          <w:color w:val="111111"/>
          <w:sz w:val="28"/>
          <w:sz w:val="28"/>
          <w:szCs w:val="28"/>
          <w:rtl w:val="true"/>
          <w:lang w:bidi="fa-IR"/>
        </w:rPr>
        <w:t xml:space="preserve">، بل </w:t>
      </w:r>
    </w:p>
    <w:p>
      <w:pPr>
        <w:pStyle w:val="BookText"/>
        <w:rPr/>
      </w:pPr>
      <w:r>
        <w:rPr>
          <w:rFonts w:ascii="Amiri" w:hAnsi="Amiri" w:eastAsia="Amiri" w:cs="Amiri"/>
          <w:color w:val="111111"/>
          <w:sz w:val="28"/>
          <w:sz w:val="28"/>
          <w:szCs w:val="28"/>
          <w:rtl w:val="true"/>
          <w:lang w:bidi="ar-SA"/>
        </w:rPr>
        <w:t xml:space="preserve">مطلقاً </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إطلاقه ممنوع، بل إذا کان الزنا من الطرفین، وأمّا إذا کان من طرف واحد فالولد تابع لغیر الزانی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کونه فی کفالة الکافر وحده إذا کان الزنا من طرف المسلم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الولد ممیّزاً،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لم یصدق الزنا فی حقّ الکافر لشبهةٍ أو غیرها، فإنّ الولد یلحق به أباً کان أو اُمّاً، وحینئذٍ یشکل الحکم بطهارته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 الطرفین أو طرف الکافر، أمّا إذا کان المسلم زانیاً فقط فیلحق بالکافر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الإطلاق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الولد ممیّزاً ولم یعترف بالإسلام فالحکم بطهارته مشکل، ولعلّ الأقوی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الزنا من الطرفین، وإن کان من طرف المسلم فقط فالحکم بتبعیّـته للکافر لا یخلو من وجه وجیه من جهة إلحاقه به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 الطرف الآخر أیضاً کذلک، وإلاّ فالولد تابع للآخر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مطابق لأصل الطهارة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طهارة ولد الزنا من المسلمین، سواء کان من طرف أو طرفین</w:t>
      </w:r>
      <w:r>
        <w:rPr>
          <w:rStyle w:val="FootnoteAnchor"/>
          <w:rtl w:val="true"/>
        </w:rPr>
        <w:footnoteReference w:id="224"/>
      </w:r>
      <w:r>
        <w:rPr>
          <w:rFonts w:ascii="IRNazanin" w:hAnsi="IRNazanin" w:eastAsia="IRNazanin"/>
          <w:color w:val="111111"/>
          <w:sz w:val="28"/>
          <w:sz w:val="28"/>
          <w:szCs w:val="28"/>
          <w:rtl w:val="true"/>
          <w:lang w:bidi="fa-IR"/>
        </w:rPr>
        <w:t xml:space="preserve">، بل وإن کان أحد الأبوین </w:t>
      </w:r>
    </w:p>
    <w:p>
      <w:pPr>
        <w:pStyle w:val="BookText"/>
        <w:rPr/>
      </w:pPr>
      <w:r>
        <w:rPr>
          <w:rFonts w:ascii="Amiri" w:hAnsi="Amiri" w:eastAsia="Amiri" w:cs="Amiri"/>
          <w:color w:val="111111"/>
          <w:sz w:val="28"/>
          <w:sz w:val="28"/>
          <w:szCs w:val="28"/>
          <w:rtl w:val="true"/>
          <w:lang w:bidi="ar-SA"/>
        </w:rPr>
        <w:t xml:space="preserve">مسلماً </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الولد الممیّز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فیما کان الزنا منهما معاً أو من الکافر فقط، وإلاّ فقد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بالطهارة فی صورة کون غیر الزانی کافراً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ومرّت الحاشیة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هذا الحکم مختصّ بما إذا کان الزنا من الطرفین، وأمّا إذا کان من طرف واحد وکان غیر الزانی هو الکافر فالأقرب لحوقه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اختصاص هذا الحکم بما إذا کان الزنا من الطرفین، وأمّا إذا کان من طرف واحد وکان غیر الزانی منهما کافراً، لا یبعد الحکم بکفر الولد من جهة إلحاقه شرعاً بالکافر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اختصاص الطهارة بما إذا کان الزنا من الطرفین، وأمّا إذا کان الزنا من طرف المسلم فالأقرب لحوقه بالکافر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w:t>
      </w:r>
      <w:r>
        <w:rPr>
          <w:rStyle w:val="FootnoteAnchor"/>
          <w:rtl w:val="true"/>
        </w:rPr>
        <w:footnoteReference w:id="226"/>
      </w:r>
      <w:r>
        <w:rPr>
          <w:rFonts w:ascii="IRNazanin" w:hAnsi="IRNazanin" w:eastAsia="IRNazanin"/>
          <w:color w:val="111111"/>
          <w:sz w:val="28"/>
          <w:sz w:val="28"/>
          <w:szCs w:val="28"/>
          <w:rtl w:val="true"/>
          <w:lang w:bidi="fa-IR"/>
        </w:rPr>
        <w:t>فی نجاسة الغُلاة</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النصیریّة والحقّیّة وغیرهما القائلین بربوبیّة أحد الأئمّة، أو حلوله تعالی وتقدّس فیه، أو تشریکه معه سبحانه فی الخلق والتکوین أو التشریع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خصوص من یعتقد الربوبیّة لأمیر الموءمنین علیه‌السلام ، أو لأحد من بقیّة الأئمّة الأطهار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رجع الغلوّ إلی الشرک أو إلی إنکار الذات، أو رجع إلی إنکار ضروری مع الالتفات إلی کونه ضروریّاً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نجاسة الغلاة مطلقاً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الغلاة طوائف مختلفة العقائد، فمن کان منهم یذهب فی غلوّه إلی حدٍّ ینطبق علیه التعریف المتقدّم للکافر حکم بنجاسته دون غیره، وکذا الحال فی الطوائف الآتیة، نعم الناصب محکوم بالنجاسة علی أی تقدیر، وکذا السابّ إذا انطبق علیه عنوان النصب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الغلوّ مستلزماً لإنکار واحدٍ من الثلاثة بالمعنی الّذی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والخـوارج</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الّذین ینسبون الکفر إلی مولانا أمیر المؤمنین روحی له الفداء، ویبغضونه ویتّبعون الّذین خرجوا علیه یوم صفّین، وهم طوائف کالأباضیّة والعجاردة والأزارقة وغیرها، وأشهرهم وأکثرهم الطائفة الاُولی، ومن کتبهم المعروفة فی الفقه کتاب الشامل لابن إطَیفِش الأباضی، وأخصر ما یعبّر عنهم أنّهم اُسرة یحبّون الشیخین ویبغضون الصهرین، ویتوجّه علی الماتن أنّه لا وجه لجعلهم قسیماً للنواصب، بل أ نّهم فرقة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الخوارج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ففیهم من یعلن بغضه لأهل البیت علیهم‌السلام فیندرج فی النواصب، وفیهم من لا یکون کذلک وإن عُدّ منهم ـ لاتّباعه فقههم ـ فلا یحکم بنجاسته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والنـواصب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 الناصب لیس مجرّد إظهار العداوة والبغضاء کما یظهر من الفرع الآتی، بل الاعتقاد بکون العداوة من شؤون الدین وفرائض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وأمّــا</w:t>
      </w:r>
    </w:p>
    <w:p>
      <w:pPr>
        <w:pStyle w:val="BookText"/>
        <w:rPr/>
      </w:pPr>
      <w:r>
        <w:rPr>
          <w:rFonts w:ascii="Amiri" w:hAnsi="Amiri" w:eastAsia="Amiri" w:cs="Amiri"/>
          <w:color w:val="111111"/>
          <w:sz w:val="28"/>
          <w:sz w:val="28"/>
          <w:szCs w:val="28"/>
          <w:rtl w:val="true"/>
          <w:lang w:bidi="ar-SA"/>
        </w:rPr>
        <w:t>المجسّمة</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القائلون بأنّه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لا کالأجسام، وله عین لا کالعیون، ولسان لا کالألسنة، وید ورجل لا کالأیدی والأرجل، کما علیه أهل الظاهر أتباع داود بن علی الجواربی من العامّة، سیّما الحنابلة منهم هذا، وأمّا القائل بأنّه تعالی جسمٌ حقیقی کسائر الأجسام إلاّ أ نّه خالقها، فلا ریب فی کفره ونجاسته بالبداهة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والمجبّرة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والقائلین بوحدة الوجود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یکونوا قائلین بالوحدة الشخصیّة، وإلاّ فالأقوی نجاستهم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أو وحدته مع وحدة الموجود أیضاً، وفی المقام أبحاث تطلب من محلّها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بالمعنی الّذی لیس هو بکفر، فلو اعتقد بالوحدة الواقعیّة الشخصیّة بأن یکون الله تعالی عین الکلّ، والکلّ عین الله فهو محکوم بالکفر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الصوفیّة إذا</w:t>
      </w:r>
    </w:p>
    <w:p>
      <w:pPr>
        <w:pStyle w:val="BookText"/>
        <w:rPr/>
      </w:pPr>
      <w:r>
        <w:rPr>
          <w:rFonts w:ascii="IRNazanin" w:hAnsi="IRNazanin" w:eastAsia="IRNazanin"/>
          <w:color w:val="111111"/>
          <w:sz w:val="28"/>
          <w:sz w:val="28"/>
          <w:szCs w:val="28"/>
          <w:rtl w:val="true"/>
          <w:lang w:bidi="fa-IR"/>
        </w:rPr>
        <w:t>التزموا</w:t>
      </w:r>
      <w:r>
        <w:rPr>
          <w:rStyle w:val="FootnoteAnchor"/>
          <w:rtl w:val="true"/>
        </w:rPr>
        <w:footnoteReference w:id="230"/>
      </w:r>
      <w:r>
        <w:rPr>
          <w:rFonts w:ascii="IRNazanin" w:hAnsi="IRNazanin" w:eastAsia="IRNazanin"/>
          <w:color w:val="111111"/>
          <w:sz w:val="28"/>
          <w:sz w:val="28"/>
          <w:szCs w:val="28"/>
          <w:rtl w:val="true"/>
          <w:lang w:bidi="fa-IR"/>
        </w:rPr>
        <w:t>بأحکام الإسلام، فالأقوی عدم نجاستهم</w:t>
      </w:r>
      <w:r>
        <w:rPr>
          <w:rStyle w:val="FootnoteAnchor"/>
          <w:rtl w:val="true"/>
        </w:rPr>
        <w:footnoteReference w:id="231"/>
      </w:r>
      <w:r>
        <w:rPr>
          <w:rFonts w:ascii="IRNazanin" w:hAnsi="IRNazanin" w:eastAsia="IRNazanin"/>
          <w:color w:val="111111"/>
          <w:sz w:val="28"/>
          <w:sz w:val="28"/>
          <w:szCs w:val="28"/>
          <w:rtl w:val="true"/>
          <w:lang w:bidi="fa-IR"/>
        </w:rPr>
        <w:t>، إلاّ مع العلم بالتزامهم بلوازم مذاهبهم</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الالتزام بلوازم مذهبهم إن کانت اللوازم منافیة للإسلام ضرورة یوجب الکفر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المفضیة إلی إنکار التوحید أو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مستلزمة لإنکار أحد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المفاسد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المفاسد راجعة إلی إنکار واحد من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الاثنی عشریّة من فرق الشیعة</w:t>
      </w:r>
      <w:r>
        <w:rPr>
          <w:rStyle w:val="FootnoteAnchor"/>
          <w:rtl w:val="true"/>
        </w:rPr>
        <w:footnoteReference w:id="233"/>
      </w:r>
      <w:r>
        <w:rPr>
          <w:rFonts w:ascii="IRNazanin" w:hAnsi="IRNazanin" w:eastAsia="IRNazanin"/>
          <w:color w:val="111111"/>
          <w:sz w:val="28"/>
          <w:sz w:val="28"/>
          <w:szCs w:val="28"/>
          <w:rtl w:val="true"/>
          <w:lang w:bidi="fa-IR"/>
        </w:rPr>
        <w:t>إذا لم یکونوا ناصبین ومعادین</w:t>
      </w:r>
      <w:r>
        <w:rPr>
          <w:rStyle w:val="FootnoteAnchor"/>
          <w:rtl w:val="true"/>
        </w:rPr>
        <w:footnoteReference w:id="234"/>
      </w:r>
      <w:r>
        <w:rPr>
          <w:rFonts w:ascii="IRNazanin" w:hAnsi="IRNazanin" w:eastAsia="IRNazanin"/>
          <w:color w:val="111111"/>
          <w:sz w:val="28"/>
          <w:sz w:val="28"/>
          <w:szCs w:val="28"/>
          <w:rtl w:val="true"/>
          <w:lang w:bidi="fa-IR"/>
        </w:rPr>
        <w:t xml:space="preserve">لسائر الأئمّة ولا سابّین </w:t>
      </w:r>
    </w:p>
    <w:p>
      <w:pPr>
        <w:pStyle w:val="BookText"/>
        <w:rPr/>
      </w:pPr>
      <w:r>
        <w:rPr>
          <w:rFonts w:ascii="IRNazanin" w:hAnsi="IRNazanin" w:eastAsia="IRNazanin"/>
          <w:color w:val="111111"/>
          <w:sz w:val="28"/>
          <w:sz w:val="28"/>
          <w:szCs w:val="28"/>
          <w:rtl w:val="true"/>
          <w:lang w:bidi="fa-IR"/>
        </w:rPr>
        <w:t>لهم</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إیجاب السبّ للکفر إنّما هو لاستلزامه النصب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السبّ ناشئاً عن محرّک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طاهرون، وأمّا مع النصب أو السبّ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نجاسة السابّ إلاّ إذا استلزم النصب، وإنّما الدلیل علی کونه مباحَ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للأئمّة الّذین لا یعتقدون بإمامتهم فهم مثل سائر النواصب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w:t>
      </w:r>
      <w:r>
        <w:rPr>
          <w:rStyle w:val="FootnoteAnchor"/>
          <w:rtl w:val="true"/>
        </w:rPr>
        <w:footnoteReference w:id="236"/>
      </w:r>
      <w:r>
        <w:rPr>
          <w:rFonts w:ascii="IRNazanin" w:hAnsi="IRNazanin" w:eastAsia="IRNazanin"/>
          <w:color w:val="111111"/>
          <w:sz w:val="28"/>
          <w:sz w:val="28"/>
          <w:szCs w:val="28"/>
          <w:rtl w:val="true"/>
          <w:lang w:bidi="fa-IR"/>
        </w:rPr>
        <w:t>فی إسلامه وکُفره طاهر</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حالته السابقة الکفر، وإلاّ فهو نجس، ولکن لا تجری علیه سائر أحکام الکفر، کجواز أسره وحلّیة دمه وماله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ظاهر حاله الإسلام، أو علم سبقه منه، أو کان فی أرض المسلمین، وإلاّ فمحلّ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مسبوقاً بالکفر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یعلم حاله من حیث الإسلام والکفر فی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کان أصل موضوعی علی خلافه فهو نجس، ولکن لا یجری فی حقّه بقیّة أحکام الکفر من حلّیة دمه وجواز أسره وغیر ذلک، مثل استصحاب کفره السابق، نعم بناءً علی جریان أصالة عدم الإسلام یکون محکوماً بالنجاسة، لکن الأصل المذکور لا یجری؛ لکونه مثبتاً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یعلم الحالة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وإن لم یجرِ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40" w:name="pg13273_134921"/>
    </w:p>
    <w:p>
      <w:pPr>
        <w:pStyle w:val="BookText"/>
        <w:rPr/>
      </w:pPr>
      <w:bookmarkEnd w:id="140"/>
      <w:r>
        <w:rPr>
          <w:rFonts w:ascii="IRNazanin" w:hAnsi="IRNazanin" w:eastAsia="IRNazanin"/>
          <w:color w:val="111111"/>
          <w:sz w:val="28"/>
          <w:sz w:val="28"/>
          <w:szCs w:val="28"/>
          <w:rtl w:val="true"/>
          <w:lang w:bidi="fa-IR"/>
        </w:rPr>
        <w:t>علیه سائر أحکام الإسلام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666444_2322387425"/>
      <w:bookmarkStart w:id="142" w:name="_Toc50"/>
      <w:bookmarkEnd w:id="141"/>
      <w:r>
        <w:rPr>
          <w:rtl w:val="true"/>
        </w:rPr>
        <w:t>التاسع</w:t>
      </w:r>
      <w:r>
        <w:rPr>
          <w:rtl w:val="true"/>
        </w:rPr>
        <w:t xml:space="preserve">: </w:t>
      </w:r>
      <w:r>
        <w:rPr>
          <w:rtl w:val="true"/>
        </w:rPr>
        <w:t>الخمر</w:t>
      </w:r>
      <w:bookmarkEnd w:id="142"/>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w:t>
      </w:r>
      <w:r>
        <w:rPr>
          <w:rStyle w:val="FootnoteAnchor"/>
          <w:rtl w:val="true"/>
        </w:rPr>
        <w:footnoteReference w:id="239"/>
      </w:r>
      <w:r>
        <w:rPr>
          <w:rFonts w:ascii="IRNazanin" w:hAnsi="IRNazanin" w:eastAsia="IRNazanin"/>
          <w:color w:val="111111"/>
          <w:sz w:val="28"/>
          <w:sz w:val="28"/>
          <w:szCs w:val="28"/>
          <w:rtl w:val="true"/>
          <w:lang w:bidi="fa-IR"/>
        </w:rPr>
        <w:t>، بل کلّ مسکر مایع بالأصالة</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والاجتناب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شربه متعارفاً،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نجاسة ما صدق علیه الخمر، وأمّا غیره فالأحوط لزوماً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 غیر الخمر مبنیّ علی الاحتیاط الاستحبابی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صار جامداً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بالعرض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لا الجامد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کالبنج وإن صار مائعاً بالعرض</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المشهور بالخمر العصیر العنبیّ</w:t>
      </w:r>
      <w:r>
        <w:rPr>
          <w:rStyle w:val="FootnoteAnchor"/>
          <w:rtl w:val="true"/>
        </w:rPr>
        <w:footnoteReference w:id="241"/>
      </w:r>
      <w:r>
        <w:rPr>
          <w:rFonts w:ascii="IRNazanin" w:hAnsi="IRNazanin" w:eastAsia="IRNazanin"/>
          <w:color w:val="111111"/>
          <w:sz w:val="28"/>
          <w:sz w:val="28"/>
          <w:szCs w:val="28"/>
          <w:rtl w:val="true"/>
          <w:lang w:bidi="fa-IR"/>
        </w:rPr>
        <w:t xml:space="preserve">إذا غلی قبل أن </w:t>
      </w:r>
    </w:p>
    <w:p>
      <w:pPr>
        <w:pStyle w:val="BookText"/>
        <w:rPr/>
      </w:pPr>
      <w:r>
        <w:rPr>
          <w:rFonts w:ascii="IRNazanin" w:hAnsi="IRNazanin" w:eastAsia="IRNazanin"/>
          <w:color w:val="111111"/>
          <w:sz w:val="28"/>
          <w:sz w:val="28"/>
          <w:szCs w:val="28"/>
          <w:rtl w:val="true"/>
          <w:lang w:bidi="fa-IR"/>
        </w:rPr>
        <w:t>یذهب ثلثاه، وهو الأحوط</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 الاصطهباناتی،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الأقوی طهارته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غلی بالنار، وأمّا إذا غلی بنفسه أو بالشمس فلا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نجاسة العصیر لو نشّ أو غلی بنفسه، ولا یطهر إلاّ بصیرورته خلاًّ من غیر فرق بین أقسامه الثلاثة، وأمّا لو غلی بالنار ولم یذهب ثلثاه فالأقوی طهارته فی الجمیع، وحرمته فی العنبی والزبیبی دون التمری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طهارته إذا غلی بغیر النار إشکال، وکذا فی حلّیّـته بذهاب الثلثین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غلی بالنار، وأمّا إذا غلی بالشمس أو بنفسه فهو نجس، ولا یکفی فی حلّیته وطهارته حینئذٍ ذهاب الثلثین، بل لابدّ أن ینقلب 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فیما نشّ أو غلی بنفسه، فإنّ الأظهر نجاسته ما لم ینقلب 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طهارة العصیر إذا غلی بالنار ولم یذهب ثلثاه وإن کان حراماً، وإلحاق الزبیبی بالعنبی فی الحرمة مشکل؛ لخروجه عن عنوان العصیر، إلاّ أن یتمسّک بالاستصحاب التعلیقی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الغلیان بالنار، بل مطلقاً إن لم یحدث فیه الإسکار، ومع العلم بحدوثه یجتنب عنه إلی أن یصیر خلاًّ، وکذا فی عصیر التمر والزبیب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الغلیان بالنار لا بالشمس أو الهواء، وإلاّ ینجس، ولا یطهر إلاّ بأن یصیر 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حصل فیه الإسکار فهو نجس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طهارته إذا غلی بغیر النار إشکال، وکذا فی حلّیّـته بذهاب الثلثین بغیر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نشّ العصیر العنبی بغیر النار أو غلی بغیر النار فالأحوط نجاسته، ثمّ لا یطهر إلاّ بانقلابه خلاًّ، ومثله العصیر الزبیبی علی الأحوط کذلک، ولا ینجسان علی الأقوی بالغلیان بالنار، نعم یحرم العصیر العنبی بذلک، ویحلّ بذهاب ثلثیه بالغلیان بالنار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بالنار، وأمّا إذا غلی بالشمس أو بنفسه فالأحوط الاجتناب عنه، فلا یطهر إلاّ بصیرورته خلاًّ فیشکل الحکم بطهارته، وکذا فی حلّیّـته بذهاب الثلثین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لا إشکال</w:t>
      </w:r>
    </w:p>
    <w:p>
      <w:pPr>
        <w:pStyle w:val="BookText"/>
        <w:rPr/>
      </w:pPr>
      <w:r>
        <w:rPr>
          <w:rFonts w:ascii="IRNazanin" w:hAnsi="IRNazanin" w:eastAsia="IRNazanin"/>
          <w:color w:val="111111"/>
          <w:sz w:val="28"/>
          <w:sz w:val="28"/>
          <w:szCs w:val="28"/>
          <w:rtl w:val="true"/>
          <w:lang w:bidi="fa-IR"/>
        </w:rPr>
        <w:t>فی حرمته، سواء غلی بالنار أو بالشمس</w:t>
      </w:r>
      <w:r>
        <w:rPr>
          <w:rStyle w:val="FootnoteAnchor"/>
          <w:rtl w:val="true"/>
        </w:rPr>
        <w:footnoteReference w:id="243"/>
      </w:r>
      <w:r>
        <w:rPr>
          <w:rFonts w:ascii="IRNazanin" w:hAnsi="IRNazanin" w:eastAsia="IRNazanin"/>
          <w:color w:val="111111"/>
          <w:sz w:val="28"/>
          <w:sz w:val="28"/>
          <w:szCs w:val="28"/>
          <w:rtl w:val="true"/>
          <w:lang w:bidi="fa-IR"/>
        </w:rPr>
        <w:t>أو بنفسه</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نجاسة العصیر لو نشّ بنفسه، بل الأقوی نجاسته لو قطع بصیرورته خمراً، ولا یطهر إلاّ بصیرورته خلاًّ من غیر فرق بین أقسامه الثلاثة، وأمّا لو غلی بالنار أو الشمس ولم یذهب ثلثاه فالأقوی حرمته فی العنبی والزبیبی دون التمری، والأحوط نجاستهما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فیما غلی أو نشّ بغیر النار النجاسة، ولا یطهر إلاّ بصیرورته 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ذهب ثلثاه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صار حلالاً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توقّف الحلّیّة والطهارة علی الانقلاب خلاًّ ولو کان الغلیان مستنداً إلی الشمس أو الهواء، ولا یکفی التثلیث فی ترتّب الأثرین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العصیر الّذی غلی بنفسه لا ترتفع حرمته ونجاسته إلاّ بصیرورته خلاًّ، والّذی غلی بالنار إذا ذهب ثلثاه یصیر حلالاً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یحرز صیرورته مسکراً، کما اُدّعی فیما إذا غلی بنفسه، وإلاّ فلا یحلّ إلاّ بالتخلیل، وما ذکرناه یجری فی العصیر الزبیبی والتمری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غلی بالنار، وأمّا الحرمة فی المغلی بنفسه ففی کونها مغیّاةً بذهاب الثلثین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w:t>
      </w:r>
    </w:p>
    <w:p>
      <w:pPr>
        <w:pStyle w:val="BookText"/>
        <w:rPr/>
      </w:pPr>
      <w:r>
        <w:rPr>
          <w:rFonts w:ascii="IRNazanin" w:hAnsi="IRNazanin" w:eastAsia="IRNazanin"/>
          <w:color w:val="111111"/>
          <w:sz w:val="28"/>
          <w:sz w:val="28"/>
          <w:szCs w:val="28"/>
          <w:rtl w:val="true"/>
          <w:lang w:bidi="fa-IR"/>
        </w:rPr>
        <w:t>بالنــار</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بخصوصها، وأمّا بغیرها فمشکل، والأحوط التخلیل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بالشـمـس أو بـالهــواء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الحلّیّة والطهارة بذهاب الثلثین بغیر النار إشکال، کما أنّ الأقوی فی الغلیان بغیر النار عدم الحلّیّة، والطهارة بذهاب الثلثین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الذهاب بالنار أو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إن لم یکن أقوی الاقتصار علی الذهاب بالنار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أحوطه الاقتصار علی الذهاب بالنار، وإن کان إلحاق الشمس بها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ذهاب الثلثین بالشمس أو بالهواء فی الحلّیّة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فیهما تأمّل خصوصاً فی الأخیر، إلاّ إذا کان الغلیان بهما، کما إذا غلی العنب بالشمس أو بالهواء الحارّ الشدید الحرارة، ثمّ ذهب ثلثاه بهما وصار زبیباً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العصیر بالتثلیث إنّما تکون فیما إذا کان غلیانه وتثلیثه کلاهما بالطبخ، وأمّا التثلیث بالهواء فلا تأثیر له مطلقاً، وما غلی بنفسه لا یحلّ إلاّ بالتخلیل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کفایة التثلیث بالشمس والهواء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فیما غلی أو نشّ بغیر النار النجاسة، ولا یطهر إلاّ بصیرورته 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التثلیث به لا تأثیر له، فلا یحلّ إلاّ بالتخلیل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حلّیّـته بذهاب ثلثیه بالشمس وبالهواء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حارّاً شدیداً یستند الذهاب إلی الحرارة علی وجه الطبخ، کما هو الحال فی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الطبخ، وإذا غلی بنفسه، فإن عُلم أو اُحرز بطریق معتبر أ نّه مسکر کما قیل فیحرم، بل ینجس ولا یطهر إلاّ إذا صار خلاًّ، ومع الشکّ فی الإسکار محکوم بالطهارة، والأحوط الاجتناب عنه أکلاً، وإن کان الأقوی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ذهاب الثلثین بغیر النار إشکال، بل الظاهر عدمها، نعم إذا استند ذهاب الثلثین إلی النار وإلی حرارتها الباقیة بعد إنزال القدر عنها مثلاً کفی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الحلّیّة بذهاب الثلثین بغیر النار إشکال، بل منع، وکذا فی حلّیّة ما غلی بغیر النار إلاّ إذا صار 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غلی أو نشّ بنفسه وحصلت فیه حالة الإسکار فینحصر التحلیل والطهارة فی التخلیل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الذهاب بالنار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العصیر المطبوخ ما لم یذهب ثلثاه، لو ترک حتّی یعود إلی الغلیان بنفسه ویحدث فیه النشیش والإسکار، ویسمّی حینئذٍ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فلو ذهب ثلثاه بعد ذلک بالشمس أو بالهواء لا یصیر طاهراً وحلالاً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کفایة ذهاب الثلثین بغیر النار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حصول الحلّیّة بذهاب الثلثین بغیر النار ما مرّ من الإشکال والمنع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بل الأقوی</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حرمته بمجرّد النشیش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نشش الماء، ینشّ نشّاً ونشیشاً ونشش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عند الغلیان أو الصبّ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6/352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نشش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الحرمة قبل الغلیان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یصل النشیش إلی حدّ الغلیان لم یحرم، وإن کان الأحوط المعاملة معه معاملة المغلی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الحرمة بمجرّده، 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توقّف الحرمة علی الغلیان، ولا أثر للنشیش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لم یصل إلی حدّ</w:t>
      </w:r>
    </w:p>
    <w:p>
      <w:pPr>
        <w:pStyle w:val="BookText"/>
        <w:rPr/>
      </w:pPr>
      <w:r>
        <w:rPr>
          <w:rFonts w:ascii="IRNazanin" w:hAnsi="IRNazanin" w:eastAsia="IRNazanin"/>
          <w:color w:val="111111"/>
          <w:sz w:val="28"/>
          <w:sz w:val="28"/>
          <w:szCs w:val="28"/>
          <w:rtl w:val="true"/>
          <w:lang w:bidi="fa-IR"/>
        </w:rPr>
        <w:t>الغلیان</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حلّیّـته فی هذه الصورة إذا طبخ بالنار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العصیر ونفس العنب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یَصفُ الماء عن الجرم فی داخل حبّة العنب فالظاهر عدم صیرورته حراماً بالغلیان، وأمّا إذا خرج الماء عن الجرم فی داخل الحبّة فالأحوط حرمته مع الغلیان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ماؤه الخارج منه من غیر عصر، أو الباقی فیه لو فرض إمکان حصول الغلیان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فإذا غلی نفس العنب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صیروته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أن یعصر کان حراماً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الفانی، الخوئی، مفتی الشیعة،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یکون للحرمة وجه وجیه، والاحتیاط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وأمّـــا التمــر</w:t>
      </w:r>
      <w:r>
        <w:rPr>
          <w:rStyle w:val="FootnoteAnchor"/>
          <w:rtl w:val="true"/>
        </w:rPr>
        <w:footnoteReference w:id="248"/>
      </w:r>
      <w:r>
        <w:rPr>
          <w:rFonts w:ascii="IRNazanin" w:hAnsi="IRNazanin" w:eastAsia="IRNazanin"/>
          <w:color w:val="111111"/>
          <w:sz w:val="28"/>
          <w:sz w:val="28"/>
          <w:szCs w:val="28"/>
          <w:rtl w:val="true"/>
          <w:lang w:bidi="fa-IR"/>
        </w:rPr>
        <w:t>والــزبیب</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الأقوی فی الزبیب لحوق حکم العنب علی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وعصیرهما</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العصیر الزبیبی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فالأقوی عدم حرمتهما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یحرم شرب خصوص عصیر الزبیب قبل ذهاب الثلثین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بالغلیان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الزبیب وعصیره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 خصوصاً فی الزبیبی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فی العصیر الزبیبی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العصیر الزبیبی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الاجتناب عنهما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حرمة العصیر الزبیبی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ینبغی ترک الاحتیاط فی الزبیبی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الزبیبی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عصیر الزبیب، وکذا لو نشّ بغیر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فی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أکلاً، بل من حیث النجاسة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العصیر دبساً بعد الغلیان قبل أن یذهب ثلثاه، فالأحوط</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الکوه‌کَمَرئی، الأراکی،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حرمته، والأحوط 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وإن کان لحلّیّـته 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جدّاً؛ لأنّ غایته تنزیل إطلاقات الغلیان علی الموارد الغالبة من ملازمته للدبسیّة، فکان تمام المدار علیه، ولا یخفی بُعد التنزیل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جدّاً، فالأقوی حرمته، کما أنّ الأحوط 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الفانی،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إلاّ باعتبار الاستحالة، وهو ممنوع، فاستصحاب الحرمة 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له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فی الغایة، سواء ادّعی الانقلاب أم حصول المقصود من التثلیث، أو غیرهما من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لا یُلتفت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الوجه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والوجه المذکور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وجوه غیر وجیهة لا یلتفت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غیر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فإذا استلزم ذهاب ثلثیه احتراقه فالأولی أن یصبّ</w:t>
      </w:r>
      <w:r>
        <w:rPr>
          <w:rStyle w:val="FootnoteAnchor"/>
          <w:rtl w:val="true"/>
        </w:rPr>
        <w:footnoteReference w:id="252"/>
      </w:r>
      <w:r>
        <w:rPr>
          <w:rFonts w:ascii="IRNazanin" w:hAnsi="IRNazanin" w:eastAsia="IRNazanin"/>
          <w:color w:val="111111"/>
          <w:sz w:val="28"/>
          <w:sz w:val="28"/>
          <w:szCs w:val="28"/>
          <w:rtl w:val="true"/>
          <w:lang w:bidi="fa-IR"/>
        </w:rPr>
        <w:t>علیه مقدار من الماء، فإذا ذهب ثلثاه حلّ بلا إشکال</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ذهب ثلثا العصیر، لا ثلثا المجموع منه ومن الماء الّذی اُضیف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هو الأحوط فی الزبیب والکشمش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أکل الزبیب والکشمش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استهلاک مائهما أو عدم العلم بالغلیان، وإلاّ فلا تخلو الحرمة فیهما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حرمة أکلهما إذا غلیا فی الأمراق والطبیخ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والتمر فی الأمراق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والطبیخ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 بعد طبخه یقال له فی اللهجة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غلت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الزبیب والکشمش الإشکال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الاجتناب عن الزبیب بعد الغلیان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الأوّلین إشکال، وکذا إذا خرج ماؤهما فی المرق ولم یستهلک فیه قبل الغلیان، نعم لو شکّ فی أصل الغلیان فی الطبیخ مثلاً، أو فی الغلیان قبل الاستهلاک فی المرق فلا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التجنّب عنه مع العلم بالغلیان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فیجوز</w:t>
      </w:r>
      <w:bookmarkStart w:id="143" w:name="pg13273_134931"/>
    </w:p>
    <w:p>
      <w:pPr>
        <w:pStyle w:val="BookText"/>
        <w:rPr/>
      </w:pPr>
      <w:bookmarkEnd w:id="143"/>
      <w:r>
        <w:rPr>
          <w:rFonts w:ascii="IRNazanin" w:hAnsi="IRNazanin" w:eastAsia="IRNazanin"/>
          <w:color w:val="111111"/>
          <w:sz w:val="28"/>
          <w:sz w:val="28"/>
          <w:szCs w:val="28"/>
          <w:rtl w:val="true"/>
          <w:lang w:bidi="fa-IR"/>
        </w:rPr>
        <w:t>أکلها</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التمر لا إشکال فیه، وأمّا الزبیب والکشمش فلا ینبغی ترک الاحتیاط بعدم الأکل لهما، ولما جاورهما من الماء والمرق إذا أدّت الحلاوة إلیهما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علم عروض الإسکار للزبیب والتمر بالغلیان فلا إشکال فی حرمتهما ونجاستهما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بأیّ کیفیّة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کانت علی الأقوی</w:t>
      </w:r>
      <w:r>
        <w:rPr>
          <w:rFonts w:eastAsia="IRNazanin" w:cs="IRNazanin"/>
          <w:color w:val="111111"/>
          <w:sz w:val="28"/>
          <w:szCs w:val="28"/>
          <w:rtl w:val="true"/>
          <w:lang w:bidi="fa-IR"/>
        </w:rPr>
        <w:t>.</w:t>
      </w:r>
    </w:p>
    <w:p>
      <w:pPr>
        <w:pStyle w:val="Heading3"/>
        <w:numPr>
          <w:ilvl w:val="2"/>
          <w:numId w:val="1"/>
        </w:numPr>
        <w:rPr/>
      </w:pPr>
      <w:bookmarkStart w:id="144" w:name="__RefHeading___Toc1666446_2322387425"/>
      <w:bookmarkStart w:id="145" w:name="_Toc51"/>
      <w:bookmarkEnd w:id="144"/>
      <w:r>
        <w:rPr>
          <w:rtl w:val="true"/>
        </w:rPr>
        <w:t>العاشر</w:t>
      </w:r>
      <w:r>
        <w:rPr>
          <w:rtl w:val="true"/>
        </w:rPr>
        <w:t xml:space="preserve">: </w:t>
      </w:r>
      <w:r>
        <w:rPr>
          <w:rtl w:val="true"/>
        </w:rPr>
        <w:t>الفقاع</w:t>
      </w:r>
      <w:bookmarkEnd w:id="145"/>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w:t>
      </w:r>
      <w:r>
        <w:rPr>
          <w:rStyle w:val="FootnoteAnchor"/>
          <w:rtl w:val="true"/>
        </w:rPr>
        <w:footnoteReference w:id="256"/>
      </w:r>
      <w:r>
        <w:rPr>
          <w:rFonts w:ascii="IRNazanin" w:hAnsi="IRNazanin" w:eastAsia="IRNazanin"/>
          <w:color w:val="111111"/>
          <w:sz w:val="28"/>
          <w:sz w:val="28"/>
          <w:szCs w:val="28"/>
          <w:rtl w:val="true"/>
          <w:lang w:bidi="fa-IR"/>
        </w:rPr>
        <w:t>، وهو شراب متّخذ من الشعیر</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الأحری إیکال الأمر إلی نظر العرف فی مفاهیم أمثال هذه الألفاظ، فکلّ ما صدق علیه الفقّاع ترتّبت علیه الحرمة، سواء کان مسکراً ولو ضعیفاً أم لا، وسواء اتّخذ من الشعیر أم القمح أم الذرة أم غیرها، وسواء حصل بالنشیش أو الغلیان أم لا، نعم المتیقّن منه بحسب الحکم هو المتّخذ من الشعیر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w:t>
      </w:r>
      <w:bookmarkStart w:id="146" w:name="pg13273_134932"/>
    </w:p>
    <w:p>
      <w:pPr>
        <w:pStyle w:val="BookText"/>
        <w:rPr/>
      </w:pPr>
      <w:bookmarkEnd w:id="146"/>
      <w:r>
        <w:rPr>
          <w:rFonts w:ascii="IRNazanin" w:hAnsi="IRNazanin" w:eastAsia="IRNazanin"/>
          <w:color w:val="111111"/>
          <w:sz w:val="28"/>
          <w:sz w:val="28"/>
          <w:szCs w:val="28"/>
          <w:rtl w:val="true"/>
          <w:lang w:bidi="fa-IR"/>
        </w:rPr>
        <w:t>مخصوص</w:t>
      </w:r>
      <w:r>
        <w:rPr>
          <w:rStyle w:val="FootnoteAnchor"/>
          <w:rtl w:val="true"/>
        </w:rPr>
        <w:footnoteReference w:id="258"/>
      </w:r>
      <w:r>
        <w:rPr>
          <w:rFonts w:ascii="Amiri" w:hAnsi="Amiri" w:eastAsia="Amiri" w:cs="Amiri"/>
          <w:color w:val="111111"/>
          <w:sz w:val="28"/>
          <w:sz w:val="28"/>
          <w:szCs w:val="28"/>
          <w:rtl w:val="true"/>
          <w:lang w:bidi="ar-SA"/>
        </w:rPr>
        <w:t>،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فیه سُکراً خفیّاً </w:t>
      </w:r>
      <w:r>
        <w:rPr>
          <w:rStyle w:val="FootnoteAnchor"/>
          <w:rtl w:val="true"/>
        </w:rPr>
        <w:footnoteReference w:id="259"/>
      </w:r>
      <w:r>
        <w:rPr>
          <w:rFonts w:ascii="IRNazanin" w:hAnsi="IRNazanin" w:eastAsia="IRNazanin"/>
          <w:color w:val="111111"/>
          <w:sz w:val="28"/>
          <w:sz w:val="28"/>
          <w:szCs w:val="28"/>
          <w:rtl w:val="true"/>
          <w:lang w:bidi="fa-IR"/>
        </w:rPr>
        <w:t>، وإذا کان متّخذاً من غیر الشعیر</w:t>
      </w:r>
      <w:r>
        <w:rPr>
          <w:rStyle w:val="FootnoteAnchor"/>
          <w:rtl w:val="true"/>
        </w:rPr>
        <w:footnoteReference w:id="260"/>
      </w:r>
      <w:r>
        <w:rPr>
          <w:rFonts w:ascii="IRNazanin" w:hAnsi="IRNazanin" w:eastAsia="IRNazanin"/>
          <w:color w:val="111111"/>
          <w:sz w:val="28"/>
          <w:sz w:val="28"/>
          <w:szCs w:val="28"/>
          <w:rtl w:val="true"/>
          <w:lang w:bidi="fa-IR"/>
        </w:rPr>
        <w:t xml:space="preserve">فلا حرمة ولا نجاسة إلاّ إذا کان مسکراً </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الحرمة والنجاسة مع صدق اسم الفقّاع وإن لم یکن مسکراً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صدق علیه اسم الفقّاع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الشعیر الّذی یستعمله الأطبّاء فی معالجاتهم لیس من الفقّاع</w:t>
      </w:r>
      <w:r>
        <w:rPr>
          <w:rStyle w:val="FootnoteAnchor"/>
          <w:rtl w:val="true"/>
        </w:rPr>
        <w:footnoteReference w:id="262"/>
      </w:r>
      <w:r>
        <w:rPr>
          <w:rFonts w:ascii="IRNazanin" w:hAnsi="IRNazanin" w:eastAsia="IRNazanin"/>
          <w:color w:val="111111"/>
          <w:sz w:val="28"/>
          <w:sz w:val="28"/>
          <w:szCs w:val="28"/>
          <w:rtl w:val="true"/>
          <w:lang w:bidi="fa-IR"/>
        </w:rPr>
        <w:t>، فهو طاهر حلال</w:t>
      </w:r>
      <w:r>
        <w:rPr>
          <w:rFonts w:eastAsia="IRNazanin" w:cs="IRNazanin"/>
          <w:color w:val="111111"/>
          <w:sz w:val="28"/>
          <w:szCs w:val="28"/>
          <w:rtl w:val="true"/>
          <w:lang w:bidi="fa-IR"/>
        </w:rPr>
        <w:t>.</w:t>
      </w:r>
    </w:p>
    <w:p>
      <w:pPr>
        <w:pStyle w:val="Heading3"/>
        <w:numPr>
          <w:ilvl w:val="2"/>
          <w:numId w:val="1"/>
        </w:numPr>
        <w:rPr/>
      </w:pPr>
      <w:bookmarkStart w:id="147" w:name="__RefHeading___Toc1666448_2322387425"/>
      <w:bookmarkStart w:id="148" w:name="_Toc52"/>
      <w:bookmarkEnd w:id="147"/>
      <w:r>
        <w:rPr>
          <w:rtl w:val="true"/>
        </w:rPr>
        <w:t>الحادی عشر</w:t>
      </w:r>
      <w:r>
        <w:rPr>
          <w:rtl w:val="true"/>
        </w:rPr>
        <w:t xml:space="preserve">: </w:t>
      </w:r>
      <w:r>
        <w:rPr>
          <w:rtl w:val="true"/>
        </w:rPr>
        <w:t>عرق الجنب من حرام</w:t>
      </w:r>
      <w:bookmarkEnd w:id="148"/>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الجنب</w:t>
      </w:r>
      <w:r>
        <w:rPr>
          <w:rStyle w:val="FootnoteAnchor"/>
          <w:rtl w:val="true"/>
        </w:rPr>
        <w:footnoteReference w:id="263"/>
      </w:r>
      <w:r>
        <w:rPr>
          <w:rFonts w:ascii="IRNazanin" w:hAnsi="IRNazanin" w:eastAsia="IRNazanin"/>
          <w:color w:val="111111"/>
          <w:sz w:val="28"/>
          <w:sz w:val="28"/>
          <w:szCs w:val="28"/>
          <w:rtl w:val="true"/>
          <w:lang w:bidi="fa-IR"/>
        </w:rPr>
        <w:t>من الحرام</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 النائینی، جمال الدین الگلپایگانی، الاصطهباناتی، 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لم تجز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نجاسته نظر؛ لأنّ عمدة الوجه فیه مجرّد النهی عن الصلاة فیه بضمیمة ارتکاز الذهن فی مثل هذه الاُمور إلی نجاسته، وفیه تأمّل؛ لاحتمال المانعیّة المحضة لنفس عنوان العَرَق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طهارته وإن لم تجز الصلاة فیه، فتسقط الفروع المتفرّعة علی 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نجاسته وإن حسن الاجتناب عنه، نعم لا یصلّی فیه علی الأحوط فتسقط الفروع الآتیة المترتّبة علی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نجاسته إشکال، نعم لا تجوز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طهارته، ولکن الأحوط ترک الصلاة فی الثوب الّذی فیه العَرق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نعم لا تجوز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نجاسته، وإنّما تکره الصلاة فیه، والأحوط الاجتناب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طهارته بأنواعه فی جمیع فروعه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طهارته لا تخلو من قوّة، وإن کان لا تجوز الصلاة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نعم لا تجوز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طهارته، وإن لم تجز الصلاة معه ما دامت العین باقیة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نجاسته، وإنّما لا یصلّی فی ثوب أصابه إلاّ بعد غسله وإزالة أثره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لکن لا تجوز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طهارته، والأحوط ترک الصلاة فیه إذا کانت الحرمة ذاتیة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طهارته وإن لم تجز الصلاة فیه علی الأحوط، فیسقط ما یتفرّع علیها من حیث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طهارته، وکونه مانعاً عن الصلاة معه، ومنه یعلم حال الفروع الّتی یذکرها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نجاسته إشکال، بل منع، ومنه یظهر الحال فی الفروع الآتیة، نعم، الأولی ترک الصلاة فیه فیما إذا کانت الحرمة ذاتیّة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ولکن لا تجوز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النجاسة مشکلة، بل ممنوعة، والأحوط عدم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نعم لا تجوز الصلاة فیه فی ما إذا کانت الحرمة ذاتیّة، بل مطلقاً علی الأحوط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طهارته، وعدم جواز الصلاة فیه فی جمیع صور المسألة وجمیع فروعها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نجاسته، والأحوط عدم جواز الصلاة فیه، ومنه یظهر الحال فی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طهارته، وجواز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طهارته، ولکن یکره الصلاة فی الثوب الّذی فیه العَرَق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طهارته؛ لعدم وجود دلیل معتبر علی نجاسته، نعم لا تجوز الصلاة فی الثوب الّذی فیه العرق موجوداً علی الأحوط، فعلی القول بالطهارة تسقط الفروع الآتیة المتفّرعة علی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طهارته وجواز الصلاة فیه، فتسقط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الطهارة، والأحوط المانعیّة للصلاة، ولا مجال للفروع الآتیة من حیث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خرج حین الجماع</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بعده</w:t>
      </w:r>
      <w:r>
        <w:rPr>
          <w:rStyle w:val="FootnoteAnchor"/>
          <w:rtl w:val="true"/>
        </w:rPr>
        <w:footnoteReference w:id="265"/>
      </w:r>
      <w:r>
        <w:rPr>
          <w:rFonts w:ascii="IRNazanin" w:hAnsi="IRNazanin" w:eastAsia="IRNazanin"/>
          <w:color w:val="111111"/>
          <w:sz w:val="28"/>
          <w:sz w:val="28"/>
          <w:szCs w:val="28"/>
          <w:rtl w:val="true"/>
          <w:lang w:bidi="fa-IR"/>
        </w:rPr>
        <w:t xml:space="preserve">، من الرجل أو المرأة، سواء کان من زنا أو غیره، کوط‌ء البهیمة أو الاستمناء أو نحوها ممّا حرمته ذاتیّة، </w:t>
      </w:r>
    </w:p>
    <w:p>
      <w:pPr>
        <w:pStyle w:val="BookText"/>
        <w:rPr/>
      </w:pPr>
      <w:r>
        <w:rPr>
          <w:rFonts w:ascii="IRNazanin" w:hAnsi="IRNazanin" w:eastAsia="IRNazanin"/>
          <w:color w:val="111111"/>
          <w:sz w:val="28"/>
          <w:sz w:val="28"/>
          <w:szCs w:val="28"/>
          <w:rtl w:val="true"/>
          <w:lang w:bidi="fa-IR"/>
        </w:rPr>
        <w:t>بل الأقوی</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تأمّل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ممنوعة علی فرض تسلّم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أقوی تأمّل،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منع؛ لاحتمال انصراف الإطلاق إلی الحرمة الذاتیّة، نعم الأحوط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وط‌ء الحائض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والجماع فی یوم الصوم الواجب المعیّن، أو فی الظهار قبل التکفیر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الخارج منه حال الاغتسال قبل تمامه نجس</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بنجاسة عرق الجنب من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نجاسته، وعلی تقدیر النجاسة فالمعیار فی صحّة الغسل وصول الماء العاصم إلی جسده حتّی لا ینفعل بجریانه، سواء کان الإیصال بنحو الارتماس أم الترتیب، وبلا فرق فی الماء بین البارد والحارّ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بالنجاسة تکره الصلاة فیه علی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القول بنجاسته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 هذا فلیغتسل فی الماء البارد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لم یتمکّن فلیرتمس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الماء الحارّ</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أن یکون الماء عاصماً حتّی لا یتأثّر بمجرّد الدخول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وینوی الغسل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الخروج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لعدم کونه من الارتماسی ولا الترتیبی؛ لعدم حصول الترتیب بین الأیمن والأیسر بذلک، والأولی أن ینویه بثانی آنات حصوله بأجمعه تحت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صحّـته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الغسل الارتماسی بهذا النحو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ولیُراعِ الترتیب بین أعضاء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الترتیب فی الترتیبی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الغسل الارتماسی بذلک مشکل، فالأحوط له اختیار الترتیبی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ینوی الغسل فی الآن الثانی من کونه تحت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إذ المعتبر فی الغسل الارتماسی نیّة الغسل حال الغمس فی الماء لا الخروج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الغسل الارتماسی بهذه الکیفیّة مشکلة، مع أ نّه لا یتحقّق بها الفرار عن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یحرّک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ما فیهما من الإشکال فی صحّة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بدنه</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مراعیاً الترتیب بین أعضاء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الماء بقصد 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أجنب من حرام ثمّ من حلال، أو من حلال</w:t>
      </w:r>
      <w:r>
        <w:rPr>
          <w:rStyle w:val="FootnoteAnchor"/>
          <w:rtl w:val="true"/>
        </w:rPr>
        <w:footnoteReference w:id="270"/>
      </w:r>
      <w:r>
        <w:rPr>
          <w:rFonts w:ascii="Amiri" w:hAnsi="Amiri" w:eastAsia="Amiri" w:cs="Amiri"/>
          <w:color w:val="111111"/>
          <w:sz w:val="28"/>
          <w:sz w:val="28"/>
          <w:szCs w:val="28"/>
          <w:rtl w:val="true"/>
          <w:lang w:bidi="ar-SA"/>
        </w:rPr>
        <w:t>ثمّ من حرام</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نجاسته فی هذه الصورة لا تخلو من إشکال؛ لأنّ المجنب لا یجنب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للحکم بالنجاسة مع عدم حصول جنابة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فی هذا الفرض تجوز الصلاة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الحاصل محال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نجاسة عرقه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أصل النجاسة إشکال، کما مرّ خصوصاً فی 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الصورة الثانیة محلّ تأمّل، نعم 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طهارته لا تخلو من قوّة، وأمّا عدم جواز الصلاة فیه ففی الصورة الاُولی هو الأقوی، وفی الثانیة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الصورة الثانیة إشکال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خصوصاً فی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الصورة الثانیة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الثانیة إشکال، بل جواز الصلاة فیه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النجاسة فی الصورة الاُولی فقط علی القول بها، وما یوجّه بحصول الجنابة عن الحرام فی الثانیة ضعیف لا یُصغی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فی الصورة الاُولی، وعلی الأحوط فی 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 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ثبوت حکم عرق الجنب من الحرام لعرقه فی الصورة الاُولی دون الثانیة، وإن کان الأحوط رعایته فیها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 خصوصاً فی الصورة</w:t>
      </w:r>
    </w:p>
    <w:p>
      <w:pPr>
        <w:pStyle w:val="BookText"/>
        <w:rPr/>
      </w:pPr>
      <w:r>
        <w:rPr>
          <w:rFonts w:ascii="Amiri" w:hAnsi="Amiri" w:eastAsia="Amiri" w:cs="Amiri"/>
          <w:color w:val="111111"/>
          <w:sz w:val="28"/>
          <w:sz w:val="28"/>
          <w:szCs w:val="28"/>
          <w:rtl w:val="true"/>
          <w:lang w:bidi="ar-SA"/>
        </w:rPr>
        <w:t>الاُولی</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النجاسة فی هذه الصورة علی القول بها دون 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محکومة بالنجاسة بناءً علی القول بنجاسة العَرَق دون الثانیة، فإنّ فیها إشکالاً من جهة عدم صیرورة المجنب مجنباً ثانیاً، فالأحوط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المجنب من حرام إذا تیمّم لعدم التمکّن من الغسل، فالظاهر</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نجاسة عرقه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الأوجه أنّ تیمّمه لا یرفع حکم عَرَقه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المیلانی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حکمه حکم العَرَق قبل التیمّم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کونه مانعاً عن الصلاة علی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لعدم ارتفاع الجنابة بجمیع مراتبها ولو علی القول بالرافعیّة، والرفع ما دام غیر معقول؛ وإطلاق أدلّة البدلیّة لا یفید رفع جمیع مراتب الجنابة،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للنجاسة هی المرتبة الأعلی من حدث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بناءً علی 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بالنسبة إلی عدم جواز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الاجتناب عنه ما لم یغتسل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وإذا وجد الماء ولم یغتسل بعد فعرقه 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المختار لا تجوز الصلاة معه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بنجاسة عَرَق الجنب من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لبطلان تیمّمه بالوجدان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غیر البالغ إذا أجنب من حرام</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تتصوّر الجنابة من الحرام فی حقّه؛ لرفع القلم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نجاسة عرقه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جریان الحکم فی عَرقه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نجاسته ولو علی فرض نجاسة عَرق الجنب من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الطهارة، بل فرض الحرمة مع عدم البلوغ لا یخلو من غرابة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للإشکال ولو علی القول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لزوم الاجتناب عنه فی الصلاة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القول بنجاسة هذا العَرق الظاهر ترتّب الحکم علی الحرمة الفعلیّة، فلا حرمة فی حقّه، فلا یحکم بنجاسة عَرق الصبی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والأحوط</w:t>
      </w:r>
      <w:bookmarkStart w:id="149" w:name="pg13273_134940"/>
    </w:p>
    <w:p>
      <w:pPr>
        <w:pStyle w:val="BookText"/>
        <w:rPr/>
      </w:pPr>
      <w:bookmarkEnd w:id="149"/>
      <w:r>
        <w:rPr>
          <w:rFonts w:ascii="IRNazanin" w:hAnsi="IRNazanin" w:eastAsia="IRNazanin"/>
          <w:color w:val="111111"/>
          <w:sz w:val="28"/>
          <w:sz w:val="28"/>
          <w:szCs w:val="28"/>
          <w:rtl w:val="true"/>
          <w:lang w:bidi="fa-IR"/>
        </w:rPr>
        <w:t>أمره</w:t>
      </w:r>
      <w:r>
        <w:rPr>
          <w:rStyle w:val="FootnoteAnchor"/>
          <w:rtl w:val="true"/>
        </w:rPr>
        <w:footnoteReference w:id="276"/>
      </w:r>
      <w:r>
        <w:rPr>
          <w:rFonts w:ascii="IRNazanin" w:hAnsi="IRNazanin" w:eastAsia="IRNazanin"/>
          <w:color w:val="111111"/>
          <w:sz w:val="28"/>
          <w:sz w:val="28"/>
          <w:szCs w:val="28"/>
          <w:rtl w:val="true"/>
          <w:lang w:bidi="fa-IR"/>
        </w:rPr>
        <w:t>بالغسل؛ إذ یصحّ</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والأقوی عدم شرعیّة عباداته، وما استُند إلیه فی إثباتها مدخولةٌ مردودةٌ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قبل البلوغ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Heading3"/>
        <w:numPr>
          <w:ilvl w:val="2"/>
          <w:numId w:val="1"/>
        </w:numPr>
        <w:rPr/>
      </w:pPr>
      <w:bookmarkStart w:id="150" w:name="__RefHeading___Toc1666450_2322387425"/>
      <w:bookmarkStart w:id="151" w:name="_Toc53"/>
      <w:bookmarkEnd w:id="150"/>
      <w:r>
        <w:rPr>
          <w:rtl w:val="true"/>
        </w:rPr>
        <w:t>الثانی عشر</w:t>
      </w:r>
      <w:r>
        <w:rPr>
          <w:rtl w:val="true"/>
        </w:rPr>
        <w:t xml:space="preserve">: </w:t>
      </w:r>
      <w:r>
        <w:rPr>
          <w:rtl w:val="true"/>
        </w:rPr>
        <w:t>عرق الابل الجلالة</w:t>
      </w:r>
      <w:bookmarkEnd w:id="151"/>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الإبل الجلاّلة</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طهارته، والأحوط عدم جواز الصلاة فیه، وکذا عَرق مطلق الحیوان الجلاّل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نجاسته، لکن لا تجوز الصلاة فی عَرق الحیوان الجلاّل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تجوز الصلاة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w:t>
      </w:r>
    </w:p>
    <w:p>
      <w:pPr>
        <w:pStyle w:val="BookText"/>
        <w:rPr/>
      </w:pPr>
      <w:r>
        <w:rPr>
          <w:rFonts w:ascii="IRNazanin" w:hAnsi="IRNazanin" w:eastAsia="IRNazanin"/>
          <w:color w:val="111111"/>
          <w:sz w:val="28"/>
          <w:sz w:val="28"/>
          <w:szCs w:val="28"/>
          <w:rtl w:val="true"/>
          <w:lang w:bidi="fa-IR"/>
        </w:rPr>
        <w:t>مطلق</w:t>
      </w:r>
      <w:r>
        <w:rPr>
          <w:rStyle w:val="FootnoteAnchor"/>
          <w:rtl w:val="true"/>
        </w:rPr>
        <w:footnoteReference w:id="279"/>
      </w:r>
      <w:r>
        <w:rPr>
          <w:rFonts w:ascii="IRNazanin" w:hAnsi="IRNazanin" w:eastAsia="IRNazanin"/>
          <w:color w:val="111111"/>
          <w:sz w:val="28"/>
          <w:sz w:val="28"/>
          <w:szCs w:val="28"/>
          <w:rtl w:val="true"/>
          <w:lang w:bidi="fa-IR"/>
        </w:rPr>
        <w:t>الحیوان الجلاّل علی الأحوط</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الاجتناب عن الثعلب والأرنب والوزغ والعقرب والفأر، بل مطلق المسوخات، وإن کان الأقوی طهارة الجمیع</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مشکوک طاهر</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المسبوق بعدم التذکیة أو بالنجاسة، بل وغیر طرف العلم الإجمالی بالنسبة إلی مثل الأکل والصلاة ممّا یشترط فیه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یعلم بسبق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العلم بسبق النجاسة محکوم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سواء کانت الشبهة لاحتمال کونه من الأعیان النجسة، أو لاحتمال تنجّسه مع کونه من الأعیان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 الدم المشکوک کونه من القسم الطاهر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النجس محکوم</w:t>
      </w:r>
    </w:p>
    <w:p>
      <w:pPr>
        <w:pStyle w:val="BookText"/>
        <w:rPr/>
      </w:pPr>
      <w:r>
        <w:rPr>
          <w:rFonts w:ascii="IRNazanin" w:hAnsi="IRNazanin" w:eastAsia="IRNazanin"/>
          <w:color w:val="111111"/>
          <w:sz w:val="28"/>
          <w:sz w:val="28"/>
          <w:szCs w:val="28"/>
          <w:rtl w:val="true"/>
          <w:lang w:bidi="fa-IR"/>
        </w:rPr>
        <w:t>بالنجاسة ضعیف</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مورد ثبت طهارته بدلیل لبّی من سیرة أو إجماع، فإنّه یرجع إلی التمسّک بعموم النجاسة بالنسبة إلی الشبهة المصداقیّة للمخصّص اللبّی علی ما حقّقناه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الوجه فی المتخلّف المشکوک للاجتناب ولو احتیاطاً، وقد مرّ منه الإشکال فیه، بل المیل إلی نجاسته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یعتدّ به إلاّ فی موردٍ خاصّ، وهو الدم المشکوک الموجود فی منقار جوارح الطیر کالصقر علی ما فی موثّقة عمّار المرویّة فی باب الأسآر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الأسآر،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غیر الدم المرئیّ فی منقار جوارح الطیور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تفصیل القول فی ذلک فی المسألة السابعة من مبحث نجاسة الدم، فلتُلاحظ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الاجتناب عن الدم المرئیِّ فی منقار جوارح الطیر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نعم یستثنی ممّا ذکرنا الرطوبة الخارجة بعد البول قبل الاستبراء بالخرطات، أو بعد خروج المنیّ قبل الاستبراء بالبول، فإنّها مع الشکّ محکومة بالنجاسة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طهارة غسالة الحمّام</w:t>
      </w:r>
      <w:r>
        <w:rPr>
          <w:rStyle w:val="FootnoteAnchor"/>
          <w:rtl w:val="true"/>
        </w:rPr>
        <w:footnoteReference w:id="284"/>
      </w:r>
      <w:r>
        <w:rPr>
          <w:rFonts w:ascii="Amiri" w:hAnsi="Amiri" w:eastAsia="Amiri" w:cs="Amiri"/>
          <w:color w:val="111111"/>
          <w:sz w:val="28"/>
          <w:sz w:val="28"/>
          <w:szCs w:val="28"/>
          <w:rtl w:val="true"/>
          <w:lang w:bidi="ar-SA"/>
        </w:rPr>
        <w:t xml:space="preserve">وإن ظنّ نجاستها، لکنّ </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هذا الاحتیاط، والمراد من الغسالة کما فی نصّ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مجتمع الماء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الماء المضاف والمستعمل،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یجتمع فی البئر المعدّة لجمع الغسالات من غسالة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الاجتناب 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رشّ الماء إذا أراد أن یصلّی فی معابد الیهود والنصاری</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بیوت النار للمجوس، والظاهر أنّ الاستحباب تعبّدی صرف بإتیان ما یشعر بالتنزّه عنهم، لا لاحتمال النجاسة کما قیل، ولتوجیه الأخبار المرویّة هنا مجال فسیح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بیوت المجوس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والمجوس، وهو أیضاً منصوص، کما فی صحیحة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مکان المصلی، ح</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نجاستها، وإن کانت محکومة بالطهارة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الطهارة</w:t>
      </w:r>
      <w:r>
        <w:rPr>
          <w:rStyle w:val="FootnoteAnchor"/>
          <w:rtl w:val="true"/>
        </w:rPr>
        <w:footnoteReference w:id="287"/>
      </w:r>
      <w:r>
        <w:rPr>
          <w:rFonts w:ascii="IRNazanin" w:hAnsi="IRNazanin" w:eastAsia="IRNazanin"/>
          <w:color w:val="111111"/>
          <w:sz w:val="28"/>
          <w:sz w:val="28"/>
          <w:szCs w:val="28"/>
          <w:rtl w:val="true"/>
          <w:lang w:bidi="fa-IR"/>
        </w:rPr>
        <w:t xml:space="preserve">والنجاسة لا یجب الفحص، بل </w:t>
      </w:r>
      <w:bookmarkStart w:id="152" w:name="pg13273_134944"/>
    </w:p>
    <w:p>
      <w:pPr>
        <w:pStyle w:val="BookText"/>
        <w:rPr/>
      </w:pPr>
      <w:bookmarkEnd w:id="152"/>
      <w:r>
        <w:rPr>
          <w:rFonts w:ascii="IRNazanin" w:hAnsi="IRNazanin" w:eastAsia="IRNazanin"/>
          <w:color w:val="111111"/>
          <w:sz w:val="28"/>
          <w:sz w:val="28"/>
          <w:szCs w:val="28"/>
          <w:rtl w:val="true"/>
          <w:lang w:bidi="fa-IR"/>
        </w:rPr>
        <w:t>یبنی علی الطهارة إذا لم یکن مسبوقاً بالنجاسة، ولو أمکن</w:t>
      </w:r>
      <w:r>
        <w:rPr>
          <w:rStyle w:val="FootnoteAnchor"/>
          <w:rtl w:val="true"/>
        </w:rPr>
        <w:footnoteReference w:id="288"/>
      </w:r>
      <w:r>
        <w:rPr>
          <w:rFonts w:ascii="IRNazanin" w:hAnsi="IRNazanin" w:eastAsia="IRNazanin"/>
          <w:color w:val="111111"/>
          <w:sz w:val="28"/>
          <w:sz w:val="28"/>
          <w:szCs w:val="28"/>
          <w:rtl w:val="true"/>
          <w:lang w:bidi="fa-IR"/>
        </w:rPr>
        <w:t>حصول العلم</w:t>
      </w:r>
      <w:r>
        <w:rPr>
          <w:rStyle w:val="FootnoteAnchor"/>
          <w:rtl w:val="true"/>
        </w:rPr>
        <w:footnoteReference w:id="289"/>
      </w:r>
      <w:r>
        <w:rPr>
          <w:rFonts w:ascii="IRNazanin" w:hAnsi="IRNazanin" w:eastAsia="IRNazanin"/>
          <w:color w:val="111111"/>
          <w:sz w:val="28"/>
          <w:sz w:val="28"/>
          <w:szCs w:val="28"/>
          <w:rtl w:val="true"/>
          <w:lang w:bidi="fa-IR"/>
        </w:rPr>
        <w:t>بالحال فی الحال</w:t>
      </w:r>
      <w:r>
        <w:rPr>
          <w:rFonts w:eastAsia="IRNazanin" w:cs="IRNazanin"/>
          <w:color w:val="111111"/>
          <w:sz w:val="28"/>
          <w:szCs w:val="28"/>
          <w:rtl w:val="true"/>
          <w:lang w:bidi="fa-IR"/>
        </w:rPr>
        <w:t>.</w:t>
      </w:r>
    </w:p>
    <w:p>
      <w:pPr>
        <w:pStyle w:val="Heading2"/>
        <w:numPr>
          <w:ilvl w:val="1"/>
          <w:numId w:val="1"/>
        </w:numPr>
        <w:rPr/>
      </w:pPr>
      <w:bookmarkStart w:id="153" w:name="__RefHeading___Toc1666452_2322387425"/>
      <w:bookmarkStart w:id="154" w:name="_Toc54"/>
      <w:bookmarkEnd w:id="153"/>
      <w:r>
        <w:rPr>
          <w:rtl w:val="true"/>
        </w:rPr>
        <w:t>فصل فی طرق ثبوت النجاسة</w:t>
      </w:r>
      <w:bookmarkEnd w:id="154"/>
    </w:p>
    <w:p>
      <w:pPr>
        <w:pStyle w:val="Heading3"/>
        <w:numPr>
          <w:ilvl w:val="2"/>
          <w:numId w:val="1"/>
        </w:numPr>
        <w:rPr/>
      </w:pPr>
      <w:bookmarkStart w:id="155" w:name="__RefHeading___Toc1666454_2322387425"/>
      <w:bookmarkStart w:id="156" w:name="_Toc55"/>
      <w:bookmarkEnd w:id="155"/>
      <w:r>
        <w:rPr>
          <w:rtl w:val="true"/>
        </w:rPr>
        <w:t>ثبوت النجاسة بالعلم الوجدانی وبالبینة العادلة</w:t>
      </w:r>
      <w:bookmarkEnd w:id="156"/>
    </w:p>
    <w:p>
      <w:pPr>
        <w:pStyle w:val="BookText"/>
        <w:rPr/>
      </w:pPr>
      <w:r>
        <w:rPr>
          <w:rFonts w:ascii="IRNazanin" w:hAnsi="IRNazanin" w:eastAsia="IRNazanin"/>
          <w:color w:val="111111"/>
          <w:sz w:val="28"/>
          <w:sz w:val="28"/>
          <w:szCs w:val="28"/>
          <w:rtl w:val="true"/>
          <w:lang w:bidi="fa-IR"/>
        </w:rPr>
        <w:t>طریق ثبوت النجاسة، أو التنجّس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الوجدانی</w:t>
      </w:r>
      <w:r>
        <w:rPr>
          <w:rStyle w:val="FootnoteAnchor"/>
          <w:rtl w:val="true"/>
        </w:rPr>
        <w:footnoteReference w:id="290"/>
      </w:r>
      <w:r>
        <w:rPr>
          <w:rFonts w:ascii="Amiri" w:hAnsi="Amiri" w:eastAsia="Amiri" w:cs="Amiri"/>
          <w:color w:val="111111"/>
          <w:sz w:val="28"/>
          <w:sz w:val="28"/>
          <w:szCs w:val="28"/>
          <w:rtl w:val="true"/>
          <w:lang w:bidi="ar-SA"/>
        </w:rPr>
        <w:t>، أو البیّنة</w:t>
      </w:r>
      <w:r>
        <w:rPr>
          <w:rStyle w:val="FootnoteAnchor"/>
          <w:rtl w:val="true"/>
        </w:rPr>
        <w:footnoteReference w:id="291"/>
      </w:r>
      <w:r>
        <w:rPr>
          <w:rFonts w:ascii="IRNazanin" w:hAnsi="IRNazanin" w:eastAsia="IRNazanin"/>
          <w:color w:val="111111"/>
          <w:sz w:val="28"/>
          <w:sz w:val="28"/>
          <w:szCs w:val="28"/>
          <w:rtl w:val="true"/>
          <w:lang w:bidi="fa-IR"/>
        </w:rPr>
        <w:t>العادلة، وفی کفایة العدل الواحد إشکال</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الثبوت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إذا أفاد قوله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کفایته، إلاّ إذا أفاد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الاکتفاء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مع حصول الاطمئنان منه بالنجاسة لا إشکال فی ثبوتها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یفد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عند حصول الاطمئنان بقوله، بل اعتباره مطلقاً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فیه مع حصول الوثوق والاطمئنان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لزوم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احتمال اعتباره فیما لو أفاد 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ثبوت النجاسة بقول العدل الواحد، بل بمطلق الثقة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وکذا فی الصورة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حصول الوثوق والاطمئنان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کفایته، بل یثبت بقول ثقة وإن لم یکن عادلاً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 ثبوتها به، بل ثبت بإخبار الثقة الواحد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الاکتفاء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یکتفی بالعدل الواحد، بل بقول الثقة إذا حصل منهما الاطمئنان العقلائی، بل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یفد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یترک مراعاة</w:t>
      </w:r>
      <w:bookmarkStart w:id="157" w:name="pg13273_134945"/>
    </w:p>
    <w:p>
      <w:pPr>
        <w:pStyle w:val="BookText"/>
        <w:rPr/>
      </w:pPr>
      <w:bookmarkEnd w:id="157"/>
      <w:r>
        <w:rPr>
          <w:rFonts w:ascii="IRNazanin" w:hAnsi="IRNazanin" w:eastAsia="IRNazanin"/>
          <w:color w:val="111111"/>
          <w:sz w:val="28"/>
          <w:sz w:val="28"/>
          <w:szCs w:val="28"/>
          <w:rtl w:val="true"/>
          <w:lang w:bidi="fa-IR"/>
        </w:rPr>
        <w:t>الاحتیاط</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قوله موجباً للاطمئنان،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58" w:name="__RefHeading___Toc1666456_2322387425"/>
      <w:bookmarkStart w:id="159" w:name="_Toc56"/>
      <w:bookmarkEnd w:id="158"/>
      <w:r>
        <w:rPr>
          <w:rtl w:val="true"/>
        </w:rPr>
        <w:t>ثبوت النجاسة بقول ذی الید</w:t>
      </w:r>
      <w:bookmarkEnd w:id="159"/>
    </w:p>
    <w:p>
      <w:pPr>
        <w:pStyle w:val="BookText"/>
        <w:rPr/>
      </w:pPr>
      <w:r>
        <w:rPr>
          <w:rFonts w:ascii="IRNazanin" w:hAnsi="IRNazanin" w:eastAsia="IRNazanin"/>
          <w:color w:val="111111"/>
          <w:sz w:val="28"/>
          <w:sz w:val="28"/>
          <w:szCs w:val="28"/>
          <w:rtl w:val="true"/>
          <w:lang w:bidi="fa-IR"/>
        </w:rPr>
        <w:t>وتثبت أیضاً بقول صاحب الید</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متّهماً علی تأمّل أحوطه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کانت سلطنته علی ما فی یده شرعیّة بملکیّة العین أم المنفعة أم الانتفاع أم الاستیداع، أو غیر شرعیّة کالغصب، وسواء کان المسلّط مسلماً أو کافراً علی الأقوی بشرط عدم التهمة کما سیأتی، وعلیه جریان السیرة العقلائیّة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إذا کان متّهماً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bookmarkStart w:id="160" w:name="pg13273_134946"/>
    </w:p>
    <w:p>
      <w:pPr>
        <w:pStyle w:val="BookText"/>
        <w:rPr/>
      </w:pPr>
      <w:bookmarkEnd w:id="160"/>
      <w:r>
        <w:rPr>
          <w:rFonts w:ascii="IRNazanin" w:hAnsi="IRNazanin" w:eastAsia="IRNazanin"/>
          <w:color w:val="111111"/>
          <w:sz w:val="28"/>
          <w:sz w:val="28"/>
          <w:szCs w:val="28"/>
          <w:rtl w:val="true"/>
          <w:lang w:bidi="fa-IR"/>
        </w:rPr>
        <w:t>بملک أو إجارة أو إعارة أو أمانة</w:t>
      </w:r>
      <w:r>
        <w:rPr>
          <w:rStyle w:val="FootnoteAnchor"/>
          <w:rtl w:val="true"/>
        </w:rPr>
        <w:footnoteReference w:id="295"/>
      </w:r>
      <w:r>
        <w:rPr>
          <w:rFonts w:ascii="IRNazanin" w:hAnsi="IRNazanin" w:eastAsia="IRNazanin"/>
          <w:color w:val="111111"/>
          <w:sz w:val="28"/>
          <w:sz w:val="28"/>
          <w:szCs w:val="28"/>
          <w:rtl w:val="true"/>
          <w:lang w:bidi="fa-IR"/>
        </w:rPr>
        <w:t>، بل أو غصب</w:t>
      </w:r>
      <w:r>
        <w:rPr>
          <w:rStyle w:val="FootnoteAnchor"/>
          <w:rtl w:val="true"/>
        </w:rPr>
        <w:footnoteReference w:id="296"/>
      </w:r>
      <w:r>
        <w:rPr>
          <w:rFonts w:ascii="IRNazanin" w:hAnsi="IRNazanin" w:eastAsia="IRNazanin"/>
          <w:color w:val="111111"/>
          <w:sz w:val="28"/>
          <w:sz w:val="28"/>
          <w:szCs w:val="28"/>
          <w:rtl w:val="true"/>
          <w:lang w:bidi="fa-IR"/>
        </w:rPr>
        <w:t>،</w:t>
      </w:r>
    </w:p>
    <w:p>
      <w:pPr>
        <w:pStyle w:val="Heading3"/>
        <w:numPr>
          <w:ilvl w:val="2"/>
          <w:numId w:val="1"/>
        </w:numPr>
        <w:rPr/>
      </w:pPr>
      <w:bookmarkStart w:id="161" w:name="__RefHeading___Toc1666458_2322387425"/>
      <w:bookmarkStart w:id="162" w:name="_Toc57"/>
      <w:bookmarkEnd w:id="161"/>
      <w:r>
        <w:rPr>
          <w:rtl w:val="true"/>
        </w:rPr>
        <w:t>عدم ثبوت النجاسة بمطلق الظن</w:t>
      </w:r>
      <w:bookmarkEnd w:id="162"/>
    </w:p>
    <w:p>
      <w:pPr>
        <w:pStyle w:val="BookText"/>
        <w:rPr/>
      </w:pPr>
      <w:r>
        <w:rPr>
          <w:rFonts w:ascii="IRNazanin" w:hAnsi="IRNazanin" w:eastAsia="IRNazanin"/>
          <w:color w:val="111111"/>
          <w:sz w:val="28"/>
          <w:sz w:val="28"/>
          <w:szCs w:val="28"/>
          <w:rtl w:val="true"/>
          <w:lang w:bidi="fa-IR"/>
        </w:rPr>
        <w:t xml:space="preserve">ولا اعتبار بمطلق الظنّ وإن کان قویّاً </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یصل إلی حدّ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یبلغ درجة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یصل حدّ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یصل حدّ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یفید الوثوق والاطمئنان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یصل إلی درجة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بلغ مرتبة الاطمئنان الّذی یکون علماً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فالدهن واللبن والجبن المأخوذ من أهل البوادی محکوم بالطهارة وإن حصل الظنّ بنجاستها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قد یقال بعدم رجحان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الاحتیاط بالاجتناب عنها، بل قد یکره أو یحرم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الحرمة بمجرّد المعرضیّة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حرمة جعل النفس فی معرض الوسواس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bookmarkStart w:id="163" w:name="pg13273_134947"/>
    </w:p>
    <w:p>
      <w:pPr>
        <w:pStyle w:val="BookText"/>
        <w:rPr/>
      </w:pPr>
      <w:bookmarkEnd w:id="163"/>
      <w:r>
        <w:rPr>
          <w:rFonts w:ascii="IRNazanin" w:hAnsi="IRNazanin" w:eastAsia="IRNazanin"/>
          <w:color w:val="111111"/>
          <w:sz w:val="28"/>
          <w:sz w:val="28"/>
          <w:szCs w:val="28"/>
          <w:rtl w:val="true"/>
          <w:lang w:bidi="fa-IR"/>
        </w:rPr>
        <w:t>کان</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ففیفی معرض حصول الوسواس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666460_2322387425"/>
      <w:bookmarkStart w:id="165" w:name="_Toc58"/>
      <w:bookmarkEnd w:id="164"/>
      <w:r>
        <w:rPr>
          <w:rtl w:val="true"/>
        </w:rPr>
        <w:t>عدم الاعتبار بعلم الوسواسی</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بالنسبة إلی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المنفیّ الاعتبار هو العلم الّذی حصل له من أسباب ومقدّمات سخیفة خیالیّة، وعدم الاعتبار بعلمه فی حقّ نفسه لعلّ المراد به تبدّل الواقع فی حقّه بسبب العنوان الطارئ، وهو الوسواس، وأمّا فی حقّ غیره فالمراد به عدم ترتیب الأثر علی علمه فی المقامات، کالإخبار والشهادة ونحوهما، ثمّ هل یجب علیه تحصیل العلم بالواقعیّات، أو له الاکتفاء بالاحتمال فی تفریغ الذمّة؛ لخروج شکّه عن المتعارف؟ الظاهر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العلم ذاتی، والذاتی لا ینفکّ عن الذات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بعلم الوسواسی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جدّاً؛ لعدم صلاحیّة القطع الطریقی للردع حتّی من القطّاع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العبارة لا تخلو من حزازة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حال الوسواسی بالنسبة إلی النجاسة توهّم العلم، لا حقیقة، وإلاّ لا یعقل الردع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علمه بالنجاسة یلغو فی حقّ الغیر، أمّا شهادته بالطهارة فلا مانع من قبولها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شهد بعلمه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الوسواسی وغیره، إلاّ فی عدم اعتبار قوله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یعتبر فی حقّه أن یعلم بالطهارة، ولا یعتبر غیره إخباره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حجّیة العلم، لکنّه لا یحصل للوسواسی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 نّه لا یجب علیه تحصیل العلم بالطهارة، ولا یعتمد علی إخباره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یجب علیه تحصیل العلم، ولو حصل له یصحّ نقض أثره، وکذا لا یعتمد علی إخبار الوسواسی إن أخبر بالنجاسة، وأمّا عدم اعتبار علمه بالطهارة لو حصل له علم فلا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فلا یجب علیه تحصیل العلم بالطهارة، ولا یعتمد علی قوله فی النجاسة، أمّا إذا حصل له العلم بالطهارة فلا معنی لعدم ترتّب الأثر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 نّه لا یجب علیه تحصیل العلم بالطهارة لما یشترط بها، ولا یکون إخباره بالنجاسة حجّة علی غیره، وأ نّه لو صار عالماً بها من غیر الطرق المتعارفة لا یعمل بعلمه، وتوهّم عدم معقولیّة الردع مردود بإمکان تبدّل الواقع عن حکمه إلی حکم آخر، فیکون الواقع موضوعاً للحکم فی غیر حال الوسواس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بالنسبة إلی النجاسة لا أثر لعلمه بها ولا یجب علیه تحصیل العلم بالطهارة فعلمه فی نظر الشارع لیس علماً حقیقیاً، بل علماً توهّمیّاً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علمه بالنجاسة بعد کون العلم حجّة ذاتیّة یحتاج إلی توجیه من عدم وجوب تحصیل العلم فی الطهارة، أو عدم جواز الاعتماد علی إخباره بالنجاسة، أو أنّ علمه بها علم توهّمی،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اعتبار بإخباره وشهادته، نعم لو حصل له القطع من الأدلّة فالعمل علی طبق قطعه؛ من جهة أنّ حجّیّة القطع أمر ذاتی، أمّا بالنسبة إلی الطهارة فلابدّ له من العمل علی علمه بطهارة الشیء، فلا وجه لعدم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3273_134949"/>
      <w:bookmarkStart w:id="167" w:name="pg13273_134949"/>
      <w:bookmarkEnd w:id="167"/>
    </w:p>
    <w:p>
      <w:pPr>
        <w:pStyle w:val="BookText"/>
        <w:rPr/>
      </w:pPr>
      <w:bookmarkStart w:id="168" w:name="pg13273_134949"/>
      <w:bookmarkEnd w:id="168"/>
      <w:r>
        <w:rPr>
          <w:rFonts w:ascii="IRNazanin" w:hAnsi="IRNazanin" w:eastAsia="IRNazanin"/>
          <w:color w:val="111111"/>
          <w:sz w:val="28"/>
          <w:sz w:val="28"/>
          <w:szCs w:val="28"/>
          <w:rtl w:val="true"/>
          <w:lang w:bidi="fa-IR"/>
        </w:rPr>
        <w:t>فی الطهارة</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هذه الکلمة من زیادة النسّاخ أو من سهو القلم ـ لعدم تناسب ذکرها مع عنوان الفصل، وعدم وضوح الوجه فی عدم اعتبار علمه فی الطهارة ـ فلا یبعد أن یکون مراده قدس‌سره ما سیأتی فی المسألة الخامسة فی آخر فصل من المطهّرات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666462_2322387425"/>
      <w:bookmarkStart w:id="170" w:name="_Toc59"/>
      <w:bookmarkEnd w:id="169"/>
      <w:r>
        <w:rPr>
          <w:rtl w:val="true"/>
        </w:rPr>
        <w:t>ثبوت النجاسة بالعلم الإجمالی</w:t>
      </w:r>
      <w:bookmarkEnd w:id="17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کالتفصیلی</w:t>
      </w:r>
      <w:r>
        <w:rPr>
          <w:rStyle w:val="FootnoteAnchor"/>
          <w:rtl w:val="true"/>
        </w:rPr>
        <w:footnoteReference w:id="301"/>
      </w:r>
      <w:r>
        <w:rPr>
          <w:rFonts w:ascii="Amiri" w:hAnsi="Amiri" w:eastAsia="Amiri" w:cs="Amiri"/>
          <w:color w:val="111111"/>
          <w:sz w:val="28"/>
          <w:sz w:val="28"/>
          <w:szCs w:val="28"/>
          <w:rtl w:val="true"/>
          <w:lang w:bidi="ar-SA"/>
        </w:rPr>
        <w:t xml:space="preserve">، فإذا علم بنجاسة أحد </w:t>
      </w:r>
      <w:bookmarkStart w:id="171" w:name="pg13273_134950"/>
    </w:p>
    <w:p>
      <w:pPr>
        <w:pStyle w:val="BookText"/>
        <w:rPr/>
      </w:pPr>
      <w:bookmarkEnd w:id="171"/>
      <w:r>
        <w:rPr>
          <w:rFonts w:ascii="IRNazanin" w:hAnsi="IRNazanin" w:eastAsia="IRNazanin"/>
          <w:color w:val="111111"/>
          <w:sz w:val="28"/>
          <w:sz w:val="28"/>
          <w:szCs w:val="28"/>
          <w:rtl w:val="true"/>
          <w:lang w:bidi="fa-IR"/>
        </w:rPr>
        <w:t>الشیئین یجب الاجتناب</w:t>
      </w:r>
      <w:r>
        <w:rPr>
          <w:rStyle w:val="FootnoteAnchor"/>
          <w:rtl w:val="true"/>
        </w:rPr>
        <w:footnoteReference w:id="302"/>
      </w:r>
      <w:r>
        <w:rPr>
          <w:rFonts w:ascii="IRNazanin" w:hAnsi="IRNazanin" w:eastAsia="IRNazanin"/>
          <w:color w:val="111111"/>
          <w:sz w:val="28"/>
          <w:sz w:val="28"/>
          <w:szCs w:val="28"/>
          <w:rtl w:val="true"/>
          <w:lang w:bidi="fa-IR"/>
        </w:rPr>
        <w:t>عنهما، إلاّ إذا لم یکن أحدهما محلاًّ لابتلائه</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خروجه عن محلّ الابتلاء بعد حصول العلم، وإلاّ یجب الاجتناب عن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عدم التنجّز فی الخارج عن محلّ الابتلاء لا یخلو من تأمّل بعد کون الملاک فی التنجّز تساقط الاُصول فی أطرافه بالمعارضة، نعم لو کان الخارج عن محلّ الابتلاء بحیث یعدّ غیر مقدور لتّم ما أفاده من عدم التنجّز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خرج عن قدرته، أو أصبح الخطاب باجتنابه مستهجناً فی نظر أهل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الاجتناب عمّا هو محلّ الابتلاء أیضاً</w:t>
      </w:r>
      <w:r>
        <w:rPr>
          <w:rFonts w:eastAsia="IRNazanin" w:cs="IRNazanin"/>
          <w:color w:val="111111"/>
          <w:sz w:val="28"/>
          <w:szCs w:val="28"/>
          <w:rtl w:val="true"/>
          <w:lang w:bidi="fa-IR"/>
        </w:rPr>
        <w:t>.</w:t>
      </w:r>
    </w:p>
    <w:p>
      <w:pPr>
        <w:pStyle w:val="Heading3"/>
        <w:numPr>
          <w:ilvl w:val="2"/>
          <w:numId w:val="1"/>
        </w:numPr>
        <w:rPr/>
      </w:pPr>
      <w:bookmarkStart w:id="172" w:name="__RefHeading___Toc1666464_2322387425"/>
      <w:bookmarkStart w:id="173" w:name="_Toc60"/>
      <w:bookmarkEnd w:id="172"/>
      <w:r>
        <w:rPr>
          <w:rtl w:val="true"/>
        </w:rPr>
        <w:t>فیما لا یعتبر بالبینة</w:t>
      </w:r>
      <w:bookmarkEnd w:id="17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w:t>
      </w:r>
      <w:r>
        <w:rPr>
          <w:rStyle w:val="FootnoteAnchor"/>
          <w:rtl w:val="true"/>
        </w:rPr>
        <w:footnoteReference w:id="304"/>
      </w:r>
      <w:r>
        <w:rPr>
          <w:rFonts w:ascii="IRNazanin" w:hAnsi="IRNazanin" w:eastAsia="IRNazanin"/>
          <w:color w:val="111111"/>
          <w:sz w:val="28"/>
          <w:sz w:val="28"/>
          <w:szCs w:val="28"/>
          <w:rtl w:val="true"/>
          <w:lang w:bidi="fa-IR"/>
        </w:rPr>
        <w:t>فی البیّنة حصول الظنّ بصدقها</w:t>
      </w:r>
      <w:r>
        <w:rPr>
          <w:rStyle w:val="FootnoteAnchor"/>
          <w:rtl w:val="true"/>
        </w:rPr>
        <w:footnoteReference w:id="305"/>
      </w:r>
      <w:r>
        <w:rPr>
          <w:rFonts w:ascii="IRNazanin" w:hAnsi="IRNazanin" w:eastAsia="IRNazanin"/>
          <w:color w:val="111111"/>
          <w:sz w:val="28"/>
          <w:sz w:val="28"/>
          <w:szCs w:val="28"/>
          <w:rtl w:val="true"/>
          <w:lang w:bidi="fa-IR"/>
        </w:rPr>
        <w:t>، نعم یعتبر</w:t>
      </w:r>
      <w:r>
        <w:rPr>
          <w:rStyle w:val="FootnoteAnchor"/>
          <w:rtl w:val="true"/>
        </w:rPr>
        <w:footnoteReference w:id="306"/>
      </w:r>
      <w:bookmarkStart w:id="174" w:name="pg13273_134951"/>
    </w:p>
    <w:p>
      <w:pPr>
        <w:pStyle w:val="BookText"/>
        <w:rPr/>
      </w:pPr>
      <w:bookmarkEnd w:id="174"/>
      <w:r>
        <w:rPr>
          <w:rFonts w:ascii="IRNazanin" w:hAnsi="IRNazanin" w:eastAsia="IRNazanin"/>
          <w:color w:val="111111"/>
          <w:sz w:val="28"/>
          <w:sz w:val="28"/>
          <w:szCs w:val="28"/>
          <w:rtl w:val="true"/>
          <w:lang w:bidi="fa-IR"/>
        </w:rPr>
        <w:t>عدم معارضتها</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هو بحکم المعارضة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بمثلها</w:t>
      </w:r>
      <w:r>
        <w:rPr>
          <w:rFonts w:eastAsia="IRNazanin" w:cs="IRNazanin"/>
          <w:color w:val="111111"/>
          <w:sz w:val="28"/>
          <w:szCs w:val="28"/>
          <w:rtl w:val="true"/>
          <w:lang w:bidi="fa-IR"/>
        </w:rPr>
        <w:t>.</w:t>
      </w:r>
    </w:p>
    <w:p>
      <w:pPr>
        <w:pStyle w:val="Heading3"/>
        <w:numPr>
          <w:ilvl w:val="2"/>
          <w:numId w:val="1"/>
        </w:numPr>
        <w:rPr/>
      </w:pPr>
      <w:bookmarkStart w:id="175" w:name="__RefHeading___Toc1666466_2322387425"/>
      <w:bookmarkStart w:id="176" w:name="_Toc61"/>
      <w:bookmarkEnd w:id="175"/>
      <w:r>
        <w:rPr>
          <w:rtl w:val="true"/>
        </w:rPr>
        <w:t>فروع فی الشهادة بالنجاسة</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w:t>
      </w:r>
      <w:r>
        <w:rPr>
          <w:rStyle w:val="FootnoteAnchor"/>
          <w:rtl w:val="true"/>
        </w:rPr>
        <w:footnoteReference w:id="308"/>
      </w:r>
      <w:r>
        <w:rPr>
          <w:rFonts w:ascii="Amiri" w:hAnsi="Amiri" w:eastAsia="Amiri" w:cs="Amiri"/>
          <w:color w:val="111111"/>
          <w:sz w:val="28"/>
          <w:sz w:val="28"/>
          <w:szCs w:val="28"/>
          <w:rtl w:val="true"/>
          <w:lang w:bidi="ar-SA"/>
        </w:rPr>
        <w:t>فی البیّنة</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بین البیّنة ومن قامت عنده خلاف فی سبب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مستند الشهادة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لزومه إذا احتمل استناد الشاهد إلی ما لا یراه سبباً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اعتبار أن یکون مورد الشهادة نفس السبب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ذکرا مستندها وعلم عدم صحّـته لم یحکم بالنجاسة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یشهدا بالنجاسة بل بموجبها کفی</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هذه المسألة لا یختصّ بالبیّنة، بل یجری فی کلّ أمارة معتبرة، فیترتّب الأثر عند من یعتقد بحجّیتها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یکن موجباً عندهما أو عند أحدهما، فلو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الثوب لاقی عرق المجنب من حرام، أو ماء الغسالة کفی عند من یقول بنجاستهما، وإن لم یکن مذهبهما 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شهدا بالنجاسة واختلف مستندهما کفی فی ثبوتها</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لا یخلو من إشکال الإنباء علی اعتبار قول العدل الواحد، فتثبت الخصوصیّة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نعم الأحوط الحکم بنجاسته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ذکر المستند موجباً لظهور الکلام فی الإخبار عن خصوص النجاسة الناشئة عمّا ذکراه من المستند، وإلاّ فهی کالصورة الثانیة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منع، نعم هو من قبیل قیام العدل الواحد فیأتی فیه الاحتیاط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فی ترتّب الأثر کون المشهود به قضیّة وواقعة واحدة، بخلاف ما لو کانت متعدّدة فإنّه لیست بالبیّنة، بل کان من باب إخبار العدل الواحد، ولا یجدی انتزاع أمر وجدانی فی هذا الفرض، فظهر أنّ إطلاق کلام الماتن فی الفرضین اللذین ذکرهما 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للکفایة؛ إذ کلّ واحدٍ منهما ینفی قول الآخر بالالتزام، فلا فرق بین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اعتبار قول العدل الواحد وتثبت الخصوصیّة أیضاً، وأمّا بناءً علی اعتبار التعدّد فثبوتها بتلک الشهادة 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المثال المذکور فی المتن وبین ما لو أخبر بوقوع قطرة بول، ولکن اختلفا فی صفة البول وکیفیّـته؛ لوجود القدر المشترک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الکفایة إلاّ مع حصول الاطمئنان، وکذا الأمر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وإن لم تثبت الخصوصیّة</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فی البیّنة أن یتّفق الشاهدان فی شهادتهما علی أمرٍ واحد، فإذا اتّحد الأمر الّذی یشهدان به قبلت شهادتهما فیه، ولا یضرّ بذلک أن یختلفا أو یتنافیا فی بعض الخصوصیّات الّتی لا تنافی وحدة المشهود به، وإذا تعدّد الواقع الّذی یشهدان به لم یثبت بشهادتهما وإن اشترکا فی أثر واحد أو کان لقولهما لازم واحد، وکذا إذا شکّ فلم تعلم شهادتهما بأمرٍ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إذا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الشیء لاقی البول،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لاقی الدم، فیحکم بنجاسته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مصبّ الشهادة هو القدر المشترک،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مبنیّ علی الاحتیاط، والأوجه أن یفصِّل بین أن یشهدا معاً أو متفرّقاً، وبین القول بکفایة العدل الواحد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أن تکون کلّ واحدة من الشهادتین منحلّة إلی 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علی القدر المشترک، والاُخری علی الخصوصیّة، ولکنّ هذا معلوم العدم؛ لأنّ التحلیل 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بناءً علی ما تقدّم منه قدس‌سره من الإشکال فی ثبوت النجاسة بخبر العدل الواحد، نعم بناءً علی ما اخترناه من ثبوتها به تثبت به الخصوصیّة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ویأتی منه الإشکال فی نظیر المقام فی آخر کتاب الضمان مسألة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لکن لا تثبت</w:t>
      </w:r>
    </w:p>
    <w:p>
      <w:pPr>
        <w:pStyle w:val="BookText"/>
        <w:rPr/>
      </w:pPr>
      <w:r>
        <w:rPr>
          <w:rFonts w:ascii="IRNazanin" w:hAnsi="IRNazanin" w:eastAsia="IRNazanin"/>
          <w:color w:val="111111"/>
          <w:sz w:val="28"/>
          <w:sz w:val="28"/>
          <w:szCs w:val="28"/>
          <w:rtl w:val="true"/>
          <w:lang w:bidi="fa-IR"/>
        </w:rPr>
        <w:t>النجاسة البولیّة ولا الدمیّة، بل القدر المشترک</w:t>
      </w:r>
      <w:r>
        <w:rPr>
          <w:rStyle w:val="FootnoteAnchor"/>
          <w:rtl w:val="true"/>
        </w:rPr>
        <w:footnoteReference w:id="313"/>
      </w:r>
      <w:r>
        <w:rPr>
          <w:rFonts w:ascii="IRNazanin" w:hAnsi="IRNazanin" w:eastAsia="IRNazanin"/>
          <w:color w:val="111111"/>
          <w:sz w:val="28"/>
          <w:sz w:val="28"/>
          <w:szCs w:val="28"/>
          <w:rtl w:val="true"/>
          <w:lang w:bidi="fa-IR"/>
        </w:rPr>
        <w:t>بینهما، لکن هذا إذا لم ینفِ</w:t>
      </w:r>
      <w:r>
        <w:rPr>
          <w:rStyle w:val="FootnoteAnchor"/>
          <w:rtl w:val="true"/>
        </w:rPr>
        <w:footnoteReference w:id="314"/>
      </w:r>
      <w:r>
        <w:rPr>
          <w:rFonts w:ascii="IRNazanin" w:hAnsi="IRNazanin" w:eastAsia="IRNazanin"/>
          <w:color w:val="111111"/>
          <w:sz w:val="28"/>
          <w:sz w:val="28"/>
          <w:szCs w:val="28"/>
          <w:rtl w:val="true"/>
          <w:lang w:bidi="fa-IR"/>
        </w:rPr>
        <w:t>کلّ منهما قول الآخر بأن اتّفقا علی أصل النجاسة، وأمّا إذا نفاه</w:t>
      </w:r>
      <w:r>
        <w:rPr>
          <w:rStyle w:val="FootnoteAnchor"/>
          <w:rtl w:val="true"/>
        </w:rPr>
        <w:footnoteReference w:id="315"/>
      </w:r>
      <w:r>
        <w:rPr>
          <w:rFonts w:ascii="IRNazanin" w:hAnsi="IRNazanin" w:eastAsia="IRNazanin"/>
          <w:color w:val="111111"/>
          <w:sz w:val="28"/>
          <w:sz w:val="28"/>
          <w:szCs w:val="28"/>
          <w:rtl w:val="true"/>
          <w:lang w:bidi="fa-IR"/>
        </w:rPr>
        <w:t>، کما إذا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لاقی البول،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لاقی الدم، ففی الحکم بالنجاسة إشکال</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المنع عنه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الحکم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النجاسة؛ لعدم قیام البیّنة حتّی علی الجامع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أمکن ترجیح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فرض التنافی من الطرفین لا أری وجهاً للإشکال، بل ینبغی الجزم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الحکم بناءً علی الاحتیاج إلی شهادة العدلین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الحکم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عدمهما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وکذا فی الصورة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وإن کان الأحوط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النجاسة کما ظهر ممّا تقدّم، ولا فرق بین هذا الشقّ والصورة الاُولی فیما هو المناط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بل الحال کذلک فی الصورة السابقة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ثبوتها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الواقع الّذی یخبران عنه واحداً، وکان الاختلاف فی العنوان المنطبق علیه لا ینبغی التوقّف فی الحکم بالنجاسة، وأمّا لو کان ما یخبران عنه واقعین وکان کلّ منهما نافیاً لما یخبر به الآخر، فلا إشکال فی عدم الحکم بها، من غیر فرق فی الفرضین بین کفایة قول العدل الواحد واعتبار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سقوطهما عن الحجّیّة، بناءً علی کفایة الشاهد الواحد لتعارض الخبرین فلا تثبت النجاسة، والأحوط مراعاة التعدّد فی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بالإجمال کافیة</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اتفقا فی المشهود به وکان لدیهما مجملاً، لا ما إذا اختلفا، ثمّ عرض الاشتباه خارجاً فأجملا فی الشهادة، فإنّ الاکتفاء حینئذٍ یبتنی علی کفایة العدل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الإجمال فی المشهودیّة لا فی نفس الشهادة، بمعنی أن یکون مرادهما شیئاً واحداً وهو أحدهما لا بعینه، بل احتمال اختلافهما فی المراد مضرّ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الإجمال فی المشهود به، لا الإجمال فی الشهادة، وإلاّ لا یتمّ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یعلم ممّا مرّ حکم هذه المسألة، وأ نّه لو کان المشهود به أمراً واحداً کفی، أمّا لو کان مختلفاً أو احتمل ذلک فلا یکفی، فلو رأیا وقوع قطرة من البول علی الإناء أو الثوب ولم یشخّصا مکان الوقوع فشهدا بأحدهما إجمالاً کفی، وأمّا لو احتمل أن یکون مراد کلّ من أحدهما غیر مراد الآخر منه لم یکفِ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وقوع شهادتهما علی واحد، وأمّا مع عدمه أو الشکّ فیه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وحدة الواقعة والقضیّة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بأنّهما یشهدان بأمرٍ واحد کما تقدّم، وإذا شکّ أو علم الخلاف لم تثبت النجاسة، إلاّ إذا أوجب قول أحدهما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الإجمال المتحقّق فی المشهود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ذکر السبب وتوارد الشهادتین علیه، ولا یضرّ عدم تمیّزه فعلاً، ومن ذلک یظهر حکم الشقّ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کما إذا قالا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أحد</w:t>
      </w:r>
      <w:r>
        <w:rPr>
          <w:rStyle w:val="FootnoteAnchor"/>
          <w:rtl w:val="true"/>
        </w:rPr>
        <w:footnoteReference w:id="318"/>
      </w:r>
      <w:r>
        <w:rPr>
          <w:rFonts w:ascii="IRNazanin" w:hAnsi="IRNazanin" w:eastAsia="IRNazanin"/>
          <w:color w:val="111111"/>
          <w:sz w:val="28"/>
          <w:sz w:val="28"/>
          <w:szCs w:val="28"/>
          <w:rtl w:val="true"/>
          <w:lang w:bidi="fa-IR"/>
        </w:rPr>
        <w:t>هذین</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بإرادة کلٍّ منهما ما یریده الآخر معیّناً أو مجملاً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نجس، فیجب الاجتناب عنهما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بوحدة المشهود به منهما،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العلم باختلاف مورد الشهادة أو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الفرد المراد لأحدهما مراداً للآخر، فلو اختلف المراد أو شکّ فیه لم تقبل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إرادتهما موضوعاً واحداً بحیث یحکیان عن واقعة واحدة، کما إذا کانا حاضرین فی مکان فوقعت قطرة بول فی إناء مردّد بین إناءین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علم اتّحاد ما أخبرا به من النجس، وأمّا إذا عُلم أو احتُمل کون النجس عند أحدهما غیر ما هو النجس عند الآخر وإن طرأ الإجمال لکلٍّ منهما أو أجملا الکلام فی مقام أداء الشهادة فیشکل الاعتماد علی قولهما، نعم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إحراز إرادتهما موضوعاً واحداً فی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القول بتنجیز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وأمّا</w:t>
      </w:r>
    </w:p>
    <w:p>
      <w:pPr>
        <w:pStyle w:val="BookText"/>
        <w:rPr/>
      </w:pPr>
      <w:r>
        <w:rPr>
          <w:rFonts w:ascii="IRNazanin" w:hAnsi="IRNazanin" w:eastAsia="IRNazanin"/>
          <w:color w:val="111111"/>
          <w:sz w:val="28"/>
          <w:sz w:val="28"/>
          <w:szCs w:val="28"/>
          <w:rtl w:val="true"/>
          <w:lang w:bidi="fa-IR"/>
        </w:rPr>
        <w:t>لو شهد أحدهما بالإجمال والآخر بالتعیین، کما إذا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هذین نجس،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معیّناً نجس، ففی المسألة وجوه</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أحوطها الثانی، ولا أری وجهاً لأوّلها حتّی علی القول باعتبار خبر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اعتبار شهادة العدل الواحد یجب الاجتناب عن المعیّن دون غیره إذا شهدا معاً، أو تُقدّم الشهادة علی المعیّن، وأمّا بناءً علی عدم اعتبار ذلک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أقواها الأوّل، وأحوطها الثانی، أمّا الثالث فلا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أحوطها أوّلها، وأوسطها أوسطها؛ بناءً علی القول بکفایة العدل الواحد مع تقدّم الشهادة بالتعیین، وأمّا مع تقدّم الشهادة بالإجمال فالأقوی هو الأوّل، وأمّا علی القول بعدم الکفایة فالأقوی هو الأخیر، لکن لمّا کان أصل الکفایة وعدمها محلّ إشکال فالأحوط هو الأوّل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أقواها الوسط مع العلم بإرادتهما موضوعاً واحداً، وإلاّ فالأخیر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القبول إذا کان الشاهدان یخبران عن واقعة واحدة، وإلاّ لم تقبل شهادتهما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الاجتناب عن المعیّن وإن کان للقول بعدم الاجتناب مطلقاً وجه وجیه، ولکنّ الاحتیاط بالاجتناب عن الجمیع ممّا لا ینبغی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صورة عدم حصول الاطمئنان من قول مَن یقول بنجاسة أحدهما، ولا من قول مَن یقول بنجاسة المعیّن منهما، وإلاّ فالعمل علی طبق قول من یحصل منه الاطمئنان، وعدم الاعتناء بقول من لا یحصل منه الاطمئنان، وأمّا إذا حصل الاطمئنان من کلا القولین إذا أمکن، کما فی بعض الصور، ففیه تفاصیل لا یسع المقام لذکرها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ظاهر حالهما العلم، أو أخبرا بسبب النجاسة واتّفقا فیه، فالأوجه الأوّل، وإلاّ فالأحوط الأوسط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أصلاً، إلاّ فیما إذا کان الشاهدان یشهدان فی واقعة واحدة بالنسبة إلی سببٍ واحد، غایة الأمر أحدهما بالإجمال والآخر تعییناً، فیجب الاجتناب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والأوجه التفصیل بناءً علی ما ذکرنا من اشتراط إخبار الشاهدین عن واقعة واحدة، فإن شهدا مثلاً علی وقوع قطرة من البول علی الفراش أو الإناء فعیّن أحدهما محلّه ولم یعیّن الآخر، فیکفی فی وجوب الاجتناب عنهما، وإن اختلفا فی تعیین الواقعة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قطرة من دمی علی هذا الإناء،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قطرة من بول الصبی مثلاً علی أحد الإناءین، فلا یکفی ولا یجب الاجتناب عن واحدٍ منهما،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الأوّل هو الأقوی بناءً علی عدم کفایة قول الواحد فی النجاسة؛ وذلک لعدم المنافاة بین الإجمال والتفصیل فی ثبوت النجاسة بقولهما إجمالاً، لکنّ الأظهر بناءً علی ما هو الحقّ عندنا من الکفایة هو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الاجتناب عن المعیّن، بل عنهما، وإن کان الأقوی عدم الوجوب أصلاً بناءً علی عدم اعتبار شهادة العدل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الأوجه الأخیر، ویلیه الوجه الثانی فی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أوجهها أوسطها بناءً علی ثبوت النجاسة بإخبار العدل الواحد، وإلاّ فالوجه الأخیر هو الأوجه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التحقیق التفصیل بین ما تکون الحکایة عن موضوع واحد بحیث لم یکن بینهما فرق إلاّ من حیث الإجمال والتفصیل، فیجب الاجتناب عنها، وبین ما تکون الحکایة عن واقعتین فلا یجب الاجتناب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بالاجتناب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بأنّهما یشهدان بأمرٍ واحد فلا یُترک الاحتیاط باجتنابهما معاً، وإذا شکّ أو علم الخلاف لم یجب الاجتناب إلاّ إذا أفاد قول أحدهما الاطمئنان فیؤخذ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بعدم کفایة شهادة العدل الواحد فی الموضوعات فالمتعیّن الوجه الأخیر، وإن لم نقل به؛ فإن قلنا بکون العلم الإجمالی منجّزاً وکانت الشهادة بنجاسة أحدهما متقدّمة زماناً علی الاُخری کان المتعیّن الوجه الأوّل، وأمّا إذا لم تکن متقدّمة زماناً أو لم نقل بتنجیز العلم الإجمالی ـ کما لا نقول به ـ فالمتعیّن الوجه الأوسط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المشهود به واحداً یجب الاجتناب عن المعیّن بناءً علی اعتبار قول العدل الواحد، وأمّا بناءً علی عدم الاکتفاء به فیجب الاجتناب عنهما ولو کان المشهود به متعدّداً، فإن کانت الشهادة بالمعیّن مقدّمة علی الشهادة بالإجمال أو مقارنة معها یجب الاجتناب عن المعیّن دون طرفه، وإن کانت متأخّرة عنها یجب الاجتناب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الاکتفاء بقول العدل الواحد، وأمّا بناءً علی اعتبار التعدّد فلا یجب الاجتناب عن شیءٍ منهما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وجوب</w:t>
      </w:r>
      <w:r>
        <w:rPr>
          <w:rStyle w:val="FootnoteAnchor"/>
          <w:rtl w:val="true"/>
        </w:rPr>
        <w:footnoteReference w:id="321"/>
      </w:r>
      <w:r>
        <w:rPr>
          <w:rFonts w:ascii="IRNazanin" w:hAnsi="IRNazanin" w:eastAsia="IRNazanin"/>
          <w:color w:val="111111"/>
          <w:sz w:val="28"/>
          <w:sz w:val="28"/>
          <w:szCs w:val="28"/>
          <w:rtl w:val="true"/>
          <w:lang w:bidi="fa-IR"/>
        </w:rPr>
        <w:t>الاجتناب عنهما</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المعیّن</w:t>
      </w:r>
    </w:p>
    <w:p>
      <w:pPr>
        <w:pStyle w:val="BookText"/>
        <w:rPr/>
      </w:pPr>
      <w:r>
        <w:rPr>
          <w:rFonts w:ascii="IRNazanin" w:hAnsi="IRNazanin" w:eastAsia="IRNazanin"/>
          <w:color w:val="111111"/>
          <w:sz w:val="28"/>
          <w:sz w:val="28"/>
          <w:szCs w:val="28"/>
          <w:rtl w:val="true"/>
          <w:lang w:bidi="fa-IR"/>
        </w:rPr>
        <w:t>فقط</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الوجه 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بناءً علی المختار من کفایة عدل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وعدم الوجوب أصلاً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هو الأخیر؛ لعدم صدق قیام البیّنة علی مورد واحد؛ لاحتمال انطباق قول الآخر علی غیر هذا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ترجیح الأخیر بناءً علی عدم قبول شهادة العدل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الأشبه بالقواعد، لکنّه خلاف الاحتیاط خصوصاً فی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وجوب الاجتناب؛ لتساقطهما بالمعارضة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الوجه الأخیر لا یخلو من قوّة، والأحوط وجوب الاجتناب عنهما، نعم لو اُحرزت وحدة المشهود به من القرائن یتعیّن لزوم الاجتناب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أحدهما بنجاسة الشیء</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اتّحاد الواقعة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والآخر بنجاسته سابقاً مع الجهل بحاله فعلاً، فالظاهر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قیام البیّنة علی النجاسة؛ لأنّ النجاسة السابقة غیر مشهود بها بالبیّنة لتستصحب، والنجاسة الفعلیّة کذلک، والتلفیق بین النجاسة الظاهریّة والواقعیّة لا معنی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إذا کانت الشهادة فی موضوع واحد، غایة الأمر أنّ أحدهما یعلم بقاء حالته السابقة والآخر شاکّ فیها، وأمّا فی غیر هذه الصورة فالحکم بوجوب الاجتناب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الظاهر عدم الوجوب، نعم یجب الاجتناب فی الفرض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الاجتناب</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الاجتناب فی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لعدم صدق قیام البیّنة علی النجاسة فی کلّ آن، وتوهّم أنّ استصحاب النجاسة التقدیریّة بمنزلة العلم بالبقاء فیؤخذ بلازم الشهادتین، مدفوع بأنّ ما هو حجّة المدلول الالتزامی للبیّنة، لا الخبر الواحد، ولذا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أخبر واحد برؤیة هلال رمضان فی الیوم الکذائی الملازم لکون هذا الیوم فعلاً ثلاثین، وأخبر آخر برؤیة هلال شوّال فی هذا الیوم لا یحکم بوجوب الإفطار بمناط قیام البیّنة، وعمدة النکتة فیه أنّ البیّنة فی کلّ مورد قامت یوءخذ بلازمها، ولا یؤخذ بلازم أحد الخبرین فی الحکم بقیام أصل البیّنة مع فرض عدم توافق إخبارهما علی جهة واحدة، إذ ربّما یکون ذلک من لوازم کلامه المغفول عنه فی إخباره رأساً، ونظائره کثیرة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 سواء کان المراد جهل الشاهد بحاله، أو جهل من شهد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لی وجهه، إلاّ بناءً علی الاکتفاء بخبر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بناءً علی الاقتصار بالبیّنة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 بل 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بظاهر، 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کانا یشهدان بأمرٍ واحد واختلفا فی زمانه، وإلاّ لم یجب الاجتناب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قوّة مع کونه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اختلافها فی مجرّد السبق واللحوق، وإلاّ فلیس بظاهر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الاجتناب؛ لعدم اتّفاقهما فی المشهود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عدم وجوب الاجتناب، وفی الفرض الثانی أیضاً إشکال إذا لم یکن للمشهود به أثر عملی حین وجوده ولو فی الواقع، کما إذا تحقّقت الملاقاة معه جهلاً، ولا یجری الاستصحاب للأثر الفعلی؛ لعدم المستصحب فی السابق لا وجداناً ولا تنزیلاً، إلاّ بلحاظ نفس الاستصحاب، وهو 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الوجوب علی فرض لزوم التعدّد فی الشاهد، لکنّه خلاف الاحتیاط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الاکتفاء بقول الواحد، أو مع فرض اتّحاد المشهود به، وإلاّ فلا یجب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مشکل من جهة عدم إحراز وحدة المشهود به، وإلاّ یتعیّن الاجتناب، نعم الأحوط وجوب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الشرطین المتقدّمین، ولا یضرّ الاختلاف فی الخصوصیّات کالزمان، وحینئذٍ یحکم ببقائها، إلاّ مع إحراز الطهارة إجمالاً فی أحد الزمانین ففیه یُحکم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إذا شـهدا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معاً</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الشرطین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بالنجاسة السابقة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لجریان الاستصحاب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عدم انحصار الیقین فی دلیل الاستصحاب علی الیقین الوجدانی، کما هو الحقّ فیلزم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نجس،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w:t>
      </w:r>
    </w:p>
    <w:p>
      <w:pPr>
        <w:pStyle w:val="BookText"/>
        <w:rPr/>
      </w:pPr>
      <w:r>
        <w:rPr>
          <w:rFonts w:ascii="IRNazanin" w:hAnsi="IRNazanin" w:eastAsia="IRNazanin"/>
          <w:color w:val="111111"/>
          <w:sz w:val="28"/>
          <w:sz w:val="28"/>
          <w:szCs w:val="28"/>
          <w:rtl w:val="true"/>
          <w:lang w:bidi="fa-IR"/>
        </w:rPr>
        <w:t>نجساً والآن طاهر فالظاهر</w:t>
      </w:r>
      <w:r>
        <w:rPr>
          <w:rStyle w:val="FootnoteAnchor"/>
          <w:rtl w:val="true"/>
        </w:rPr>
        <w:footnoteReference w:id="327"/>
      </w:r>
      <w:r>
        <w:rPr>
          <w:rFonts w:ascii="IRNazanin" w:hAnsi="IRNazanin" w:eastAsia="IRNazanin"/>
          <w:color w:val="111111"/>
          <w:sz w:val="28"/>
          <w:sz w:val="28"/>
          <w:szCs w:val="28"/>
          <w:rtl w:val="true"/>
          <w:lang w:bidi="fa-IR"/>
        </w:rPr>
        <w:t>عدم الکفایة</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فیه التفصیل السابق فی المسألة الثامنة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فی صورة التوافق علی وقوع نجس واحد، والاختلاف فی الخصوصیّات مجرّد إخبار أحدهما عن الطهارة الفعلیّة لا أثر له، فتثبت النجاسة إجمالاً کالمسألة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لتعارض الخبرین بناءً علی حجّیّة خبر العدل الواحد فی الموضوعات، وکذا بناءً علی عدم حجّیّـته وکانت الواقعة متعدّدة، وأمّا لو کانت واحدة فالأقوی ثبوت النجاسة باستصحاب النجاسة السابقة الثابتة بالحجّة الشرعیّة، وعدم اعتبار قول المدّعی للطهارة فعلاً لکونه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الکفایة بناءً علی ثبوت النجاسة بخبر العدل الواحد، فإنّه حینئذٍ تکون الشهادتان متعارضتین بالنسبة إلی الحالة الفعلیّة، وأمّا الشهادة بالنسبة إلی النجاسة السابقة فلا معارض لها فیجری استصحاب بقائها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حکیا عن واقعة واحدة مع إرجاع الشهادة بالنجاسة فعلاً إلی الشهادة بنجاسته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خلاف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الاجتناب، نعم لو کان اختلافهما فی هذا الفرض أیضاً راجعاً إلی خصوصیاتِ واقعةٍ واحدةٍ یتعیّن الحکم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فیه التفصیل المتقدّم فی المسألة الثامنة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وعدم الحکم بالنجاسة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3273_134966"/>
    </w:p>
    <w:p>
      <w:pPr>
        <w:pStyle w:val="Heading3"/>
        <w:numPr>
          <w:ilvl w:val="2"/>
          <w:numId w:val="1"/>
        </w:numPr>
        <w:rPr/>
      </w:pPr>
      <w:bookmarkStart w:id="178" w:name="__RefHeading___Toc1666468_2322387425"/>
      <w:bookmarkStart w:id="179" w:name="_Toc62"/>
      <w:bookmarkEnd w:id="177"/>
      <w:bookmarkEnd w:id="178"/>
      <w:r>
        <w:rPr>
          <w:rtl w:val="true"/>
        </w:rPr>
        <w:t>قبول خبر صاحب الید بالنجاسة</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أخبرت الزوجة أو الخادمة أو المملوکة بنجاسة ما فی 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ثیاب الزوج أو ظروف البیت کفی فی الحکم</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موسوساً أو متّهماً، وإلاّ فلا یقبل قوله، وهذا القید یلاحظ فی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بالنجاسة، وکذا إذا أخبرت المربّیة للطفل أو المجنون بنجاسته أو نجاسة ثیابه، بل وکذا لو أخبر المولی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إذا کان مفیداً للاطمئنان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سیّما إذا کان معارضاً بإخبارهما بخلافه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إلاّ أن یحصل منه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إخباره غیر معتبر علی الظاهر خصوصاً مع معارضته لإخبارهما، فإنّ الأقوی قبول قولهما وتقدیمه علی قوله فی نجاسة بدنهما أو طهارته وما فی یدهما من الثوب وغیره، حتّی الظروف وأمثالها ممّا فی یدهما لا ید مولاهما وإن کانت ملکاً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إخباره عن بدن العبد أو الجاریة إشکال، ولا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نعم إذا کان ثوبهما مملوکاً للمولی أو فی حکمه قبل إخباره بنجاسته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خصوصاً إذا کان معارضاً بإخبارهما بخلافه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ثبوتها بإخباره إذا لم یکن المولی واجداً لما یُعتبر فی المخبِر فی حجّیّة خبره، وإلاّ فیثبت به لذلک، لا لکونه صاحب 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قول المولی بالإضافة إلی الاُمور المذکورة محلّ إشکال، بل عدم الاعتبار لا یخلو من قوّة، خصوصاً إذا أخبرا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بنجاسة بدن</w:t>
      </w:r>
    </w:p>
    <w:p>
      <w:pPr>
        <w:pStyle w:val="BookText"/>
        <w:rPr/>
      </w:pPr>
      <w:r>
        <w:rPr>
          <w:rFonts w:ascii="IRNazanin" w:hAnsi="IRNazanin" w:eastAsia="IRNazanin"/>
          <w:color w:val="111111"/>
          <w:sz w:val="28"/>
          <w:sz w:val="28"/>
          <w:szCs w:val="28"/>
          <w:rtl w:val="true"/>
          <w:lang w:bidi="fa-IR"/>
        </w:rPr>
        <w:t>العبد</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ینافی کونهما عاقلین مکلّفین بالتکلیف المستقلّ؛ لأنّ المراد بذی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کان مستولیاً علیه مطلقاً، نعم لا یکفی فی الحکم بالنجاسة لو أخبرا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الجاریة أو ثوبهما مع کونهما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المولی متکفّلاً لأمرهما بحیث لا یکونان مستقلّین فی الأنظار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کانت له الید علی بدنهما وثوبهما، وأمّا إذا کانت الید لهما فیقبل قولهما لا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بیته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الشیء بید شخصین کالشریکین یُسمع قول کلّ منهما</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ومن هنا ظهر حکم تعارض قولهما بالطهارة من أحد والنجاسة من آخر، فإنّه لا یُسمع قولهما، لا بمناط التعارض والتساقط، بل لعدم المقتضی لسماع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فرض المقتضی للسماع لا بأس بالجمع بینهما بالتبعیض فی النجاسة والطهارة ظاهراً لو لم یقم إجماع علی عدم التبعیض فی الظاهر أیضاً، خصوصاً فی غیر الماء، ولکنّ ذلک مجرّد فرض؛ لعدم اعتبار العقلاء الطهارة والنجاسة فی الأجزاء المشاعة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 نّه علی فرض هذه المقدّمات جمیعاً أیضاً لا مجال فی المقام للحکم بالتبعیض من جهة معارضة المدلول الالتزامی فی کلّ قول مع المطابقی للآخر فقهراً یتساقطان،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المتیقّن من حجّیة إخبار ذی الید إنّما هو الّذی علی وفق یده وتحت استیلائه، لا استیلاء الغیر، فالمدلول الالتزامی لکلّ من القولین بالنسبة إلی المقدار المستولی علیه حجّة دون غیره، وحینئذٍ فلا یبقی مجال التوهّم للمعارضة المزبورة فی المقام، فلیس فی البین حینئذٍ إلاّ شبهة عدم تصوّر الطهارة والنجاسة الإشاعیّة، وعلی فرضه لا یمنع من قبولهما إلاّ شبهة عدم التبعیض بینهما ولو ظاهراً، وهذا الأخیر فی غیر الماء غیر ثابت، فالعمدة حینئذٍ الشبهة الاُولی،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لاعتبار الید، استقلالیّة کانت أو ضمنیّة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نجاسته، نعم لو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طاهر،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نجس، تساقطاً </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مستند أحدهما الأصل، وإلاّ سقط قوله، وکذا حکم تعارض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أحد القولین رافعاً لمستند الآخر فیوءخذ بالرافع، وکذا فی البیّنتین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ظاهر حالهما العلم ولم یذکرا مستنداً أو اتّحدا فیه، وإلاّ فیسقط قول من استند إلی الأصل أو ما بحکمه، دون مَن استند إلی العلم أو ما بحکمه، وکذا فی تعارض البیّنة مع مثلها أو مع 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لم یکن أحدهما رافعاً لمستند الآخر، کما أنّ تقدیم البیّنة علی قول صاحب الید أیضاً فیما إذا لم یکن قوله رافعاً لمستند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إخبار أحدهما مستنداً إلی الأصل، والآخر إلی الوجدان أو إلی الأصل الحاکم، فإذا أخبر أحدهما بطهارته لأجل أصالة الطهارة والآخر بنجاسته یقدّم قول الثانی، وإذا أخبر بنجاسته مستنداً إلی استصحابها وأخبر الآخر بطهارته فعلاً وجداناً أو بدعوی التطهیر یُحکم بطهارته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مستند إخبارهما متّحداً بحسب النوع، بخلاف ما لو کان مستند أحدهما أصلاً والآخر طریقاً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مستند أحدهما الأصل، وإلاّ سقط قوله، وکذا حکم تعارض البیّنتین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لم یکن قول أحدهما بالخصوص مستنداً إلی الأصل، وإلاّ فیقدّم قول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یستند مَن أخبر بالطهارة إلی الأصل، وإلاّ فیقدّم قول من یقول بالنجاسة، وکذا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استند أحدهما إلی العلم والآخر إلی الأصل قدّم قول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 مستند أحدهما حاکماً علی مستند الآخر، کما أنّ الأمر کذلک فی تعارض البیّنتین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التخییر فی المسألة الاُصولیّة، إلاّ إذا کان إخبار أحدهما مستنداً إلی العلم وإخبار الآخر مستنداً إلی الأصل، فإنّه حینئذٍ یُقدّم الأوّل، ومنه یظهر حال تعارض البیّنتین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إخبار أحدهما مستنداً إلی العلم، وإخبار الآخر مستنداً إلی الأصل، فیقدّم الأوّل حینئذٍ علی الثانی، وکذا ما یُعدّ من تعارض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کما أنّ البیّنة تسقط مع</w:t>
      </w:r>
    </w:p>
    <w:p>
      <w:pPr>
        <w:pStyle w:val="BookText"/>
        <w:rPr/>
      </w:pPr>
      <w:r>
        <w:rPr>
          <w:rFonts w:ascii="IRNazanin" w:hAnsi="IRNazanin" w:eastAsia="IRNazanin"/>
          <w:color w:val="111111"/>
          <w:sz w:val="28"/>
          <w:sz w:val="28"/>
          <w:szCs w:val="28"/>
          <w:rtl w:val="true"/>
          <w:lang w:bidi="fa-IR"/>
        </w:rPr>
        <w:t>التعارض</w:t>
      </w:r>
      <w:r>
        <w:rPr>
          <w:rStyle w:val="FootnoteAnchor"/>
          <w:rtl w:val="true"/>
        </w:rPr>
        <w:footnoteReference w:id="333"/>
      </w:r>
      <w:r>
        <w:rPr>
          <w:rFonts w:ascii="IRNazanin" w:hAnsi="IRNazanin" w:eastAsia="IRNazanin"/>
          <w:color w:val="111111"/>
          <w:sz w:val="28"/>
          <w:sz w:val="28"/>
          <w:szCs w:val="28"/>
          <w:rtl w:val="true"/>
          <w:lang w:bidi="fa-IR"/>
        </w:rPr>
        <w:t>، ومع معارضتها</w:t>
      </w:r>
      <w:r>
        <w:rPr>
          <w:rStyle w:val="FootnoteAnchor"/>
          <w:rtl w:val="true"/>
        </w:rPr>
        <w:footnoteReference w:id="334"/>
      </w:r>
      <w:r>
        <w:rPr>
          <w:rFonts w:ascii="IRNazanin" w:hAnsi="IRNazanin" w:eastAsia="IRNazanin"/>
          <w:color w:val="111111"/>
          <w:sz w:val="28"/>
          <w:sz w:val="28"/>
          <w:szCs w:val="28"/>
          <w:rtl w:val="true"/>
          <w:lang w:bidi="fa-IR"/>
        </w:rPr>
        <w:t>بقول صاحب الید تُقدّم علیه</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مستندة إلی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مستندة إلی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التفصیل فیه وفی تعارض البیّنتین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التفصیل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الید رافعة لمستند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تکن مستندة إلی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بالتفصیل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البیّنة علی قول ذی الید إذا استندت فی شهادتها إلی العلم، وإذا استندت فی شهادتها إلی الأصل قدّم قول ذی الید علیها، من غیر فرق فی ذلک بین شهادتها بطهارة الشیء أم بنجاسته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إخبار البیّنة مستنداً إلی الأصل وإخبار ذی الید مستنداً إلی العلم، فإنّه حینئذٍ یُقدّم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3273_134971"/>
    </w:p>
    <w:p>
      <w:pPr>
        <w:pStyle w:val="Heading3"/>
        <w:numPr>
          <w:ilvl w:val="2"/>
          <w:numId w:val="1"/>
        </w:numPr>
        <w:rPr/>
      </w:pPr>
      <w:bookmarkStart w:id="181" w:name="__RefHeading___Toc1666470_2322387425"/>
      <w:bookmarkStart w:id="182" w:name="_Toc63"/>
      <w:bookmarkEnd w:id="180"/>
      <w:bookmarkEnd w:id="181"/>
      <w:r>
        <w:rPr>
          <w:rtl w:val="true"/>
        </w:rPr>
        <w:t>لا یعتبر العدالة فی حجیة خبر صاحب الید مع الکلام فی اعتبار الإسلام والبلوغ</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اعتبار قول ذی الید بالنجاسة بین أن یکون فاسقاً </w:t>
      </w:r>
      <w:r>
        <w:rPr>
          <w:rStyle w:val="FootnoteAnchor"/>
          <w:rtl w:val="true"/>
        </w:rPr>
        <w:footnoteReference w:id="336"/>
      </w:r>
      <w:r>
        <w:rPr>
          <w:rFonts w:ascii="Amiri" w:hAnsi="Amiri" w:eastAsia="Amiri" w:cs="Amiri"/>
          <w:color w:val="111111"/>
          <w:sz w:val="28"/>
          <w:sz w:val="28"/>
          <w:szCs w:val="28"/>
          <w:rtl w:val="true"/>
          <w:lang w:bidi="ar-SA"/>
        </w:rPr>
        <w:t xml:space="preserve">أو عادلاً، بل مسلماً أو کافراً </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 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تعمیم الحکم للکافر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الطهارة والنجاسة بقول ذی الید إذا کان کافراً لا یخلو من تأمّل، وشمول السیرة له ممنوع، وخبر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النجاسات،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الدلالة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إلاّ أ 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 قول الکافر إشکال، ولا یعتبر قول المسلم إذا کان متّهماً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لأ نّه غیر مؤمَّن بالطهارة والنجاسة، إلاّ أ 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 قول صاحب الید إذا کان صبیّاً </w:t>
      </w:r>
      <w:r>
        <w:rPr>
          <w:rStyle w:val="FootnoteAnchor"/>
          <w:rtl w:val="true"/>
        </w:rPr>
        <w:footnoteReference w:id="338"/>
      </w:r>
      <w:r>
        <w:rPr>
          <w:rFonts w:ascii="IRNazanin" w:hAnsi="IRNazanin" w:eastAsia="IRNazanin"/>
          <w:color w:val="111111"/>
          <w:sz w:val="28"/>
          <w:sz w:val="28"/>
          <w:szCs w:val="28"/>
          <w:rtl w:val="true"/>
          <w:lang w:bidi="fa-IR"/>
        </w:rPr>
        <w:t>إشکال</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مراهقاً، وإلاّ هو فی محلّ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لو لم یحصل الوثوق والاطمئنان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ظاهر فی غیر المراهق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فإنّ عمده خطأ، ولا أثر للخطأ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نعم إذا کان مراهقاً ولم یکن متهاوناً ومتسامحاً فی النجاسة فالأحوط اعتبار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إذا کان ممیّزاً قویّ الإدراک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السیستانی</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83" w:name="pg13273_134972"/>
    </w:p>
    <w:p>
      <w:pPr>
        <w:pStyle w:val="BookText"/>
        <w:rPr/>
      </w:pPr>
      <w:bookmarkEnd w:id="183"/>
      <w:r>
        <w:rPr>
          <w:rFonts w:ascii="IRNazanin" w:hAnsi="IRNazanin" w:eastAsia="IRNazanin"/>
          <w:color w:val="111111"/>
          <w:sz w:val="28"/>
          <w:sz w:val="28"/>
          <w:szCs w:val="28"/>
          <w:rtl w:val="true"/>
          <w:lang w:bidi="fa-IR"/>
        </w:rPr>
        <w:t>وإن کان لا یبعد</w:t>
      </w:r>
      <w:r>
        <w:rPr>
          <w:rStyle w:val="FootnoteAnchor"/>
          <w:rtl w:val="true"/>
        </w:rPr>
        <w:footnoteReference w:id="340"/>
      </w:r>
      <w:r>
        <w:rPr>
          <w:rFonts w:ascii="IRNazanin" w:hAnsi="IRNazanin" w:eastAsia="IRNazanin"/>
          <w:color w:val="111111"/>
          <w:sz w:val="28"/>
          <w:sz w:val="28"/>
          <w:szCs w:val="28"/>
          <w:rtl w:val="true"/>
          <w:lang w:bidi="fa-IR"/>
        </w:rPr>
        <w:t xml:space="preserve">إذا کان مراهقاً </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یُراعی الاحتیاط فی الممیّز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ممیّزاً بین النجس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بحیث کان ممیّزاً کاملاً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کان ممیّزاً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666472_2322387425"/>
      <w:bookmarkStart w:id="185" w:name="_Toc64"/>
      <w:bookmarkEnd w:id="184"/>
      <w:r>
        <w:rPr>
          <w:rtl w:val="true"/>
        </w:rPr>
        <w:t>حکم ما إذا أخبر صاحب الید بعد الاستعمال</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قبول قول صاحب الید أن یکون قبل الاستعمال کما قد یقال</w:t>
      </w:r>
      <w:r>
        <w:rPr>
          <w:rStyle w:val="FootnoteAnchor"/>
          <w:rtl w:val="true"/>
        </w:rPr>
        <w:footnoteReference w:id="342"/>
      </w:r>
      <w:r>
        <w:rPr>
          <w:rFonts w:ascii="IRNazanin" w:hAnsi="IRNazanin" w:eastAsia="IRNazanin"/>
          <w:color w:val="111111"/>
          <w:sz w:val="28"/>
          <w:sz w:val="28"/>
          <w:szCs w:val="28"/>
          <w:rtl w:val="true"/>
          <w:lang w:bidi="fa-IR"/>
        </w:rPr>
        <w:t>، فلو توضّأ شخص بماء مثلاً، وبعده أخبر ذو الید بنجاسته یُحکم ببطلان وضوئه</w:t>
      </w:r>
      <w:r>
        <w:rPr>
          <w:rStyle w:val="FootnoteAnchor"/>
          <w:rtl w:val="true"/>
        </w:rPr>
        <w:footnoteReference w:id="343"/>
      </w:r>
      <w:r>
        <w:rPr>
          <w:rFonts w:ascii="IRNazanin" w:hAnsi="IRNazanin" w:eastAsia="IRNazanin"/>
          <w:color w:val="111111"/>
          <w:sz w:val="28"/>
          <w:sz w:val="28"/>
          <w:szCs w:val="28"/>
          <w:rtl w:val="true"/>
          <w:lang w:bidi="fa-IR"/>
        </w:rPr>
        <w:t>، وکذا لایعتبر</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وتفصیله مذکور 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الجزم بعدم الاعتبار بعد فرض کون المستند السیرة والشکّ فی تحقّقها فی مفروض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ذلک حین کونه فی یده، فلو أخبر بعد خروجه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یده بنجاسته حین کان فی یده یُحکم</w:t>
      </w:r>
    </w:p>
    <w:p>
      <w:pPr>
        <w:pStyle w:val="BookText"/>
        <w:rPr/>
      </w:pPr>
      <w:r>
        <w:rPr>
          <w:rFonts w:ascii="IRNazanin" w:hAnsi="IRNazanin" w:eastAsia="IRNazanin"/>
          <w:color w:val="111111"/>
          <w:sz w:val="28"/>
          <w:sz w:val="28"/>
          <w:szCs w:val="28"/>
          <w:rtl w:val="true"/>
          <w:lang w:bidi="fa-IR"/>
        </w:rPr>
        <w:t>علیه بالنجاسة</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قیام السیرة علی حجّیّة قول ذی الید حتّی بعد خروجه من یده ولو کان المخبَر به حین وجود الید نظر، ونظیره لو أخبر بطهارته بعد خروجه من یده مع کون إخباره حین یده فإنّ شمول السیرة لمثله إشکال، فالقدر المتیقّن منها إخباره حین الید بطهارته حینها أو نجاسته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محمّد رضا الگلپایگانی،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یعدّ ذا ید عرفاً ولو مسامحة، وإلاّ ففیه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ولا دلیل علیه یعتدّ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الفرق فی شمول السیرة بین أن یکون تحت یده حال الإخبار، أو لم یکن إذا کان إخباره بلحاظ الحال الّتی کان تحت یده، خصوصاً إذا کان زمان الإخبار متّصلاً بزمان الید والملکیّة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مشکل جدّاً، إلاّ أ نّه موافق للاحتیاط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نعم لا یبعد ذلک مع قرب العهد به جدّاً، کما لو أخبر بها بعد خروجه عن یده بلا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یبعد أن لا یحکم علیه بها، نعم إذا کان ثقة تثبت النجاسة بإخباره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متّهماً فی إخباره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ذلک الزمان، ومع الشکّ فی زوالها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تستصحب</w:t>
      </w:r>
      <w:r>
        <w:rPr>
          <w:rFonts w:eastAsia="IRNazanin" w:cs="IRNazanin"/>
          <w:color w:val="111111"/>
          <w:sz w:val="28"/>
          <w:szCs w:val="28"/>
          <w:rtl w:val="true"/>
          <w:lang w:bidi="fa-IR"/>
        </w:rPr>
        <w:t>.</w:t>
      </w:r>
      <w:bookmarkStart w:id="186" w:name="pg13273_134974"/>
    </w:p>
    <w:p>
      <w:pPr>
        <w:pStyle w:val="Heading2"/>
        <w:numPr>
          <w:ilvl w:val="1"/>
          <w:numId w:val="1"/>
        </w:numPr>
        <w:rPr/>
      </w:pPr>
      <w:bookmarkStart w:id="187" w:name="__RefHeading___Toc1666474_2322387425"/>
      <w:bookmarkStart w:id="188" w:name="_Toc65"/>
      <w:bookmarkEnd w:id="186"/>
      <w:bookmarkEnd w:id="187"/>
      <w:r>
        <w:rPr>
          <w:rtl w:val="true"/>
        </w:rPr>
        <w:t>فصل فی کیفیّة تنجّس المتنجّسات</w:t>
      </w:r>
      <w:bookmarkEnd w:id="188"/>
    </w:p>
    <w:p>
      <w:pPr>
        <w:pStyle w:val="Heading3"/>
        <w:numPr>
          <w:ilvl w:val="2"/>
          <w:numId w:val="1"/>
        </w:numPr>
        <w:rPr/>
      </w:pPr>
      <w:bookmarkStart w:id="189" w:name="__RefHeading___Toc1666476_2322387425"/>
      <w:bookmarkStart w:id="190" w:name="_Toc66"/>
      <w:bookmarkEnd w:id="189"/>
      <w:r>
        <w:rPr>
          <w:rtl w:val="true"/>
        </w:rPr>
        <w:t>شروط التنجس</w:t>
      </w:r>
      <w:bookmarkEnd w:id="190"/>
    </w:p>
    <w:p>
      <w:pPr>
        <w:pStyle w:val="BookText"/>
        <w:rPr/>
      </w:pPr>
      <w:r>
        <w:rPr>
          <w:rFonts w:ascii="IRNazanin" w:hAnsi="IRNazanin" w:eastAsia="IRNazanin"/>
          <w:color w:val="111111"/>
          <w:sz w:val="28"/>
          <w:sz w:val="28"/>
          <w:szCs w:val="28"/>
          <w:rtl w:val="true"/>
          <w:lang w:bidi="fa-IR"/>
        </w:rPr>
        <w:t>یشترط فی تنجّس</w:t>
      </w:r>
      <w:r>
        <w:rPr>
          <w:rStyle w:val="FootnoteAnchor"/>
          <w:rtl w:val="true"/>
        </w:rPr>
        <w:footnoteReference w:id="346"/>
      </w:r>
      <w:r>
        <w:rPr>
          <w:rFonts w:ascii="IRNazanin" w:hAnsi="IRNazanin" w:eastAsia="IRNazanin"/>
          <w:color w:val="111111"/>
          <w:sz w:val="28"/>
          <w:sz w:val="28"/>
          <w:szCs w:val="28"/>
          <w:rtl w:val="true"/>
          <w:lang w:bidi="fa-IR"/>
        </w:rPr>
        <w:t>الملاقی للنجس أو المتنجّس أن یکون فیهما أو فی أحدهما رطوبة مسریة</w:t>
      </w:r>
      <w:r>
        <w:rPr>
          <w:rStyle w:val="FootnoteAnchor"/>
          <w:rtl w:val="true"/>
        </w:rPr>
        <w:footnoteReference w:id="347"/>
      </w:r>
      <w:r>
        <w:rPr>
          <w:rFonts w:ascii="IRNazanin" w:hAnsi="IRNazanin" w:eastAsia="IRNazanin"/>
          <w:color w:val="111111"/>
          <w:sz w:val="28"/>
          <w:sz w:val="28"/>
          <w:szCs w:val="28"/>
          <w:rtl w:val="true"/>
          <w:lang w:bidi="fa-IR"/>
        </w:rPr>
        <w:t xml:space="preserve">، فإذا کانا جافّین لم ینجس وإن کان ملاقیاً </w:t>
      </w:r>
      <w:r>
        <w:rPr>
          <w:rStyle w:val="FootnoteAnchor"/>
          <w:rtl w:val="true"/>
        </w:rPr>
        <w:footnoteReference w:id="348"/>
      </w:r>
      <w:r>
        <w:rPr>
          <w:rFonts w:ascii="IRNazanin" w:hAnsi="IRNazanin" w:eastAsia="IRNazanin"/>
          <w:color w:val="111111"/>
          <w:sz w:val="28"/>
          <w:sz w:val="28"/>
          <w:szCs w:val="28"/>
          <w:rtl w:val="true"/>
          <w:lang w:bidi="fa-IR"/>
        </w:rPr>
        <w:t>للمیتة، لکن الأحوط</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 للأخبار العدیدة الآمرة بالغسل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ملاقی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 الإنسان قبل الغسل وإن کانا جافّین، وکذا لا ینجس إذا کان فیهما أو فی أحدهما رطوبة غیر مسریة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مجرّد النداوة الّتی تُعدّ من الأعراض عرفاً وإن فرض سرایتها لطول المدّة، فالمناط فی الانفعال رطوبة أحد المتلاقیین، ولا یعتبر فیه نفوذ النجاسة ولا بقاء أثرها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کان الملاقی للنجس أو المتنجّس</w:t>
      </w:r>
      <w:r>
        <w:rPr>
          <w:rStyle w:val="FootnoteAnchor"/>
          <w:rtl w:val="true"/>
        </w:rPr>
        <w:footnoteReference w:id="350"/>
      </w:r>
      <w:r>
        <w:rPr>
          <w:rFonts w:ascii="Amiri" w:hAnsi="Amiri" w:eastAsia="Amiri" w:cs="Amiri"/>
          <w:color w:val="111111"/>
          <w:sz w:val="28"/>
          <w:sz w:val="28"/>
          <w:szCs w:val="28"/>
          <w:rtl w:val="true"/>
          <w:lang w:bidi="ar-SA"/>
        </w:rPr>
        <w:t>مائعاً تنجّس کلّه، کالماء القلیل</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إطلاق الملاقی المتنجّس، خصوصاً فی الماء 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المطلق والمضاف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إطلاقه لا یخلو من إشکال؛ لعدم السرایة فی نظر العرف إذا کان بمقدار ألف کرّ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بلغ فی الکثرة حدّاً یستقذره العرف أم لا ؛ لإطلاق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فیه وفیما بعده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والدهن المایع ونحوه من المایعات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ینجس العالی</w:t>
      </w:r>
      <w:r>
        <w:rPr>
          <w:rStyle w:val="FootnoteAnchor"/>
          <w:rtl w:val="true"/>
        </w:rPr>
        <w:footnoteReference w:id="352"/>
      </w:r>
      <w:r>
        <w:rPr>
          <w:rFonts w:ascii="IRNazanin" w:hAnsi="IRNazanin" w:eastAsia="IRNazanin"/>
          <w:color w:val="111111"/>
          <w:sz w:val="28"/>
          <w:sz w:val="28"/>
          <w:szCs w:val="28"/>
          <w:rtl w:val="true"/>
          <w:lang w:bidi="fa-IR"/>
        </w:rPr>
        <w:t xml:space="preserve">بملاقاة السافل إذا کان جاریاً </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کذلک فی صورة التقوّم ووجود الدفع والقوّة من الأسفل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العالی، بل لا ینجس السافل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بدفعٍ وقوّة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بملاقاة العالی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جاریاً من السافل</w:t>
      </w:r>
    </w:p>
    <w:p>
      <w:pPr>
        <w:pStyle w:val="BookText"/>
        <w:rPr/>
      </w:pPr>
      <w:r>
        <w:rPr>
          <w:rFonts w:ascii="Amiri" w:hAnsi="Amiri" w:eastAsia="Amiri" w:cs="Amiri"/>
          <w:color w:val="111111"/>
          <w:sz w:val="28"/>
          <w:sz w:val="28"/>
          <w:szCs w:val="28"/>
          <w:rtl w:val="true"/>
          <w:lang w:bidi="ar-SA"/>
        </w:rPr>
        <w:t>کالفوّارة</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مرّ فی المیاه من وجود قوّة التدافع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غیر فرق فی ذلک بین الماء وغیره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المائع متدافعاً إلی النجاسة اختصّت بموضع الملاقاة، ولا تسری إلی ما اتّصل به من الأجزاء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المایعات، وإن کان الملاقی جامداً اختصّت النجاسة بموضع الملاقاة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والشاهد علی عدم السرایة الارتکاز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سواء کان یابساً کالثوب الیابس إذا لاقت النجاسة جزءاً منه، أو رطباً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فی الثوب المرطوب، أو الأرض المرطوبة، فإنّه إذا وصلت النجاسة إلی جزء من الأرض أو الثوب لا یتنجّس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یتّصل به وإن کان فیه رطوبة مسریة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الموجبة لسریان النجاسة فعلاً إلی البقیّة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النجاسة مختصّة بموضع الملاقاة، ومن هذا القبیل الدهن والدبس الجامدان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انفصل</w:t>
      </w:r>
      <w:r>
        <w:rPr>
          <w:rStyle w:val="FootnoteAnchor"/>
          <w:rtl w:val="true"/>
        </w:rPr>
        <w:footnoteReference w:id="355"/>
      </w:r>
      <w:r>
        <w:rPr>
          <w:rFonts w:ascii="IRNazanin" w:hAnsi="IRNazanin" w:eastAsia="IRNazanin"/>
          <w:color w:val="111111"/>
          <w:sz w:val="28"/>
          <w:sz w:val="28"/>
          <w:szCs w:val="28"/>
          <w:rtl w:val="true"/>
          <w:lang w:bidi="fa-IR"/>
        </w:rPr>
        <w:t>ذلک الجزء المجاور ثمّ اتّصل</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تنجّس</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لاستلزام الانفصال فعلیّة السریان باجتماع الأجزاء المائیّة النجسة إلی السطح الملاقی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الملاقاة منه، فالاتّصال قبل الملاقاة لا یوءثّر فی 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والسرایة، بخلاف الاتّصال بعد الملاقاة، وعلی ما ذکر فالبطّیخ والخیار ونحوهما ممّا فیه رطوبة مسریة إذا لاقت النجاسة جزءاً منها لا تتنجّس البقیّة، بل یکفی غسل موضع الملاقاة، إلاّ إذا انفصل بعد الملاقاة ثمّ اتّصل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رطوبة أحد المتلاقیین أو علم وجودها وشکّ فی سرایتها لم یحکم بالنجاسة، وأمّا إذا علم سبق وجود المسریة وشکّ فی بقائها فالأحوط</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تمسّکاً بالاستصحاب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الاجتناب، وإن کان الحکم بعدم النجاسة لا یخلو من 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الشاهرودی،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واستصحاب بقاء الرطوبة الساریة من أوضح الاُصول المثبتة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 الخمینی، السبزواری،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الفانی،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قریب بعد کون الأصل مثبتاً، ودعوی خفاء الواسطة ضعیفة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الوجه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فالأظهر عدم لزوم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 وجه قویّ؛ لأنّ سبق وجود الرطوبة المسریة لا تثبت النجاسة إلاّ علی القول بالأصل المثبت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الذباب الواقع علی النجس الرطب إذا وقع علی ثوب أو بدن شخصٍ وإن کان فیهما رطوبة مسریة، لا یحکم بنجاسته إذا لم یعلم</w:t>
      </w:r>
      <w:r>
        <w:rPr>
          <w:rStyle w:val="FootnoteAnchor"/>
          <w:rtl w:val="true"/>
        </w:rPr>
        <w:footnoteReference w:id="359"/>
      </w:r>
      <w:r>
        <w:rPr>
          <w:rFonts w:ascii="IRNazanin" w:hAnsi="IRNazanin" w:eastAsia="IRNazanin"/>
          <w:color w:val="111111"/>
          <w:sz w:val="28"/>
          <w:sz w:val="28"/>
          <w:szCs w:val="28"/>
          <w:rtl w:val="true"/>
          <w:lang w:bidi="fa-IR"/>
        </w:rPr>
        <w:t>مصاحبته لعین النجس، ومجرّد وقوعه لا یستلزم نجاسة رجله؛ لاحتمال کونها</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تقبلها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أصل لهذا الاحتمال، ومهما فرض مصاحبته للعین یلزم العلم بزوالها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یکون صیقلیّاً أو دهنیّاً ونحوهما من الموانع عن الانفعال والقبول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خلاف الوجدان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تنجّس بدن الحیوان بملاقاة النجاسة، وکذلک باطن بدن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فرضه فزوال العین</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علم بزوال العین، وأمّا إذا احتمل بقاؤها فیستصحب ویحکم بنجاسة ملاقیها، نعم کلّ هذا علی فرض قبولها للنجاسة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بزواله، وأمّا إذا شکّ فیه فمقتضی ما تقدّم فی الفرع السابق کون الاجتناب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علم بوجود العین وشکّ فی زواله فالأظهر جریان الاستصحاب؛ بشرط عدم الجریان الدافع عن الانفعال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الملاقاة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عدم قبول رجل الحیوانات للنجاسة، وأمّا علی قبوله لها کما هو الأظهر فمع الشکّ فی زوال النجاسة یحکم بنجاسة ملاقیه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علم زوالها، وإن شکّ فی زوالها مع العلم بمصاحبتها واحتمال کونها ممّا تقبل النجاسة، فالأحوط الاجتناب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العلم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الزوال قبل أن یقع علی الثوب أو 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کفایة احتمال الزوال أیضاً؛ لإطلاق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إحراز الزوال قبل الوقوع، وأمّا مع الشکّ فمقتضی الأصل بقاؤها علی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یکفی مجرّد احتمال الزوال، واستصحاب بقاء العین للحکم بالنجاسة یتوقّف علی الالتزام بالمثبت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الأوّل لا یحکم بالنجاسة، وعلی الثانی یحکم بها؛ لاستصحاب بقاء نجاسة أعضاء الحیوان الموجبة لنجاسة ملاقیها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طهارة</w:t>
      </w:r>
    </w:p>
    <w:p>
      <w:pPr>
        <w:pStyle w:val="BookText"/>
        <w:rPr/>
      </w:pPr>
      <w:r>
        <w:rPr>
          <w:rFonts w:ascii="IRNazanin" w:hAnsi="IRNazanin" w:eastAsia="IRNazanin"/>
          <w:color w:val="111111"/>
          <w:sz w:val="28"/>
          <w:sz w:val="28"/>
          <w:szCs w:val="28"/>
          <w:rtl w:val="true"/>
          <w:lang w:bidi="fa-IR"/>
        </w:rPr>
        <w:t>الحیوانات</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الشکّ فی الزوال یحکم بنجاسة ما یلاقیه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بعر الفأر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والصحیح خرء الفأر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الدهن أو الدبس الجامدین یکفی إلقاوءه وإلقاء ما حوله، ولا یجب الاجتناب عن البقیّة، وکذا إذا مشی الکلب علی الطین فإنّه لا یحکم بنجاسة غیر موضع رجله، إلاّ إذا کان وحلاً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والمناط</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المدار فی سرایة النجاسة وعدمها هو الرقّة والغلظة، فالغلیظ لا تسری النجاسة فیه إلی تمام أجزائه، بخلاف الرقیق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إیکالهما إلی العرف، بمعنی أ نّه مع فهم العرف السرایة یجتنب عن البقیّة، وإلاّ فلا، ومع الشکّ یحکم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حکم العرف بالسرایة، سواء کان سببه المیعان أم الرقّة، کما أ نّه لو حکم بعدم السرایة حکم بطهارة الملاقی ـ بالفتح ـ سواء کان سببه الجمود أم الغلظة أم الثخانة والکثافة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المناط هو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الجمود</w:t>
      </w:r>
      <w:r>
        <w:rPr>
          <w:rStyle w:val="FootnoteAnchor"/>
          <w:rtl w:val="true"/>
        </w:rPr>
        <w:footnoteReference w:id="365"/>
      </w:r>
      <w:r>
        <w:rPr>
          <w:rFonts w:ascii="IRNazanin" w:hAnsi="IRNazanin" w:eastAsia="IRNazanin"/>
          <w:color w:val="111111"/>
          <w:sz w:val="28"/>
          <w:sz w:val="28"/>
          <w:szCs w:val="28"/>
          <w:rtl w:val="true"/>
          <w:lang w:bidi="fa-IR"/>
        </w:rPr>
        <w:t>والمیعان</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کون ذلک مناطاً، والمدار علی الصدق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اُخری الغلیظ والرقیق حدّهما ما هو المذکور فی المتن، وهما من المفاهیم العرفیّة، لا الموضوعات المستنبطة، ولا من الاُمور التعبّدیة الشرعیّة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الرقّة والغلظة، والظاهر أنّهما المیزان لحکم العرف بالسرایة وعدمها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نّه لو اُخذ منه شیء فإن بقی مکانه خالیاً حین الأخذ ـ وإن امتلأ بعد ذلک ـ فهو جامد، وإن لم یبقَ خالیاً أصلا فهو مایع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لاقت النجاسة جزءاً من البدن المتعرّق لا یسری إلی سائر أجزائه إلاّ مع جریان العَرَق</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اتّصاله بحیث یصدق اتّصال جزء من العرق بجزء آخر، کاتّصال جزء من الماء بماء آخر متنجّس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المحلّ الملاقی للنجس فینجس حینئذٍ ما جری علیه ذلک العرق دون سائر الأجزاء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الجزء الملاقی للنجس، فحینئذٍ ینجس کلّ جزءٍ جری علیه ذاک العرق دون غیره من الأجزاء، نعم لو کان العرق کثیراً جدّاً ومتّصلاً بعضه ببعض نظیر الماء المتّصل فیکفی فی تنجّس البقیّة مجرّد الاتّصال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اتّصال الأجزاء مع صدق الوحدة وعدم التدافع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السرایة فی مورد الجریان أیضاً من الأعلی إلی الأسفل، لا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موضع المتنجّس إلی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جریان عرق المتنجّس، فینجس ما جری علیه العرق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موضع الملاقاة، فیحکم بنجاسة ملاقی ذلک العرق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فتسری النجاسة إلی الموضع الّذی یصل إلیه العرق المتنجّس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یجری العرق المتنجّس علی موضع آخر فإنّه ینجّسه أیضاً، وکذا إذا اتّصل بحیث یکون فی نظر العرف موجباً للسرایة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فیتنجّس ما جری علیه العرق المتنجّس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محلّ الملاقاة إلی غیره، فینجس کلّ جزءٍ جری علیه ذلک العرق، دون غیره من سائر الأجزاء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إبریق مملوء ماء علی الأرض النجسة، وکان فی أسفله ثقب یخرج منه الماء، فإن کان لا یقف تحته</w:t>
      </w:r>
      <w:r>
        <w:rPr>
          <w:rStyle w:val="FootnoteAnchor"/>
          <w:rtl w:val="true"/>
        </w:rPr>
        <w:footnoteReference w:id="368"/>
      </w:r>
      <w:r>
        <w:rPr>
          <w:rFonts w:ascii="IRNazanin" w:hAnsi="IRNazanin" w:eastAsia="IRNazanin"/>
          <w:color w:val="111111"/>
          <w:sz w:val="28"/>
          <w:sz w:val="28"/>
          <w:szCs w:val="28"/>
          <w:rtl w:val="true"/>
          <w:lang w:bidi="fa-IR"/>
        </w:rPr>
        <w:t>بل ینفذ فی الأرض أو یجری علیها فلا یتنجّس</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انفصال الثقب عن الأرض، وإلاّ فهو من الواقف المتّصل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التصاق الثقب بالموضع النجس علی وجه یمنع عن خروجه متدافعاً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لوجود الدفع والقوّة، ولکن فی صورة اتّصال الثقب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إذا کان الثقب ملتصقاً ومتّصلاً بالأرض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w:t>
      </w:r>
    </w:p>
    <w:p>
      <w:pPr>
        <w:pStyle w:val="BookText"/>
        <w:rPr/>
      </w:pPr>
      <w:r>
        <w:rPr>
          <w:rFonts w:ascii="IRNazanin" w:hAnsi="IRNazanin" w:eastAsia="IRNazanin"/>
          <w:color w:val="111111"/>
          <w:sz w:val="28"/>
          <w:sz w:val="28"/>
          <w:szCs w:val="28"/>
          <w:rtl w:val="true"/>
          <w:lang w:bidi="fa-IR"/>
        </w:rPr>
        <w:t>الإبریق</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یکن ذاک الثقب ملتصقاً ومتّصلاً بالأرض النجسة، وإلاّ یتنجّس ماء الإبریق أیضاً، وهکذا الکوز والکأس والحبّ ونحوها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إذا کان الثقب متّصلاً بالأرض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اتّصال الثقب بما فی الأرض النجسة، وإلاّ فلا یُترک الاحتیاط إن لم یکن للماء دفع وقوّة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الماء، وإن وقف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الماء بحیث یصدق اتّحاده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فی صورة دقّة الکعب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فی الإبریق بسبب الثقب تنجّس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تنجّسه مع جریان ما فی الإبریق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الخروج من الثقب بقوّة وتدافع، وإلاّ لم ینجس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یکن للماء الخارج دفع وقوّة؛ وذلک لعدم تأثّر المدفوع منه من المدفوع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اتّصلت الأرض النجسة بالسطح التحتانی من الماء الّذی هو داخل فی الثقب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العبرة فی الانفعال وعدمه بالدفع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یخرج منه الماء بقوّة، وإلاّ فالحکم بنجاسة ما فی الإبریق والکوز مشکل، 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الدفع والقوّة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الخروج من الثقب بقوّة وتدافع،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الدفع والقوّة، علی ما مرّ بیانه فی المیاه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یکن الماء یخرج منه بدفع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وهکذا الکوز والکأس والحبّ 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أنفه نخاعة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ما تَفَلَه الإنسان کالنَّخامةِ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غلیظة وکان علیها نقطة من الدم لم یحکم بنجاسة ما عدا محلّه من سائر أجزائها، فإذا شکّ فی ملاقاة تلک النقطة لظاهر الأنف لا یجب غسله، وکذا الحال فی البلغم الخارج من الحلق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أو الفراش الملطّخ بالتراب النجس یکفیه نفضه، ولا یجب غسله، ولا یضرّ</w:t>
      </w:r>
      <w:r>
        <w:rPr>
          <w:rStyle w:val="FootnoteAnchor"/>
          <w:rtl w:val="true"/>
        </w:rPr>
        <w:footnoteReference w:id="371"/>
      </w:r>
      <w:r>
        <w:rPr>
          <w:rFonts w:ascii="IRNazanin" w:hAnsi="IRNazanin" w:eastAsia="IRNazanin"/>
          <w:color w:val="111111"/>
          <w:sz w:val="28"/>
          <w:sz w:val="28"/>
          <w:szCs w:val="28"/>
          <w:rtl w:val="true"/>
          <w:lang w:bidi="fa-IR"/>
        </w:rPr>
        <w:t>احتمال</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یکون المشکوک لیس من المتیقّن، وإلاّ تعیّن استصحابه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ترتیب آثار البقاء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ینفض بحیث لا یبقی منه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لو کان منشأ الشکّ فی البقاء الشکّ فی مقداره المردّد بین الأقلّ والأکثر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مشکل؛ لجریان أصالة البقاء فی بعض الفروض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لصلاحیّة إجراء أصالة البقاء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بقاء شیء منه بعد العلم بزوال القدر</w:t>
      </w:r>
    </w:p>
    <w:p>
      <w:pPr>
        <w:pStyle w:val="BookText"/>
        <w:rPr/>
      </w:pPr>
      <w:r>
        <w:rPr>
          <w:rFonts w:ascii="Amiri" w:hAnsi="Amiri" w:eastAsia="Amiri" w:cs="Amiri"/>
          <w:color w:val="111111"/>
          <w:sz w:val="28"/>
          <w:sz w:val="28"/>
          <w:szCs w:val="28"/>
          <w:rtl w:val="true"/>
          <w:lang w:bidi="ar-SA"/>
        </w:rPr>
        <w:t>المتیقّن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مجرّد المیعان فی التنجّس، بل یعتبر أن یکون ممّا یقبل التأثّر،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وجود الرطوبة</w:t>
      </w:r>
      <w:r>
        <w:rPr>
          <w:rStyle w:val="FootnoteAnchor"/>
          <w:rtl w:val="true"/>
        </w:rPr>
        <w:footnoteReference w:id="373"/>
      </w:r>
      <w:r>
        <w:rPr>
          <w:rFonts w:ascii="IRNazanin" w:hAnsi="IRNazanin" w:eastAsia="IRNazanin"/>
          <w:color w:val="111111"/>
          <w:sz w:val="28"/>
          <w:sz w:val="28"/>
          <w:szCs w:val="28"/>
          <w:rtl w:val="true"/>
          <w:lang w:bidi="fa-IR"/>
        </w:rPr>
        <w:t xml:space="preserve">فی أحد المتلاقیین، فالزئبق إذا وضع فی ظرف نجس لا رطوبة له لا ینجس، وإن کان مایعاً </w:t>
      </w:r>
      <w:r>
        <w:rPr>
          <w:rStyle w:val="FootnoteAnchor"/>
          <w:rtl w:val="true"/>
        </w:rPr>
        <w:footnoteReference w:id="374"/>
      </w:r>
      <w:r>
        <w:rPr>
          <w:rFonts w:ascii="IRNazanin" w:hAnsi="IRNazanin" w:eastAsia="IRNazanin"/>
          <w:color w:val="111111"/>
          <w:sz w:val="28"/>
          <w:sz w:val="28"/>
          <w:szCs w:val="28"/>
          <w:rtl w:val="true"/>
          <w:lang w:bidi="fa-IR"/>
        </w:rPr>
        <w:t>، وکذا إذا اُذیب الذهب</w:t>
      </w:r>
      <w:r>
        <w:rPr>
          <w:rStyle w:val="FootnoteAnchor"/>
          <w:rtl w:val="true"/>
        </w:rPr>
        <w:footnoteReference w:id="375"/>
      </w:r>
      <w:r>
        <w:rPr>
          <w:rFonts w:ascii="IRNazanin" w:hAnsi="IRNazanin" w:eastAsia="IRNazanin"/>
          <w:color w:val="111111"/>
          <w:sz w:val="28"/>
          <w:sz w:val="28"/>
          <w:szCs w:val="28"/>
          <w:rtl w:val="true"/>
          <w:lang w:bidi="fa-IR"/>
        </w:rPr>
        <w:t>أو غیره من الفلزّات فی بوطقة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والظاهر أنّ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البوتقة والبودقة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الوِعاء الذی یُذیب فیه الصائغ المعدن،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یُذیب فیها الصائغ ونحوه من الصُنّاع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نجسة، أو صبّ بعد الذوب فی ظرف نجس لا ینجس</w:t>
      </w:r>
      <w:r>
        <w:rPr>
          <w:rStyle w:val="FootnoteAnchor"/>
          <w:rtl w:val="true"/>
        </w:rPr>
        <w:footnoteReference w:id="376"/>
      </w:r>
      <w:r>
        <w:rPr>
          <w:rFonts w:ascii="Amiri" w:hAnsi="Amiri" w:eastAsia="Amiri" w:cs="Amiri"/>
          <w:color w:val="111111"/>
          <w:sz w:val="28"/>
          <w:sz w:val="28"/>
          <w:szCs w:val="28"/>
          <w:rtl w:val="true"/>
          <w:lang w:bidi="ar-SA"/>
        </w:rPr>
        <w:t>، إلاّ مع رطوبة الظرف</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قابلاً للتأثّر، وإلاّ فلا فرق بین رطوبة الظرف أو الملاقی وعدمهما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وصول رطوبة</w:t>
      </w:r>
    </w:p>
    <w:p>
      <w:pPr>
        <w:pStyle w:val="BookText"/>
        <w:rPr/>
      </w:pPr>
      <w:r>
        <w:rPr>
          <w:rFonts w:ascii="Amiri" w:hAnsi="Amiri" w:eastAsia="Amiri" w:cs="Amiri"/>
          <w:color w:val="111111"/>
          <w:sz w:val="28"/>
          <w:sz w:val="28"/>
          <w:szCs w:val="28"/>
          <w:rtl w:val="true"/>
          <w:lang w:bidi="ar-SA"/>
        </w:rPr>
        <w:t>نجسة</w:t>
      </w:r>
      <w:r>
        <w:rPr>
          <w:rStyle w:val="FootnoteAnchor"/>
          <w:rtl w:val="true"/>
        </w:rPr>
        <w:footnoteReference w:id="378"/>
      </w:r>
      <w:r>
        <w:rPr>
          <w:rFonts w:ascii="IRNazanin" w:hAnsi="IRNazanin" w:eastAsia="IRNazanin"/>
          <w:color w:val="111111"/>
          <w:sz w:val="28"/>
          <w:sz w:val="28"/>
          <w:szCs w:val="28"/>
          <w:rtl w:val="true"/>
          <w:lang w:bidi="fa-IR"/>
        </w:rPr>
        <w:t>إلیه من الخارج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المتنجّس لا یتنجّس ثانیاً ولو بنجاسة اُخری</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کانت من نوعها أم من غیر نوعها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ذلک یشتدّ حکم النجس إذا کان حکم الثانی أشدّ، کما احتمله المصنّف فی ذیل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إذا اختلف حکمهما یرتّب کلاهما، فلو کان لملاقی البول حکم ولملاقی العذرة حکم آخر یجب ترتیبهما معاً؛ ولذا لو لاقی الثوب دم ثمّ لاقاه البول یجب غسله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یلزم ثبوت الحکم بلا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لم یتنجّس بالبول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تنجّسه بالدم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وقلنا بکفایة المرّة فی الدم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إذا کان فی إناء ماء نجس ثمّ ولغ فیه الکلب یجب تعفیره وإن لم </w:t>
      </w:r>
    </w:p>
    <w:p>
      <w:pPr>
        <w:pStyle w:val="BookText"/>
        <w:rPr/>
      </w:pPr>
      <w:r>
        <w:rPr>
          <w:rFonts w:ascii="IRNazanin" w:hAnsi="IRNazanin" w:eastAsia="IRNazanin"/>
          <w:color w:val="111111"/>
          <w:sz w:val="28"/>
          <w:sz w:val="28"/>
          <w:szCs w:val="28"/>
          <w:rtl w:val="true"/>
          <w:lang w:bidi="fa-IR"/>
        </w:rPr>
        <w:t>یتنجّس بالولوغ، ویحتمل</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والأشبه أن یکون التداخل فی الحکم، لا فی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المتعیّن؛ لأنّ احتمال عدم التعفیر فی الولوغ المتنجّس مثلاً بعید، وثبوته بلا شدّة أبعد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لا یخلو من وجه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للنجاسة مراتب فی الشدّة والضعف، وعلیه فیکون کلّ منهما موءثّراً ولا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الثوب مثلاً بالدم ممّا یکفی فیه غسله مرّة، وشکّ فی ملاقاته للبول أیضاً ممّا یحتاج إلی التعدّد، یکتفی فیه</w:t>
      </w:r>
      <w:r>
        <w:rPr>
          <w:rStyle w:val="FootnoteAnchor"/>
          <w:rtl w:val="true"/>
        </w:rPr>
        <w:footnoteReference w:id="381"/>
      </w:r>
      <w:r>
        <w:rPr>
          <w:rFonts w:ascii="IRNazanin" w:hAnsi="IRNazanin" w:eastAsia="IRNazanin"/>
          <w:color w:val="111111"/>
          <w:sz w:val="28"/>
          <w:sz w:val="28"/>
          <w:szCs w:val="28"/>
          <w:rtl w:val="true"/>
          <w:lang w:bidi="fa-IR"/>
        </w:rPr>
        <w:t>بالمرّة، ویبنی علی عدم ملاقاته للبول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إذا علم نجاسة إناء وشکّ فی أ نّه ولغ فیه الکلب أیضاً أم لا، لا یجب فیه التعفیر، ویبنی علی عدم تحقّق الولوغ، نعم لو علم تنجّسه إمّا بالبول أو الدم، أو إمّا بالولوغ أو بغیره، یجب</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 والأقوی جواز الاکتفاء بالأخفّ فی غیر المتباینین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حکم</w:t>
      </w:r>
      <w:bookmarkStart w:id="191" w:name="pg13273_134988"/>
    </w:p>
    <w:p>
      <w:pPr>
        <w:pStyle w:val="BookText"/>
        <w:rPr/>
      </w:pPr>
      <w:bookmarkEnd w:id="191"/>
      <w:r>
        <w:rPr>
          <w:rFonts w:ascii="Amiri" w:hAnsi="Amiri" w:eastAsia="Amiri" w:cs="Amiri"/>
          <w:color w:val="111111"/>
          <w:sz w:val="28"/>
          <w:sz w:val="28"/>
          <w:szCs w:val="28"/>
          <w:rtl w:val="true"/>
          <w:lang w:bidi="ar-SA"/>
        </w:rPr>
        <w:t>الأشدّ</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حکمه حکم السابق فی الاکتفاء بالأقلّ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لقوّة احتمال انحلال العلم الإجمالی بالعلم التفصیلی بأثر الأخفّ والشکّ فی الزائد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کفایة إجراء حکم الأخفّ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الأقلّ فی غیر المتباینین، فإنّ استصحاب بقاء النجاسة یعارضه استصحاب عدم جعل الزائد، فتصل النوبة إلی أصالة الطهارة، وأمّا فی المتباینین فوجوب الأحتیاط مبنیّ علی تنجّز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لأنّ استصحاب عدم لزوم الأثر الزائد لا معارض له،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استصحاب عدم حدوث النجاسة الشدیدة ویترتّب علیه ارتفاع النجاسة بإجراء حکم الأضعف، ولا یجری استصحاب عدم حدوث النجاسة الضعیفة؛ لعدم ترتّب الأثر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الأقلّ والأکثر کحکم البول والدم ، وعلی الأقوی فی المتباینین کحکم الولوغ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جریان حکم الأخفّ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التعدّد فی البول، والتعفیر فی الولوغ</w:t>
      </w:r>
      <w:r>
        <w:rPr>
          <w:rFonts w:eastAsia="IRNazanin" w:cs="IRNazanin"/>
          <w:color w:val="111111"/>
          <w:sz w:val="28"/>
          <w:szCs w:val="28"/>
          <w:rtl w:val="true"/>
          <w:lang w:bidi="fa-IR"/>
        </w:rPr>
        <w:t>.</w:t>
      </w:r>
    </w:p>
    <w:p>
      <w:pPr>
        <w:pStyle w:val="Heading3"/>
        <w:numPr>
          <w:ilvl w:val="2"/>
          <w:numId w:val="1"/>
        </w:numPr>
        <w:rPr/>
      </w:pPr>
      <w:bookmarkStart w:id="192" w:name="__RefHeading___Toc1666478_2322387425"/>
      <w:bookmarkStart w:id="193" w:name="_Toc67"/>
      <w:bookmarkEnd w:id="192"/>
      <w:r>
        <w:rPr>
          <w:rtl w:val="true"/>
        </w:rPr>
        <w:t>منجسیة المتنجس</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w:t>
      </w:r>
      <w:r>
        <w:rPr>
          <w:rStyle w:val="FootnoteAnchor"/>
          <w:rtl w:val="true"/>
        </w:rPr>
        <w:footnoteReference w:id="384"/>
      </w:r>
      <w:r>
        <w:rPr>
          <w:rFonts w:ascii="Amiri" w:hAnsi="Amiri" w:eastAsia="Amiri" w:cs="Amiri"/>
          <w:color w:val="111111"/>
          <w:sz w:val="28"/>
          <w:sz w:val="28"/>
          <w:szCs w:val="28"/>
          <w:rtl w:val="true"/>
          <w:lang w:bidi="ar-SA"/>
        </w:rPr>
        <w:t>أنّ المتنجّس</w:t>
      </w:r>
      <w:r>
        <w:rPr>
          <w:rStyle w:val="FootnoteAnchor"/>
          <w:rtl w:val="true"/>
        </w:rPr>
        <w:footnoteReference w:id="385"/>
      </w:r>
      <w:r>
        <w:rPr>
          <w:rFonts w:ascii="Amiri" w:hAnsi="Amiri" w:eastAsia="Amiri" w:cs="Amiri"/>
          <w:color w:val="111111"/>
          <w:sz w:val="28"/>
          <w:sz w:val="28"/>
          <w:szCs w:val="28"/>
          <w:rtl w:val="true"/>
          <w:lang w:bidi="ar-SA"/>
        </w:rPr>
        <w:t>منجّس</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بأ نّه مع خلوّه من عین النجاسة غیر منجّس، ولکنّ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ولا سیّما إذا کان مع الواسطة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یتّجه القول بأنّ المتنجّس لا سیّما إذا کان بالواسطة لا ینجِّس الماء القلیل، إلاّ أن یمتزج به، فیلزم الاجتناب لأجله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 الوسائط الکثیرة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کانت الملاقاة بالوسائط بشرط صدق السرایة عند العرف، ولا ریب فی عدم حکمه بها فی صورة تخلّل الوسائط الکثیرة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المتنجّس الأوّل، وأمّا المتنجّس الثانی فإن لاقی الماء أو مائعاً آخر فلا إشکال فی نجاسته به ونجاسة ما یلاقیه، وهکذا کلّ ما لاقی ملاقیه من المائعات، وأمّا غیر المائع ممّا یلاقی المتنجّس الثانی فضلاً عن ملاقی ملاقیه ففی نجاسته إشکال، وإن کان الاجتناب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المتنجّس بلا واسطة ینجِّس ملاقیه علی الأقوی من غیر فرق بین المائعات والجامدات، وکذلک المتنجّس بالوسائط الاُولی وخصوصاً فی الماء القلیل والمائعات، والأحوط التجّنب عن ملاقیه مطلقاً وإن کان القول بالطهارة لا یخلو من قوّة مع تعدّد الوسائط، کما فی الواسطة الرابعة فما فوقها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قوّته علی إطلاقه 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المائعات، وأمّا فی الجوامد فالأظهر بحسب النصوص عدم المنجّسیّة، والأحوط ترتیب آثار المنجّسیّة، هذا فی الواسطة الاُولی، وأمّا فی ما لو لاقی الملاقی للمتنجّس مع شیء آخر، فإنْ کان ذلک الشیء مائعاً فالأحوط لزوماً الاجتناب، وإن کان جامداً فالقول بعدم لزوم الاجتناب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غیر فرق بین المتنجّس بلا واسطة أو معها، واحدة کانت الواسطة أو متعدّدة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الحکم مع تعدّد الوسائط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قلّة الوسائط، کالواحدة أو الاثنتین وفیما زاد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کالنجس، لکن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لا یجری</w:t>
      </w:r>
      <w:r>
        <w:rPr>
          <w:rStyle w:val="FootnoteAnchor"/>
          <w:rtl w:val="true"/>
        </w:rPr>
        <w:footnoteReference w:id="387"/>
      </w:r>
      <w:r>
        <w:rPr>
          <w:rFonts w:ascii="IRNazanin" w:hAnsi="IRNazanin" w:eastAsia="IRNazanin"/>
          <w:color w:val="111111"/>
          <w:sz w:val="28"/>
          <w:sz w:val="28"/>
          <w:szCs w:val="28"/>
          <w:rtl w:val="true"/>
          <w:lang w:bidi="fa-IR"/>
        </w:rPr>
        <w:t>علیه جمیع أحکام النجس، فإذا تنجّس الإناء بالولوغ یجب تعفیره، لکن إذا تنجّس إناء آخر بملاقاة هذا الإناء أو صبّ ماء الولوغ فی إناء آخر لا یجب فیه التعفیر، وإن کان أحوط</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الفرض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هو الوجوب فی خصوص الفرض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فی الفرض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إذ ربّما یکون مجال التشکیک فی کون التعفیر دائراً مدار ماء الولوغ، لا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آل‌یاسین، الاصطهباناتی، أحمد الخونساری،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هذا الفرض، بل الأقوی لزوم التعدّد فی تنجّس الثوب بالمتنجّس بالبول إذا انتقلت عین الأجزاء النجسة بسبب الملاقاة بحیث یصدق أنّ الثوب بَولیّ مثلاً، فلو کان أحد المتلاقیین مرطوباً بالماء وتنجّس لم یلزم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التعفیر فیه، 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لأنّ الکأس لم یتأثّر إلاّ بالماء المولوغ فیه فیما إذا لم یصل لسانه إلی نفس الکأس، وهذا المناط موجود بعینه فیما إذا انتقل ذلک الماء إلی إناءٍ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الفرض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لاحتمال ترتّب التعفیر علی الإناء لمکان ظرفیّـته لماء الولوغ، وهذا المناط موجود فی الفرض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بل فیه وجه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تنجّس الثوب بالبول وجب تعدّد الغسل، لکن إذا تنجّس ثوب آخر بملاقاة هذا الثوب</w:t>
      </w:r>
      <w:r>
        <w:rPr>
          <w:rStyle w:val="FootnoteAnchor"/>
          <w:rtl w:val="true"/>
        </w:rPr>
        <w:footnoteReference w:id="389"/>
      </w:r>
      <w:r>
        <w:rPr>
          <w:rFonts w:ascii="IRNazanin" w:hAnsi="IRNazanin" w:eastAsia="IRNazanin"/>
          <w:color w:val="111111"/>
          <w:sz w:val="28"/>
          <w:sz w:val="28"/>
          <w:szCs w:val="28"/>
          <w:rtl w:val="true"/>
          <w:lang w:bidi="fa-IR"/>
        </w:rPr>
        <w:t>لا یجب</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تبعیّة المتنجّس فی الحکم للملاقی المتنجّس، وتبعیّة المتنجّس بالغسالة للمحلّ المغسول فی الحکم، فیفرّق بین الغسالة الاُولی والثانیة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bookmarkStart w:id="194" w:name="pg13273_134992"/>
    </w:p>
    <w:p>
      <w:pPr>
        <w:pStyle w:val="BookText"/>
        <w:rPr/>
      </w:pPr>
      <w:bookmarkEnd w:id="194"/>
      <w:r>
        <w:rPr>
          <w:rFonts w:ascii="Amiri" w:hAnsi="Amiri" w:eastAsia="Amiri" w:cs="Amiri"/>
          <w:color w:val="111111"/>
          <w:sz w:val="28"/>
          <w:sz w:val="28"/>
          <w:szCs w:val="28"/>
          <w:rtl w:val="true"/>
          <w:lang w:bidi="ar-SA"/>
        </w:rPr>
        <w:t>التعدّد</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انتقال عین البول إلی الثوب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إذا تنجّس شیء بغسالة البول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بناءً علی نجاسة الغسالة لا یجب فیه التعدّد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1666480_2322387425"/>
      <w:bookmarkStart w:id="196" w:name="_Toc68"/>
      <w:bookmarkEnd w:id="195"/>
      <w:r>
        <w:rPr>
          <w:rtl w:val="true"/>
        </w:rPr>
        <w:t>فروع فی کیفیة التنجیس</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 نّه یشترط فی تنجّس الشیء بالملاقاة تأثّره</w:t>
      </w:r>
      <w:r>
        <w:rPr>
          <w:rStyle w:val="FootnoteAnchor"/>
          <w:rtl w:val="true"/>
        </w:rPr>
        <w:footnoteReference w:id="392"/>
      </w:r>
      <w:r>
        <w:rPr>
          <w:rFonts w:ascii="IRNazanin" w:hAnsi="IRNazanin" w:eastAsia="IRNazanin"/>
          <w:color w:val="111111"/>
          <w:sz w:val="28"/>
          <w:sz w:val="28"/>
          <w:szCs w:val="28"/>
          <w:rtl w:val="true"/>
          <w:lang w:bidi="fa-IR"/>
        </w:rPr>
        <w:t>، فعلی هذا لو فرض</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الفرض لا تحقّق له، والمدّهن یتأثّر بالرطوبة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 نّه فرض بعید مشکل جدّاً، بل الأقرب هو التنجّس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مجرّد فرض لا واقع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لا یتأثّر بالرطوبة أصلاً ـ کما إذا دهن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بدهنٍ یکون أثره المنع عن السریان، ولا یتأثّر بنفسه، ولکنّ الأدهان المتعارفة تتأثّر بالنجس وتؤثّر فی تنجیس المدهّن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نحو إذا غمس فی الماء لا یتبلّل أصلاً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صرف 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تحقّق فرض المثال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تحقّق هذا الفرض جدّاً، وإذا کان الدهن لا یمنع من اتّصال الرطوبة به نفسه فکیف یمنع من اتّصالها بالجسم المدهون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یمکن أن</w:t>
      </w:r>
    </w:p>
    <w:p>
      <w:pPr>
        <w:pStyle w:val="BookText"/>
        <w:rPr/>
      </w:pPr>
      <w:r>
        <w:rPr>
          <w:rFonts w:ascii="IRNazanin" w:hAnsi="IRNazanin" w:eastAsia="IRNazanin"/>
          <w:color w:val="111111"/>
          <w:sz w:val="28"/>
          <w:sz w:val="28"/>
          <w:szCs w:val="28"/>
          <w:rtl w:val="true"/>
          <w:lang w:bidi="fa-IR"/>
        </w:rPr>
        <w:t>یقال</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مشکل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 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یمکن، فإنّ مجرّد وصول النجاسة المسریة إلی جسمٍ یوجب نجاسته ولو مع فرض عدم تأثّر ذلک الجسم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یتنجّس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هو التنجّس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بالملاقاة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تنجّسه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إن لم یکن أقوی تنجّسه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مع الرطوبة المسریة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ویحتمل أن تکون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یحکی عن بعض علماء معرفة الحیوان وهم خُبرة هذه الشؤون، ولکنّ الحسّ والعیان یبطل هذا الاحتمال، فینبغی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أنّ الأظهر قبول أَرْجُلها للنجاسة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الزنبور والذباب والبقّ من هذا القبیل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الملاقاة فی الباطن</w:t>
      </w:r>
      <w:r>
        <w:rPr>
          <w:rStyle w:val="FootnoteAnchor"/>
          <w:rtl w:val="true"/>
        </w:rPr>
        <w:footnoteReference w:id="395"/>
      </w:r>
      <w:r>
        <w:rPr>
          <w:rFonts w:ascii="IRNazanin" w:hAnsi="IRNazanin" w:eastAsia="IRNazanin"/>
          <w:color w:val="111111"/>
          <w:sz w:val="28"/>
          <w:sz w:val="28"/>
          <w:szCs w:val="28"/>
          <w:rtl w:val="true"/>
          <w:lang w:bidi="fa-IR"/>
        </w:rPr>
        <w:t xml:space="preserve">لا توجب </w:t>
      </w:r>
    </w:p>
    <w:p>
      <w:pPr>
        <w:pStyle w:val="BookText"/>
        <w:rPr/>
      </w:pPr>
      <w:r>
        <w:rPr>
          <w:rFonts w:ascii="IRNazanin" w:hAnsi="IRNazanin" w:eastAsia="IRNazanin"/>
          <w:color w:val="111111"/>
          <w:sz w:val="28"/>
          <w:sz w:val="28"/>
          <w:szCs w:val="28"/>
          <w:rtl w:val="true"/>
          <w:lang w:bidi="fa-IR"/>
        </w:rPr>
        <w:t>التنجیس</w:t>
      </w:r>
      <w:r>
        <w:rPr>
          <w:rStyle w:val="FootnoteAnchor"/>
          <w:rtl w:val="true"/>
        </w:rPr>
        <w:footnoteReference w:id="396"/>
      </w:r>
      <w:r>
        <w:rPr>
          <w:rFonts w:ascii="Amiri" w:hAnsi="Amiri" w:eastAsia="Amiri" w:cs="Amiri"/>
          <w:color w:val="111111"/>
          <w:sz w:val="28"/>
          <w:sz w:val="28"/>
          <w:szCs w:val="28"/>
          <w:rtl w:val="true"/>
          <w:lang w:bidi="ar-SA"/>
        </w:rPr>
        <w:t>، فالنخامة الخارجة من الأنف</w:t>
      </w:r>
      <w:r>
        <w:rPr>
          <w:rStyle w:val="FootnoteAnchor"/>
          <w:rtl w:val="true"/>
        </w:rPr>
        <w:footnoteReference w:id="397"/>
      </w:r>
      <w:r>
        <w:rPr>
          <w:rFonts w:ascii="IRNazanin" w:hAnsi="IRNazanin" w:eastAsia="IRNazanin"/>
          <w:color w:val="111111"/>
          <w:sz w:val="28"/>
          <w:sz w:val="28"/>
          <w:szCs w:val="28"/>
          <w:rtl w:val="true"/>
          <w:lang w:bidi="fa-IR"/>
        </w:rPr>
        <w:t>طاهرة وإن لاقت الدم فی باطن الأنف، نعم لو اُدخل فیه شیء من الخارج ولاقی الدم فی الباطن فالأحوط</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عدم تنجّسه هو الأقوی، نعم لو اُدخل النجس فی باطن الفم أو السرّة أو الأنف أو الاُذن أو العین، فالأحوط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وجوب الاحتیاط، نعم لا ینبغی ترکه فیما إذا لاقی أطراف الأنف القریبة إلی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أنّ الأقوی عدم تنجّسه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الملاقاة فی الباطن فی الصورة المفروضة توجب الانفعال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الاجتناب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الفرضین فی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مراعاته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 وجوبه فیما کان باطناً محضاً لا یُری من الخارج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عدم لزوم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الفرضین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فیه الحکم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ما لم یکن فیه أثر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التنجّس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فیه أثر النجاسة یجب الاجتناب عنه، وإلاّ یجوز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3273_134995"/>
    </w:p>
    <w:p>
      <w:pPr>
        <w:pStyle w:val="Heading2"/>
        <w:numPr>
          <w:ilvl w:val="1"/>
          <w:numId w:val="1"/>
        </w:numPr>
        <w:rPr/>
      </w:pPr>
      <w:bookmarkStart w:id="198" w:name="__RefHeading___Toc1666482_2322387425"/>
      <w:bookmarkStart w:id="199" w:name="_Toc69"/>
      <w:bookmarkEnd w:id="197"/>
      <w:bookmarkEnd w:id="198"/>
      <w:r>
        <w:rPr>
          <w:rtl w:val="true"/>
        </w:rPr>
        <w:t>فصل فی أحکام النجاسات</w:t>
      </w:r>
      <w:bookmarkEnd w:id="199"/>
    </w:p>
    <w:p>
      <w:pPr>
        <w:pStyle w:val="Heading3"/>
        <w:numPr>
          <w:ilvl w:val="2"/>
          <w:numId w:val="1"/>
        </w:numPr>
        <w:rPr/>
      </w:pPr>
      <w:bookmarkStart w:id="200" w:name="__RefHeading___Toc1666484_2322387425"/>
      <w:bookmarkStart w:id="201" w:name="_Toc70"/>
      <w:bookmarkEnd w:id="200"/>
      <w:r>
        <w:rPr>
          <w:rtl w:val="true"/>
        </w:rPr>
        <w:t>اشتراط الطهارة فی الصلاة</w:t>
      </w:r>
      <w:bookmarkEnd w:id="201"/>
    </w:p>
    <w:p>
      <w:pPr>
        <w:pStyle w:val="BookText"/>
        <w:rPr/>
      </w:pPr>
      <w:r>
        <w:rPr>
          <w:rFonts w:ascii="IRNazanin" w:hAnsi="IRNazanin" w:eastAsia="IRNazanin"/>
          <w:color w:val="111111"/>
          <w:sz w:val="28"/>
          <w:sz w:val="28"/>
          <w:szCs w:val="28"/>
          <w:rtl w:val="true"/>
          <w:lang w:bidi="fa-IR"/>
        </w:rPr>
        <w:t>یشترط فی صحّة الصلاة</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یشترط فی صحّة الطواف الواجب والمندوب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واجبةً کانت أو مندوبةً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ـ إزالة النجاسة عن البدن، حتّی الظفر والشعر واللباس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ساتراً کان أو غیر ساتر، عدا ما سیجیء من مثل الجَوْرَب ونحوه ممّا لا تتمّ الصلاة فیه، وکذا یشترط فی توابعها من صلاة الاحتیاط وقضاء التشهّد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المنسیّین، وکذا</w:t>
      </w:r>
    </w:p>
    <w:p>
      <w:pPr>
        <w:pStyle w:val="BookText"/>
        <w:rPr/>
      </w:pPr>
      <w:r>
        <w:rPr>
          <w:rFonts w:ascii="IRNazanin" w:hAnsi="IRNazanin" w:eastAsia="IRNazanin"/>
          <w:color w:val="111111"/>
          <w:sz w:val="28"/>
          <w:sz w:val="28"/>
          <w:szCs w:val="28"/>
          <w:rtl w:val="true"/>
          <w:lang w:bidi="fa-IR"/>
        </w:rPr>
        <w:t>فی سجدتَی السهو</w:t>
      </w:r>
      <w:r>
        <w:rPr>
          <w:rStyle w:val="FootnoteAnchor"/>
          <w:rtl w:val="true"/>
        </w:rPr>
        <w:footnoteReference w:id="400"/>
      </w:r>
      <w:r>
        <w:rPr>
          <w:rFonts w:ascii="IRNazanin" w:hAnsi="IRNazanin" w:eastAsia="IRNazanin"/>
          <w:color w:val="111111"/>
          <w:sz w:val="28"/>
          <w:sz w:val="28"/>
          <w:szCs w:val="28"/>
          <w:rtl w:val="true"/>
          <w:lang w:bidi="fa-IR"/>
        </w:rPr>
        <w:t>علی الأحوط</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عدمه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اعتبارها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اعتبار الطهارة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الاشتراط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یشترط فیما یتقدّمها من الأذان والإقامة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والأدعیة الّتی قبل تکبیرة الإحرام، ولا فیما یتأخّرها من التعقیب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باللباس</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تدثّر باللحاف وما یشبهه علی نحو یصدق عرفاً أ نّه لباسه اعتبر طهارته، سواء تستّر به أم لا، وإلاّ فلا، نعم فی الصورة الثانیة یحکم ببطلان الصلاة ـ وإن کان طاهراً ـ إلاّ فیما یحکم فیه بصحّة صلاة العاری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إذا کان متستّراً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اللحاف</w:t>
      </w:r>
    </w:p>
    <w:p>
      <w:pPr>
        <w:pStyle w:val="BookText"/>
        <w:rPr/>
      </w:pPr>
      <w:r>
        <w:rPr>
          <w:rFonts w:ascii="Amiri" w:hAnsi="Amiri" w:eastAsia="Amiri" w:cs="Amiri"/>
          <w:color w:val="111111"/>
          <w:sz w:val="28"/>
          <w:sz w:val="28"/>
          <w:szCs w:val="28"/>
          <w:rtl w:val="true"/>
          <w:lang w:bidi="ar-SA"/>
        </w:rPr>
        <w:t>الّذی</w:t>
      </w:r>
      <w:r>
        <w:rPr>
          <w:rStyle w:val="FootnoteAnchor"/>
          <w:rtl w:val="true"/>
        </w:rPr>
        <w:footnoteReference w:id="403"/>
      </w:r>
      <w:r>
        <w:rPr>
          <w:rFonts w:ascii="Amiri" w:hAnsi="Amiri" w:eastAsia="Amiri" w:cs="Amiri"/>
          <w:color w:val="111111"/>
          <w:sz w:val="28"/>
          <w:sz w:val="28"/>
          <w:szCs w:val="28"/>
          <w:rtl w:val="true"/>
          <w:lang w:bidi="ar-SA"/>
        </w:rPr>
        <w:t xml:space="preserve">یتغطّی به المصلّی مضطجعاً إیماءً، سواء کان متستّراً </w:t>
      </w:r>
      <w:r>
        <w:rPr>
          <w:rStyle w:val="FootnoteAnchor"/>
          <w:rtl w:val="true"/>
        </w:rPr>
        <w:footnoteReference w:id="404"/>
      </w:r>
      <w:r>
        <w:rPr>
          <w:rFonts w:ascii="IRNazanin" w:hAnsi="IRNazanin" w:eastAsia="IRNazanin"/>
          <w:color w:val="111111"/>
          <w:sz w:val="28"/>
          <w:sz w:val="28"/>
          <w:szCs w:val="28"/>
          <w:rtl w:val="true"/>
          <w:lang w:bidi="fa-IR"/>
        </w:rPr>
        <w:t>به أو لا</w:t>
      </w:r>
      <w:r>
        <w:rPr>
          <w:rStyle w:val="FootnoteAnchor"/>
          <w:rtl w:val="true"/>
        </w:rPr>
        <w:footnoteReference w:id="405"/>
      </w:r>
      <w:r>
        <w:rPr>
          <w:rFonts w:ascii="IRNazanin" w:hAnsi="IRNazanin" w:eastAsia="IRNazanin"/>
          <w:color w:val="111111"/>
          <w:sz w:val="28"/>
          <w:sz w:val="28"/>
          <w:szCs w:val="28"/>
          <w:rtl w:val="true"/>
          <w:lang w:bidi="fa-IR"/>
        </w:rPr>
        <w:t>، وإن کان الأقوی</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باللحاف بحیث یصدق علیه أ نّه صلّی فیه، فالظاهر اعتبار طهارته وإن کان متستّراً بغیره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الاشتراط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الاشتراط فی هذه الصورة أیضاً إذا کان ملتحفاً به بنحو یصدق أ نّه صلّی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عدم التستّر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فیما لو کان ملتفّاً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ساتره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اللحاف قد بسط علیه بنحو لا یصدق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لا یصدق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الاشتراط</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التامّ علی صدق الصلاة فیه؛ لأ نّه المأخوذ فی لسان الدلیل، لا علی التستّر به، ولا یبعد حینئذٍ الصدق المزبور فی بعض الموارد، لا مطلقاً، وبمثله فرّقنا بین ما کان فیه نحو تلبّسٍ به أو مجرّد محمولیّةٍ بعدم الإضرار فی الثانی دون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ملتفّاً به علی نحو یکون قائماً به، فالظاهر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یصدق أ نّه صلّی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اللفّ بحیث صار کاللباس، وإلاّ فالأحوط اشتراطه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صدق اللباس ، سواء کان ستر أسوئَیه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یصدق علیه وقوع الصلاة فیه ولم یکن لباساً للمصلّی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مع صدق الصلاة معه، وإمکان التستّر به وإن لم یتستّر به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الاشتراط وعدمه صدق عنوان اللباس وعدمه، فعلی الأوّل یشترط، وعلی الثانی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یصدق الصلاة فیه، وإلاّ فیشترط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إذا صدق أنّه لبسه وصلّی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ویشترط فی صحّة الصلاة أیضاً إزالتها عن موضع السجود</w:t>
      </w:r>
      <w:r>
        <w:rPr>
          <w:rStyle w:val="FootnoteAnchor"/>
          <w:rtl w:val="true"/>
        </w:rPr>
        <w:footnoteReference w:id="408"/>
      </w:r>
      <w:r>
        <w:rPr>
          <w:rFonts w:ascii="IRNazanin" w:hAnsi="IRNazanin" w:eastAsia="IRNazanin"/>
          <w:color w:val="111111"/>
          <w:sz w:val="28"/>
          <w:sz w:val="28"/>
          <w:szCs w:val="28"/>
          <w:rtl w:val="true"/>
          <w:lang w:bidi="fa-IR"/>
        </w:rPr>
        <w:t>دون المواضع الاُخر</w:t>
      </w:r>
      <w:r>
        <w:rPr>
          <w:rStyle w:val="FootnoteAnchor"/>
          <w:rtl w:val="true"/>
        </w:rPr>
        <w:footnoteReference w:id="409"/>
      </w:r>
      <w:r>
        <w:rPr>
          <w:rFonts w:ascii="IRNazanin" w:hAnsi="IRNazanin" w:eastAsia="IRNazanin"/>
          <w:color w:val="111111"/>
          <w:sz w:val="28"/>
          <w:sz w:val="28"/>
          <w:szCs w:val="28"/>
          <w:rtl w:val="true"/>
          <w:lang w:bidi="fa-IR"/>
        </w:rPr>
        <w:t xml:space="preserve">، فلا بأس بنجاستها، إلاّ إذا کانت </w:t>
      </w:r>
      <w:bookmarkStart w:id="202" w:name="pg13273_134999"/>
    </w:p>
    <w:p>
      <w:pPr>
        <w:pStyle w:val="BookText"/>
        <w:rPr/>
      </w:pPr>
      <w:bookmarkEnd w:id="202"/>
      <w:r>
        <w:rPr>
          <w:rFonts w:ascii="IRNazanin" w:hAnsi="IRNazanin" w:eastAsia="IRNazanin"/>
          <w:color w:val="111111"/>
          <w:sz w:val="28"/>
          <w:sz w:val="28"/>
          <w:szCs w:val="28"/>
          <w:rtl w:val="true"/>
          <w:lang w:bidi="fa-IR"/>
        </w:rPr>
        <w:t>مسریة</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معفوّاً عنها من جهة نفسها أو من جهة ما استثنی من اللباس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بدنه أو لباسه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نجاستها معفوّاً عنها من جهة نفسها، کالدم الأقلّ من الدرهم، أو من جهة اللباس ککونه ممّا لا تتمّ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جبهته علی محلٍّ بعضه طاهر وبعضه نجس صحّ</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السرایة، أو کونه معفوّاً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 الطاهر بمقدار الواجب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فلا یضرّ کون البعض الآخر نجساً،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طهارة جمیع ما یقع علیه، ویکفی کون السطح الظاهر من المسجد طاهراً، وإن کان باطنه أو سطحه الآخر أو ما تحته نجساً، فلو وضع التربة علی محلٍّ نجسٍ وکانت طاهرةً ولو سطحها الظاهر صحّت صلاته</w:t>
      </w:r>
      <w:r>
        <w:rPr>
          <w:rFonts w:eastAsia="IRNazanin" w:cs="IRNazanin"/>
          <w:color w:val="111111"/>
          <w:sz w:val="28"/>
          <w:szCs w:val="28"/>
          <w:rtl w:val="true"/>
          <w:lang w:bidi="fa-IR"/>
        </w:rPr>
        <w:t>.</w:t>
      </w:r>
    </w:p>
    <w:p>
      <w:pPr>
        <w:pStyle w:val="Heading3"/>
        <w:numPr>
          <w:ilvl w:val="2"/>
          <w:numId w:val="1"/>
        </w:numPr>
        <w:rPr/>
      </w:pPr>
      <w:bookmarkStart w:id="203" w:name="__RefHeading___Toc1666486_2322387425"/>
      <w:bookmarkStart w:id="204" w:name="_Toc71"/>
      <w:bookmarkEnd w:id="203"/>
      <w:r>
        <w:rPr>
          <w:rtl w:val="true"/>
        </w:rPr>
        <w:t>وجوب إزالة النجاسة عن المساجد</w:t>
      </w:r>
      <w:bookmarkEnd w:id="20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إزالة النجاسة عن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داخلها وسقفها وسطحها والطرف الداخل من جدرانها، بل والطرف الخارج علی </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إدخال النجاسة موجباً لنجاستها ولا لهتکها فالأقوی الجواز، بل ومع استلزام التنجیس وعدم الهتک فالتنجیس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لعدم الفرق بین طرفَی الداخل والخارج من الجدار فی کونه من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الشکّ وعدم ظهوره فی مسجدیة المجموع، وإلاّ فإلحاقها بالمذکورات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فی غیر ما إذا استلزم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لعلّه الأقوی إذا کانت أرض الجدار من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الأظهر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الوجوب إذا لم یستلزم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أن لا یجعلها الواقف جزءاً من المسجد، بل لو لم یجعل مکاناً مخصوصاً منها جزءاً لا یلحقه الحکم، ووجوب الإزالة فوریّ، فلا یجوز التأخیر بمقدار ینافی الفور العرفیّ، ویحرم تنجیسها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لا یجوز إدخال عین النجاسة فیها، وإن لم تکن منجّسة إذا کانت موجبة</w:t>
      </w:r>
    </w:p>
    <w:p>
      <w:pPr>
        <w:pStyle w:val="BookText"/>
        <w:rPr/>
      </w:pPr>
      <w:r>
        <w:rPr>
          <w:rFonts w:ascii="IRNazanin" w:hAnsi="IRNazanin" w:eastAsia="IRNazanin"/>
          <w:color w:val="111111"/>
          <w:sz w:val="28"/>
          <w:sz w:val="28"/>
          <w:szCs w:val="28"/>
          <w:rtl w:val="true"/>
          <w:lang w:bidi="fa-IR"/>
        </w:rPr>
        <w:t>لهتک حرمتها</w:t>
      </w:r>
      <w:r>
        <w:rPr>
          <w:rStyle w:val="FootnoteAnchor"/>
          <w:rtl w:val="true"/>
        </w:rPr>
        <w:footnoteReference w:id="413"/>
      </w:r>
      <w:r>
        <w:rPr>
          <w:rFonts w:ascii="Amiri" w:hAnsi="Amiri" w:eastAsia="Amiri" w:cs="Amiri"/>
          <w:color w:val="111111"/>
          <w:sz w:val="28"/>
          <w:sz w:val="28"/>
          <w:szCs w:val="28"/>
          <w:rtl w:val="true"/>
          <w:lang w:bidi="ar-SA"/>
        </w:rPr>
        <w:t>، بل مطلقاً</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یابساً بحیث لا یسری إلی المسجد، وکان فی لباس الداخل أو بدنه، أو محمولاً له فلا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فی غیر صورة الهتک عدم البأس، خصوصاً فی غیر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إدخال النجاسة غیر المتعدّیة إذا کانت من توابع الداخل، کالمستحاضة والمسلوس والمبطون وذی القروح والجروح یدخلون المسجد للصلاة فیه، بل مطلقاً وإن لم یریدوا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مراعاته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ما یکون من توابع الداخل، أمّا فیه فلا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ذلک بوضعها علیها، لا ما إذا دخل وهی معه ولم یلزم الهتک، نعم الأولی ترکه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جوازه إذا لم یستلزم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تابعة لمن یدخل المسجد، کالدم الملصق بالبدن واللباس فلا بأس بترک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الإدخال ما لم یستلزم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بالإدخال مع عدم الهتک، ولا سیّما فیما لا تعتدّ به لکونه من توابع الداخل، کما إذا دخل شخص وعلی ثوبه أو بدنه دم الجرح والقرح أو نحو ذلک، والأحوط استحباباً المنع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هو الجواز مع عدم الهتک، لا سیّما فیما عُدّ من توابع الداخل، مثل أن یدخل الإنسان وعلی بدنه أو ثوبه دم الجرح أو القرح أو 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إدخال</w:t>
      </w:r>
      <w:bookmarkStart w:id="205" w:name="pg13273_135002"/>
    </w:p>
    <w:p>
      <w:pPr>
        <w:pStyle w:val="BookText"/>
        <w:rPr/>
      </w:pPr>
      <w:bookmarkEnd w:id="205"/>
      <w:r>
        <w:rPr>
          <w:rFonts w:ascii="Amiri" w:hAnsi="Amiri" w:eastAsia="Amiri" w:cs="Amiri"/>
          <w:color w:val="111111"/>
          <w:sz w:val="28"/>
          <w:sz w:val="28"/>
          <w:szCs w:val="28"/>
          <w:rtl w:val="true"/>
          <w:lang w:bidi="ar-SA"/>
        </w:rPr>
        <w:t>المتنجّس</w:t>
      </w:r>
      <w:r>
        <w:rPr>
          <w:rStyle w:val="FootnoteAnchor"/>
          <w:rtl w:val="true"/>
        </w:rPr>
        <w:footnoteReference w:id="415"/>
      </w:r>
      <w:r>
        <w:rPr>
          <w:rFonts w:ascii="IRNazanin" w:hAnsi="IRNazanin" w:eastAsia="IRNazanin"/>
          <w:color w:val="111111"/>
          <w:sz w:val="28"/>
          <w:sz w:val="28"/>
          <w:szCs w:val="28"/>
          <w:rtl w:val="true"/>
          <w:lang w:bidi="fa-IR"/>
        </w:rPr>
        <w:t>فلا بأس به</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یستلزم تنجیس المسجد قهراً، بحیث یکون علّة عرفاً، فلا فرق حینئذٍ بین النجس والمتنجّس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یستلزم الهتک</w:t>
      </w:r>
      <w:r>
        <w:rPr>
          <w:rFonts w:eastAsia="IRNazanin" w:cs="IRNazanin"/>
          <w:color w:val="111111"/>
          <w:sz w:val="28"/>
          <w:szCs w:val="28"/>
          <w:rtl w:val="true"/>
          <w:lang w:bidi="fa-IR"/>
        </w:rPr>
        <w:t>.</w:t>
      </w:r>
    </w:p>
    <w:p>
      <w:pPr>
        <w:pStyle w:val="Heading3"/>
        <w:numPr>
          <w:ilvl w:val="2"/>
          <w:numId w:val="1"/>
        </w:numPr>
        <w:rPr/>
      </w:pPr>
      <w:bookmarkStart w:id="206" w:name="__RefHeading___Toc1666488_2322387425"/>
      <w:bookmarkStart w:id="207" w:name="_Toc72"/>
      <w:bookmarkEnd w:id="206"/>
      <w:r>
        <w:rPr>
          <w:rtl w:val="true"/>
        </w:rPr>
        <w:t>فروع فی لزوم تطهیر المسجد</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إزالة النجاسة عن المساجد کفائیّ</w:t>
      </w:r>
      <w:r>
        <w:rPr>
          <w:rStyle w:val="FootnoteAnchor"/>
          <w:rtl w:val="true"/>
        </w:rPr>
        <w:footnoteReference w:id="417"/>
      </w:r>
      <w:r>
        <w:rPr>
          <w:rFonts w:ascii="IRNazanin" w:hAnsi="IRNazanin" w:eastAsia="IRNazanin"/>
          <w:color w:val="111111"/>
          <w:sz w:val="28"/>
          <w:sz w:val="28"/>
          <w:szCs w:val="28"/>
          <w:rtl w:val="true"/>
          <w:lang w:bidi="fa-IR"/>
        </w:rPr>
        <w:t>، ولا اختصـاص لـه</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جهة اختصاص، فإنّ بقاء النجاسة فی المسجد من فعله وهو محرّم علیه، ویجب علیه رفعه، ولا ینافی ذلک وجوبه الکفائی علی الکلّ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له اختصاصاً مضافاً إلی الوجوب الکفائی الثابت علی الکلّ؛ وذلک لأنّ حدوث النجاسة فیه کان بفعله المحرّم، فیصدق علی بقائها أ نّه إبقاء لعمله الّذی کان محرّماً علیه، فعلیه إعدام المحرّم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جهة اختصاص به زائداً علی وجوبه الکفائی علی الکلّ؛ لأنّ بقاء النجاسة فیه من فعله المحرّم علیه، وللناظر إلزامه وأخذ مؤنته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w:t>
      </w:r>
    </w:p>
    <w:p>
      <w:pPr>
        <w:pStyle w:val="BookText"/>
        <w:rPr/>
      </w:pPr>
      <w:r>
        <w:rPr>
          <w:rFonts w:ascii="Amiri" w:hAnsi="Amiri" w:eastAsia="Amiri" w:cs="Amiri"/>
          <w:color w:val="111111"/>
          <w:sz w:val="28"/>
          <w:sz w:val="28"/>
          <w:szCs w:val="28"/>
          <w:rtl w:val="true"/>
          <w:lang w:bidi="ar-SA"/>
        </w:rPr>
        <w:t>نجّسها</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أمکن الفرق بینه وبین غیره ببعض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صار سبباً، فیجب علی کلّ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نجاسة فی المسجد وقد دخل وقت الصلاة تجب المبادرة إلی إزالتها مقدّماً علی الصلاة مع سعة وقتها، ومع الضیق قدّمها، ولو ترک الإزالة مع السعة واشتغل بالصلاة عصی لترک الإزالة، لکن فی بطلان صلاته إشکال، والأقوی الصحّة</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اختِیر الترتّب بناءً علی عدم اختصاص صحّته عند القائل به بالمضیَّقین، بل تعمیم مبناه حتّی بالنسبة إلی کون أحد الأمرین موسّعاً والآخر مضیّقاً، کما فیما نحن فیه، وکذا لو اختِیر کفایة الملاک فی صحّة العبادة، وکذا لو أتی بالصلاة بداعی الأمر المتعلّق بالطبیعة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إذا أمکنه الإزالة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مع عدم قدرته مطلقاً أو فی ذلک الوقت فلا إشکال</w:t>
      </w:r>
      <w:r>
        <w:rPr>
          <w:rStyle w:val="FootnoteAnchor"/>
          <w:rtl w:val="true"/>
        </w:rPr>
        <w:footnoteReference w:id="421"/>
      </w:r>
      <w:r>
        <w:rPr>
          <w:rFonts w:ascii="IRNazanin" w:hAnsi="IRNazanin" w:eastAsia="IRNazanin"/>
          <w:color w:val="111111"/>
          <w:sz w:val="28"/>
          <w:sz w:val="28"/>
          <w:szCs w:val="28"/>
          <w:rtl w:val="true"/>
          <w:lang w:bidi="fa-IR"/>
        </w:rPr>
        <w:t>فی صحّة صلاته، ولا فرق فی الإشکال</w:t>
      </w:r>
      <w:r>
        <w:rPr>
          <w:rStyle w:val="FootnoteAnchor"/>
          <w:rtl w:val="true"/>
        </w:rPr>
        <w:footnoteReference w:id="422"/>
      </w:r>
      <w:r>
        <w:rPr>
          <w:rFonts w:ascii="IRNazanin" w:hAnsi="IRNazanin" w:eastAsia="IRNazanin"/>
          <w:color w:val="111111"/>
          <w:sz w:val="28"/>
          <w:sz w:val="28"/>
          <w:szCs w:val="28"/>
          <w:rtl w:val="true"/>
          <w:lang w:bidi="fa-IR"/>
        </w:rPr>
        <w:t xml:space="preserve">فی الصورة الاُولی </w:t>
      </w:r>
    </w:p>
    <w:p>
      <w:pPr>
        <w:pStyle w:val="BookText"/>
        <w:rPr/>
      </w:pPr>
      <w:r>
        <w:rPr>
          <w:rFonts w:ascii="IRNazanin" w:hAnsi="IRNazanin" w:eastAsia="IRNazanin"/>
          <w:color w:val="111111"/>
          <w:sz w:val="28"/>
          <w:sz w:val="28"/>
          <w:szCs w:val="28"/>
          <w:rtl w:val="true"/>
          <w:lang w:bidi="fa-IR"/>
        </w:rPr>
        <w:t>بین أن یصلّی فی ذلک المسجد، أو فی مسجد آخر</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غیر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فی مکان آخر غیر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محلٍّ آخر، مسجداً کان أو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فی مکان آخر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فی غیره من الأمکنة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اشتغل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قدرته علیها بحیث لا یضرّ بالفوریّة العرفیّة، وإلاّ فیجب علیه تشریک المساعی مقدّماً علی اشتغاله بالصلاة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بالإزالة لا مانع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الاطمئنان بتحقّق الإزالة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مبادرته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عدم اشتغاله معه منافیاً للفوریّة العرفیّة المعتبرة فی الإزالة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قبل تحقّق الإزالة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ثمّ تبیّن له کون المسجد نجساً کانت صلاته صحیحة، وکذا إذا کان عالماً بالنجاسة ثمّ غفل وصلّی</w:t>
      </w:r>
      <w:r>
        <w:rPr>
          <w:rStyle w:val="FootnoteAnchor"/>
          <w:rtl w:val="true"/>
        </w:rPr>
        <w:footnoteReference w:id="424"/>
      </w:r>
      <w:r>
        <w:rPr>
          <w:rFonts w:ascii="IRNazanin" w:hAnsi="IRNazanin" w:eastAsia="IRNazanin"/>
          <w:color w:val="111111"/>
          <w:sz w:val="28"/>
          <w:sz w:val="28"/>
          <w:szCs w:val="28"/>
          <w:rtl w:val="true"/>
          <w:lang w:bidi="fa-IR"/>
        </w:rPr>
        <w:t xml:space="preserve">، وأمّا إذا علمها </w:t>
      </w:r>
    </w:p>
    <w:p>
      <w:pPr>
        <w:pStyle w:val="BookText"/>
        <w:rPr/>
      </w:pPr>
      <w:r>
        <w:rPr>
          <w:rFonts w:ascii="IRNazanin" w:hAnsi="IRNazanin" w:eastAsia="IRNazanin"/>
          <w:color w:val="111111"/>
          <w:sz w:val="28"/>
          <w:sz w:val="28"/>
          <w:szCs w:val="28"/>
          <w:rtl w:val="true"/>
          <w:lang w:bidi="fa-IR"/>
        </w:rPr>
        <w:t>أو التفت إلیها فی أثناء</w:t>
      </w:r>
      <w:r>
        <w:rPr>
          <w:rStyle w:val="FootnoteAnchor"/>
          <w:rtl w:val="true"/>
        </w:rPr>
        <w:footnoteReference w:id="425"/>
      </w:r>
      <w:r>
        <w:rPr>
          <w:rFonts w:ascii="IRNazanin" w:hAnsi="IRNazanin" w:eastAsia="IRNazanin"/>
          <w:color w:val="111111"/>
          <w:sz w:val="28"/>
          <w:sz w:val="28"/>
          <w:szCs w:val="28"/>
          <w:rtl w:val="true"/>
          <w:lang w:bidi="fa-IR"/>
        </w:rPr>
        <w:t>الصلاة فهل یجب إتمامها ثمّ الإزالة أو إبطالها والمبادرة إلی الإزالة؟ وجهان أو وجوه</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 التخییر بینهما، والمقام من باب التزاحم بین حرمة القطع ووجوب الإزالة، فإن أحرز أهمّیة عدم القطع تمّ وجوب الإتمام، وإلاّ تخیّر، وکیف کان فلو مضی فی صلاته صحّت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سعة وقت الصلاة واستلزام الإزالة فی الأثناء للفعل الکثیر أو منافٍ آخر، وأمّا فی الضیق أو فی صورة عدم الاستلزام فلا إشکال فی وجوب الإتمام وحرمة الإبطال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سعة الوقت، وأمّا فی ضیقه فلا ریب فی وجوب الإتمام، وأیضاً إذا لم یستلزم الإزالة فی الأثناء الفعل الکثیر وجب الإتمام وحرم الإبطال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غیر ضیق الوقت ومضادتها مع الصلاة، وإلاّ یجب الإتمام ویحرم القطع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أقواها لزوم المبادرة إلی الإزالة، إلاّ مع عدم کون الإتمام مخلاًّ بالفوریّة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 احتمال التفصیل بین الفرض الثانی بالالتزام بوجوب القطع فالإزالة فالصلاة، وبین الفرض الأوّل والثالث بالمصیر إلی وجوب إتمام الصلاة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ضیق وقت الصلاة، أو عدم استلزام الإزالة لبطلانها لا ریب فی وجوب الإتمام، وفی غیر ذینک الموردین الأظهر هو التخییر بین الإتمام والإزالة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إلاّ فیما إذا کان قریباً من إتمام الصلاة، بحیث لا تنا فی الفوریّة العرفیّة، وإلاّ فالأقوی رفع الید عن الصلاة من غیر فرق بین ما إذا علم فی الأثناء أو علم من قبل وغفل وصلّی، نعم لو ترک الإزالة عمداً ومضی فی صلاته، فالأقوی صحّتها علی کلّ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أنّه لو علم بها فی أثنائها، فإن لم یعلم سبقها وأمکنه إزالتها بنزع أو غیره علی وجه لا ینافی الصلاة مع بقاء الستر فعل ومضی فی صلاته، وإن لم یمکنه إستأنفها لو کان الوقت واسعاً، وإلاّ فإن أمکن طرح الثوب والصلاة عریاناً یصلّی کذلک علی الأقوی، وإن لم یمکن صلّی بها، وکذا لو عرضت له فی الأثناء، ولو علم سبقها وجب الاستئناف مع سعة الوقت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بها فی الأثناء، والإبطال والمبادرة إلی الإزالة لو کان عالماً بها قبل، ثمّ غفل وصلّی، ولکن لو ترک الإزالة ومضی فی صلاته فالأقوی صحّـتها علی کلّ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التفاته إلی ابتلائه بها قبل الصلاة فی وجوب الإتمام نظر؛ لکشفه عن فساد الصلاة من الأوّل، وأمّا لو التفت إلی ابتلائه بها فی أثناء الصلاة علی وجه دخل فی الصلاة صحیحاً واقعاً ففی وجوب الإتمام وجه؛ لاِءوْلِهِ إلی التزاحم بین وجوب الإزالة وحرمة القطع، فاستصحاب حرمة القطع یوجب تقدیم الإتمام علی قطعه وإزالته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قطع شخص هذه الصلاة فرع صدق الطبیعة المأمور بها علیه، ومجرّد اضطراره بترک الإزالة فی شخص الفرد لا یوجب تطبیق عمومات الاضطرار علی الطبیعة، ومع عدمها لا یکاد یتمّ وجوب إتمامها، ومع عدمه لا یصدق الاضطرار علی ترک الطهارة فی شخص المأمور به من الفرد المحرّم قطعه؛ لعدم کون هذا الفرد حینئذٍ مأموراً به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إلاّ إذا کان الإتمام غیر مخلّ بالفوریّة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بها فی الأثناء، والإبطال والمبادرة إلی الإزالة لو کان عالماً بها قبل الصلاة ثمّ غفل وصلّی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ینافِ الفوریّة العرفیّة ولو بالاقتصار علی أقلّ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الإبطال والمبادرة إلی الإزالة إذا کان الإتمام منافیاً للفوریّة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المبادرة إلی الإزالة وقطع الصلاة إذا کانت منافیة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جواز الإبطال لأجل المبادرة إلی الإزالة، إلاّ فی ضیق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إبطال الصلاة ووجوب الاشتغال بالإزالة، ولا فرق بین حدوث العلم فی الأثناء أو کان عالماً ثمّ غفل ثمّ التفت فی الأثناء، وحرمة الإبطال لا تزاحم فوریّة وجوب الإزالة؛ لأنّ القدر المتیقّن من معقد الإجماع ما عدا هذه الصورة، ولا إطلاق لفظی فی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بل الأقوی التخییر بین الإتمام والإبطال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لأقوائیّـته إلاّ إذا کان غیر مخلّ للفوریّة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الإزالة حال الصلاة، وإن لم یتمکّن من الجمع وکان الإتمام منافیاً للفوریّة العرفیّة وجب علیه قطع الصلاة والإزالة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ضیق الوقت وفیما لو استلزم التطهیر بین الصلاة الفعل الکثیر، وفی غیرهما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التخییر بین الأمرین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یخلّ بالفوریّة العرفیّة،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التخییر فیما کان عالماً وتسامح حتّی نسی ثمّ التفت فی الأثناء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منافیاً للفوریّة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لا ینافی الفوریّة العرفیّة، وإذا ترک الإزالة وأتمّ صلاته کانت صحیحة فی جمیع الفروض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وجوب المبادرة إلی الإزالة وقطع الصلاة إذا کانت منافیة للفوریّة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الفوریّة العرفیّة لابدّ من التقیّد بأنّ الإتمام واجب إن لم یکن منافیاً للفوریّة، وإلاّ فهو مخیّر بین إتمام الصلاة وقطعها إن لم یکن الإتمام مستلزماً للهتک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ضیق الوقت، وکذا مع عدم المنافاة مع الفوریّة العرفیّة علی الأحوط، وفی غیرهما یجب الإبطال والإزالة مع استلزام الهتک، وبدونه یتخیّر بین الأمرین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موضع من المسجد نجساً </w:t>
      </w:r>
    </w:p>
    <w:p>
      <w:pPr>
        <w:pStyle w:val="BookText"/>
        <w:rPr/>
      </w:pPr>
      <w:r>
        <w:rPr>
          <w:rFonts w:ascii="IRNazanin" w:hAnsi="IRNazanin" w:eastAsia="IRNazanin"/>
          <w:color w:val="111111"/>
          <w:sz w:val="28"/>
          <w:sz w:val="28"/>
          <w:szCs w:val="28"/>
          <w:rtl w:val="true"/>
          <w:lang w:bidi="fa-IR"/>
        </w:rPr>
        <w:t>لا یجوز</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الجواز إذا لم یکن هتکاً عرفاً وإن کانت أشدّ وأغلظ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فیما لا یلزم منه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حرمته إذا لم تکن الثانیة أشدّ من الاُولی، ولم تستلزم تنجیس ما یجاوره، ولم یوجب الهتک وإن کان أحوط، وإذا کانت الثانیة أشدّ فالأحوط لزوماً عدم التنجیس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تنجیسه ثانیاً بما یوجب تلویثه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موجباً لهتک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الموجب للهتک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المستلزم للهتک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وکذا مع عدم التلویث إذا کانت الثانیة أشدّ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وأغلظ من الاُولی، وإلاّ ففی تحریمه تأمّل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 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یستلزم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تنجیس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وفی النسخ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یجاوره من الموضع الطاهر، لکنّه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تطهیر المسجد علی حفر أرضه جاز، بل وجب</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هناک متبرّع لطمِّ الحفر، أو کان یجب علیه ذلک، کما إذا کان هو السبب لتنجّس المسجد، وإلاّ ففی جوازه فضلاً عن وجوبه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الحفر أو التخریب یسیراً لا یضرّ بالمسجد، ولا یمنع من الصلاة فیه، أو وجد من یتبّرع بطمّ أرضه وتعمیر خرابه، وإلاّ فهو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کونه بفعله، وإلاّ فالظاهر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توقّف علی تخریب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إلاّ إذا کان طفیفاً لا یقاوم أهمّیّة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یسیراً، أو کان هو أو غیره باذلاً لتعمیره، وإلاّ فالحکم بوجوب التخریب مشکل؛ لعدم إحراز أهمّیّة الإزالة بالنسبة إلی حرمة التخریب والإضرار بالوقف، فتکون النتیجة هی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کونه یسیراً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یسیر، وأمّا الکثیر المعتدّ به فمحلّ إشکال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مع الاکتفاء بمقدار الضرورة والحاجة فی کلٍّ من الحفر والتخریب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یکن التخریب إضراراً بالوقف، وإلاّ ففی جوازه فضلاً عن الوجوب إشکال، حتّی فیما إذا وجد باذل لتعمیره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یسیراً، وإلاّ فیأتی حکمه فی مسألة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شیئاً یسیراً لا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یسیراً جدّاً بحیث لا یُعدّ إضراراً بالوقف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الجواز إذا کان التخریب من حیث هو محرّماً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تخریب الکلّ الّذی یأتی حکمه فی مسألة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إذا توقّف التطهّر علی تخریب شیء یسیر لا یعتدّ به فحینئذٍ یجب التطهّر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یسیر، أو توقّف رفع الهتک علی التخریب، وإلاّ فیشکل التخریب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ولا یجب</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هو السبب فی التنجیس أو منجّساً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طمّ الحفر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وجوبه إذا کان تنجّس بفعله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الأحوط ذلک علی المنجِّس إذا کان هو المتصدّی للتخریب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بفعله، وإلاّ وجب علیه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وتعمیر الخراب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التنجیس بفعله فالأحوط وجوبه؛ لأ نّه صار سبباً للإتلاف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وجوبه إذا کان تنجّسه بفعله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یستند إلیه التنجیس، وإلاّ فیتّجه وجوبهما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نعم لو کان مثل الآجرِّ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ممّا یمکن ردّه بعد التطهیر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محمّد رضاالگلپایگانی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 علی غیر المنجّس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حصیر المسجد</w:t>
      </w:r>
      <w:r>
        <w:rPr>
          <w:rStyle w:val="FootnoteAnchor"/>
          <w:rtl w:val="true"/>
        </w:rPr>
        <w:footnoteReference w:id="431"/>
      </w:r>
      <w:r>
        <w:rPr>
          <w:rFonts w:ascii="IRNazanin" w:hAnsi="IRNazanin" w:eastAsia="IRNazanin"/>
          <w:color w:val="111111"/>
          <w:sz w:val="28"/>
          <w:sz w:val="28"/>
          <w:szCs w:val="28"/>
          <w:rtl w:val="true"/>
          <w:lang w:bidi="fa-IR"/>
        </w:rPr>
        <w:t>وجب تطهیره</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إلاّ إذا قلنا بحرمة إدخال المتنجّس أو إبقائه فی المسجد، وقد سبق فی آخر المسألة الثانیة جواز إدخال المتنجّس مالم یستلزم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سائر فُرُشه، ولکن إذا کانت مبسوطة بحیث یعدّ تنجّسها تنجّس المسجد، وأمّا إذا لم یکن کذلک ولم یکن هتکاً ففی حرمة تنجّسه ووجوب إزالتها إشکال، بل عدمها لا یخلو من قوّة، إلاّ من جهة حرمة التصرّف فی الوقف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وفی وجوب قطع موضع النجس مع عدم تنجیس المسجد تأمّل، والأحوط القطع مع الأصلحیّة والتعمیر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وجوب إزالة النجاسة عن آلات المساجد، نعم تطهیرها موافق مع الاحتیاط، فیختصّ بصورة عدم وجود محذور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تطهیر آلاته وفراشه علی الأحوط، نعم لو کان فرش المسجد أو سراجه مثلاً وقفاً لمطلق استفادة المؤمنین فالظاهر عدم لزوم تطهیرها، وفی صورة الشکّ فی کیفیّة الوقف وجوب التطهیر محلّ تأمّل، فلا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قطع موضع النجس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إذا کان ذلک أصلح من</w:t>
      </w:r>
    </w:p>
    <w:p>
      <w:pPr>
        <w:pStyle w:val="BookText"/>
        <w:rPr/>
      </w:pPr>
      <w:r>
        <w:rPr>
          <w:rFonts w:ascii="IRNazanin" w:hAnsi="IRNazanin" w:eastAsia="IRNazanin"/>
          <w:color w:val="111111"/>
          <w:sz w:val="28"/>
          <w:sz w:val="28"/>
          <w:szCs w:val="28"/>
          <w:rtl w:val="true"/>
          <w:lang w:bidi="fa-IR"/>
        </w:rPr>
        <w:t>إخراجه</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تطهیره فی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تطهیره فی المحلّ، وفی جواز قطع المقدار المعتدّ به أو التطهیر الموجب للنقص المعتدّ به إشکال، نعم تجب إزالة ما یوجب الهتک مطلقاً، وفی حکم الحصیر غیره ممّا هو من شؤون المسجد فعلاً، کفراشه دون ما هو موجود فی المخزن، نعم یحرم تنجیسه أیضاً، وفی کلّ مورد أدّی فیه التنجّس إلی نقصان قیمة ما هو وقف علی المسجد فضمانه علی المنجّس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المتوقّف علیه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وتطهیره کما هو الغالب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تطهیر المسجد علی تخریبه أجمع</w:t>
      </w:r>
      <w:r>
        <w:rPr>
          <w:rStyle w:val="FootnoteAnchor"/>
          <w:rtl w:val="true"/>
        </w:rPr>
        <w:footnoteReference w:id="434"/>
      </w:r>
      <w:r>
        <w:rPr>
          <w:rFonts w:ascii="IRNazanin" w:hAnsi="IRNazanin" w:eastAsia="IRNazanin"/>
          <w:color w:val="111111"/>
          <w:sz w:val="28"/>
          <w:sz w:val="28"/>
          <w:szCs w:val="28"/>
          <w:rtl w:val="true"/>
          <w:lang w:bidi="fa-IR"/>
        </w:rPr>
        <w:t>، کما إذا کان الجصّ الّذی عمّر به نجساً، أو کان المباشر للبناء کافراً، فإن وجد</w:t>
      </w:r>
      <w:r>
        <w:rPr>
          <w:rStyle w:val="FootnoteAnchor"/>
          <w:rtl w:val="true"/>
        </w:rPr>
        <w:footnoteReference w:id="435"/>
      </w:r>
      <w:r>
        <w:rPr>
          <w:rFonts w:ascii="IRNazanin" w:hAnsi="IRNazanin" w:eastAsia="IRNazanin"/>
          <w:color w:val="111111"/>
          <w:sz w:val="28"/>
          <w:sz w:val="28"/>
          <w:szCs w:val="28"/>
          <w:rtl w:val="true"/>
          <w:lang w:bidi="fa-IR"/>
        </w:rPr>
        <w:t>متبرِّع بالتعمیر بعد الخراب جاز</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وتطهیر الظاهر 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جواز تخریب المسجد لأجل تطهیره، فلا وجه للتفصیل بین وجود المتبرّع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وإلاّ فمشکل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وجوب الإزالة عامّة فلا ینبغی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إذا کان التخریب مستلزماً لعدم الانتفاع، ویمکن أن یقال بکفایة تطهیر ظاهر المسجد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من جهة أنّ التطهیر مستلزم لانعدام الموضوع وهو المسجد، وعلیه لا یرتفع بوجود المتبرّع، فوجوده وعدمه سیّان فی هذه الجهة، فحینئذٍ الأحوط إن لم یکن الأقوی عدم جواز التخریب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الإشکال بین وجود المتبرّع وعدمه، والأقوی کفایة تطهیر السطح الظاهر منه، ولا یجب تطهیر 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الأحوط تطهیر الظاهر مع التمکّن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اختلافه باختلاف الموارد، والاحتیاط تطهیر الظاهر ما لم یمکن تطهیر 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وجود المتبرّع مشکل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 یجب تطهیره بالتخریب، والأحوط تطهیر ظاهره إذا لم یتمکّن من تطهیر الباطن، نعم لو استفید من عرصة المسجد عین ما یستفاد من البناء یتعیّن التخریب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وجد متبرّع، نعم یجب تطهیر ظاهر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تنجیس المسجد الّذی</w:t>
      </w:r>
      <w:r>
        <w:rPr>
          <w:rStyle w:val="FootnoteAnchor"/>
          <w:rtl w:val="true"/>
        </w:rPr>
        <w:footnoteReference w:id="437"/>
      </w:r>
      <w:r>
        <w:rPr>
          <w:rFonts w:ascii="IRNazanin" w:hAnsi="IRNazanin" w:eastAsia="IRNazanin"/>
          <w:color w:val="111111"/>
          <w:sz w:val="28"/>
          <w:sz w:val="28"/>
          <w:szCs w:val="28"/>
          <w:rtl w:val="true"/>
          <w:lang w:bidi="fa-IR"/>
        </w:rPr>
        <w:t>صار خراباً، وإن لم یصلّ فیه أحد، ویجب تطهیره إذا تنجّس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تطهیره علی تنجیس بعض المواضع الطاهرة لا مانع منه إن أمکن</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وجب العمل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إزالته بعد ذلک، کما إذا أراد تطهیره بصبّ الماء واستلزم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التطهیر علی بذل مال وجب</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أوجب الحرج أو الضرر فلا یجب بذله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یکن ضرریّاً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إذا کان البذل ضرریّاً أو حرجیّاً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بحیث یضرّ بحاله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یسیر لا یوجب صدق الضرر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وهل یضمن من صار سبباً للتنجّس؟ وجهان، لا یخلو ثانیهما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أوّلهما؛ لما ذکرنا، نعم إن بادر إلیه غیره تبرّعاً لم یکن له الرجوع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أوّلهما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إلاّ إذا کان قصده التبرّع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أوّلهما؛ بمعنی جواز إلزامه بالتطهیر والإزالة، وأمّا لو أقدم علی التطهیر غیره فمع التبرّع لم یکن له الرجوع إلیه، ومع عدمه أیضاً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أوّلهما وهو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الأوّل؛ بمعنی جواز إلزامه بالتطهیر وأخذ المؤونة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مستنداً إلی عدم شمول أدلّة الضمان لما نحن فیه؛ لمکان اختصاصها بمال الغیر، ولا مال هنا، ولکنّ المرتکز العرفی والصدق لدیهم یوهن هذا الوجه، ولعلّ الضمان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المنجّس ضامناً؛ لصحّة استناد التلف إلیه عرفاً، والتنجّس تنقیص تحقّق بفعل هذا الشخص، فیکون تدارک النقص بعهدته عند العرف، فیصیر مخارج التخریب والتعمیر علی المنجّس علی الأحوط، فإذا امتنع عن الأداء وأدّی غیره عنه بإذن ولی الممتنع ـ وإن کان الولیّ حاکم الشرع ـ جاز للغیر الرجوع إلیه فیما أنفقه من المصارف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تغیّر عنوان المسجد بأن غصب وجعل داراً أو صار خراباً </w:t>
      </w:r>
      <w:r>
        <w:rPr>
          <w:rStyle w:val="FootnoteAnchor"/>
          <w:rtl w:val="true"/>
        </w:rPr>
        <w:footnoteReference w:id="440"/>
      </w:r>
      <w:r>
        <w:rPr>
          <w:rFonts w:ascii="IRNazanin" w:hAnsi="IRNazanin" w:eastAsia="IRNazanin"/>
          <w:color w:val="111111"/>
          <w:sz w:val="28"/>
          <w:sz w:val="28"/>
          <w:szCs w:val="28"/>
          <w:rtl w:val="true"/>
          <w:lang w:bidi="fa-IR"/>
        </w:rPr>
        <w:t>بحیث لا یمکن تعمیره ولا الصلاة فیه وقلنا بجواز</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الآتی لا یتوقّف علی القول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جواز التنجیس أو عدمه، وهکذا فی وجوب التطهیر وعدمه بین القول بجواز الزرع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غیر مبتنیة علی ذلک القول، والأقرب عدم جواز التنجیس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الحکم بین القول بالجواز وعدمه؛ لعدم ابتناء المسألة علیه، بل علی تغیّر عنوان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غیر مبتنیة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مکاناً للزرع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ففی جواز تنجیسه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وعدم وجوب تطهیره</w:t>
      </w:r>
    </w:p>
    <w:p>
      <w:pPr>
        <w:pStyle w:val="BookText"/>
        <w:rPr/>
      </w:pPr>
      <w:r>
        <w:rPr>
          <w:rFonts w:ascii="IRNazanin" w:hAnsi="IRNazanin" w:eastAsia="IRNazanin"/>
          <w:color w:val="111111"/>
          <w:sz w:val="28"/>
          <w:sz w:val="28"/>
          <w:szCs w:val="28"/>
          <w:rtl w:val="true"/>
          <w:lang w:bidi="fa-IR"/>
        </w:rPr>
        <w:t>کما قیل إشکال</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عدم جواز الأوّل، والأظهر عدم وجوب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حرمة تنجیسه، وحرمة وقوف الجنب علیه، ویجب تطهیره أیضاً علی الأحوط، أمّا لو جعل شارعاً فوقوف الجنب علیه حرام إن علم بمسجدیّـته، ولکن تنجیسه لیس بحرام، نعم لو زال عنوان المسجدیّة رأساً بحیث لا یصدق علیه الدخول فی المسجد فلا یحرم الوقوف علیه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جواز الأوّل ووجوب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الأظهریّة محلّ إشکال، لکن لا یُترک الاحتیاط، سواء قلنا بجواز جعله مکاناً للزرع أو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أفاده قدس‌سره مواقع للنظر، ولکنّ ما أفتی به 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فی کلیهما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خلافه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جواز الأوّل، وعدم وجوب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وجوب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 غیر الأراضی المفتوحة عنوةً بشرائطها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الجنب نجاسة فی المسجد</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المسجدین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غیر المسجدین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أمکنه إزالتها بدون المکث فی حال المرور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المرور جائزاً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المسجدین اللذین حُکمُ المرور فیهما حکم المکث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فرض جواز الاجتیاز والمرور، کما فی غیر المسجدین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المبادرة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المسجدین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محمّد رضا الگلپایگانی،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المسجدین، وأمّا فیها فتعتبر مع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الظاهر أنّ حکمه حکم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الحکم فی غیر المسجد الحرام ومسجد النبی صلی‌الله‌علیه‌و‌آله‌وسلم ؛ لأنّ مرور الجنب فیهما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إلیها، وإلاّ فالظاهر وجوب التأخیر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ینافِ الفوریّة العرفیّة، وإلاّ فالظاهر وجوب التیمّم والمبادرة إلی التطهیر، وکذا فی الصورتین الآتیـتین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ینافِ الفوریّة، وإلاّ فلا یبعد وجوب التیمّم والمبادرة إلی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لوجوب التأخیر؛ إذ المقام داخل فی باب التزاحم فیجب إعمال قواعده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لزوم المبادرة إلیه مع التیمّم للکون فی المسجد والمکث فیه، الّذی هو فی نفسه مستحبّ لغیر الجنب وحرام علیه وواجب مقدّمی للإزالة إذا لم یمکن التسبیب إلی تطهیر الغیر، وإلاّ فهو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ما بعد الغسل، لکن یجب المبادرة</w:t>
      </w:r>
    </w:p>
    <w:p>
      <w:pPr>
        <w:pStyle w:val="BookText"/>
        <w:rPr/>
      </w:pPr>
      <w:r>
        <w:rPr>
          <w:rFonts w:ascii="IRNazanin" w:hAnsi="IRNazanin" w:eastAsia="IRNazanin"/>
          <w:color w:val="111111"/>
          <w:sz w:val="28"/>
          <w:sz w:val="28"/>
          <w:szCs w:val="28"/>
          <w:rtl w:val="true"/>
          <w:lang w:bidi="fa-IR"/>
        </w:rPr>
        <w:t>إلیه</w:t>
      </w:r>
      <w:r>
        <w:rPr>
          <w:rStyle w:val="FootnoteAnchor"/>
          <w:rtl w:val="true"/>
        </w:rPr>
        <w:footnoteReference w:id="444"/>
      </w:r>
      <w:r>
        <w:rPr>
          <w:rFonts w:ascii="IRNazanin" w:hAnsi="IRNazanin" w:eastAsia="IRNazanin"/>
          <w:color w:val="111111"/>
          <w:sz w:val="28"/>
          <w:sz w:val="28"/>
          <w:szCs w:val="28"/>
          <w:rtl w:val="true"/>
          <w:lang w:bidi="fa-IR"/>
        </w:rPr>
        <w:t>حفظاً للفوریّة بقدر الإمکان، وإن لم یمکن التطهیر إلاّ بالمکث جنباً فلا یبعد جوازه</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بالجواز أو الوجوب فی غیر صورة الهتک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جدّاً، ما لم تعلم أهمّیّة وجوب إزالة النجاسة عن المسجد علی حرمة مکث الجنب فیه، أو احتمال أهمّیّـته علیها لعظمة ذلک المسجد فی الإسلام، أو لغیر ذلک، أو استلزام التأخیر هتک حرمته، والأحوط مع ذلک أن یتیمّم ثمّ یدخل لیزیل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 إلاّ إذا استلزم بقاء النجاسة هتک المسجد، فیتیمّم للمکث فی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التیمّم إذا تمکّن منه، ولم یتمکّن من التسبیب إلی تطهیر الغیر، وإلاّ فالأقوی عدم جوازه إذا لم یکن التأخیر مستلزماً للهتک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التیمّم فی الصورتین إن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التیمّم،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وعلی أی تقدیر الأحوط کونه مع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التیمّم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الوجوب منع، إلاّ إذا أدّی الترک إلی بقاء النجاسة مدّة طویلة فتکون الإزالة علی التعیین أهمّ ولو احتمالاً، ولا یبعد حینئذٍ لزوم التیمّم بقصد غایة من غایاته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 أهم، أو کونه بالخصوص محتمل الأهمّیّة دون المکث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التیمّم، وکذا فی المسألة الثانیة، بل یمکن منع الوجوب؛ لعدم القدرة علیه شرعاً، وشرط الوجوب القدرة، وحصول القدرة بالتیمّم مشکل؛ لعدم الدلیل علی مشروعیّة التیمّم فی مثل هذه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التیمّم بقصد غایة من غایاته، إن لم یکن زمان التیمّم أطول من زمان الإزالة أو مساویاً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إشکال، والأحوط التیمّم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إلاّ إذا استلزم التأخیر هتک حرمته، وحینئذٍ یتیمّم إن أمکن وأزال، وإلاّ فبلا 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 محلّ إشکال فی هذا الفرع، لا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بجوازه فضلاً عن وجوبه لمن یحرم علیه المکث فی المسجد فی نفسه ممنوع جدّاً، نعم إذا استلزمت نجاسة المسجد هتکه جاز المکث فیه مقدّمةً للإزالة، ولزم التیمّم حینئذٍ له إن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التیمّم فی الصورتین إن أمکن، وإلاّ فوجوب التطهیر فی الصورة الاُولی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ویتیمّم حینئذٍ ویدخل، ویأتی منه قدس‌سره احتمال وجوب التیمّم فی کتاب الصلاة،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أحکام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علیه التیمّم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إشکال، بل منع، ولو اختاره لزمه التیمّم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الوجوب مع کونه محلّ تأمّل فی هذا الفرع دون الفرع الّذی بعده إنّما هو مع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إذا استلزم التأخیر إلی أن یغتسل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هتک حرمته</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لزم من التأخیر هتک حرمة المسجد یجب علیه إزالته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الصورة یتیمّم ویبادر، أمّا فی غیرها ففیه إشکال، وکذا المرور فی المسجدین الأعظمین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فیجب، ویتیمّم إن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تنجیس مساجد الیهود</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بِیَعهم ومعابدهم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والنصاری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الجواز، إلاّ أن یطرأ عنوان ثانوی، ثمّ هذا کلّه فی معابدهم الغیر المسبوقة بالمسجدیّة للمسلمین، وإلاّ کما فی أغلب کنائس الأندلس وإسبانیا فلا یجوز التنجیس، بل الأحوط وجوب الإزالة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للإشکال بعد عدم کونها مسجداً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الإشکال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لیست مساجد، ولیس لها أحکامها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للإشکال المذکور؛ إذ الظاهر عدم جریان أحکام المسجد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وجوباً عدم جواز تنجّس مساجد ومعابد الکفّار، بل یلزم تطهیرها إن تنجّست؛ لشرفها بالانتساب إلی الأدیان السماویّة المنسوبة إلی اللّه عزّ وجلّ، نعم إذا اتخذت مسجداً یجری علیها جمیع أحکام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کونها محکومة بأحکام المساجد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مساجد المسلمین فلا فرق فیها بین</w:t>
      </w:r>
    </w:p>
    <w:p>
      <w:pPr>
        <w:pStyle w:val="BookText"/>
        <w:rPr/>
      </w:pPr>
      <w:r>
        <w:rPr>
          <w:rFonts w:ascii="Amiri" w:hAnsi="Amiri" w:eastAsia="Amiri" w:cs="Amiri"/>
          <w:color w:val="111111"/>
          <w:sz w:val="28"/>
          <w:sz w:val="28"/>
          <w:szCs w:val="28"/>
          <w:rtl w:val="true"/>
          <w:lang w:bidi="ar-SA"/>
        </w:rPr>
        <w:t>فِرقهم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عدم جعل الواقف صحن المسجد أو سقفه أو جدرانه جزءاً من المسجد لا یلحقه الحکم</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یوجب هتک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هتک المسجد، وفی صورة الشکّ مع عدم الأمارة علی المسجدیّة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استلزامه هتک المسجد کما مرّ، وربّما یحرم التصرّف المستلزم للتنجیس فیه؛ لکونه خارجاً عن حدود المنفعة المسبّلة، ومعه یحکم بضمانه ولا تجب إزالتها علی المسلمین وجوباً کفائیّاً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وجوب التطهیر وحرمة التنجیس، بل وکذا لو شکّ فی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ولم تکن أمارة علی الجزئیّة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ظهور شخصی أو نوعی یوجب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کونها من أجزاء المسجد، فیتبعها حکمه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أمارة علی المسجدیّة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أمارة علی الجزئیّة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لوجود الأصل العملی، لکنّ ذلک حیث لا تکون هناک أمارة علی المسجدیّة، کسیرة المسلمین علی ترتیب آثارالمسجدیّة علی المشکوک وقیام شاهد الحال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یستکشف من ظاهر الحال أو من أمارة اُخری جزئیّـتها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ما یدلّ علی اللحوق من القرائن المعتبرة، ولا یبعد تحقّقها نوعاً فی السقف والجدران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ولا سیّما فی السقف والجدران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تکن أمارة علی کونه من المسجد، کثبوت ید المسلمین علیه بهذا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الأحوط</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خصوصاً فی السقف والجدران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فیما یکون ظاهر الحال والبناء فیه أ نّه من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السقف والجدران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محمّد الشیرازی،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الفرق بین السقف والجدران، وبین الصحن بالوجوب فی الأوَّلَین دون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السقف والجدران مع الشکّ فی جزئیتهما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لظهور کون المذکورات من المسجد، إلاّ أن تقوم أمارة علی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فیما کان فیه أمارة الدخول، کالسقف وداخل الجدران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السقف والجدران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مثل السقف والجدران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مثل السقف والجدران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فی خصوص ما کان المتعارف فیه الجزئیّة کالسقف والجدران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اللحوق</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إجمالاً بنجاسة أحد المسجدین أو أحد المکانین من مسجد وجب تطهیرهما</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تنجیز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w:t>
      </w:r>
      <w:r>
        <w:rPr>
          <w:rStyle w:val="FootnoteAnchor"/>
          <w:rtl w:val="true"/>
        </w:rPr>
        <w:footnoteReference w:id="453"/>
      </w:r>
      <w:r>
        <w:rPr>
          <w:rFonts w:ascii="Amiri" w:hAnsi="Amiri" w:eastAsia="Amiri" w:cs="Amiri"/>
          <w:color w:val="111111"/>
          <w:sz w:val="28"/>
          <w:sz w:val="28"/>
          <w:szCs w:val="28"/>
          <w:rtl w:val="true"/>
          <w:lang w:bidi="ar-SA"/>
        </w:rPr>
        <w:t xml:space="preserve">بین کون المسجد عامّاً أو خاصّاً </w:t>
      </w:r>
      <w:r>
        <w:rPr>
          <w:rStyle w:val="FootnoteAnchor"/>
          <w:rtl w:val="true"/>
        </w:rPr>
        <w:footnoteReference w:id="4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کمسجد السّوق أو المحلّة أو القبیلة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مشروعیّـته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بحسب العادة، کمسجد السوق والقبیلة، لا بحسب حکمه فی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لغویّة تخصیص المسجد لصنفٍ خاصّ إذا کان الوقف بعنوان کونه بیتاً للّه، نعم تخصیص مکان لصلاة جماعة جائز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المسجد قابلاً للتخصیص مشکل، ولعلّ مراده مثل مسجد السوق فی مقابل الجامع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أمکن النوعان فی المسجد الّذی وقفه عبارة عن تحریره وفکّه وإخراجه عن ملک الواقف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اعتبار الخصوصیّة فی المسجد لا تخلو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صحّـته، لکنّه محلّ تأمّل، إلاّ أن یراد به مسجد السوق والقبیلة، حیث إنّ الخصوصیّة فیهما باعتبار المصلّین، لا الموقوف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بمعنی تخصیص الواقف علی بعض المصلّین دون آخر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الخصوصیّة فی المسجد مشکل، بل ممنوع، إلاّ أن یراد به مسجد السوق أو القبیلة فی قبال المسجد الجامع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دلیل علی جواز تخصیص المسجد بطائفة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فرض کون المسجد خاصّاً إشکال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بحسب العادة، کمسجد السوق والقبیلة، وأمّا جواز تخصیص المسجد بطائفة دون اُخری فمشکل، بل ممنوع، نعم لا بأس بوقف مکان معبداً لطائفة خاصّة، ولکن لا یجری علیه أحکام المساجد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به هی الخصوصیّة العنوانیّة، کمسجد المحلّ أو السوق فی مقابل المسجد الجامع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المکان الّذی أعدّه للصلاة فی داره فلا یلحقه الحکم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إعلام الغیر</w:t>
      </w:r>
      <w:r>
        <w:rPr>
          <w:rStyle w:val="FootnoteAnchor"/>
          <w:rtl w:val="true"/>
        </w:rPr>
        <w:footnoteReference w:id="456"/>
      </w:r>
      <w:r>
        <w:rPr>
          <w:rFonts w:ascii="IRNazanin" w:hAnsi="IRNazanin" w:eastAsia="IRNazanin"/>
          <w:color w:val="111111"/>
          <w:sz w:val="28"/>
          <w:sz w:val="28"/>
          <w:szCs w:val="28"/>
          <w:rtl w:val="true"/>
          <w:lang w:bidi="fa-IR"/>
        </w:rPr>
        <w:t>إذا لم یتمکّن من الإزالة</w:t>
      </w:r>
      <w:r>
        <w:rPr>
          <w:rStyle w:val="FootnoteAnchor"/>
          <w:rtl w:val="true"/>
        </w:rPr>
        <w:footnoteReference w:id="457"/>
      </w:r>
      <w:r>
        <w:rPr>
          <w:rFonts w:ascii="IRNazanin" w:hAnsi="IRNazanin" w:eastAsia="IRNazanin"/>
          <w:color w:val="111111"/>
          <w:sz w:val="28"/>
          <w:sz w:val="28"/>
          <w:szCs w:val="28"/>
          <w:rtl w:val="true"/>
          <w:lang w:bidi="fa-IR"/>
        </w:rPr>
        <w:t>؟ الظاهر العدم</w:t>
      </w:r>
      <w:r>
        <w:rPr>
          <w:rStyle w:val="FootnoteAnchor"/>
          <w:rtl w:val="true"/>
        </w:rPr>
        <w:footnoteReference w:id="4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الإعلام فی کثیر من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الوجوب؛ لأ نّه تطهیر تسبیباً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یتمکّن من الإزالة مباشرة ولا بإجارة شخص، ولکن یتمکّن من إعلام من یُقدم علی إزالته لا یبعد وجوبه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الوجوب إذا احتمل إقدام الغیر، خصوصاً فیما یوجب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الوجوب إذا احتمل ترتّب الإزالة علی الإعلام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 أو احتمل ترتّب التطهیر علی الإعلام، فیجب من باب وجوب التطهیر علیه ولو تسبیباً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الإعلام فی صورة احتمال إقدام الغیر علی الإزالة، وکذا فی صورة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وأمّا فی فرض الهتک فلا إشکال فی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الوجوب مطلقاً، خصوصاً فیما یوجب الهتک أو ترقّب إقدام الغیر للتطهیر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الوجوب مع احتمال التأثیر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إعلام الغیر إذا علم أو احتمل ترتّب إزالة النجاسة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الوجوب مطلقاً وإن لم یوجب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وجوبه إذا کان الإعلام سبباً للإزالة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الإعلام موجباً للإقدام علماً أو احتمالاً فالظاهر هو الوجوب، خصوصاً فیما إذا استلزم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ممّا لا یوجب</w:t>
      </w:r>
      <w:bookmarkStart w:id="208" w:name="pg13273_135027"/>
    </w:p>
    <w:p>
      <w:pPr>
        <w:pStyle w:val="BookText"/>
        <w:rPr/>
      </w:pPr>
      <w:bookmarkEnd w:id="208"/>
      <w:r>
        <w:rPr>
          <w:rFonts w:ascii="IRNazanin" w:hAnsi="IRNazanin" w:eastAsia="IRNazanin"/>
          <w:color w:val="111111"/>
          <w:sz w:val="28"/>
          <w:sz w:val="28"/>
          <w:szCs w:val="28"/>
          <w:rtl w:val="true"/>
          <w:lang w:bidi="fa-IR"/>
        </w:rPr>
        <w:t>الهتک</w:t>
      </w:r>
      <w:r>
        <w:rPr>
          <w:rStyle w:val="FootnoteAnchor"/>
          <w:rtl w:val="true"/>
        </w:rPr>
        <w:footnoteReference w:id="459"/>
      </w:r>
      <w:r>
        <w:rPr>
          <w:rFonts w:ascii="IRNazanin" w:hAnsi="IRNazanin" w:eastAsia="IRNazanin"/>
          <w:color w:val="111111"/>
          <w:sz w:val="28"/>
          <w:sz w:val="28"/>
          <w:szCs w:val="28"/>
          <w:rtl w:val="true"/>
          <w:lang w:bidi="fa-IR"/>
        </w:rPr>
        <w:t>، وإلاّ فهو الأحوط</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خصوصاً فیما یحتمل تأثیر الإعلام فی المعلَم ـ بالفتح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الصورة الثانیة، وسیأتی منه الاحتیاط الواجب فی مکان المصلّی،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استلزم الهتک واحتمل حصول التطهیر بإعلامه یجب علیه إعلام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إذا علم أ نّه یؤدّی إلی إزالتها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666490_2322387425"/>
      <w:bookmarkStart w:id="210" w:name="_Toc73"/>
      <w:bookmarkEnd w:id="209"/>
      <w:r>
        <w:rPr>
          <w:rtl w:val="true"/>
        </w:rPr>
        <w:t>فی أن المشاهد کالمساجد</w:t>
      </w:r>
      <w:bookmarkEnd w:id="21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w:t>
      </w:r>
      <w:r>
        <w:rPr>
          <w:rStyle w:val="FootnoteAnchor"/>
          <w:rtl w:val="true"/>
        </w:rPr>
        <w:footnoteReference w:id="461"/>
      </w:r>
      <w:r>
        <w:rPr>
          <w:rFonts w:ascii="IRNazanin" w:hAnsi="IRNazanin" w:eastAsia="IRNazanin"/>
          <w:color w:val="111111"/>
          <w:sz w:val="28"/>
          <w:sz w:val="28"/>
          <w:szCs w:val="28"/>
          <w:rtl w:val="true"/>
          <w:lang w:bidi="fa-IR"/>
        </w:rPr>
        <w:t>المشرَّفة کالمساجد فی حرمة التنجیس</w:t>
      </w:r>
      <w:r>
        <w:rPr>
          <w:rStyle w:val="FootnoteAnchor"/>
          <w:rtl w:val="true"/>
        </w:rPr>
        <w:footnoteReference w:id="462"/>
      </w:r>
      <w:r>
        <w:rPr>
          <w:rFonts w:ascii="IRNazanin" w:hAnsi="IRNazanin" w:eastAsia="IRNazanin"/>
          <w:color w:val="111111"/>
          <w:sz w:val="28"/>
          <w:sz w:val="28"/>
          <w:szCs w:val="28"/>
          <w:rtl w:val="true"/>
          <w:lang w:bidi="fa-IR"/>
        </w:rPr>
        <w:t xml:space="preserve">، بل وجوب الإزالة إذا کان ترکها هتکاً، </w:t>
      </w:r>
      <w:bookmarkStart w:id="211" w:name="pg13273_135028"/>
    </w:p>
    <w:p>
      <w:pPr>
        <w:pStyle w:val="BookText"/>
        <w:rPr/>
      </w:pPr>
      <w:bookmarkEnd w:id="211"/>
      <w:r>
        <w:rPr>
          <w:rFonts w:ascii="IRNazanin" w:hAnsi="IRNazanin" w:eastAsia="IRNazanin"/>
          <w:color w:val="111111"/>
          <w:sz w:val="28"/>
          <w:sz w:val="28"/>
          <w:szCs w:val="28"/>
          <w:rtl w:val="true"/>
          <w:lang w:bidi="fa-IR"/>
        </w:rPr>
        <w:t>بل مطلقاً علی الأحوط</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 عبدالهادی الشیرازی،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إذا کان هو السبب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وخصوصاً إذا استلزم بقاؤها المهانة وإن لم توجب هتکاً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حرمة التنجّس ووجوب الإزالة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لیت شعری لو کان حدوث النجاسة مهانةً وهتکاً فکیف لا یکون بقاؤها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یحرم التنجیس، وتجب الإزالة علی الأحوط لو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فرق فیها بین الضرائح وما علیها من الثیاب وسائر مواضعها إلاّ فی التأکّد وعدمه</w:t>
      </w:r>
      <w:r>
        <w:rPr>
          <w:rFonts w:eastAsia="IRNazanin" w:cs="IRNazanin"/>
          <w:color w:val="111111"/>
          <w:sz w:val="28"/>
          <w:szCs w:val="28"/>
          <w:rtl w:val="true"/>
          <w:lang w:bidi="fa-IR"/>
        </w:rPr>
        <w:t>.</w:t>
      </w:r>
    </w:p>
    <w:p>
      <w:pPr>
        <w:pStyle w:val="Heading3"/>
        <w:numPr>
          <w:ilvl w:val="2"/>
          <w:numId w:val="1"/>
        </w:numPr>
        <w:rPr/>
      </w:pPr>
      <w:bookmarkStart w:id="212" w:name="__RefHeading___Toc1666492_2322387425"/>
      <w:bookmarkStart w:id="213" w:name="_Toc74"/>
      <w:bookmarkEnd w:id="212"/>
      <w:r>
        <w:rPr>
          <w:rtl w:val="true"/>
        </w:rPr>
        <w:t>أحکام فی حرمة تنجیس المصحف</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الإزالة</w:t>
      </w:r>
      <w:r>
        <w:rPr>
          <w:rStyle w:val="FootnoteAnchor"/>
          <w:rtl w:val="true"/>
        </w:rPr>
        <w:footnoteReference w:id="4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فیه هو الکلام فی المشاهد المشرّفة حرفاً بحرف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 فی هذه المسألة والمسائل الآتیة لا إشکال فی حرمتها مع الهتک، ومع عدمه فمبنیّ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ورق المصحف الشریف وخطّه، بل</w:t>
      </w:r>
    </w:p>
    <w:p>
      <w:pPr>
        <w:pStyle w:val="BookText"/>
        <w:rPr/>
      </w:pPr>
      <w:r>
        <w:rPr>
          <w:rFonts w:ascii="IRNazanin" w:hAnsi="IRNazanin" w:eastAsia="IRNazanin"/>
          <w:color w:val="111111"/>
          <w:sz w:val="28"/>
          <w:sz w:val="28"/>
          <w:szCs w:val="28"/>
          <w:rtl w:val="true"/>
          <w:lang w:bidi="fa-IR"/>
        </w:rPr>
        <w:t>عن جلده وغلافه مع الهتک</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استلزم بقاؤها مهانة المصحف، وهی أعمّ من الهتک کما قدّمناه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فیحرم التنجیس، ویجب التطهیر وإن لم یستلزم الهتک علی الأحوط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لا إشکال فی وجوب إزالة ما یلزم منه الهتک، وأمّا وجوب إزالة الزائد فمبنیّ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بدونه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 نّه معه یحرم مسّ خطّه أو ورقه بالعضو المتنجّس وإن کان متطهّراً من الحدث، وأمّا إذا کان أحد هذه بقصد الإهانة فلا إشکال فی حرمته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حصول الارتداد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استلزامه الارتداد أیضاً إن کان مستحلاًّ لهتکه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حصول الارتداد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ارتداده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حصول الارتداد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یوجب الارتداد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السبزواری، مفتی الشیعة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w:t>
      </w:r>
      <w:r>
        <w:rPr>
          <w:rStyle w:val="FootnoteAnchor"/>
          <w:rtl w:val="true"/>
        </w:rPr>
        <w:footnoteReference w:id="466"/>
      </w:r>
      <w:r>
        <w:rPr>
          <w:rFonts w:ascii="IRNazanin" w:hAnsi="IRNazanin" w:eastAsia="IRNazanin"/>
          <w:color w:val="111111"/>
          <w:sz w:val="28"/>
          <w:sz w:val="28"/>
          <w:szCs w:val="28"/>
          <w:rtl w:val="true"/>
          <w:lang w:bidi="fa-IR"/>
        </w:rPr>
        <w:t>کتابة القرآن بالمرکّب النجس</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الحکم وسائر الأحکام المذکورة فی المتن بالنسبة إلی المصحف وغیره ممّا ثبت احترامه شرعاً تدور مدار الهتک، وإطلاقها لغیر صورة الهتک غیر واضح، بل ممنوع فی بعض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کتب جهلاً أو عمداً وجب محوه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أو تطهیره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تطهیره إن أمکن، کالمطبوع أو المکتوب بالجوهر فی بعض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یمکن تطهیره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یمکن تطهیره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التطهیر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تطهیره إن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ینمحی، وفی غیره کمداد الطبع یجب تطهیره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 نّه إذا تنجّس خطّه ولم یمکن تطهیره یجب محوه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مجرّد الإعطاء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استلزم هتکاً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عدم الجواز فی الأوّل ووجوب الأخذ فی الثانی، نعم الاحتیاط طریق النجاة، وکذلک الحکم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محلّ إشکال، فإنّه لو أراد الکافر مطالعته للتحقیق فی الدین وعلم بعدم مسّه مع الرطوبة لا مانع من إعطائه بیده أصلاً، ومنه یظهر الإشکال فی الإطلاق فی الفرع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إعطاوءه بید</w:t>
      </w:r>
    </w:p>
    <w:p>
      <w:pPr>
        <w:pStyle w:val="BookText"/>
        <w:rPr/>
      </w:pPr>
      <w:r>
        <w:rPr>
          <w:rFonts w:ascii="IRNazanin" w:hAnsi="IRNazanin" w:eastAsia="IRNazanin"/>
          <w:color w:val="111111"/>
          <w:sz w:val="28"/>
          <w:sz w:val="28"/>
          <w:szCs w:val="28"/>
          <w:rtl w:val="true"/>
          <w:lang w:bidi="fa-IR"/>
        </w:rPr>
        <w:t>الکافر</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وسیلة لهدایته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فی یده یجب أخذه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بقاؤه فی یده هتکاً أو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وضع القرآن</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فیها هو الکلام فی سابقها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العین النجسة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موجباً للهتک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 نّه یجب رفعها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وضعت علیه وإن کانت یابسة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إزالة النجاسة</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الأحکام المذکورة فی هذه المسألة فی غیر مورد تحقّق عنوان الهتک مبنیّة علی الاحتیاط، وممّا ذکرنا یظهر الحال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استلزم الهتک، بل لا ینبغی ترک الاحتیاط فی رفعها مهما أمکن، کما علیه سیرة المتشرّعة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التربة</w:t>
      </w:r>
    </w:p>
    <w:p>
      <w:pPr>
        <w:pStyle w:val="BookText"/>
        <w:rPr/>
      </w:pPr>
      <w:r>
        <w:rPr>
          <w:rFonts w:ascii="Amiri" w:hAnsi="Amiri" w:eastAsia="Amiri" w:cs="Amiri"/>
          <w:color w:val="111111"/>
          <w:sz w:val="28"/>
          <w:sz w:val="28"/>
          <w:szCs w:val="28"/>
          <w:rtl w:val="true"/>
          <w:lang w:bidi="ar-SA"/>
        </w:rPr>
        <w:t>الحسینیّة</w:t>
      </w:r>
      <w:r>
        <w:rPr>
          <w:rStyle w:val="FootnoteAnchor"/>
          <w:rtl w:val="true"/>
        </w:rPr>
        <w:footnoteReference w:id="472"/>
      </w:r>
      <w:r>
        <w:rPr>
          <w:rFonts w:ascii="IRNazanin" w:hAnsi="IRNazanin" w:eastAsia="IRNazanin"/>
          <w:color w:val="111111"/>
          <w:sz w:val="28"/>
          <w:sz w:val="28"/>
          <w:szCs w:val="28"/>
          <w:rtl w:val="true"/>
          <w:lang w:bidi="fa-IR"/>
        </w:rPr>
        <w:t>، بل عن تربة الرسول وسائر الأئمّة ـ صلوات اللّه علیهم ـ المأخوذة من قبورهم</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فیها جمیعاً حکم المشاهد المتقدّم فی المسألة العشرین، فلتلاحظ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تنجیسها، ولا فرق فی التربة الحسینیّة بین المأخوذة من القبر الشریف أو من الخارج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وضعت علیه بقصد التبرّک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والاستشفاء، وکذا السبحة والتربة المأخوذة بقصد التبرّک لأجل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ورق القرآن أو غیره من المحترمات</w:t>
      </w:r>
      <w:r>
        <w:rPr>
          <w:rStyle w:val="FootnoteAnchor"/>
          <w:rtl w:val="true"/>
        </w:rPr>
        <w:footnoteReference w:id="474"/>
      </w:r>
      <w:r>
        <w:rPr>
          <w:rFonts w:ascii="IRNazanin" w:hAnsi="IRNazanin" w:eastAsia="IRNazanin"/>
          <w:color w:val="111111"/>
          <w:sz w:val="28"/>
          <w:sz w:val="28"/>
          <w:szCs w:val="28"/>
          <w:rtl w:val="true"/>
          <w:lang w:bidi="fa-IR"/>
        </w:rPr>
        <w:t>فی بیت الخلاء أو بالوعته وجب إخراجه ولو باُجرة، وإن لم یمکن فالأحوط</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محمّد رضا الگلپایگانی،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 عبداللّه الشیرازی، الخمینی، المرعشی، الآملی،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اللازم والأقوی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ورق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w:t>
      </w:r>
      <w:r>
        <w:rPr>
          <w:rStyle w:val="FootnoteAnchor"/>
          <w:rtl w:val="true"/>
        </w:rPr>
        <w:footnoteReference w:id="4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 البروجردی، مهدی الشیرازی، الحکیم،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إن عدّ التخلّی هتکاً بالنسبة إلیه، بل لا یترک الاحتیاط مطلقاً إلی أن یضمحلّ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 بابه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وترک التخلّی فیه إلی أن یضمحلّ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مصحف الغیر موجب لضمان نقصه</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لضمان النقص الحاصل بالتنجیس لا المال الّذی صُرف فی تطهیره، ولا النقص الحاصل بالتطهیر، ولا ینافی ذلک جواز إلزام المنجّس بالتطهیر من ماله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موجب لضمان النقص الحاصل بتنجیسه، وهو التفاوت بین قیمة کونه طاهراً وبین کونه متنجّساً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یضمن النقص الطارئ علی المصحف بسبب التنجیس بعد أن تعلّق به وجوب التطهیر، ولا یضمن النقص الّذی یطرأ علیه بسبب التطهیر، کما لا یضمن اُجرة التطهیر إذا کان المباشر للتطهیر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نفس التنجیس سبباً لنقصان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ولضمان ما یستلزمه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بتطهیره</w:t>
      </w:r>
      <w:r>
        <w:rPr>
          <w:rStyle w:val="FootnoteAnchor"/>
          <w:rtl w:val="true"/>
        </w:rPr>
        <w:footnoteReference w:id="4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نعم یضمن نقص القیمة بنجاسته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الحاصل بنفس التنجّس ولو بلحاظ ما یستلزمه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حصل نقص بالتنجیس یضمنه أیضاً، وإن لم یطهر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الحاصل بتنجیسه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لضمان نقص القیمة الحاصل بنفس التنجیس المتحقّق بالتطهیر، وحکم الماتن بعدم الضمان فی المسجد والضمان فی مصحف الغیر لعلّه لوجود الفارق فی الموردین من جهة وجود المالکیّة فی المصحف وعدمها فی المسجد،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نقصان القیمة الحاصل بتنجّسه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تطهیر المصحف کفائی</w:t>
      </w:r>
      <w:r>
        <w:rPr>
          <w:rStyle w:val="FootnoteAnchor"/>
          <w:rtl w:val="true"/>
        </w:rPr>
        <w:footnoteReference w:id="479"/>
      </w:r>
      <w:r>
        <w:rPr>
          <w:rFonts w:ascii="Amiri" w:hAnsi="Amiri" w:eastAsia="Amiri" w:cs="Amiri"/>
          <w:color w:val="111111"/>
          <w:sz w:val="28"/>
          <w:sz w:val="28"/>
          <w:szCs w:val="28"/>
          <w:rtl w:val="true"/>
          <w:lang w:bidi="ar-SA"/>
        </w:rPr>
        <w:t>لا یختصّ</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للحاکم إلزامه وصرف ماله فی تطهیره وإن کان واجباً کفائیّاً علی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کما ذکرنا فی تنجیس المسجد له جهة اختصاص به زائداً علی الکلّ، ولذا یجبره الحاکم لو امتنع، أو یستأجر آخر یأخذ الاُجرة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w:t>
      </w:r>
    </w:p>
    <w:p>
      <w:pPr>
        <w:pStyle w:val="BookText"/>
        <w:rPr/>
      </w:pPr>
      <w:r>
        <w:rPr>
          <w:rFonts w:ascii="IRNazanin" w:hAnsi="IRNazanin" w:eastAsia="IRNazanin"/>
          <w:color w:val="111111"/>
          <w:sz w:val="28"/>
          <w:sz w:val="28"/>
          <w:szCs w:val="28"/>
          <w:rtl w:val="true"/>
          <w:lang w:bidi="fa-IR"/>
        </w:rPr>
        <w:t>نجّسه، ولو استلزم صرف المال وجب</w:t>
      </w:r>
      <w:r>
        <w:rPr>
          <w:rStyle w:val="FootnoteAnchor"/>
          <w:rtl w:val="true"/>
        </w:rPr>
        <w:footnoteReference w:id="4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مع عدم استلزام عدم التطهیر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یضمنه من نجّسه إذا لم یکن لغیره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لغیره یضمن النقص الحاصل به، لا المال الّذی صرف فی تطهیره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القید فی هذا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أصل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کأنّه دفع لتوهّم ضمانه لما یصرف فی التطهیر إذا کان لنفسه، بخلاف ما إذا کان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التقیید، وضمان النقص المذکور فی الفرع السابق الحاصل بالتطهیر غیر مصرف التطهیر، وقد عرفت أ نّه لا یبعد ضمان السبب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إذا کان لغیره فیمکن القول بضمانه؛ لکونه السبب لتنجیس مال الغیر المستلزم لصرف المال فی تطهیره، وإن کان هذا أیضاً لا یخلو من الإشکال، خصوصاً فیما إذا أقدم غیر المالک علی تطهیره وصرف المال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کان لغیره، نعم یضمن النقص الحاصل من جهة تنجیسه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إذا کان لغیره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لغیره یضمن النقص الحاصل بالتنجیس، وأمّا الضرر الحاصل بالتطهیر فهو أمر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صار هو السبب للتکلیف بصرف المال، وکذا لو ألقاه فی</w:t>
      </w:r>
    </w:p>
    <w:p>
      <w:pPr>
        <w:pStyle w:val="BookText"/>
        <w:rPr/>
      </w:pPr>
      <w:r>
        <w:rPr>
          <w:rFonts w:ascii="IRNazanin" w:hAnsi="IRNazanin" w:eastAsia="IRNazanin"/>
          <w:color w:val="111111"/>
          <w:sz w:val="28"/>
          <w:sz w:val="28"/>
          <w:szCs w:val="28"/>
          <w:rtl w:val="true"/>
          <w:lang w:bidi="fa-IR"/>
        </w:rPr>
        <w:t>البالوعة فإنّ موءونة الإخراج الواجب علی کلّ أحد لیس علیه؛ لأنّ الضرر إنّما جاء من قبل التکلیف الشرعیّ</w:t>
      </w:r>
      <w:r>
        <w:rPr>
          <w:rStyle w:val="FootnoteAnchor"/>
          <w:rtl w:val="true"/>
        </w:rPr>
        <w:footnoteReference w:id="482"/>
      </w:r>
      <w:r>
        <w:rPr>
          <w:rFonts w:ascii="IRNazanin" w:hAnsi="IRNazanin" w:eastAsia="IRNazanin"/>
          <w:color w:val="111111"/>
          <w:sz w:val="28"/>
          <w:sz w:val="28"/>
          <w:szCs w:val="28"/>
          <w:rtl w:val="true"/>
          <w:lang w:bidi="fa-IR"/>
        </w:rPr>
        <w:t>، ویحتمل ضمان المسبّب</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 کما تقدّم، وکذا القول الّذی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الضمان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قیل، بل قیل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باختصاص الوجوب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الأقوی لا بمعنی نفی الکفائی، بل بمعنی ثبوت الجهتین، أو ثبوت الکفائی مرتّباً علی امتناعه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 له جهة اختصاص به، ومع ذلک یجب کفایةً علی الکلّ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ویجبره الحاکم علیه لو امتنع، أو یستأجر آخر ولکن یأخذ الاُجرة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المصحف للغیر ففی جواز تطهیره بغیر إذنه إشکال</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جوازه، بل وجوبه إن امتنع المالک من التطهیر والإذن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إلاّ إذا کان منافیاً للفوریّة العرفیّة ولو لم یوجب التأخیر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ویحتمل الاستئذان من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ممتنعاً عن الإذن والتطهیر جمیعاً فیجب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الجواز، إلاّ إذا امتنع من الإذن ولم یقدم علی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للغیر مع إقدام صاحبه، ومع امتناعه یجب علی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الوجوب إن امتنع مالکه من التطهیر والإذن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التطهیر خصوصاً مع الهتک، وکذا لو امتنع المالک من الإذن والتطهیر مطلقاً ولم یمکن إجباره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 إذا کان ترکه هتکاً</w:t>
      </w:r>
    </w:p>
    <w:p>
      <w:pPr>
        <w:pStyle w:val="BookText"/>
        <w:rPr/>
      </w:pPr>
      <w:r>
        <w:rPr>
          <w:rFonts w:ascii="IRNazanin" w:hAnsi="IRNazanin" w:eastAsia="IRNazanin"/>
          <w:color w:val="111111"/>
          <w:sz w:val="28"/>
          <w:sz w:val="28"/>
          <w:szCs w:val="28"/>
          <w:rtl w:val="true"/>
          <w:lang w:bidi="fa-IR"/>
        </w:rPr>
        <w:t>ولم یمکن الاستئذان منه</w:t>
      </w:r>
      <w:r>
        <w:rPr>
          <w:rStyle w:val="FootnoteAnchor"/>
          <w:rtl w:val="true"/>
        </w:rPr>
        <w:footnoteReference w:id="4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 بعدم التمکّن من الوصول إلیه، أو امتناعه عن الإذن بعد الاستئذان منه، ولا یباشر هو بنفسه للتطهیر أیضاً، بل یتأبّی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امتنع عن الإذن فلیأذن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أجمع، وفی تقویة الوجوب فی الجمیع تأمّل ونظر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امتنع من الإذن ولم یقدم علی التطهیر، وحینئذٍ فالأقوی وجوبه بلا إذن وإن لم یکن ترکه هتکاً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بعدم إمکان الوصول إلیه، أو امتناعه من الإذن مع علمه بالنجاسة، أو تهاونه وعدم إقدامه للتطهیر بالمباشر أو التسبیب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لامتناعه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إذا امتنع المالک من تطهیره ومن الإذن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أبی مع الإذن بعد الاستئذان، هذا فی صورة العلم بالنجاسة وقدرته علی التطهیر، وأمّا فی صورة الجهل بها ففی جواز تطهیره بغیر إذنه إشکال، إلاّ إذا کان ترکه هتکاً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امتنع من الإذن والتطهیر، وحینئذٍ لا إشکال فی وجوبه، ولکن یحکم بضمان النقص الحاصل بتطهیره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حینئذٍ لا یبعد</w:t>
      </w:r>
      <w:bookmarkStart w:id="214" w:name="pg13273_135038"/>
    </w:p>
    <w:p>
      <w:pPr>
        <w:pStyle w:val="BookText"/>
        <w:rPr/>
      </w:pPr>
      <w:bookmarkEnd w:id="214"/>
      <w:r>
        <w:rPr>
          <w:rFonts w:ascii="IRNazanin" w:hAnsi="IRNazanin" w:eastAsia="IRNazanin"/>
          <w:color w:val="111111"/>
          <w:sz w:val="28"/>
          <w:sz w:val="28"/>
          <w:szCs w:val="28"/>
          <w:rtl w:val="true"/>
          <w:lang w:bidi="fa-IR"/>
        </w:rPr>
        <w:t>وجوبه</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وجوبه فیما لزم الهتک وامتنع المالک عن التطهیر والإذن، أو لم یمکن الاستئذان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إشکال فی الوجوب إذا کان الترک هتکاً کما هو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کذا إن امتنع المالک من التطهیر مباشرةً أو تسبیباً ولم یمکن إجباره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وجوبه مع الاستئذان من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666494_2322387425"/>
      <w:bookmarkStart w:id="216" w:name="_Toc75"/>
      <w:bookmarkEnd w:id="215"/>
      <w:r>
        <w:rPr>
          <w:rtl w:val="true"/>
        </w:rPr>
        <w:t>فی إزالة النجاسة عن الطعام و ظروفه</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إزالة النجاسة</w:t>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یحرم أکل النجس وشربه، فالوجوب مقدّمی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بالوجوب الشرطی إذا أراد الأکل أو الشرب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یتوقّف علیها جواز الأکل والشرب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الوجوب مقدّمی غیری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یحرم أکل النجس، فیلزم تطهیره للأکل والشرب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الوجوب مقدّمی، فیکون المعنی یحرم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وجوباً شرطیّاً من جهة حرمة أکل النجس وشربه، وربّما یحرم نفسیّاً بتنجیس بعض المأکولات والمشروبات، بل تجب إزالة النجاسة عنه إن ثبت وجوب احترامه أو حرمة إهانته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بمعنی وجوب الإزالة، بل بمعنی حرمة أکل النجس وشربه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bookmarkStart w:id="217" w:name="pg13273_135039"/>
    </w:p>
    <w:p>
      <w:pPr>
        <w:pStyle w:val="BookText"/>
        <w:rPr/>
      </w:pPr>
      <w:bookmarkEnd w:id="217"/>
      <w:r>
        <w:rPr>
          <w:rFonts w:ascii="IRNazanin" w:hAnsi="IRNazanin" w:eastAsia="IRNazanin"/>
          <w:color w:val="111111"/>
          <w:sz w:val="28"/>
          <w:sz w:val="28"/>
          <w:szCs w:val="28"/>
          <w:rtl w:val="true"/>
          <w:lang w:bidi="fa-IR"/>
        </w:rPr>
        <w:t>المأکول</w:t>
      </w:r>
      <w:r>
        <w:rPr>
          <w:rStyle w:val="FootnoteAnchor"/>
          <w:rtl w:val="true"/>
        </w:rPr>
        <w:footnoteReference w:id="488"/>
      </w:r>
      <w:r>
        <w:rPr>
          <w:rFonts w:ascii="IRNazanin" w:hAnsi="IRNazanin" w:eastAsia="IRNazanin"/>
          <w:color w:val="111111"/>
          <w:sz w:val="28"/>
          <w:sz w:val="28"/>
          <w:szCs w:val="28"/>
          <w:rtl w:val="true"/>
          <w:lang w:bidi="fa-IR"/>
        </w:rPr>
        <w:t>وعن ظروف الأکل والشرب إذا استلزم استعمالها تنجّس المأکول والمشروب</w:t>
      </w:r>
      <w:r>
        <w:rPr>
          <w:rFonts w:eastAsia="IRNazanin" w:cs="IRNazanin"/>
          <w:color w:val="111111"/>
          <w:sz w:val="28"/>
          <w:szCs w:val="28"/>
          <w:rtl w:val="true"/>
          <w:lang w:bidi="fa-IR"/>
        </w:rPr>
        <w:t>.</w:t>
      </w:r>
    </w:p>
    <w:p>
      <w:pPr>
        <w:pStyle w:val="Heading3"/>
        <w:numPr>
          <w:ilvl w:val="2"/>
          <w:numId w:val="1"/>
        </w:numPr>
        <w:rPr/>
      </w:pPr>
      <w:bookmarkStart w:id="218" w:name="__RefHeading___Toc1666496_2322387425"/>
      <w:bookmarkStart w:id="219" w:name="_Toc76"/>
      <w:bookmarkEnd w:id="218"/>
      <w:r>
        <w:rPr>
          <w:rtl w:val="true"/>
        </w:rPr>
        <w:t>فی حرمة انتفاع بالنجس</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w:t>
      </w:r>
      <w:r>
        <w:rPr>
          <w:rStyle w:val="FootnoteAnchor"/>
          <w:rtl w:val="true"/>
        </w:rPr>
        <w:footnoteReference w:id="489"/>
      </w:r>
      <w:r>
        <w:rPr>
          <w:rFonts w:ascii="IRNazanin" w:hAnsi="IRNazanin" w:eastAsia="IRNazanin"/>
          <w:color w:val="111111"/>
          <w:sz w:val="28"/>
          <w:sz w:val="28"/>
          <w:szCs w:val="28"/>
          <w:rtl w:val="true"/>
          <w:lang w:bidi="fa-IR"/>
        </w:rPr>
        <w:t>الانتفاع</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إلاّ إذا فرض لها منفعة معتدّ بها عند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بالأعیان النجسة، خصوصاً المیتة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یجوز بیعها حتّی مع المنفعة المحلّلة المعتدّ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والمتنجّسة إذا لم تقبل التطهیر، إلاّ ما جرت لسیرة علیه من الانتفاع بالعذرات وغیرها للتسمید، والاستصباح بالدهن المتنجّس، لکنّ الأقوی 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الحقّ المحقّق بعدما عرفت عدم حجّیّة روایة التحف والدعائم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مستندات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الانتفاع بالجمیع حتّی</w:t>
      </w:r>
    </w:p>
    <w:p>
      <w:pPr>
        <w:pStyle w:val="BookText"/>
        <w:rPr/>
      </w:pPr>
      <w:r>
        <w:rPr>
          <w:rFonts w:ascii="IRNazanin" w:hAnsi="IRNazanin" w:eastAsia="IRNazanin"/>
          <w:color w:val="111111"/>
          <w:sz w:val="28"/>
          <w:sz w:val="28"/>
          <w:szCs w:val="28"/>
          <w:rtl w:val="true"/>
          <w:lang w:bidi="fa-IR"/>
        </w:rPr>
        <w:t>المیتة</w:t>
      </w:r>
      <w:r>
        <w:rPr>
          <w:rStyle w:val="FootnoteAnchor"/>
          <w:rtl w:val="true"/>
        </w:rPr>
        <w:footnoteReference w:id="4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فیها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 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الانتفاع بما اُحرز أ نّها میتة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غیر ما جرت السیرة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محلّ إشکال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 ما یشترط فیه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بیعها للاستعمال المحرّم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للاستعمال المحلّل، إلاّ إذا کانت مالاً بلحاظ المنفعة المحلّلة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وجه الاشتراط فیحرم الشرط تکلیفاً ووضعاً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بعضها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w:t>
      </w:r>
      <w:bookmarkStart w:id="220" w:name="pg13273_135041"/>
    </w:p>
    <w:p>
      <w:pPr>
        <w:pStyle w:val="BookText"/>
        <w:rPr/>
      </w:pPr>
      <w:bookmarkEnd w:id="220"/>
      <w:r>
        <w:rPr>
          <w:rFonts w:ascii="IRNazanin" w:hAnsi="IRNazanin" w:eastAsia="IRNazanin"/>
          <w:color w:val="111111"/>
          <w:sz w:val="28"/>
          <w:sz w:val="28"/>
          <w:szCs w:val="28"/>
          <w:rtl w:val="true"/>
          <w:lang w:bidi="fa-IR"/>
        </w:rPr>
        <w:t>بیعه مطلقاً کالمیتة</w:t>
      </w:r>
      <w:r>
        <w:rPr>
          <w:rStyle w:val="FootnoteAnchor"/>
          <w:rtl w:val="true"/>
        </w:rPr>
        <w:footnoteReference w:id="4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النجسة، وکذا فی العذرة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والعذرات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بیع العذرة للانتفاع بها منفعة محلّلة، نعم الکلب غیر الصیود وکذا الخنزیر والخمر والمیتة لا یجوز بیعها بحال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فیما فیه غرض عقلائی معتدّ به غیر منهیّ عنه بالخصوص شرعاً مشکل، خصوصاً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تقدّم بیانه فی نجاسة البول والغائط والمیتة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تفصیله فی أوّل بحث النجاسات، 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بیع الثانی، والأحوط ترک بیع الأوّل، نعم لا یجوز بیع الکلب غیر الصیود والخنزیر، وکذا الخمر من جهة کونه مسکراً، ویلحق به الفقّاع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666498_2322387425"/>
      <w:bookmarkStart w:id="222" w:name="_Toc77"/>
      <w:bookmarkEnd w:id="221"/>
      <w:r>
        <w:rPr>
          <w:rtl w:val="true"/>
        </w:rPr>
        <w:t>فی حرمة التسبیب إلی أکل النجس</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یحرم الأکل والشرب للشیء النجس کذا یحرم</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للجزم بحرمة التسبیب، وکذلک الحکم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التسبیب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بنحو العلّیة أو الاقتضاء، وسواء کان ملتفتاً إلی ترتّب المسبّب علیه أو غافلاً عن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لأکل الغیر أو</w:t>
      </w:r>
    </w:p>
    <w:p>
      <w:pPr>
        <w:pStyle w:val="BookText"/>
        <w:rPr/>
      </w:pPr>
      <w:r>
        <w:rPr>
          <w:rFonts w:ascii="IRNazanin" w:hAnsi="IRNazanin" w:eastAsia="IRNazanin"/>
          <w:color w:val="111111"/>
          <w:sz w:val="28"/>
          <w:sz w:val="28"/>
          <w:szCs w:val="28"/>
          <w:rtl w:val="true"/>
          <w:lang w:bidi="fa-IR"/>
        </w:rPr>
        <w:t>شربه</w:t>
      </w:r>
      <w:r>
        <w:rPr>
          <w:rStyle w:val="FootnoteAnchor"/>
          <w:rtl w:val="true"/>
        </w:rPr>
        <w:footnoteReference w:id="495"/>
      </w:r>
      <w:r>
        <w:rPr>
          <w:rFonts w:ascii="IRNazanin" w:hAnsi="IRNazanin" w:eastAsia="IRNazanin"/>
          <w:color w:val="111111"/>
          <w:sz w:val="28"/>
          <w:sz w:val="28"/>
          <w:szCs w:val="28"/>
          <w:rtl w:val="true"/>
          <w:lang w:bidi="fa-IR"/>
        </w:rPr>
        <w:t>، وکذا التسبّب</w:t>
      </w:r>
      <w:r>
        <w:rPr>
          <w:rStyle w:val="FootnoteAnchor"/>
          <w:rtl w:val="true"/>
        </w:rPr>
        <w:footnoteReference w:id="496"/>
      </w:r>
      <w:r>
        <w:rPr>
          <w:rFonts w:ascii="IRNazanin" w:hAnsi="IRNazanin" w:eastAsia="IRNazanin"/>
          <w:color w:val="111111"/>
          <w:sz w:val="28"/>
          <w:sz w:val="28"/>
          <w:szCs w:val="28"/>
          <w:rtl w:val="true"/>
          <w:lang w:bidi="fa-IR"/>
        </w:rPr>
        <w:t>لاستعماله</w:t>
      </w:r>
      <w:r>
        <w:rPr>
          <w:rStyle w:val="FootnoteAnchor"/>
          <w:rtl w:val="true"/>
        </w:rPr>
        <w:footnoteReference w:id="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یشترط فیه الطهارة الواقعیّة علی الأحوط، وأمّا غیره فالأقوی عدم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به إذا کان الشرط أعمّ من الطهارة الواقعیّة والظاهریّة، کما فی اشتراط الصلاة بطهارة الثوب والبدن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حرمة التسبیب؛ لاستعماله فی غیر المأکول والمشروب ممّا یشترط فیه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یشترط فیه الطهارة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وأمّا لو کان الشرط أعمّ من الظاهری والواقعی ففی وجوب الإعلام نظر، إلاّ لاحتمالٍ قد مرّ فی الحواشی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الواقعیّة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w:t>
      </w:r>
    </w:p>
    <w:p>
      <w:pPr>
        <w:pStyle w:val="BookText"/>
        <w:rPr/>
      </w:pPr>
      <w:r>
        <w:rPr>
          <w:rFonts w:ascii="Amiri" w:hAnsi="Amiri" w:eastAsia="Amiri" w:cs="Amiri"/>
          <w:color w:val="111111"/>
          <w:sz w:val="28"/>
          <w:sz w:val="28"/>
          <w:szCs w:val="28"/>
          <w:rtl w:val="true"/>
          <w:lang w:bidi="ar-SA"/>
        </w:rPr>
        <w:t>باع أو أعار شیئاً نجساً قابلاً</w:t>
      </w:r>
      <w:r>
        <w:rPr>
          <w:rStyle w:val="FootnoteAnchor"/>
          <w:rtl w:val="true"/>
        </w:rPr>
        <w:footnoteReference w:id="498"/>
      </w:r>
      <w:r>
        <w:rPr>
          <w:rFonts w:ascii="IRNazanin" w:hAnsi="IRNazanin" w:eastAsia="IRNazanin"/>
          <w:color w:val="111111"/>
          <w:sz w:val="28"/>
          <w:sz w:val="28"/>
          <w:szCs w:val="28"/>
          <w:rtl w:val="true"/>
          <w:lang w:bidi="fa-IR"/>
        </w:rPr>
        <w:t>للتطهیر</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تقییده به لتصحیح البیع، والحکم بوجوب الإعلام حتّی فیما لا یشترط فیه الطهارة الواقعیّة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غیر قابل، ولعلّ التقیید لأجل تصحیح البیع والعاریة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الإعلام بنجاسته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یعلم بحسب العادة أ نّه یستعمله فیما یشترط فیه الطهارة، وحینئذٍ لا فرق بین ما کان قابلاً للتطهیر وغیره، ولعلّ التقیید بذلک لأجل تصحیح البیع والعاریة، وهو علی فرض صحّـته فی البیع لا یتمّ فی العاریة إلاّ فیما توقّف الانتفاع به علی 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نعم یجب فیما لو کان ترکه یوءدّی إلی أکل النجس أو شربه ولو احتمالاً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فیما إذا احتمل أ نّه یستعمله فیما هو مشروط بالطهارة؛ لقوله علیه‌السلام فی روایة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یبیّنه لمن اشتراه لیستصبح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ولاحتمال أن یکون ترکه موجباً لإیقاعه فی المفسدة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یؤدّی ـ ولو احتمالاً ـ إلی أکل أو شرب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قابلاً للتطهیر أو غیر 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 فی المسألة العاشرة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یکن هو السبب فی استعماله بأن رأی أنّ ما یأکله شخص أو یشربه</w:t>
      </w:r>
      <w:bookmarkStart w:id="223" w:name="pg13273_135044"/>
    </w:p>
    <w:p>
      <w:pPr>
        <w:pStyle w:val="BookText"/>
        <w:rPr/>
      </w:pPr>
      <w:bookmarkEnd w:id="223"/>
      <w:r>
        <w:rPr>
          <w:rFonts w:ascii="Amiri" w:hAnsi="Amiri" w:eastAsia="Amiri" w:cs="Amiri"/>
          <w:color w:val="111111"/>
          <w:sz w:val="28"/>
          <w:sz w:val="28"/>
          <w:szCs w:val="28"/>
          <w:rtl w:val="true"/>
          <w:lang w:bidi="ar-SA"/>
        </w:rPr>
        <w:t>أو یصلّی فیه</w:t>
      </w:r>
      <w:r>
        <w:rPr>
          <w:rStyle w:val="FootnoteAnchor"/>
          <w:rtl w:val="true"/>
        </w:rPr>
        <w:footnoteReference w:id="500"/>
      </w:r>
      <w:r>
        <w:rPr>
          <w:rFonts w:ascii="IRNazanin" w:hAnsi="IRNazanin" w:eastAsia="IRNazanin"/>
          <w:color w:val="111111"/>
          <w:sz w:val="28"/>
          <w:sz w:val="28"/>
          <w:szCs w:val="28"/>
          <w:rtl w:val="true"/>
          <w:lang w:bidi="fa-IR"/>
        </w:rPr>
        <w:t>نجس فلا یجب إعلامه</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الوجوب فی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Heading3"/>
        <w:numPr>
          <w:ilvl w:val="2"/>
          <w:numId w:val="1"/>
        </w:numPr>
        <w:rPr/>
      </w:pPr>
      <w:bookmarkStart w:id="224" w:name="__RefHeading___Toc1666500_2322387425"/>
      <w:bookmarkStart w:id="225" w:name="_Toc78"/>
      <w:bookmarkEnd w:id="224"/>
      <w:r>
        <w:rPr>
          <w:rtl w:val="true"/>
        </w:rPr>
        <w:t>فی حرمة سقی المسکرات للأطفال</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502"/>
      </w:r>
      <w:r>
        <w:rPr>
          <w:rFonts w:ascii="IRNazanin" w:hAnsi="IRNazanin" w:eastAsia="IRNazanin"/>
          <w:color w:val="111111"/>
          <w:sz w:val="28"/>
          <w:sz w:val="28"/>
          <w:szCs w:val="28"/>
          <w:rtl w:val="true"/>
          <w:lang w:bidi="fa-IR"/>
        </w:rPr>
        <w:t>سقی المسکرات للأطفال، بل یجب ردعهم، وکذا سائر الأعیان النجسة</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حکمها حکم المتنجّسات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مضرّة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الردع علی غیر الولیّ فی غیر المسکرات إشکال، نعم لا یجوز التسبیب إلی أکلهم وشربهم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الإضرار بالغاً حدّ الخطر علی أنفسهم أو ما فی حکمه، وإلاّ فوجوب الردع عنه غیر معلوم، بل الظاهر عدم وجوبه علی غیر من له حقّ الولایة والحضانة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لعدم دلیلٍ ظاهرٍ فی وجوب الردع عن سائر النجاسات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وجوب ردعهم فی غیر الضرر المعتدّ به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حکمها حکم المتنجّسات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حسن علی کلّ حال، وفی المتنجّسات یقیّد الحکم المذکور بعدم الضرر لهم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مثل المسکر ممّا ثبت مبغوضیّة نفس العمل، وإلاّ فحکمه حکم المتنجّسات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وأمّا المتنجّسات فإن کان التنجّس</w:t>
      </w:r>
    </w:p>
    <w:p>
      <w:pPr>
        <w:pStyle w:val="BookText"/>
        <w:rPr/>
      </w:pPr>
      <w:r>
        <w:rPr>
          <w:rFonts w:ascii="IRNazanin" w:hAnsi="IRNazanin" w:eastAsia="IRNazanin"/>
          <w:color w:val="111111"/>
          <w:sz w:val="28"/>
          <w:sz w:val="28"/>
          <w:szCs w:val="28"/>
          <w:rtl w:val="true"/>
          <w:lang w:bidi="fa-IR"/>
        </w:rPr>
        <w:t>من جهة کون أیدیهم نجسة فالظاهر عدم البأس به، وإن کان من جهة تنجّس سابق فالأقوی</w:t>
      </w:r>
      <w:r>
        <w:rPr>
          <w:rStyle w:val="FootnoteAnchor"/>
          <w:rtl w:val="true"/>
        </w:rPr>
        <w:footnoteReference w:id="504"/>
      </w:r>
      <w:r>
        <w:rPr>
          <w:rFonts w:ascii="IRNazanin" w:hAnsi="IRNazanin" w:eastAsia="IRNazanin"/>
          <w:color w:val="111111"/>
          <w:sz w:val="28"/>
          <w:sz w:val="28"/>
          <w:szCs w:val="28"/>
          <w:rtl w:val="true"/>
          <w:lang w:bidi="fa-IR"/>
        </w:rPr>
        <w:t>جواز التسبّب لأکلهم</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باجتناب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المنافاة لحقّ الحضانة والولایة، کما هو الحال فی غیر المتنجّس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لو کانت أیدیهم نظیفة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کما مرّ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خصوصاً إذا کانت أیدیهم 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إذا کانت أیدیهم 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ترکه، وأمّا ردعهم عن الأکل أو الشرب مع عدم التسبّب فلا یجب من غیر إشکال</w:t>
      </w:r>
      <w:r>
        <w:rPr>
          <w:rFonts w:eastAsia="IRNazanin" w:cs="IRNazanin"/>
          <w:color w:val="111111"/>
          <w:sz w:val="28"/>
          <w:szCs w:val="28"/>
          <w:rtl w:val="true"/>
          <w:lang w:bidi="fa-IR"/>
        </w:rPr>
        <w:t>.</w:t>
      </w:r>
      <w:bookmarkStart w:id="226" w:name="pg13273_135046"/>
    </w:p>
    <w:p>
      <w:pPr>
        <w:pStyle w:val="Heading3"/>
        <w:numPr>
          <w:ilvl w:val="2"/>
          <w:numId w:val="1"/>
        </w:numPr>
        <w:rPr/>
      </w:pPr>
      <w:bookmarkStart w:id="227" w:name="__RefHeading___Toc1666502_2322387425"/>
      <w:bookmarkStart w:id="228" w:name="_Toc79"/>
      <w:bookmarkEnd w:id="226"/>
      <w:bookmarkEnd w:id="227"/>
      <w:r>
        <w:rPr>
          <w:rtl w:val="true"/>
        </w:rPr>
        <w:t>بعض فروع الإعلام بالنجاسة</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موضع من بیته أو فرشه نجساً فورد علیه ضیف وباشره بالرطوبة المسریة ففی وجوب إعلامه إشکال</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الضابط فی الوجوب کونه سبباً، فحال الضیف مختلف من حیث وروده بالدعوة أو بغیرها، ومن حیث تصرّفه فی ذلک الموضع من البیت أو الفراش بملاحظة رضا صاحبه وتقدیمه له وعدمهما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صافیة من الإشکال بعد جعل التسبیب معیاراً یدور الوجوب وعدمه علیه وجوداً وعدماً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هو السبب فی ذلک لدعوة منه یجب علیه إعلامه، وإلاّ فالإخبار مبنیّ علی الاحتیاط، وکذا إذا أحضر عنده طعاماً فوجب علیه أن یقول لضیوفه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لا یخلو من قوّة فی بعض الفروض، کما فی الفرض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یخلو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قوّته مع عدم التسبیب نظر؛ لعدم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غیر معلومة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بتسبیب منه فلا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نظر، سیّما إذا لم یکن تسبیب من صاحب المنزل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تأمّل، بل منع، إلاّ إذا کان ممّا یستعمله فیما یشترط فیه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معرضاً لابتلائه بأکل الحرام وفساد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القوّة حتّی فیما لم یکن تسبیب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ممّا یوءکل أو یُشرب علی 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منع، وإن کان الاحتیاط ممّا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سیّما إذا أجلسه فی ذلک الموضع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لما ذکرنا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لعدم التسبیب فی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کانت المباشرة بتسبیب منه، وإلاّ لم یجب إعلامه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مع عدم التسبّب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التسبیب منه لا یجب الإعلام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بتسبیبٍ منه وکان المتنجّس ممّا یستعمل فی المأکول والمشروب، وإلاّ فلا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علیه إعلامه عند الردّ فیما یشترط فیه الطهارة الواقعیّة فی جواز استعماله، کالوضوء والغسل، وأمّا فی غیرها کما فی بدن المصلّی وثیابه فإنّ الطهارة الظاهریّة کافیة فیهما، فإنّ الظاهر عدم وجوب الإعلام وإن کان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المباشرة المفروضة بتسبیبٍ منه، وإلاّ لا یجب إعلامه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ما مرّ فی المسألة الثانیة والثلاثین من حرمة التسبّب لأکل الغیر وشربه، وکذا التسبّب لاستعماله فیما یشترط فیه الطهارة الواقعیّة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إذا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أحضر</w:t>
      </w:r>
      <w:r>
        <w:rPr>
          <w:rStyle w:val="FootnoteAnchor"/>
          <w:rtl w:val="true"/>
        </w:rPr>
        <w:footnoteReference w:id="507"/>
      </w:r>
      <w:r>
        <w:rPr>
          <w:rFonts w:ascii="IRNazanin" w:hAnsi="IRNazanin" w:eastAsia="IRNazanin"/>
          <w:color w:val="111111"/>
          <w:sz w:val="28"/>
          <w:sz w:val="28"/>
          <w:szCs w:val="28"/>
          <w:rtl w:val="true"/>
          <w:lang w:bidi="fa-IR"/>
        </w:rPr>
        <w:t>عنده طعاماً ثمّ علم بنجاسته، بل وکذا</w:t>
      </w:r>
      <w:r>
        <w:rPr>
          <w:rStyle w:val="FootnoteAnchor"/>
          <w:rtl w:val="true"/>
        </w:rPr>
        <w:footnoteReference w:id="508"/>
      </w:r>
      <w:r>
        <w:rPr>
          <w:rFonts w:ascii="IRNazanin" w:hAnsi="IRNazanin" w:eastAsia="IRNazanin"/>
          <w:color w:val="111111"/>
          <w:sz w:val="28"/>
          <w:sz w:val="28"/>
          <w:szCs w:val="28"/>
          <w:rtl w:val="true"/>
          <w:lang w:bidi="fa-IR"/>
        </w:rPr>
        <w:t xml:space="preserve">إذا کان الطعام للغیر </w:t>
      </w:r>
    </w:p>
    <w:p>
      <w:pPr>
        <w:pStyle w:val="BookText"/>
        <w:rPr/>
      </w:pPr>
      <w:r>
        <w:rPr>
          <w:rFonts w:ascii="IRNazanin" w:hAnsi="IRNazanin" w:eastAsia="IRNazanin"/>
          <w:color w:val="111111"/>
          <w:sz w:val="28"/>
          <w:sz w:val="28"/>
          <w:szCs w:val="28"/>
          <w:rtl w:val="true"/>
          <w:lang w:bidi="fa-IR"/>
        </w:rPr>
        <w:t>وجماعة مشغولون بالأکل فرأی واحد منهم</w:t>
      </w:r>
      <w:r>
        <w:rPr>
          <w:rStyle w:val="FootnoteAnchor"/>
          <w:rtl w:val="true"/>
        </w:rPr>
        <w:footnoteReference w:id="509"/>
      </w:r>
      <w:r>
        <w:rPr>
          <w:rFonts w:ascii="IRNazanin" w:hAnsi="IRNazanin" w:eastAsia="IRNazanin"/>
          <w:color w:val="111111"/>
          <w:sz w:val="28"/>
          <w:sz w:val="28"/>
          <w:szCs w:val="28"/>
          <w:rtl w:val="true"/>
          <w:lang w:bidi="fa-IR"/>
        </w:rPr>
        <w:t>فیه نجاسة، وإن کان عدم الوجوب فی هذه الصورة</w:t>
      </w:r>
      <w:r>
        <w:rPr>
          <w:rStyle w:val="FootnoteAnchor"/>
          <w:rtl w:val="true"/>
        </w:rPr>
        <w:footnoteReference w:id="510"/>
      </w:r>
      <w:r>
        <w:rPr>
          <w:rFonts w:ascii="IRNazanin" w:hAnsi="IRNazanin" w:eastAsia="IRNazanin"/>
          <w:color w:val="111111"/>
          <w:sz w:val="28"/>
          <w:sz w:val="28"/>
          <w:szCs w:val="28"/>
          <w:rtl w:val="true"/>
          <w:lang w:bidi="fa-IR"/>
        </w:rPr>
        <w:t>لا یخلو من قوّة</w:t>
      </w:r>
      <w:r>
        <w:rPr>
          <w:rStyle w:val="FootnoteAnchor"/>
          <w:rtl w:val="true"/>
        </w:rPr>
        <w:footnoteReference w:id="511"/>
      </w:r>
      <w:r>
        <w:rPr>
          <w:rFonts w:ascii="IRNazanin" w:hAnsi="IRNazanin" w:eastAsia="IRNazanin"/>
          <w:color w:val="111111"/>
          <w:sz w:val="28"/>
          <w:sz w:val="28"/>
          <w:szCs w:val="28"/>
          <w:rtl w:val="true"/>
          <w:lang w:bidi="fa-IR"/>
        </w:rPr>
        <w:t>لعدم کونه سبباً لأکل الغیر، بخلاف الصورة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استعار</w:t>
      </w:r>
      <w:r>
        <w:rPr>
          <w:rStyle w:val="FootnoteAnchor"/>
          <w:rtl w:val="true"/>
        </w:rPr>
        <w:footnoteReference w:id="512"/>
      </w:r>
      <w:r>
        <w:rPr>
          <w:rFonts w:ascii="IRNazanin" w:hAnsi="IRNazanin" w:eastAsia="IRNazanin"/>
          <w:color w:val="111111"/>
          <w:sz w:val="28"/>
          <w:sz w:val="28"/>
          <w:szCs w:val="28"/>
          <w:rtl w:val="true"/>
          <w:lang w:bidi="fa-IR"/>
        </w:rPr>
        <w:t>ظرفاً أو فرشاً أو غیرهما من جاره فتنجّس عنده هل یجب علیه إعلامه عند الردّ؟ فیه إشکال، والأحوط</w:t>
      </w:r>
      <w:r>
        <w:rPr>
          <w:rStyle w:val="FootnoteAnchor"/>
          <w:rtl w:val="true"/>
        </w:rPr>
        <w:footnoteReference w:id="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وقد تقدّم نظیره فی المسألة الثانیة والثلاثین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الإعلام، بل لا یخلو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منع، وإن کان الأحوط الإعلام، کما مرّ فی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لتحقّق السبب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یُترک الاحتیاط فیما یشترط فیه الطهارة الواقعیّة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القوّة 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تحقّق منه التسبیب، وإلاّ یجب الإعلام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ممّا یستعمله المالک فی ما</w:t>
      </w:r>
      <w:bookmarkStart w:id="229" w:name="pg13273_135049"/>
    </w:p>
    <w:p>
      <w:pPr>
        <w:pStyle w:val="BookText"/>
        <w:rPr/>
      </w:pPr>
      <w:bookmarkEnd w:id="229"/>
      <w:r>
        <w:rPr>
          <w:rFonts w:ascii="IRNazanin" w:hAnsi="IRNazanin" w:eastAsia="IRNazanin"/>
          <w:color w:val="111111"/>
          <w:sz w:val="28"/>
          <w:sz w:val="28"/>
          <w:szCs w:val="28"/>
          <w:rtl w:val="true"/>
          <w:lang w:bidi="fa-IR"/>
        </w:rPr>
        <w:t>یشترط</w:t>
      </w:r>
      <w:r>
        <w:rPr>
          <w:rStyle w:val="FootnoteAnchor"/>
          <w:rtl w:val="true"/>
        </w:rPr>
        <w:footnoteReference w:id="514"/>
      </w:r>
      <w:r>
        <w:rPr>
          <w:rFonts w:ascii="IRNazanin" w:hAnsi="IRNazanin" w:eastAsia="IRNazanin"/>
          <w:color w:val="111111"/>
          <w:sz w:val="28"/>
          <w:sz w:val="28"/>
          <w:szCs w:val="28"/>
          <w:rtl w:val="true"/>
          <w:lang w:bidi="fa-IR"/>
        </w:rPr>
        <w:t>فیه الطهارة</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فی غیر المأکول والمشروب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بالمعنی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 w:name="__RefHeading___Toc1666504_2322387425"/>
      <w:bookmarkStart w:id="231" w:name="_Toc80"/>
      <w:bookmarkEnd w:id="230"/>
      <w:r>
        <w:rPr>
          <w:rtl w:val="true"/>
        </w:rPr>
        <w:t>فصل فی الصلاة فی النجس</w:t>
      </w:r>
      <w:bookmarkEnd w:id="231"/>
    </w:p>
    <w:p>
      <w:pPr>
        <w:pStyle w:val="Heading3"/>
        <w:numPr>
          <w:ilvl w:val="2"/>
          <w:numId w:val="1"/>
        </w:numPr>
        <w:rPr/>
      </w:pPr>
      <w:bookmarkStart w:id="232" w:name="__RefHeading___Toc1666506_2322387425"/>
      <w:bookmarkStart w:id="233" w:name="_Toc81"/>
      <w:bookmarkEnd w:id="232"/>
      <w:r>
        <w:rPr>
          <w:rtl w:val="true"/>
        </w:rPr>
        <w:t>اصلاة فی النجس جهلاً</w:t>
      </w:r>
      <w:bookmarkEnd w:id="233"/>
    </w:p>
    <w:p>
      <w:pPr>
        <w:pStyle w:val="BookText"/>
        <w:rPr/>
      </w:pPr>
      <w:r>
        <w:rPr>
          <w:rFonts w:ascii="IRNazanin" w:hAnsi="IRNazanin" w:eastAsia="IRNazanin"/>
          <w:color w:val="111111"/>
          <w:sz w:val="28"/>
          <w:sz w:val="28"/>
          <w:szCs w:val="28"/>
          <w:rtl w:val="true"/>
          <w:lang w:bidi="fa-IR"/>
        </w:rPr>
        <w:t>إذا صلّی فی النجس</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المتنجّس، والبلل المشتبه الخارج قبل الاستبراء، وأحد أطراف الشبهة المحصورة إذا کان العلم الإجمالی منجّزاً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عن علم وعمد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بطلت 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إذا کان عن 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ما لا یعذر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یعذر فیه إلاّ ما إذا کان مستنداً إلی حجّة کاجتهادٍ أو 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یکن صاحبه بمعذور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الجاهل معذوراً لاجتهادٍ أو تقلیدٍ فالظاهر عدم بطلان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الجاهل المعذور لاجتهادٍ أو تقلیدٍ صلاته 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الجهل التقصیری، وأمّا فی الجهل القصوری فیمکن القول بالصحّة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بالنجاسة</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عن اجتهادٍ أو تقلیدٍ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مقصّراً، وإلاّ فلا تکون صلاته باطلة، وکذا فی الجهل بالشرطیّة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جاهلاً مقصّراً، وأمّا الجاهل عن قصور لاجتهاد أو تقلید فتصحّ الصلاة منه، إلاّ فیما لو کان المسجد نجساً فی السجدتین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البطلان فی غیر المقصّر، کمن اعتقد بالطهارة اجتهاداً أو تقلیداً، وأمّا فی المقصّر فلا یترک الاحتیاط بالإعادة، بل القضاء، وما ذکرناه یجری فی الجاهل بالشرطیّة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مورد الاجتهاد أو التقلید الصحیحین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الجاهل معذوراً فی جهله فالأقوی صحّة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لم یعلم أنّ الشیء الفلانی مثل عرق الجنب من الحرام 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عن جهل بشرطیّة الطهارة للصلاة</w:t>
      </w:r>
      <w:r>
        <w:rPr>
          <w:rFonts w:eastAsia="IRNazanin" w:cs="IRNazanin"/>
          <w:color w:val="111111"/>
          <w:sz w:val="28"/>
          <w:szCs w:val="28"/>
          <w:rtl w:val="true"/>
          <w:lang w:bidi="fa-IR"/>
        </w:rPr>
        <w:t>.</w:t>
      </w:r>
      <w:bookmarkStart w:id="234" w:name="pg13273_135051"/>
    </w:p>
    <w:p>
      <w:pPr>
        <w:pStyle w:val="BookText"/>
        <w:rPr/>
      </w:pPr>
      <w:bookmarkEnd w:id="234"/>
      <w:r>
        <w:rPr>
          <w:rFonts w:ascii="Amiri" w:hAnsi="Amiri" w:eastAsia="Amiri" w:cs="Amiri"/>
          <w:color w:val="111111"/>
          <w:sz w:val="28"/>
          <w:sz w:val="28"/>
          <w:szCs w:val="28"/>
          <w:rtl w:val="true"/>
          <w:lang w:bidi="ar-SA"/>
        </w:rPr>
        <w:t>وأمّا إذا کان جاهلاً</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والضابطة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الجاهل بوجود النجاسة فی ثوبه أو بدنه إن احتملها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فحص فلم یجدها حتّی فرغ فصلاته صحیحة، وإن لم یفحص فالأحوط الإعادة، وإن لم یحتملها أصلاً صحّت صلاته إذا علم بها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بالموضوع بأن لم یعلم أنّ ثوبه أو بدنه لاقی البول مثلاً فإن لم یلتفت أصلاً أو التفت بعد الفراغ من الصلاة صحّت 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شاکّاً قبل الصلاة، أو شکّ وتفحّص ولم یره، وأمّا الشاکّ غیر المتفحّص فتجب علیه الإعادة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یجب علیه القضاء، بل ولا الإعادة فی الوقت،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إذا کان متمکّناً من تحصیل الشرط لبقیّة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احتشاماً من مخالفة جمع استندوا إلی ما لیس بسند، کخبری أبی بصیر ووهب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النجاسات،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235" w:name="__RefHeading___Toc1666508_2322387425"/>
      <w:bookmarkStart w:id="236" w:name="_Toc82"/>
      <w:bookmarkEnd w:id="235"/>
      <w:r>
        <w:rPr>
          <w:rtl w:val="true"/>
        </w:rPr>
        <w:t>الالتفات إلی النجاسة فی الصلاة</w:t>
      </w:r>
      <w:bookmarkEnd w:id="236"/>
    </w:p>
    <w:p>
      <w:pPr>
        <w:pStyle w:val="BookText"/>
        <w:rPr/>
      </w:pPr>
      <w:r>
        <w:rPr>
          <w:rFonts w:ascii="IRNazanin" w:hAnsi="IRNazanin" w:eastAsia="IRNazanin"/>
          <w:color w:val="111111"/>
          <w:sz w:val="28"/>
          <w:sz w:val="28"/>
          <w:szCs w:val="28"/>
          <w:rtl w:val="true"/>
          <w:lang w:bidi="fa-IR"/>
        </w:rPr>
        <w:t>وإن التفت فی أثناء الصلاة، فإن علم سبقها وأنّ بعض صلاته وقع مع النجاسة بطلت</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إن أمکنت إزالة النجاسة بنزع أو غیره بدون 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وقع بعض صلاته مع النجاسة، وکان ذلک الجزء ممّا یمکن تدارکه بعد التطهیر أو تبدیل الثوب أو نزعه، وکان ذلک غیر منافٍ للصلاة، فالظاهر صحّة الصلاة إذا فعل ذلک وتدارک الجزء وأتمّ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صحّت حتّی مع الإتیان بجمیع ما أتی به من الصلاة مع النجاسة إذا أمکن التبدیل أو التطهیر مع عدم المنافی، وأمّا لو علم بأنّ بعض ما أتی به وقع مع النجاسة، کما لو کان فی الرکعة الثالثة فعلم أنّ ثوبه تنجّس من حین ما دخل فی الثانیة، فلا تبطل صلاته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سعة</w:t>
      </w:r>
    </w:p>
    <w:p>
      <w:pPr>
        <w:pStyle w:val="BookText"/>
        <w:rPr/>
      </w:pPr>
      <w:r>
        <w:rPr>
          <w:rFonts w:ascii="IRNazanin" w:hAnsi="IRNazanin" w:eastAsia="IRNazanin"/>
          <w:color w:val="111111"/>
          <w:sz w:val="28"/>
          <w:sz w:val="28"/>
          <w:szCs w:val="28"/>
          <w:rtl w:val="true"/>
          <w:lang w:bidi="fa-IR"/>
        </w:rPr>
        <w:t>الـوقت</w:t>
      </w:r>
      <w:r>
        <w:rPr>
          <w:rStyle w:val="FootnoteAnchor"/>
          <w:rtl w:val="true"/>
        </w:rPr>
        <w:footnoteReference w:id="5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مع إمکان التبدیل أو التطهیر أو الطرح بلا محذور القطع مع عدم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الحکم فی سعة الوقت هو الحکم فی ضیقه مع ما ذکره من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یمکن التطهیر أو التبدیل بدون فعل المنافی، وإلاّ فلا تبعد الصحّة، والأحوط 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تبعد الصحّة إذا طهّر ثوبه أو بدنه وأتمّ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إمکان طرح ذلک الثوب النجس لوجود ساترٍ آخر له، أو تبدیله أو غسله بما لا ینافی الصلاة فلا تبعد الصحّة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 إذا علم بسبق النجاسة علی الدخول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الصلاة مع إمکان التطهیر أو التبدیل بدون فعل المنافی وإتمام الصلاة، وإن أراد الاحتیاط فلیتمّ کذلک ثمّ یستأنف، نعم لو لم یمکن ذلک قطع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بإدراک رکعة إذا لم یکن المقدار الواقع مع النجاسة قابلاً للتدارک، وإلاّ تدارک ولا إعادة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التمکّن من النزع أو الإزالة، وإلاّ فالأقوی صحّة الصلاة ولزوم إتمامها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صحّة الصلاة إذا أمکنه التطهیر أو التبدیل فی الأثناء بلا استلزام لإتیان 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ascii="IRNazanin" w:hAnsi="IRNazanin" w:eastAsia="IRNazanin"/>
          <w:color w:val="111111"/>
          <w:sz w:val="28"/>
          <w:sz w:val="28"/>
          <w:szCs w:val="28"/>
          <w:rtl w:val="true"/>
          <w:lang w:bidi="fa-IR"/>
        </w:rPr>
        <w:t>الإتـمـام</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إمکان النزع إذا لم یکن ساتراً، أو التطهیر أو التبدیل مع بقاء التستّر وعدم لزوم منافٍ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أمکن تحصیل الشرط لباقی الصلاة بدون فعل المنافی، ولا یُترک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إمکان تحصیل الشرط للبقیّة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التبدیل أو التطهیر لتحصیل الشرط لباقی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خلعه مع کون غیره ساتراً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أمکنت الإزالة ولم یلزم شیء من الخلل فی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مع التطهیر أو التبدیل أو النزع إن لم یمکنا بالنسبة إلی الباقی، خصوصاً إذا کان له ساتر طاهر غیره بحیث إنّه بعد النزع لا یبقی بدون ساتر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أمکن تحصیل الشرط فی الصلاة بدون فعل المنافی فلا یُترک الاحتیاط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لم یکن ساتراً وأمکن نزعه أو تطهیره أو تبدیله بدون تحقّق 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إن أمکن تحصیل الشرط لباقی الصلاة بدون الفعل المنافی مع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أمکن تحصیل الشرط للباقی من دون منافٍ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أمکن تحصیل الشرط بلا منافٍ 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ثـمّ الإعـادة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ومـع ضـیق</w:t>
      </w:r>
    </w:p>
    <w:p>
      <w:pPr>
        <w:pStyle w:val="BookText"/>
        <w:rPr/>
      </w:pPr>
      <w:r>
        <w:rPr>
          <w:rFonts w:ascii="IRNazanin" w:hAnsi="IRNazanin" w:eastAsia="IRNazanin"/>
          <w:color w:val="111111"/>
          <w:sz w:val="28"/>
          <w:sz w:val="28"/>
          <w:szCs w:val="28"/>
          <w:rtl w:val="true"/>
          <w:lang w:bidi="fa-IR"/>
        </w:rPr>
        <w:t>الـوقت</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لا یمکن درک رکعة من الصلاة فی ثوب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القول بالإطلاق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الثالث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التفصیل بین سعة الوقت بمقدار رکعة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عن إدراک رکعة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إدراک رکعة فی ثوب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أمکن التطهیر أو التبدیل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الإلقاء إذا کان علیه ساتر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النزع إذا کان علیه ساتر غیره، وکذا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النزع إن کان متستّراً بساترٍ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النزع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نزع ما عدا الساتر لعورته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النزع إن لم یمکنا؛ لما سیجیء فی المسألة الرابعة أ نّه مقدّم علی الصلاة فی النجس، ولکن فی صورة وصول الأمر إلی النزع لا ینبغی ترک الاحتیاط بالإعادة فی الطاهر عند التمکّن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الإلقاء إن لم یکن ساتراً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إلقائه حیث لا یکون ساتراً لسوءَتیه أو تمام بدنه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النزع إن لم یکن ساتراً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النزع مع التستّر بغیره، وکذا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نزع الثوب النجس إذا کان له ساتر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أمکنه إزالتها بنزع مع بقاء التستّر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فی</w:t>
      </w:r>
    </w:p>
    <w:p>
      <w:p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523"/>
      </w:r>
      <w:r>
        <w:rPr>
          <w:rFonts w:ascii="IRNazanin" w:hAnsi="IRNazanin" w:eastAsia="IRNazanin"/>
          <w:color w:val="111111"/>
          <w:sz w:val="28"/>
          <w:sz w:val="28"/>
          <w:szCs w:val="28"/>
          <w:rtl w:val="true"/>
          <w:lang w:bidi="fa-IR"/>
        </w:rPr>
        <w:t>من غیـر لزوم المنـافی</w:t>
      </w:r>
      <w:r>
        <w:rPr>
          <w:rStyle w:val="FootnoteAnchor"/>
          <w:rtl w:val="true"/>
        </w:rPr>
        <w:footnoteReference w:id="524"/>
      </w:r>
      <w:r>
        <w:rPr>
          <w:rFonts w:ascii="IRNazanin" w:hAnsi="IRNazanin" w:eastAsia="IRNazanin"/>
          <w:color w:val="111111"/>
          <w:sz w:val="28"/>
          <w:sz w:val="28"/>
          <w:szCs w:val="28"/>
          <w:rtl w:val="true"/>
          <w:lang w:bidi="fa-IR"/>
        </w:rPr>
        <w:t>فلیفعـل ذلک ویتـمّ وکانت صحیحـة</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ینزعها ویتمّها عریاناً إن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ما یتعلّق به فی المسألة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بحیث لو استأنف لما أدرک رکعة فی الوقت، وإلاّ فیجب الاستئناف بعد التطهیر أو التبدیل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استحباباً القضاء أیضاً فی الثوب الطاهر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عدم إمکان النزع، وإلاّ أتمّها عاریاً ویقضیها فی الطاهر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یمکن نزعه، وإلاّ فهو مقدّم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إدراک الرکعة، وأمّا مع إدراکها فالمتعیّن القطع والتبدیل أو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یسع الوقت لإدراک رکعة لو استأنف بعد الإزالة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ینزع مع الإمکان وصلّی عاریاً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قطع الصلاة لو یدرک رکعة مع تحصیل الشرط، وإلاّ یتمّها مع ضمّ القضاء فی الطاهر، بل لا ینبغی القضاء فی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یتمکّن من النزع والصلاة عاریاً، وإلاّ فیتعیّن علیه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w:t>
      </w:r>
    </w:p>
    <w:p>
      <w:pPr>
        <w:pStyle w:val="BookText"/>
        <w:rPr/>
      </w:pPr>
      <w:r>
        <w:rPr>
          <w:rFonts w:ascii="IRNazanin" w:hAnsi="IRNazanin" w:eastAsia="IRNazanin"/>
          <w:color w:val="111111"/>
          <w:sz w:val="28"/>
          <w:sz w:val="28"/>
          <w:szCs w:val="28"/>
          <w:rtl w:val="true"/>
          <w:lang w:bidi="fa-IR"/>
        </w:rPr>
        <w:t>صحیحة</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کانت فی البدن أو فی الثوب ولا یمکنه نزعه، وإلاّ فالأقوی نزعه وإتمامها عاریاً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بالقضاء بعد الإتمام فیما لا یدرک رکعة لو قطع الصلاة لتحصیل الشرط، وإلاّ فالقطع لذلک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یمکنه النزع نزعه ولو کان ساتراً، وأتمّها عاریاً ثمّ قضاها فی الطاهر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استحباباً القضاء أیضاً فی الثوب الطاهر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حدوثها فی الأثناء مع عدم إتیان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أجزائها مع 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إمکان النزع والتبدیل، والأحوط القضاء فی الثوب الطاهر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علم بها وشکّ فی أ نّها کانت سابقاً أو حدثت فعلاً فمع سعة الوقت وإمکان التطهیر أو التبدیل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نزع الثوب النجس علی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النزع إن لم یکن ساتراً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یتمّها</w:t>
      </w:r>
      <w:r>
        <w:rPr>
          <w:rStyle w:val="FootnoteAnchor"/>
          <w:rtl w:val="true"/>
        </w:rPr>
        <w:footnoteReference w:id="5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یصلّی عاریاً بعد النزع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ومع عدم الإمکان یستأنف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ضیق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عدم إمکان النزع لبرد ونحوه، ولو لعدم الأمن من الناظر یتمّ صلاته ولا شیء علیه، ولو أمکنه النزع ولا ساتر له غیره یتمّها، والأحوط استحباباً القضاء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یتمّها مع 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عاریاً مع إمکان النزع، ثمّ یقضی بعد ذلک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حکم ما إذا تمکّن من إدراک الرکعة مع طهارة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یمکن نزعها، وإلاّ نزعها وصلّی عاریاً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یمکن نزعه، وإلاّ یتمّها عاریاً ویقضیها مع الطاهر علی الأحوط، کما مرّ فی الصورة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یمکن التطهیر أو التبدیل أو النزع فی الأثناء، وإلاّ وجب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یدرک ولو رکعة مع الطهارة، ولا یُترک الاحتیاط بالقضاء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عدم التمکّن من نزعه وإتمامها عاریاً، وإلاّ فیصلّی عاریاً ویقضیها فی الطاهر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النزع مقدّم علی الصلاة مع النجاسة، إلاّ إذا کان مضطرّاً إلی لبس النجس، نعم الأحوط الإعادة فی الطاهر إذا تمکّن فی کلّ مورد دار الأمر بین النزع أو الصلاة فی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جواز الصلاة فی الثوب المتنجّس فی صورة الانحصار، أو عدم التمکّن من الأمرین المذکورین فی المتن، وإلاّ یتعیّن علیه إلقاء المتنجّس والصلاة عاریاً، وسیأتی قریباً ما هو المختار من الأمرین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یدرک ولو رکعة مع الطهارة، ولا یُترک الاحتیاط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یتمّها عاریاً إن لم یمکـن الاستئناف مع التبدیل أو التطهیر وإدراک الوقت ولو برکعة، وإلاّ فهو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 نّه مع إدراک الرکعة لو قطع الصلاة وبدّل الثوب أو طهّره یتعیّن ذلک، ومع عدمه إن تمکّن من النزع أتمّ الصلاة عاریاً، وإلاّ یتمّها مع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یمکن الصلاة عاریاً، وإلاّ فتجب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شیء</w:t>
      </w:r>
      <w:bookmarkStart w:id="237" w:name="pg13273_135058"/>
    </w:p>
    <w:p>
      <w:pPr>
        <w:pStyle w:val="BookText"/>
        <w:rPr/>
      </w:pPr>
      <w:bookmarkEnd w:id="237"/>
      <w:r>
        <w:rPr>
          <w:rFonts w:ascii="IRNazanin" w:hAnsi="IRNazanin" w:eastAsia="IRNazanin"/>
          <w:color w:val="111111"/>
          <w:sz w:val="28"/>
          <w:sz w:val="28"/>
          <w:szCs w:val="28"/>
          <w:rtl w:val="true"/>
          <w:lang w:bidi="fa-IR"/>
        </w:rPr>
        <w:t>علیه</w:t>
      </w:r>
      <w:r>
        <w:rPr>
          <w:rStyle w:val="FootnoteAnchor"/>
          <w:rtl w:val="true"/>
        </w:rPr>
        <w:footnoteReference w:id="5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ویأتی بها عاریاً إن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یقضیها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238" w:name="__RefHeading___Toc1666510_2322387425"/>
      <w:bookmarkStart w:id="239" w:name="_Toc83"/>
      <w:bookmarkEnd w:id="238"/>
      <w:r>
        <w:rPr>
          <w:rtl w:val="true"/>
        </w:rPr>
        <w:t>اصلاة فی النجس ناسیاً</w:t>
      </w:r>
      <w:bookmarkEnd w:id="239"/>
    </w:p>
    <w:p>
      <w:pPr>
        <w:pStyle w:val="BookText"/>
        <w:rPr/>
      </w:pPr>
      <w:r>
        <w:rPr>
          <w:rFonts w:ascii="Amiri" w:hAnsi="Amiri" w:eastAsia="Amiri" w:cs="Amiri"/>
          <w:color w:val="111111"/>
          <w:sz w:val="28"/>
          <w:sz w:val="28"/>
          <w:szCs w:val="28"/>
          <w:rtl w:val="true"/>
          <w:lang w:bidi="ar-SA"/>
        </w:rPr>
        <w:t xml:space="preserve">وأمّا إذا کان ناسیاً </w:t>
      </w:r>
      <w:r>
        <w:rPr>
          <w:rStyle w:val="FootnoteAnchor"/>
          <w:rtl w:val="true"/>
        </w:rPr>
        <w:footnoteReference w:id="529"/>
      </w:r>
      <w:r>
        <w:rPr>
          <w:rFonts w:ascii="IRNazanin" w:hAnsi="IRNazanin" w:eastAsia="IRNazanin"/>
          <w:color w:val="111111"/>
          <w:sz w:val="28"/>
          <w:sz w:val="28"/>
          <w:szCs w:val="28"/>
          <w:rtl w:val="true"/>
          <w:lang w:bidi="fa-IR"/>
        </w:rPr>
        <w:t>فالأقوی وجوب الإعادة</w:t>
      </w:r>
      <w:r>
        <w:rPr>
          <w:rStyle w:val="FootnoteAnchor"/>
          <w:rtl w:val="true"/>
        </w:rPr>
        <w:footnoteReference w:id="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 مهدی الشیرازی، عبدالهادی الشیرازی،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تکلیفه الصلاة بالطاهر لو کان متذکّراً، أمّا لو لم یکن تکلیفه ذلک ولو لضیق الوقت حتّی عن إدراک رکعة فالأقوی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سعة الوقت للتطهیر أو التبدیل والإعادة ولو بمقدار رکعة، وإلاّ فالأحوط مع إمکان النزع إعادة الصلاة وإتمامها مع التذکّر فی الأثناء إن لم یسع الوقت إلاّ للإتمام عاریاً ثمّ القضاء، وأمّا مع عدم إمکان النزع فلا إشکال فی صحّة الصلاة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التفصیل بین أن یکون التذکّر فی الأثناء، وأن یکون بعد الفراغ بوجوب الإعادة فی الأوّل، وعدمه فی الثانی؛ لحدیث إبن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الخلوة،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 بین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 وجوباً فیمن أهمل ولم یتحفّظ، واستحباباً فی غیره، والظاهر أنّ حکمه حکم الجاهل بالموضوع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القضاء</w:t>
      </w:r>
    </w:p>
    <w:p>
      <w:pPr>
        <w:pStyle w:val="BookText"/>
        <w:rPr/>
      </w:pPr>
      <w:r>
        <w:rPr>
          <w:rFonts w:ascii="Amiri" w:hAnsi="Amiri" w:eastAsia="Amiri" w:cs="Amiri"/>
          <w:color w:val="111111"/>
          <w:sz w:val="28"/>
          <w:sz w:val="28"/>
          <w:szCs w:val="28"/>
          <w:rtl w:val="true"/>
          <w:lang w:bidi="ar-SA"/>
        </w:rPr>
        <w:t xml:space="preserve">مطلقاً </w:t>
      </w:r>
      <w:r>
        <w:rPr>
          <w:rStyle w:val="FootnoteAnchor"/>
          <w:rtl w:val="true"/>
        </w:rPr>
        <w:footnoteReference w:id="5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وجوب الإعادة إن ذکر فی الوقت، أو القضاء إن ذکر بعد خروج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تذکّر بعد الصلاة أو فی أثنائها، أمکن التطهیر أو التبدیل أم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الحکم تکلیفاً أو وضعاً کجاهله</w:t>
      </w:r>
      <w:r>
        <w:rPr>
          <w:rStyle w:val="FootnoteAnchor"/>
          <w:rtl w:val="true"/>
        </w:rPr>
        <w:footnoteReference w:id="5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ناسی الحکم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نسی أنّ عرق الجنب مثلاً نجس وصلّی فی ثوب یعلم أ نّه أصابه عرق الجنب، أو وضعاً کما إذا کان جاهلاً أ نّ عرق الجنب 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 نّه کالجاهل المعذور، فلا تجب الإعادة ولا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وجوب</w:t>
      </w:r>
    </w:p>
    <w:p>
      <w:pPr>
        <w:pStyle w:val="BookText"/>
        <w:rPr/>
      </w:pPr>
      <w:r>
        <w:rPr>
          <w:rFonts w:ascii="Amiri" w:hAnsi="Amiri" w:eastAsia="Amiri" w:cs="Amiri"/>
          <w:color w:val="111111"/>
          <w:sz w:val="28"/>
          <w:sz w:val="28"/>
          <w:szCs w:val="28"/>
          <w:rtl w:val="true"/>
          <w:lang w:bidi="ar-SA"/>
        </w:rPr>
        <w:t>الإعادة والقضاء</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لم یکن معذوراً، وإلاّ فلا تجب الإعادة فضلاً عن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مرّ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غسل ثوبه النجس</w:t>
      </w:r>
      <w:r>
        <w:rPr>
          <w:rStyle w:val="FootnoteAnchor"/>
          <w:rtl w:val="true"/>
        </w:rPr>
        <w:footnoteReference w:id="534"/>
      </w:r>
      <w:r>
        <w:rPr>
          <w:rFonts w:ascii="IRNazanin" w:hAnsi="IRNazanin" w:eastAsia="IRNazanin"/>
          <w:color w:val="111111"/>
          <w:sz w:val="28"/>
          <w:sz w:val="28"/>
          <w:szCs w:val="28"/>
          <w:rtl w:val="true"/>
          <w:lang w:bidi="fa-IR"/>
        </w:rPr>
        <w:t>وعلم بطهارته ثمّ صلّی فیه وبعد ذلک تبیّن له بقاء نجاسته فالظاهر أ نّه من باب الجهل بالموضوع</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والأحوط فیه الإعادة أو القضاء، وکذا فی إخبار الوکیل وشهادة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یجب علیه الإعادة أو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فی الصور المذکورة، ولا سیّما فی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بصحّة الصلاة فیه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جمیع الصور الإعادة، بل إذا کان مسبوقاً بالنجاسة فی الصورة الثانیة، أو کانت الأرض محلّ الابتلاء ولو للسجدة فی الصورة الرابعة یجب الإعادة؛ لأنّ الصلاة باطلة، نعم إذا لم یکن الحال کما ذکر فی الصورتین فالاحتیاط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لم یتنجّز فی حقّه وجوب الاجتناب عن النجس، والفحص لم یکن واجباً علیه، نعم الأحوط الأولی الإعادة أو القضاء فی جمیع هذه الصور، خصوصاً فی بعضها کالاُولی والثالثة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شکّ فی نجاسته</w:t>
      </w:r>
      <w:r>
        <w:rPr>
          <w:rStyle w:val="FootnoteAnchor"/>
          <w:rtl w:val="true"/>
        </w:rPr>
        <w:footnoteReference w:id="5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تفحّص قبل الصلاة، وإلاّ فالأولی والأحوط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العلم بها فی السابق، وإلاّ تجب الإعادة أو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تکن حالته السابقة هی النجاسة حتّی یکون مورد قاعدة الطهارة، وإلاّ یجب علیه الإعادة والقضاء إن غفل بعد أن کان ملتفتاً إلی الشکّ ودخل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ابتداءً دون المسبوق بالعلم بالنجاسة فإنّه محکوم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عالماً بأنّ حالته السابقة هی النجاسة، وإلاّ وجب علیه الإعادة أو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الشکّ بنحو الشکّ الساری، وإلاّ فلا یجوز له الدخول فی الصلاة للاستصحاب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له یقین سابق بنجاسته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ما إذا لم تکن هی الحالة السابقة المتیقّنة، وقد مرّ لزوم الاحتیاط لغیر المتفحّص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تبیّن بعد الصلاة أ نّه</w:t>
      </w:r>
    </w:p>
    <w:p>
      <w:pPr>
        <w:pStyle w:val="BookText"/>
        <w:rPr/>
      </w:pPr>
      <w:r>
        <w:rPr>
          <w:rFonts w:ascii="IRNazanin" w:hAnsi="IRNazanin" w:eastAsia="IRNazanin"/>
          <w:color w:val="111111"/>
          <w:sz w:val="28"/>
          <w:sz w:val="28"/>
          <w:szCs w:val="28"/>
          <w:rtl w:val="true"/>
          <w:lang w:bidi="fa-IR"/>
        </w:rPr>
        <w:t>کان نجساً، وکذا لو علم بنجاسته فأخبره الوکیل</w:t>
      </w:r>
      <w:r>
        <w:rPr>
          <w:rStyle w:val="FootnoteAnchor"/>
          <w:rtl w:val="true"/>
        </w:rPr>
        <w:footnoteReference w:id="5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والأحوط إعادة الصلاة فی هذه الصورة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من قبیل النسیان فیجب فیه القضاء والإعادة، کما یشهد له خبر 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الجاریة الّتی أخبرت بغسل الثوب ثمّ ظهرت فیه النجاسة فأمر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إخبار الوکیل وانکشاف الخلاف بعده إشکال، وکذلک فی إطلاق باقی فروع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لزوم الإعادة فی هذه الصورة، وکذا إن قامت البیّنة علی تطهیره ثمّ تبیّن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تطهیره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بطهارته، أو شهدت البیّنة بتطهیره ثمّ تبیّن الخلاف، وکذا لو وقعت قطرة بول أو دم مثلاً وشکّ فی أ نّها وقعت علی ثوبه أو علی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خروج الأرض عن محلّ الابتلاء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مع خروجها عن محلّ الابتلاء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النجسة أو الخارجة عن محلّ الابتلاء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النجسة أو الخارجة عن مورد الابتلاء، وإلاّ فلا یُترک الاحتیاط بالإعادة أو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الأرض خارجة عن محلّ الابتلاء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محلاًّ لابتلائه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الخارجة عن الابتلاء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کانت الأرض خارجة عن محلّ الابتلاء، وإلاّ فالعلم الإجمالی المنجّز یمنع عن دخول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یصحّ ذلک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الأرض محلّ ابتلائه، کما هو الغالب؛ لوجود العلم الإجمالی، فالأقوی فی هذه الصورة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الخارجة عن مورد ابتلائه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بطلانها خصوصاً مع کون الأرض مورداً لابتلائه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خارجة عن محلّ الابتلاء، وإلاّ فالأقوی بطلان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محلاًّ للابتلاء، وإلاّ فیقوی بطلان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خارجة عن محلّ ابتلائه، وإلاّ فالأقوی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کونها محلّ الابتلاء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الأرض محلاًّ لابتلائه بسجودٍ علیها أو تیمّم منها أو غیرهما، وإلاّ وجبت الإعادة أو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الأرض خارجة عن محلّ ابتلائه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خروجها عن محلّ الابتلاء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کونها نجسة أو خارجة عن محلّ الابتلاء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الأرض خارجة عن محلّ ابتلائه، وإلاّ فیجب الاحتیاط کما فی الثوبین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تبیّن أ نّها وقعت علی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ثوبه</w:t>
      </w:r>
      <w:r>
        <w:rPr>
          <w:rStyle w:val="FootnoteAnchor"/>
          <w:rtl w:val="true"/>
        </w:rPr>
        <w:footnoteReference w:id="538"/>
      </w:r>
      <w:r>
        <w:rPr>
          <w:rFonts w:ascii="IRNazanin" w:hAnsi="IRNazanin" w:eastAsia="IRNazanin"/>
          <w:color w:val="111111"/>
          <w:sz w:val="28"/>
          <w:sz w:val="28"/>
          <w:szCs w:val="28"/>
          <w:rtl w:val="true"/>
          <w:lang w:bidi="fa-IR"/>
        </w:rPr>
        <w:t xml:space="preserve">، وکذا لو رأی فی بدنه أو ثوبه دماً وقطع بأنّه </w:t>
      </w:r>
    </w:p>
    <w:p>
      <w:pPr>
        <w:pStyle w:val="BookText"/>
        <w:rPr/>
      </w:pPr>
      <w:r>
        <w:rPr>
          <w:rFonts w:ascii="IRNazanin" w:hAnsi="IRNazanin" w:eastAsia="IRNazanin"/>
          <w:color w:val="111111"/>
          <w:sz w:val="28"/>
          <w:sz w:val="28"/>
          <w:szCs w:val="28"/>
          <w:rtl w:val="true"/>
          <w:lang w:bidi="fa-IR"/>
        </w:rPr>
        <w:t>دم</w:t>
      </w:r>
      <w:r>
        <w:rPr>
          <w:rStyle w:val="FootnoteAnchor"/>
          <w:rtl w:val="true"/>
        </w:rPr>
        <w:footnoteReference w:id="539"/>
      </w:r>
      <w:r>
        <w:rPr>
          <w:rFonts w:ascii="IRNazanin" w:hAnsi="IRNazanin" w:eastAsia="IRNazanin"/>
          <w:color w:val="111111"/>
          <w:sz w:val="28"/>
          <w:sz w:val="28"/>
          <w:szCs w:val="28"/>
          <w:rtl w:val="true"/>
          <w:lang w:bidi="fa-IR"/>
        </w:rPr>
        <w:t>البقّ، أو دم القروح المعفوّ</w:t>
      </w:r>
      <w:r>
        <w:rPr>
          <w:rStyle w:val="FootnoteAnchor"/>
          <w:rtl w:val="true"/>
        </w:rPr>
        <w:footnoteReference w:id="5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بالإعادة فیه وفیما بعده ممّا تکون النجاسة معلومة وصلّی مع القطع بالعفو أو مع الشکّ فیه ثمّ تبیّن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أ نّه أقلّ من الدرهم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فیهما الإعادة أو القضاء، کما أنّ الأقوی فیما لو شکّ فی أنّه أحدهما الإعادة أو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نحو ذلک، ثمّ تبیّن أ نّه ممّا لا یجوز الصلاة فیه، وکذا لو شکّ فی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الشکّ فی کونه من القروح أو أقلّ من الدرهم، الأحوط عدم الجواز وفساد الصلاة، کما سیجیء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جاز الصلاة فیه مع التردّد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منّا فی المسألة السادسة من الفصل الآتی فیما إذا شکّ فی دم أ نّه دم الجروح والقروح أم لا، أنّ الأقوی فیه عدم العفو، ونتیجة ذلک أ نّه لا یجوز الدخول معه فی الصلاة، وهو الأحوط لزوماً عند الماتن قدس‌سره ، وعلی هذا فإذا صلّی فیه ثمّ علم أ نّه ممّا لا یجوز فیه الصلاة فلا بدّ من الإعادة أو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فیما إذا شکّ فی کونه من الجروح والقروح، کما یأتی فی المسألة السادسة من الفصل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ثمّ تبیّن أ نّه ممّا لا یجوز، فجمیع هذه من الجهل بالنجاسة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هذه الصور من الجهل بالموضوع محلّ تأمّل وإشکال، فلا یُترک الاحتیاط بالإعادة أو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الاحتیاط لا ینبغی ترکه فی بعض الصور؛ خصوصاً فی صورة القطع بالعذر وإخبار 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 الاحتیاط فی جمیعها، بل لا یُترک فیما إذا شکّ فی أ نّه من القروح أم لا، وسیأتی منه قدس‌سره الاحتیاط الوجوبی فی الفصل الآتی 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الثانی ممّا یعفی عنه فی الصلاة، مسألة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وإن کان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یجب</w:t>
      </w:r>
    </w:p>
    <w:p>
      <w:pPr>
        <w:pStyle w:val="BookText"/>
        <w:rPr/>
      </w:pPr>
      <w:r>
        <w:rPr>
          <w:rFonts w:ascii="IRNazanin" w:hAnsi="IRNazanin" w:eastAsia="IRNazanin"/>
          <w:color w:val="111111"/>
          <w:sz w:val="28"/>
          <w:sz w:val="28"/>
          <w:szCs w:val="28"/>
          <w:rtl w:val="true"/>
          <w:lang w:bidi="fa-IR"/>
        </w:rPr>
        <w:t>فیها الإعادة</w:t>
      </w:r>
      <w:r>
        <w:rPr>
          <w:rStyle w:val="FootnoteAnchor"/>
          <w:rtl w:val="true"/>
        </w:rPr>
        <w:footnoteReference w:id="541"/>
      </w:r>
      <w:r>
        <w:rPr>
          <w:rFonts w:ascii="IRNazanin" w:hAnsi="IRNazanin" w:eastAsia="IRNazanin"/>
          <w:color w:val="111111"/>
          <w:sz w:val="28"/>
          <w:sz w:val="28"/>
          <w:szCs w:val="28"/>
          <w:rtl w:val="true"/>
          <w:lang w:bidi="fa-IR"/>
        </w:rPr>
        <w:t>أو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بنجاسة شیء فنسی ولاقاه بالرطوبة وصلّی، ثمّ تذکّر أ نّه کان نجساً وأنّ یده تنجّست بملاقاته، فالظاهر أ نّه أیضاً </w:t>
      </w:r>
      <w:r>
        <w:rPr>
          <w:rStyle w:val="FootnoteAnchor"/>
          <w:rtl w:val="true"/>
        </w:rPr>
        <w:footnoteReference w:id="5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ما هو الدخیل فی البطلان مجهول، وما هو منسیّ غیر دخیل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الجهل بالموضوع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النسیان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لأ نّه لم یعلم نجاسة یده سابقاً، والنسیان إنّما هو فی نجاسة شیء آخر غیر ما صلّی فیه، نعم لو توضّأ أو اغتسل قبل تطهیر یده وصلّی کانت باطلة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لم یطهر العضو المتنجّس بنفس الوضوء أو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فی النجاسة عین فلا تبعد صحّة الصلاة؛ لکفایة الغسلة الواحدة للتطهیر من الخبث والحدث معاً، کما سیأتی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علی القول بتنجیس المتنجّس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جهة بطلان</w:t>
      </w:r>
      <w:bookmarkStart w:id="240" w:name="pg13273_135066"/>
    </w:p>
    <w:p>
      <w:pPr>
        <w:pStyle w:val="BookText"/>
        <w:rPr/>
      </w:pPr>
      <w:bookmarkEnd w:id="240"/>
      <w:r>
        <w:rPr>
          <w:rFonts w:ascii="IRNazanin" w:hAnsi="IRNazanin" w:eastAsia="IRNazanin"/>
          <w:color w:val="111111"/>
          <w:sz w:val="28"/>
          <w:sz w:val="28"/>
          <w:szCs w:val="28"/>
          <w:rtl w:val="true"/>
          <w:lang w:bidi="fa-IR"/>
        </w:rPr>
        <w:t>وضوئه</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اشتراط طهارة محلّ الوضوء، وهو محلّ تأمّل ما لم یستلزم نجاسة ماء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غسله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666512_2322387425"/>
      <w:bookmarkStart w:id="242" w:name="_Toc84"/>
      <w:bookmarkEnd w:id="241"/>
      <w:r>
        <w:rPr>
          <w:rtl w:val="true"/>
        </w:rPr>
        <w:t>انحصار ثوب المصلی فی النجس</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انحصر ثوبه فی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یمکن نزعه</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تطهیره وکان ذلک فی آخر الوقت، أو مع العلم باستیعاب العذر لتمامه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الصلاة لبرد أو نحوه صلّی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لزوم تأخیر الصلاة إلی آخر الوقت، مع رجاء زوال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استمرار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ضیق الوقت، أو عدم احتمال زوال العذر احتمالاً عقلائیّاً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یئس من زوال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استمرار العذر إلی آخر الوقت ولا یجب علیه القضاء، وإذا یئس من زوال العذر فصلّی فی الثوب النجس، ثمّ زال العذر فی الوقت أعاد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العلم بارتفاع العذر فی أثناء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ضاق الوقت، أو لم یحتمل احتمالاً عقلائیّاً زوال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w:t>
      </w:r>
      <w:r>
        <w:rPr>
          <w:rStyle w:val="FootnoteAnchor"/>
          <w:rtl w:val="true"/>
        </w:rPr>
        <w:footnoteReference w:id="5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استمرّ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الإعادة أو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القدرة فی تمام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تمکّن من نزعه ففی وجوب الصلاة فیه أو عاریاً أو التخییر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وجوه، الأقوی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ینبغی ترکه، وإن کان جواز الاکتفاء بها عاریاً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ولا یُترک الاحتیاط بالتکرار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الأخیر مع أفضلیّة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الخمینی،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الثالث مع الیأس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استمرار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ولا ینبغی ترک الاحتیاط بتکرار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فی مورد الدوران بین الصلاة فی الثوب النجس أو عاریاً أنّ الثانی مقدّم، ویقضی فی الطاهر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التخییر، وإن کان الأفضل إتیان الصلاة فیه، والأحوط التکرار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استمرار العذر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546"/>
      </w:r>
      <w:r>
        <w:rPr>
          <w:rFonts w:ascii="IRNazanin" w:hAnsi="IRNazanin" w:eastAsia="IRNazanin"/>
          <w:color w:val="111111"/>
          <w:sz w:val="28"/>
          <w:sz w:val="28"/>
          <w:szCs w:val="28"/>
          <w:rtl w:val="true"/>
          <w:lang w:bidi="fa-IR"/>
        </w:rPr>
        <w:t>تکرار الصلاة</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للعلم الإجمالی مع عدم وفاء الدلیل لإثبات أحد الأنحاء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استحباباً الجمع بین الصلاة فیه والصلاة عاریاً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ثوبان یعلم بنجاسة أحدهما</w:t>
      </w: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ولا یمکنه تطهیر واحد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یکرّر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لم یتمکّن إلاّ من صلاة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یصلّی فی أحدهما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مخیّراً مع عدم ترجیح لأحدهما علی الآخر احتمالاً ومحتملاً، وإلاّ فیلزمه اختیار المرجَّح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والأحوط أن یصلّی عاریاً مع الإمکان، کما أ نّ الأحوط القضاء خارج الوقت فی ثوب طاهر، أو یکرّر فی الثوبین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عاریاً </w:t>
      </w:r>
      <w:r>
        <w:rPr>
          <w:rStyle w:val="FootnoteAnchor"/>
          <w:rtl w:val="true"/>
        </w:rPr>
        <w:footnoteReference w:id="5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عاریاً، والاحتیاط بالقضاء فی الطاهر بعد تیسّره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عاریاً، ویقضی بعد ذلک بثوب طاهر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یصلّی عاریاً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یصلّی عاریاً علی الأقوی، والأحوط قضاوءها أیضاً فی ثوبٍ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عاریاً، والاحتیاط بالقضاء فی الطاهر بعد تیسّره لا ینبغی أن یُترک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الصلاة عاریاً هو الأقوی، نعم بعد التمکّن یقضی فی الطاهر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یصلّی عاریاً ویقضی خارج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التخییر أیضاً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ثوب طاهر مع الصبر إلی زمان التمکّن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التخییر بین الصلاة فی أحدهما وبین الصلاة عاریاً، ولا یجب علیه القضاء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القضاء فی الآخر أو فی ثوب طاهر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وجوبه فی الفرض، وعلی تقدیر وجوبه لا تصل النوبة إلی الصلاة عاریاً، إلاّ مع لزوم التعجیل فی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ویمکنه القضاء فی ثوبٍ طاهر آخر، ولا تصل النوبة إلی القضاء عاریاً؛ إلاّ إذا لزم التعجیل وفقد الساتر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وجوبه، وعلی تقدیر إرادة القضاء یصلّی فی الثوب الطاهر، ولا خصوصیّة للصلاة فی الثوب الآخر، ولا تصل النوبة إلی الصلاة عاریاً؛ إلاّ إذا فرض تضیّق وقت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الوقت فی</w:t>
      </w:r>
    </w:p>
    <w:p>
      <w:pPr>
        <w:pStyle w:val="BookText"/>
        <w:rPr/>
      </w:pPr>
      <w:r>
        <w:rPr>
          <w:rFonts w:ascii="IRNazanin" w:hAnsi="IRNazanin" w:eastAsia="IRNazanin"/>
          <w:color w:val="111111"/>
          <w:sz w:val="28"/>
          <w:sz w:val="28"/>
          <w:szCs w:val="28"/>
          <w:rtl w:val="true"/>
          <w:lang w:bidi="fa-IR"/>
        </w:rPr>
        <w:t>الآخر</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تأخیر القضاء إلی أن یجد ثوباً طاهراً؛ إلاّ مع ظنّ الفوت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خصوصیّة فیه، بل یصلّی فی الطاهر إن أمکن، وإلاّ یصلّی عاریاً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ثوب طاهر مع الصبر إلی زمان التمکّن، ولکنّ الأظهر عدم وجوب القضاء من أصله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أن یقضی فی ثوب آخر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 إن أمکن، وإلاّ عاریاً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یأسه عن ثوب طاهر، وإلاّ فیتعیّن علیه الصبر إلی أن یحصّل ثوباً طاهراً، ووجهه ظاهر لا یحتاج إلی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لزوم التعجیل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لزوم التعجیل لظنّ فوت ونحوه، وإلاّ أخّر إلی أن یجد ساتراً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فیما یمکن تأخیر القضاء وإتیانه فی ثوب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 المضایقة الفوریّة فی القضاء، وإلاّ فعلیه الصبر حتّی یتمکّن من الصلاة فی الثوب المعلوم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یئس من تحصیل ساتر طاهر، وإلاّ فالأحوط 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وجه لهذا الاحتیاط إلاّ علی القول بالمضایقة، وإلاّ لابدّ من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فی ثوبٍ طاهرٍ إن أمکن، وإلاّ فیؤخّر إلی أن یجد ثوباً طاهراً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مع الثوبین المشتبهین ثوب طاهر لا یجوز</w:t>
      </w:r>
      <w:r>
        <w:rPr>
          <w:rStyle w:val="FootnoteAnchor"/>
          <w:rtl w:val="true"/>
        </w:rPr>
        <w:footnoteReference w:id="5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الجواز؛ لجواز الامتثال العلمی الإجمالی، مع التمکّن من الامتثال التفصیلی، خصوصاً إذا کان فیه غرض 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وإن کان الأحسن ترک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جواز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ذلک احتیاط حسن، وإن کان 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فإنّ الجزم بالنیّة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الجواز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یصلّی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جواز الامتثال الإجمالی مع التمکّن من التفصیلی، أو لفقدان الجزم بالنیّة المعتبر فی العبادة وغیرهما، وقد مرّ عدم العثور علی دلیل یعتدّ به یدلّ علی لزومه فیها، وأنّ المحاذیر الاُخر المدّعاة غیر لازمة، ومرّت کفایة استناد العبادة إلیه تعالی وکون أصل إتیانها بداعٍ ربوبیّ، فراجع الحواشی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فیهما</w:t>
      </w:r>
    </w:p>
    <w:p>
      <w:pPr>
        <w:pStyle w:val="BookText"/>
        <w:rPr/>
      </w:pPr>
      <w:r>
        <w:rPr>
          <w:rFonts w:ascii="IRNazanin" w:hAnsi="IRNazanin" w:eastAsia="IRNazanin"/>
          <w:color w:val="111111"/>
          <w:sz w:val="28"/>
          <w:sz w:val="28"/>
          <w:szCs w:val="28"/>
          <w:rtl w:val="true"/>
          <w:lang w:bidi="fa-IR"/>
        </w:rPr>
        <w:t>بالتکرار</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الجواز؛ لصدق الطاعة وإن کان الغرض شخصیّاً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لشبهة اللغویّة واللعب بأمر المولی،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ملازمة بین اللغویّة وکونه لعباً بأمره، بل من الممکن کونه بداعی أمره، لکن کان لاغیاً فی اختیاره هذه الطریقة فی کیفیّة امتثاله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به إذا لم یکن أصل الصلاة لعباً وعبثاً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جوازها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الجواز، کان هناک غرض عقلائی أم لم یکن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یصلّی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لو کان له غرض عقلائی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علیه الإطاعة والخضوع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بناءً علی ما هو الحقّ من کفایة الامتثال الإجمالی حتّی مع التمکّن من التفصیلی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معه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عدم</w:t>
      </w:r>
    </w:p>
    <w:p>
      <w:pPr>
        <w:pStyle w:val="BookText"/>
        <w:rPr/>
      </w:pPr>
      <w:r>
        <w:rPr>
          <w:rFonts w:ascii="IRNazanin" w:hAnsi="IRNazanin" w:eastAsia="IRNazanin"/>
          <w:color w:val="111111"/>
          <w:sz w:val="28"/>
          <w:sz w:val="28"/>
          <w:szCs w:val="28"/>
          <w:rtl w:val="true"/>
          <w:lang w:bidi="fa-IR"/>
        </w:rPr>
        <w:t xml:space="preserve">الصلاة فیه لا بأس بها فیهما مکرّراً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أطراف الشبهة ثلاثة یکفی تکرار الصلاة فی اثنین، سواء علم بنجاسة واحد وبطهارة الاثنین، أو علم بنجاسة واحد وشکّ فی نجاسة</w:t>
      </w:r>
      <w:r>
        <w:rPr>
          <w:rStyle w:val="FootnoteAnchor"/>
          <w:rtl w:val="true"/>
        </w:rPr>
        <w:footnoteReference w:id="554"/>
      </w:r>
      <w:r>
        <w:rPr>
          <w:rFonts w:ascii="IRNazanin" w:hAnsi="IRNazanin" w:eastAsia="IRNazanin"/>
          <w:color w:val="111111"/>
          <w:sz w:val="28"/>
          <w:sz w:val="28"/>
          <w:szCs w:val="28"/>
          <w:rtl w:val="true"/>
          <w:lang w:bidi="fa-IR"/>
        </w:rPr>
        <w:t xml:space="preserve">الآخرین، أو فی نجاسة أحدهما؛ لأنّ الزائد علی المعلوم محکوم بالطهارة وإن لم یکن ممیّزاً </w:t>
      </w:r>
      <w:r>
        <w:rPr>
          <w:rStyle w:val="FootnoteAnchor"/>
          <w:rtl w:val="true"/>
        </w:rPr>
        <w:footnoteReference w:id="555"/>
      </w:r>
      <w:r>
        <w:rPr>
          <w:rFonts w:ascii="IRNazanin" w:hAnsi="IRNazanin" w:eastAsia="IRNazanin"/>
          <w:color w:val="111111"/>
          <w:sz w:val="28"/>
          <w:sz w:val="28"/>
          <w:szCs w:val="28"/>
          <w:rtl w:val="true"/>
          <w:lang w:bidi="fa-IR"/>
        </w:rPr>
        <w:t>، وإن علم فی الفرض بنجاسة الاثنین یجب التکرار بإتیان الثلاث، وإن علم بنجاسة الاثنین فی أربع یکفی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والمعیار</w:t>
      </w:r>
      <w:r>
        <w:rPr>
          <w:rStyle w:val="FootnoteAnchor"/>
          <w:rtl w:val="true"/>
        </w:rPr>
        <w:footnoteReference w:id="556"/>
      </w:r>
      <w:r>
        <w:rPr>
          <w:rFonts w:ascii="IRNazanin" w:hAnsi="IRNazanin" w:eastAsia="IRNazanin"/>
          <w:color w:val="111111"/>
          <w:sz w:val="28"/>
          <w:sz w:val="28"/>
          <w:szCs w:val="28"/>
          <w:rtl w:val="true"/>
          <w:lang w:bidi="fa-IR"/>
        </w:rPr>
        <w:t>ـ کما تقدّم سابقاً ـ التکرار إلی حدّ یعلم وقوع أحدها فی الطاهر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کلّ من بدنه وثوبه نجساً ولم یکن له من الماء إلاّ ما یکفی أحدهما فلا یبعد التخییر</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یتمکّن من النزع والصلاة عاریاً، وإلاّ فالأحوط إن لم یکن أقوی تطهیر البدن والصلاة عاریاً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یطهّر بدنه، ویصلّی عاریاً مع إمکان نزعه، کانت النجاسة فی أحدهما أشدّ أو أکثر أو لا، ومع عدم إمکان النزع فالأحوط تطهیر البدن إن کانت نجاسته مساویة للثوب أو أشدّ أو أکثر، ومع أکثریّة نجاسة الثوب وأشدّیتها یتخیّر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وجوب التستّر ولزوم الصلاة فی الثوب؛ لرعایة شرطیّة التستّر، وإن استلزم مخالفة مانعیّة النجاسة فإنّ الأمر دائر حینئذٍ بین رفع الید عن أحد المانعین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الثوب، أو البدن، فالمقام مقام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ترجیح مانعیّة النجاسة ولزوم الصلاة علیه عاریاً مع الانحصار فالواجب علیه تطهیر البدن ثمّ صلاة العراة، وعلی أیّ تقدیر فإنّ العمل مجزٍ؛ لمکان العجز، فلا 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إمکان نزعه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لزوم تطهیر البدن والصلاة عاریاً مع الإمکان مطلقاً، ومع عدمه فالأحوط تطهیر البدن أیضاً فی صورة التساوی أو الأشدّیّة أو الأکثریّة لنجاسة البدن، وفی غیرها یتخیّر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5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مطلقاً، فیصلّی عاریاً ویقضی بعد ذلک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والصلاة عاریاً، إلاّ إذا اضطرّ إلی لبس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نعم لو اضطرّ إلی لبس ذلک الثوب حال صلاته ففیه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والصلاة عاریاً، نعم لو اضطرّ إلی لبس هذا الثوب فی حال الصلاة ففی تقدیم تطهیر البدن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فیما إذا کان النزع ممکناً ـ کما تقدّم ـ ویصلّی عاریاً، وفی صورة عدم الإمکان لبردٍ أو غیره لا یبعد التخییر إذا کانا متساویین من حیث الکثرة والشدّة، وإلاّ فترجیح الأکثر والأشدّ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هذا الاحتیاط فی الصور المذکورة فی هذه المسألة وتالیتها من موارد الدوران بین الثوب والبدن، أو الأقلّ والأکثر، أو الأخفّ والأشدّ وغیرها، وأمّا الترجیح علی وجه اللزوم فلا دلیل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لأصالة التعیین، حیث یحتمل أهمّیة تطهیر البدن، لکن الثوب خارجاً عن المصلّی، بخلاف البدن فإنّه نفسه، سواء کانت النجاسة فی أحدهما أشدّ أم أکثر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ومع ذلک یکرّر الصلاة عاریاً، ومع الثوب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تـطـهـیــــــــــر</w:t>
      </w:r>
    </w:p>
    <w:p>
      <w:pPr>
        <w:pStyle w:val="BookText"/>
        <w:rPr/>
      </w:pPr>
      <w:r>
        <w:rPr>
          <w:rFonts w:ascii="IRNazanin" w:hAnsi="IRNazanin" w:eastAsia="IRNazanin"/>
          <w:color w:val="111111"/>
          <w:sz w:val="28"/>
          <w:sz w:val="28"/>
          <w:szCs w:val="28"/>
          <w:rtl w:val="true"/>
          <w:lang w:bidi="fa-IR"/>
        </w:rPr>
        <w:t>البدن</w:t>
      </w:r>
      <w:r>
        <w:rPr>
          <w:rStyle w:val="FootnoteAnchor"/>
          <w:rtl w:val="true"/>
        </w:rPr>
        <w:footnoteReference w:id="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الأقوی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مع الصلاة عاریاً، ولو اضطرّ إلی لبس ذلک الثوب فالأقوی هو التخییر فی تطهیر أیّهما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إمکانه یصلّی عاریاً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نجاسة أحدهما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أکثر أو أشدّ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w:t>
      </w:r>
    </w:p>
    <w:p>
      <w:pPr>
        <w:pStyle w:val="BookText"/>
        <w:rPr/>
      </w:pPr>
      <w:r>
        <w:rPr>
          <w:rFonts w:ascii="IRNazanin" w:hAnsi="IRNazanin" w:eastAsia="IRNazanin"/>
          <w:color w:val="111111"/>
          <w:sz w:val="28"/>
          <w:sz w:val="28"/>
          <w:szCs w:val="28"/>
          <w:rtl w:val="true"/>
          <w:lang w:bidi="fa-IR"/>
        </w:rPr>
        <w:t>ترجیحه</w:t>
      </w:r>
      <w:r>
        <w:rPr>
          <w:rStyle w:val="FootnoteAnchor"/>
          <w:rtl w:val="true"/>
        </w:rPr>
        <w:footnoteReference w:id="5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لذلک میزان منضبط مع اختلاف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مطلقاً تطهیر البدن والصلاة عاریاً تارة، ومع ذلک اللباس اُخری، إلاّ مع الاضطرار إلی لبس ذلک الثوب حال الصلاة لبرد أو نحوه، فحینئذٍ لا یبعد الترجیح المذکور مع إشکال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الترجیح فی الثوب بالأشدّیّة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بعد؛ إذ بعد کون طبیعة النجاسة مانعة لا فرق فی المانعیّة بین الشدّة والضعف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 عند کون أحدهما 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ذلک إذا کانت النجاسة أکثر، أمّا ترجیح الأشدّ نجاسةً فمشکل، إلاّ إذا کانت فی البدن فتترجّح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فیما کانت النجاسة 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تعیّن تطهیر البدن والصلاة عاریاً مطلقاً، إلاّ مع الاضطرار إلی لبس ذلک الثوب، فالأقوی حینئذٍ هو الترجیح المذکور فی الفرض الأوّل، وهو أکثریّة نجاسة أحدهما، والتخییر فی الثانی وهو أشدّیتها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یختار التطهیر من الأکثر أو الأشدّ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ذلک، بل إذا کان هو الثوب کان مخیّراً بین تطهیره وتطهیر 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w:t>
      </w:r>
      <w:r>
        <w:rPr>
          <w:rStyle w:val="FootnoteAnchor"/>
          <w:rtl w:val="true"/>
        </w:rPr>
        <w:footnoteReference w:id="5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ما ذکر فی هذه المسألة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موضعان من بدنه أو لباسه ولم یمکن إزالتهما فلا یسقط</w:t>
      </w:r>
    </w:p>
    <w:p>
      <w:pPr>
        <w:pStyle w:val="BookText"/>
        <w:rPr/>
      </w:pPr>
      <w:r>
        <w:rPr>
          <w:rFonts w:ascii="IRNazanin" w:hAnsi="IRNazanin" w:eastAsia="IRNazanin"/>
          <w:color w:val="111111"/>
          <w:sz w:val="28"/>
          <w:sz w:val="28"/>
          <w:szCs w:val="28"/>
          <w:rtl w:val="true"/>
          <w:lang w:bidi="fa-IR"/>
        </w:rPr>
        <w:t>الوجوب</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لکون النهی منحلاًّ بعدد الأفراد، وسقوط نهی أحدها بالاضطرار لا یستلزم سقوط النهی عن البقیّة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ویتخیّر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إلاّ مع الدوران بین الأقلّ والأکثر، أو بین الأخفّ والأشدّ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ثبوت التخییر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بین متّحد العنوان ومتعدّده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کلّ عنوان مانعاً مستقلاًّ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 یکون أحد الدمین من السباع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فیتعیّن الثانی فی الجمیع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فی الأوّل، والأحوط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فی الأوّل، وعلی الأحوط فی غیره وفی الصور الآتیة، نعم لو تعدّد عنوان المانعیّة کأن یکون النجس من أجزاء ما لا یؤکل لحمه کان الأقوی أیضاً التعیّن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الإشکال فی تعیّن الثانی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فی الدوران بین الأخفّ والأشدّ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إذا کان موضع النجس واحداً وأمکن تطهیر بعضه لا یسقط المیسور</w:t>
      </w:r>
      <w:r>
        <w:rPr>
          <w:rStyle w:val="FootnoteAnchor"/>
          <w:rtl w:val="true"/>
        </w:rPr>
        <w:footnoteReference w:id="563"/>
      </w:r>
      <w:r>
        <w:rPr>
          <w:rFonts w:ascii="IRNazanin" w:hAnsi="IRNazanin" w:eastAsia="IRNazanin"/>
          <w:color w:val="111111"/>
          <w:sz w:val="28"/>
          <w:sz w:val="28"/>
          <w:szCs w:val="28"/>
          <w:rtl w:val="true"/>
          <w:lang w:bidi="fa-IR"/>
        </w:rPr>
        <w:t>، بل إذا لم یمکن التطهیر لکن أمکن إزالة العین وجبت</w:t>
      </w:r>
      <w:r>
        <w:rPr>
          <w:rStyle w:val="FootnoteAnchor"/>
          <w:rtl w:val="true"/>
        </w:rPr>
        <w:footnoteReference w:id="5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کانت للعین مانعیّة مستقلّة، وإلاّ فهو 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المرعشی،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الوجوب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مانعیّة حمل النجاسة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عدم صحّة الصلاة مع حمل عین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فی تعدّد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إذا کانت محتاجة إلی تعدّد الغسل وتمکّن من غسلة واحدة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مانع من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ترکها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ولکنّه لایجب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نّها توجب خفّة النجاسة، إلاّ أن یستلزم خلاف الاحتیاط من جهة اُخری، بأن استلزم وصول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الغسالة إلی المحلّ الطاهر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مقدار من الماء لا یکفی إلاّ لرفع الحدث</w:t>
      </w:r>
      <w:r>
        <w:rPr>
          <w:rStyle w:val="FootnoteAnchor"/>
          <w:rtl w:val="true"/>
        </w:rPr>
        <w:footnoteReference w:id="565"/>
      </w:r>
      <w:r>
        <w:rPr>
          <w:rFonts w:ascii="IRNazanin" w:hAnsi="IRNazanin" w:eastAsia="IRNazanin"/>
          <w:color w:val="111111"/>
          <w:sz w:val="28"/>
          <w:sz w:val="28"/>
          <w:szCs w:val="28"/>
          <w:rtl w:val="true"/>
          <w:lang w:bidi="fa-IR"/>
        </w:rPr>
        <w:t xml:space="preserve">أو لرفع الخبث من الثوب أو البدن تعیّن رفع </w:t>
      </w:r>
    </w:p>
    <w:p>
      <w:pPr>
        <w:pStyle w:val="BookText"/>
        <w:rPr/>
      </w:pPr>
      <w:r>
        <w:rPr>
          <w:rFonts w:ascii="IRNazanin" w:hAnsi="IRNazanin" w:eastAsia="IRNazanin"/>
          <w:color w:val="111111"/>
          <w:sz w:val="28"/>
          <w:sz w:val="28"/>
          <w:szCs w:val="28"/>
          <w:rtl w:val="true"/>
          <w:lang w:bidi="fa-IR"/>
        </w:rPr>
        <w:t>الخبث</w:t>
      </w:r>
      <w:r>
        <w:rPr>
          <w:rStyle w:val="FootnoteAnchor"/>
          <w:rtl w:val="true"/>
        </w:rPr>
        <w:footnoteReference w:id="5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التمکّن من رفعه بالمجتمع من المستعمل فی رفع الحدث فیجمع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یمکن جمع غسالة الوضوء مثلاً فی إناء ورفع الخبث به، وإلاّ فهو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ولو تمکّن من جمع غسالة الوضوء أو الغسل فی إناء ونحوه ورفع الخبث به تعیّن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أمکن رفع الحدث وجمع الغسالة، ثمّ رفع الخبث بها تعیّن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تعیّن رفع الحدث بمقتضی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من قوله تعالی فی سورة المائدة،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کُنتُمْ جُنُباً فَاطَّهَّرُوا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وانظر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یخالفها یضرب عرض الجدار، فلا مجال للأولویّة المذکورة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التخییر بینه وبین رفع الحدث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ویتیمّم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یمکن جمع الغسالة وإزالة الخبث، وإلاّ یتعیّن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بدلاً عن الوضوء أو</w:t>
      </w:r>
      <w:bookmarkStart w:id="243" w:name="pg13273_135080"/>
    </w:p>
    <w:p>
      <w:pPr>
        <w:pStyle w:val="BookText"/>
        <w:rPr/>
      </w:pPr>
      <w:bookmarkEnd w:id="243"/>
      <w:r>
        <w:rPr>
          <w:rFonts w:ascii="IRNazanin" w:hAnsi="IRNazanin" w:eastAsia="IRNazanin"/>
          <w:color w:val="111111"/>
          <w:sz w:val="28"/>
          <w:sz w:val="28"/>
          <w:szCs w:val="28"/>
          <w:rtl w:val="true"/>
          <w:lang w:bidi="fa-IR"/>
        </w:rPr>
        <w:t>الغسل</w:t>
      </w:r>
      <w:r>
        <w:rPr>
          <w:rStyle w:val="FootnoteAnchor"/>
          <w:rtl w:val="true"/>
        </w:rPr>
        <w:footnoteReference w:id="567"/>
      </w:r>
      <w:r>
        <w:rPr>
          <w:rFonts w:ascii="IRNazanin" w:hAnsi="IRNazanin" w:eastAsia="IRNazanin"/>
          <w:color w:val="111111"/>
          <w:sz w:val="28"/>
          <w:sz w:val="28"/>
          <w:szCs w:val="28"/>
          <w:rtl w:val="true"/>
          <w:lang w:bidi="fa-IR"/>
        </w:rPr>
        <w:t>، والأولی</w:t>
      </w:r>
      <w:r>
        <w:rPr>
          <w:rStyle w:val="FootnoteAnchor"/>
          <w:rtl w:val="true"/>
        </w:rPr>
        <w:footnoteReference w:id="5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 مهدی الشیرازی، عبداللّه الشیرازی، الخمینی،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هذا الاحتیاط الفقهی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لهذه الأولویّة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یستعمله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إزالة الخبث أوّلاً ثمّ التیمّم؛ لیتحقّق عدم الوجدان حینه</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666514_2322387425"/>
      <w:bookmarkStart w:id="245" w:name="_Toc85"/>
      <w:bookmarkEnd w:id="244"/>
      <w:r>
        <w:rPr>
          <w:rtl w:val="true"/>
        </w:rPr>
        <w:t>الصلاة فی النجس اضطراراً</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مع النجاسة اضطراراً </w:t>
      </w:r>
      <w:r>
        <w:rPr>
          <w:rStyle w:val="FootnoteAnchor"/>
          <w:rtl w:val="true"/>
        </w:rPr>
        <w:footnoteReference w:id="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لم یتمکّن من تحصیل ثوب طاهر، أو من تطهیر بدنه حین إرادة الصلاة ولو کان ذلک فی سعة الوقت، ولکنّ جواز البدار حینئذٍ منوط بعدم إحراز طروء التمکّن منه فی الوقت، أو کون المبرّر للصلاة مع النجاسة هو التقیّة، وإذا جاز البدار یحکم بالإجزاء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 علیه 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جدّاً؛ لعدم شمول أدلّة الاضطرار لمثله؛ لانصرافه إلی الاضطرار علی ترک شیء فی الطبیعة المأمور بها أو فعله، ومثله لا یحصل إلاّ بحصوله فی تمام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لزومها علیه فی الوقت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بالإعادة، وکذا فی السجود علی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نعم لو استوعب الاضطرار لتمام الوقت لم یجب علیه القضاء، وکذا الکلام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صلّی فیه مع سعة الوقت للیأس من الظفر بثوب طاهر أو تطهیر بدنه أعاد فی الوقت علی الأحوط، والأحوط التأخیر إلی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صلّی آخر الوقت أو فی السعة مع استیعاب العذر فالأقوی عدم وجوب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فی مورد التقیّة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سیّما إذا کان الاضطرار لأجل التقیّة، وکذا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نظر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غیر التقیّة وجوب الإعادة إن صلّی فی سعة الوقت، ثمّ تمکّن بعد التطهیر أو التبدیل أو النزع مع ساتر غیره، فیما لو کان الحصول بعد الفراغ أو فی الأثناء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تصحّ الصلاة مع النجاسة اضطراراً إذا استمرّ به العذر إلی آخر الوقت، فإذا صلّی مع النجاسة فی سعة الوقت، ثمّ زال العذر وهو فی الوقت فلابدّ من الإعادة، کما تقدّم فی المسألة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التقیّة، وأمّا فی غیرها من بقیّة الأعذار فمع البدار یعید الصلاة بعد التمکّن من التطهیر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الاضطرار للتقیّة، وإلاّ فالأحوط الإعادة بعد التمکّن فی الوقت، لا فی خارجه، وکذلک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التفصیل بین التمکّن منه فی الوقت فیجب الإعادة، وبین التمکّن‌منه فی خارجه فلا یجب القضاء، ولو تمکّن منه فی 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تمکّن من استئناف الصلاة فی الوقت ولو بإدراک رکعة منها تعیّن، وإلاّ أتمّ صلاته ولا إعادة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صلّی مع ضیق الوقت، أو مع ثبوت العذر فی تمام الوقت، وفی غیره الأحوط الإعادة إن قلنا بجواز الصلاة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التمکّن من التطهیر، نعم لو حصل التمکّن فی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أثناء الصلاة استأنف</w:t>
      </w:r>
      <w:r>
        <w:rPr>
          <w:rStyle w:val="FootnoteAnchor"/>
          <w:rtl w:val="true"/>
        </w:rPr>
        <w:footnoteReference w:id="5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تمکّن من التطهیر من دون الإتیان بالمنافی تطهّر وبنی علی صلاته بلا لزوم الإعادة، ولو فی سعة الوقت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علی تقدیر عدم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أفعال الصلاة،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الصلاة، وإلاّ یکفی التبدیل أو التطهیر والإتمام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یتمکّن من التطهیر أو النزع، ووجوب الاستئناف فی هذا الفرض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سعة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أمکن إزالتها فی الأثناء بدون المنافی أتمّها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مع التمکّن من التطهیر من غیر منافٍ التطهیر والإتمام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التمکّن من التطهیر أو التبدیل بدون فعل المنافی لا یبعد جواز الإتمام، فلا ینبغی ترک الاحتیاط فی هذه الصورة بالإتمام کذلک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یمکن التغییر أو التبدیل بغیر منافٍ، وإلاّ فعل وأتمّ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التمکّن من الإزالة فی الأثناء وبقاء التستّر وعدم المنافی أتمّها، وإن کان الأحوط الإعادة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یوهم جواز الصلاة معها فی سعة الوقت، والأقوی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أتمّها مع التطهیر لو أمکن، والأحوط مع ذلک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یتمکّن من التطهیر فی الصلاة بلا محذور، وإلاّ فالإجزاء لا یخلو من قوّة، وإن کان 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قیل بجواز البدار، لکنّ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والأحوط</w:t>
      </w:r>
    </w:p>
    <w:p>
      <w:pPr>
        <w:pStyle w:val="BookText"/>
        <w:rPr/>
      </w:pPr>
      <w:r>
        <w:rPr>
          <w:rFonts w:ascii="IRNazanin" w:hAnsi="IRNazanin" w:eastAsia="IRNazanin"/>
          <w:color w:val="111111"/>
          <w:sz w:val="28"/>
          <w:sz w:val="28"/>
          <w:szCs w:val="28"/>
          <w:rtl w:val="true"/>
          <w:lang w:bidi="fa-IR"/>
        </w:rPr>
        <w:t>الإتمام</w:t>
      </w:r>
      <w:r>
        <w:rPr>
          <w:rStyle w:val="FootnoteAnchor"/>
          <w:rtl w:val="true"/>
        </w:rPr>
        <w:footnoteReference w:id="5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بضمّ التطهیر فی أثنائها إن تمکّن منه بلا لزوم خلل آخر، وإلاّ فیتمّه فی النجس ویُعید بعده، وإن کان الأقوی الاکتفاء بالإعادة محضاً من جهة عدم انطباق المأمور به علی المأتیّ به کی یجیء فیه شبهة المزاحمة مع وجوب إتمامه مع التستّر به أو عاریاً، کما أشرنا إلی نظیره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التطهیر فی البین إن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التطهیر أو التبدیل أو النزع والتستّر بغیره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مع التمکّن من التطهیر فی الأثناء وعدم لزوم منافٍ فی البین یلزمه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ضمّ التطهیر فی الأثناء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التأخیر إلی آخر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اضطرّ إلی السجود علی ما لا یسجد علیه شرعاً، ثمّ لیعلم أ نّه یأتی هنا بعض ما قدّمناه فی حاشیة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السجود</w:t>
      </w:r>
      <w:r>
        <w:rPr>
          <w:rStyle w:val="FootnoteAnchor"/>
          <w:rtl w:val="true"/>
        </w:rPr>
        <w:footnoteReference w:id="5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ظهر الحال فیه ممّا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محلّ نجس لا یجب إعادتها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استمرار العذر إلی آخر الوقت، کما تقدّم فی نظیره، فإذا سجد علی النجس مع سعة الوقت ثمّ زال العذر فی الوقت أعاد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العذر هو التقیّة، أمّا فی غیرها فیشترط کون الاضطرار فی تمام الوقت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ذلک بعد الوقت، وإلاّ فالأظهر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التمکّن من الطاهر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 علی الموضع النجس جهلاً</w:t>
      </w:r>
      <w:r>
        <w:rPr>
          <w:rStyle w:val="FootnoteAnchor"/>
          <w:rtl w:val="true"/>
        </w:rPr>
        <w:footnoteReference w:id="5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بالموضوع لا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نسیاناً لا یجب علیه الإعادة، وإن کانت</w:t>
      </w:r>
      <w:bookmarkStart w:id="246" w:name="pg13273_135085"/>
    </w:p>
    <w:p>
      <w:pPr>
        <w:pStyle w:val="BookText"/>
        <w:rPr/>
      </w:pPr>
      <w:bookmarkEnd w:id="246"/>
      <w:r>
        <w:rPr>
          <w:rFonts w:ascii="IRNazanin" w:hAnsi="IRNazanin" w:eastAsia="IRNazanin"/>
          <w:color w:val="111111"/>
          <w:sz w:val="28"/>
          <w:sz w:val="28"/>
          <w:szCs w:val="28"/>
          <w:rtl w:val="true"/>
          <w:lang w:bidi="fa-IR"/>
        </w:rPr>
        <w:t>أحوط</w:t>
      </w:r>
      <w:r>
        <w:rPr>
          <w:rStyle w:val="FootnoteAnchor"/>
          <w:rtl w:val="true"/>
        </w:rPr>
        <w:footnoteReference w:id="5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حسین القمّی، البروجردی، مهدی الشیرازی، الشاهرودی، البجنوردی، عبداللّه الشیرازی، الفانی،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لزوماً، لا سیّما إذا کان ذلک فی السجدتین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 فیما کان فی السجدتین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وإن کان عدم الوجوب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فیما لو کانت السجدتان معاً فی 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السجود علی الموضع النجس فی سجدة واحدة من رکعة أو أکثر، فالاحتیاط بالإعادة ضعیف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لازم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إذا کان ذلک فی سجدتین من رکعة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7" w:name="__RefHeading___Toc1666516_2322387425"/>
      <w:bookmarkStart w:id="248" w:name="_Toc86"/>
      <w:bookmarkEnd w:id="247"/>
      <w:r>
        <w:rPr>
          <w:rtl w:val="true"/>
        </w:rPr>
        <w:t>فصل فیما یُعفی عنه فی الصلاة</w:t>
      </w:r>
      <w:bookmarkEnd w:id="248"/>
    </w:p>
    <w:p>
      <w:pPr>
        <w:pStyle w:val="Heading3"/>
        <w:numPr>
          <w:ilvl w:val="2"/>
          <w:numId w:val="1"/>
        </w:numPr>
        <w:rPr/>
      </w:pPr>
      <w:bookmarkStart w:id="249" w:name="__RefHeading___Toc1666518_2322387425"/>
      <w:bookmarkStart w:id="250" w:name="_Toc87"/>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وهو اُمور</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666520_2322387425"/>
      <w:bookmarkStart w:id="252" w:name="_Toc88"/>
      <w:bookmarkEnd w:id="251"/>
      <w:r>
        <w:rPr>
          <w:rtl w:val="true"/>
        </w:rPr>
        <w:t>الأول</w:t>
      </w:r>
      <w:r>
        <w:rPr>
          <w:rtl w:val="true"/>
        </w:rPr>
        <w:t xml:space="preserve">: </w:t>
      </w:r>
      <w:r>
        <w:rPr>
          <w:rtl w:val="true"/>
        </w:rPr>
        <w:t>دم الجروح والقروح</w:t>
      </w:r>
      <w:bookmarkEnd w:id="25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الجروح والقروح</w:t>
      </w:r>
      <w:r>
        <w:rPr>
          <w:rStyle w:val="FootnoteAnchor"/>
          <w:rtl w:val="true"/>
        </w:rPr>
        <w:footnoteReference w:id="5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کالدُمَّل والجراحات، ومنه دم البواسیر إذا کانت ظاهرة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تبرأ، فی الثوب أو البدن، قلیلاً</w:t>
      </w:r>
    </w:p>
    <w:p>
      <w:pPr>
        <w:pStyle w:val="BookText"/>
        <w:rPr/>
      </w:pPr>
      <w:r>
        <w:rPr>
          <w:rFonts w:ascii="IRNazanin" w:hAnsi="IRNazanin" w:eastAsia="IRNazanin"/>
          <w:color w:val="111111"/>
          <w:sz w:val="28"/>
          <w:sz w:val="28"/>
          <w:szCs w:val="28"/>
          <w:rtl w:val="true"/>
          <w:lang w:bidi="fa-IR"/>
        </w:rPr>
        <w:t>کان أو کثیراً، أمکن الإزالة أو التبدیل</w:t>
      </w:r>
      <w:r>
        <w:rPr>
          <w:rStyle w:val="FootnoteAnchor"/>
          <w:rtl w:val="true"/>
        </w:rPr>
        <w:footnoteReference w:id="577"/>
      </w:r>
      <w:r>
        <w:rPr>
          <w:rFonts w:ascii="Amiri" w:hAnsi="Amiri" w:eastAsia="Amiri" w:cs="Amiri"/>
          <w:color w:val="111111"/>
          <w:sz w:val="28"/>
          <w:sz w:val="28"/>
          <w:szCs w:val="28"/>
          <w:rtl w:val="true"/>
          <w:lang w:bidi="ar-SA"/>
        </w:rPr>
        <w:t>، بلا مشقّة أم لا</w:t>
      </w:r>
      <w:r>
        <w:rPr>
          <w:rStyle w:val="FootnoteAnchor"/>
          <w:rtl w:val="true"/>
        </w:rPr>
        <w:footnoteReference w:id="5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المشقّة الشخصیّة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یعتبر أن یکون ممّا فیه مشقّة نوعیّة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المعیار فیها أن یکون عدم العفو موجباً لتکرّر غسل الثوب أو تبدیله أکثر من مرّة فی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اعتبار شیء زائد علی ما تقتضیه الجرحة أو القرحة، ولعلّه تکون المشقّة النوعیّة فی التطهیر أو الإزالة فی کلّ جرحة وقرحة یعتدّ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کان ممّا لا مشقّة فی تطهیره أو تبدیله علی نوع الناس فالأحوط إزالته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یجوز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إن لم یکن علیه مشقّة کان علی النوع حرجاً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أنّ العبرة بالمشقّة الشخصیّة لا النوعیّة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الشاهرودی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حرجاً علیه، وإن لم یکن فیه مشقّة نوعیّة فلا یجب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لا سیّما فیما إذا استلزم مشقّة شخصیّة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 حرجاً علی شخصه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تبدیل الثوب، وکذا</w:t>
      </w:r>
    </w:p>
    <w:p>
      <w:pPr>
        <w:pStyle w:val="BookText"/>
        <w:rPr/>
      </w:pPr>
      <w:r>
        <w:rPr>
          <w:rFonts w:ascii="IRNazanin" w:hAnsi="IRNazanin" w:eastAsia="IRNazanin"/>
          <w:color w:val="111111"/>
          <w:sz w:val="28"/>
          <w:sz w:val="28"/>
          <w:szCs w:val="28"/>
          <w:rtl w:val="true"/>
          <w:lang w:bidi="fa-IR"/>
        </w:rPr>
        <w:t>یعتبر</w:t>
      </w:r>
      <w:r>
        <w:rPr>
          <w:rStyle w:val="FootnoteAnchor"/>
          <w:rtl w:val="true"/>
        </w:rPr>
        <w:footnoteReference w:id="5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الاعتبار المذکور لا وجه له ظاهراً، نعم یکون موافقاً مع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الجرح ممّا یعتدّ به، وله ثبات واستقرار، فالجروح الجزئیّة یجب تطهیر دمها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کغیرها فی الحکم، فیعفی عن دمها مع وجود المشقّة النوعیّة، ویجب التطهیر منه مع عدمها، کما هو الغالب فی الجروح الجزئیّة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فرض صدق الجرحة لا وجه 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فیما یعفی عنه منعه عن التنجیس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یجب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وجوبه، نعم هو أقرب إلی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زین الدین،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الفرق بین الشدّ والمنع فی الحکم، وإن کان المستظهر من مضمرة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النجاسات،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لزوم الأوّل، والأحوط المنع والشدّ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وجوب الأشدّ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فی موضع یتعارف شدّه، ولا</w:t>
      </w:r>
    </w:p>
    <w:p>
      <w:pPr>
        <w:pStyle w:val="BookText"/>
        <w:rPr/>
      </w:pPr>
      <w:r>
        <w:rPr>
          <w:rFonts w:ascii="IRNazanin" w:hAnsi="IRNazanin" w:eastAsia="IRNazanin"/>
          <w:color w:val="111111"/>
          <w:sz w:val="28"/>
          <w:sz w:val="28"/>
          <w:szCs w:val="28"/>
          <w:rtl w:val="true"/>
          <w:lang w:bidi="fa-IR"/>
        </w:rPr>
        <w:t>یختصّ العفو بما فی محلّ الجرح، فلو تعدّی عن البدن إلی اللباس، أو إلی أطراف المحلّ کان معفوّاً، لکن بالمقدار المتعارف</w:t>
      </w:r>
      <w:r>
        <w:rPr>
          <w:rStyle w:val="FootnoteAnchor"/>
          <w:rtl w:val="true"/>
        </w:rPr>
        <w:footnoteReference w:id="5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لم یکن خارجاً عن المتعارف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لرعایة التعارف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کان أزید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وغیره، کما إذا تعدّی بحرکة غیر متعارفة ونحوها، نعم لا یحکم بالعفو عن غیر أطراف المحلّ، کما سیأتی فی 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ذلک الجرح، ویختلف ذلک باختلافها من حیث الکبر والصغر، ومن حیث المحلّ، فقد یکون فی محلّ لازمه بحسب المتعارف التعدّی إلی الأطراف کثیراً، أو فی محلّ لا یمکن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فالمناط المتعارف بحسب ذلک الجرح</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یعفی عن دم الجروح کذا یعفی</w:t>
      </w:r>
      <w:r>
        <w:rPr>
          <w:rStyle w:val="FootnoteAnchor"/>
          <w:rtl w:val="true"/>
        </w:rPr>
        <w:footnoteReference w:id="581"/>
      </w:r>
      <w:r>
        <w:rPr>
          <w:rFonts w:ascii="IRNazanin" w:hAnsi="IRNazanin" w:eastAsia="IRNazanin"/>
          <w:color w:val="111111"/>
          <w:sz w:val="28"/>
          <w:sz w:val="28"/>
          <w:szCs w:val="28"/>
          <w:rtl w:val="true"/>
          <w:lang w:bidi="fa-IR"/>
        </w:rPr>
        <w:t xml:space="preserve">عن القیح </w:t>
      </w:r>
    </w:p>
    <w:p>
      <w:pPr>
        <w:pStyle w:val="BookText"/>
        <w:rPr/>
      </w:pPr>
      <w:r>
        <w:rPr>
          <w:rFonts w:ascii="IRNazanin" w:hAnsi="IRNazanin" w:eastAsia="IRNazanin"/>
          <w:color w:val="111111"/>
          <w:sz w:val="28"/>
          <w:sz w:val="28"/>
          <w:szCs w:val="28"/>
          <w:rtl w:val="true"/>
          <w:lang w:bidi="fa-IR"/>
        </w:rPr>
        <w:t>المتنجّس الخارج معه، والدواء المتنجّس الموضوع علیه</w:t>
      </w:r>
      <w:r>
        <w:rPr>
          <w:rStyle w:val="FootnoteAnchor"/>
          <w:rtl w:val="true"/>
        </w:rPr>
        <w:footnoteReference w:id="582"/>
      </w:r>
      <w:r>
        <w:rPr>
          <w:rFonts w:ascii="IRNazanin" w:hAnsi="IRNazanin" w:eastAsia="IRNazanin"/>
          <w:color w:val="111111"/>
          <w:sz w:val="28"/>
          <w:sz w:val="28"/>
          <w:szCs w:val="28"/>
          <w:rtl w:val="true"/>
          <w:lang w:bidi="fa-IR"/>
        </w:rPr>
        <w:t>، والعرق المتّصل به فی المتعارف، أمّا الرطوبة الخارجیّة إذا وصلت إلیه وتعدّت إلی الأطراف فالعفو عنها مشکل</w:t>
      </w:r>
      <w:r>
        <w:rPr>
          <w:rStyle w:val="FootnoteAnchor"/>
          <w:rtl w:val="true"/>
        </w:rPr>
        <w:footnoteReference w:id="5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علی کون المتنجّس منجّساً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الصلاة به غیر 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فیجب غسلها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لم یکن فیه حرج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تلوّثت یده فی مقام العلاج یجب غسلها، ولا عفو</w:t>
      </w:r>
      <w:r>
        <w:rPr>
          <w:rStyle w:val="FootnoteAnchor"/>
          <w:rtl w:val="true"/>
        </w:rPr>
        <w:footnoteReference w:id="584"/>
      </w:r>
      <w:r>
        <w:rPr>
          <w:rFonts w:ascii="IRNazanin" w:hAnsi="IRNazanin" w:eastAsia="IRNazanin"/>
          <w:color w:val="111111"/>
          <w:sz w:val="28"/>
          <w:sz w:val="28"/>
          <w:szCs w:val="28"/>
          <w:rtl w:val="true"/>
          <w:lang w:bidi="fa-IR"/>
        </w:rPr>
        <w:t xml:space="preserve">، کما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الجرح ممّا لا یتعدّی فتلوّثت أطرافه بالمسح علیها بیده أو بالخرقة الملوّثتین علی خلاف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یعفی عن دم البواسیر</w:t>
      </w:r>
      <w:r>
        <w:rPr>
          <w:rStyle w:val="FootnoteAnchor"/>
          <w:rtl w:val="true"/>
        </w:rPr>
        <w:footnoteReference w:id="5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یصدق علیه القروح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العفو إذا کان الدم من الباطن مطلقاً ما لم یستلزم الحرج أو 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مع عدم المشقّة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داخلاً ولم یکن فی تطهیره حرج فالأحوط التطهیر، بل وکذلک فی کلّ قرح أو جرح باطنی خرج دمه إلی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هی قرحة حقیقیّة وکان فی التطهیر مشقّة نوعیّة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البواسیر وما أشبهها من الفساتیل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العفو عن دم البواسیر نظر، وکذا فی القروح والجروح الباطنیّة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عدم العفو عنه مع عدم المشقّة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خارجة کانت</w:t>
      </w:r>
    </w:p>
    <w:p>
      <w:pPr>
        <w:pStyle w:val="BookText"/>
        <w:rPr/>
      </w:pPr>
      <w:r>
        <w:rPr>
          <w:rFonts w:ascii="Amiri" w:hAnsi="Amiri" w:eastAsia="Amiri" w:cs="Amiri"/>
          <w:color w:val="111111"/>
          <w:sz w:val="28"/>
          <w:sz w:val="28"/>
          <w:szCs w:val="28"/>
          <w:rtl w:val="true"/>
          <w:lang w:bidi="ar-SA"/>
        </w:rPr>
        <w:t>أو داخلة</w:t>
      </w:r>
      <w:r>
        <w:rPr>
          <w:rStyle w:val="FootnoteAnchor"/>
          <w:rtl w:val="true"/>
        </w:rPr>
        <w:footnoteReference w:id="5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العفو عن مطلق الداخلة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إن لم یکن أقوی عدم العفو عنها وعن الداخلة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 البواسیر الداخلة معفوّ عنـه إذا کان فی تطهیره حـرج أو 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مطلق الداخلیّة إشکال إذا لم یکن التطهیر حرجیّاً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الحکم فی الروایات للداخلة من البواسیر وغیرها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کلّ قرح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جرح باطنی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الأخبار للجروح والقروح الباطنیّة مشکل، فالاحتیاط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الأدلّة للقروح والجروح الداخلیّة مشکل، وکذا دم البواسیر،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دمه إلی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إذا خرج الدم من جرح فی داخل الفم أو الأنف ونحوهما، سواء کان فی التطهیر حرج ومشقّة شخصیة له أو لا، وسواء کان أقلّ من الدرهم أو أکثر، فالصلاة معه صحیحة وإن کان الأحوط فی صورة عدم المشقّة التطهیر، ومنه دم البواسیر إذا کانت داخلة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یعفی عن دم الرعاف</w:t>
      </w:r>
      <w:r>
        <w:rPr>
          <w:rStyle w:val="FootnoteAnchor"/>
          <w:rtl w:val="true"/>
        </w:rPr>
        <w:footnoteReference w:id="5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 أقلّ من الدرهم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یستند إلی جرح أو قرح فی داخل الأنف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یکن من علّة الجرح فی الأنف وکان اتّفاقیّاً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بخلاف دم الجرح أو القرح فی داخل الأنف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یکون من الجروح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w:t>
      </w:r>
      <w:r>
        <w:rPr>
          <w:rStyle w:val="FootnoteAnchor"/>
          <w:rtl w:val="true"/>
        </w:rPr>
        <w:footnoteReference w:id="589"/>
      </w:r>
      <w:r>
        <w:rPr>
          <w:rFonts w:ascii="IRNazanin" w:hAnsi="IRNazanin" w:eastAsia="IRNazanin"/>
          <w:color w:val="111111"/>
          <w:sz w:val="28"/>
          <w:sz w:val="28"/>
          <w:szCs w:val="28"/>
          <w:rtl w:val="true"/>
          <w:lang w:bidi="fa-IR"/>
        </w:rPr>
        <w:t>لصاحب القروح والجروح أن یغسل ثوبه من دمهما کلّ یوم مرّة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دمٍ أ نّه من الجروح أو القروح أم لا ، فالأحوط</w:t>
      </w:r>
      <w:r>
        <w:rPr>
          <w:rStyle w:val="FootnoteAnchor"/>
          <w:rtl w:val="true"/>
        </w:rPr>
        <w:footnoteReference w:id="5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جواز الصلاة فیه؛ لأنّ العنوان الخارج عن عمومات مانعیّة الدم هو الدم الخاصّ المحکوم بأصالة عدم اتّصافه به عدم کونه ممّا یعفی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جواز الصلاة فیه لا یخلو عن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البأس بالصلاة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العفو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عن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فرق بین هذا الفرض وما قبله فی البناء علی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جواز الصلاة فیه، نعم إذا کانت الشبهة فی المفهوم فالأقوی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العفو</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5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جواز الصلاة فیه، لعدم جریان أصالة عدم کون هذا الدم جرحاً أو قرحاً، لأ نّه عدم نعتی لیس له حالة سابقة، وعدمه المحمولی مثبت، والشکّ فی المانعیّة مجری البراءة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الصلاة فیه بعد اختیار عدم جریان أصالة العدم وعدم ثبوت کلّیّة یعتدّ بها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جواز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أکثر من الدرهم فالأحوط وجوباً عدم العفو عنه ولو شکّ فی برء جرحه یکون دمه معفوّاً عنه، إذا کان فی تطهیره مشقّة حتّی یحصل العلم بالبرء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العفو لا یخلو عن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3273_135093"/>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القروح أو الجروح المتعدّدة متقاربة بحیث تعدّ جرحاً واحداً عرفاً جری علیها حکم الواحد، فلو برأ بعضها لم یجب غسله، بل هو معفوّ عنه حتّی یبرأ الجمیع، وإن کانت متباعدة</w:t>
      </w:r>
      <w:r>
        <w:rPr>
          <w:rStyle w:val="FootnoteAnchor"/>
          <w:rtl w:val="true"/>
        </w:rPr>
        <w:footnoteReference w:id="593"/>
      </w:r>
      <w:r>
        <w:rPr>
          <w:rFonts w:ascii="IRNazanin" w:hAnsi="IRNazanin" w:eastAsia="IRNazanin"/>
          <w:color w:val="111111"/>
          <w:sz w:val="28"/>
          <w:sz w:val="28"/>
          <w:szCs w:val="28"/>
          <w:rtl w:val="true"/>
          <w:lang w:bidi="fa-IR"/>
        </w:rPr>
        <w:t>لا یصدق علیها الوحدة العرفیّة فلکلٍّ حکم نفسه، فلو برأ البعض وجب غسله</w:t>
      </w:r>
      <w:r>
        <w:rPr>
          <w:rStyle w:val="FootnoteAnchor"/>
          <w:rtl w:val="true"/>
        </w:rPr>
        <w:footnoteReference w:id="594"/>
      </w:r>
      <w:r>
        <w:rPr>
          <w:rFonts w:ascii="IRNazanin" w:hAnsi="IRNazanin" w:eastAsia="IRNazanin"/>
          <w:color w:val="111111"/>
          <w:sz w:val="28"/>
          <w:sz w:val="28"/>
          <w:szCs w:val="28"/>
          <w:rtl w:val="true"/>
          <w:lang w:bidi="fa-IR"/>
        </w:rPr>
        <w:t>، ولا یعفی عنه إلی أن یبرأ الجمیع</w:t>
      </w:r>
      <w:r>
        <w:rPr>
          <w:rFonts w:eastAsia="IRNazanin" w:cs="IRNazanin"/>
          <w:color w:val="111111"/>
          <w:sz w:val="28"/>
          <w:szCs w:val="28"/>
          <w:rtl w:val="true"/>
          <w:lang w:bidi="fa-IR"/>
        </w:rPr>
        <w:t>.</w:t>
      </w:r>
    </w:p>
    <w:p>
      <w:pPr>
        <w:pStyle w:val="Heading3"/>
        <w:numPr>
          <w:ilvl w:val="2"/>
          <w:numId w:val="1"/>
        </w:numPr>
        <w:rPr/>
      </w:pPr>
      <w:bookmarkStart w:id="254" w:name="__RefHeading___Toc1666522_2322387425"/>
      <w:bookmarkStart w:id="255" w:name="_Toc89"/>
      <w:bookmarkEnd w:id="254"/>
      <w:r>
        <w:rPr>
          <w:rtl w:val="true"/>
        </w:rPr>
        <w:t>الثانی</w:t>
      </w:r>
      <w:r>
        <w:rPr>
          <w:rtl w:val="true"/>
        </w:rPr>
        <w:t xml:space="preserve">: </w:t>
      </w:r>
      <w:r>
        <w:rPr>
          <w:rtl w:val="true"/>
        </w:rPr>
        <w:t>الدم الأقل من الدرهم</w:t>
      </w:r>
      <w:bookmarkEnd w:id="25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یعفی عنه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الأقلّ</w:t>
      </w:r>
      <w:r>
        <w:rPr>
          <w:rStyle w:val="FootnoteAnchor"/>
          <w:rtl w:val="true"/>
        </w:rPr>
        <w:footnoteReference w:id="595"/>
      </w:r>
      <w:r>
        <w:rPr>
          <w:rFonts w:ascii="IRNazanin" w:hAnsi="IRNazanin" w:eastAsia="IRNazanin"/>
          <w:color w:val="111111"/>
          <w:sz w:val="28"/>
          <w:sz w:val="28"/>
          <w:szCs w:val="28"/>
          <w:rtl w:val="true"/>
          <w:lang w:bidi="fa-IR"/>
        </w:rPr>
        <w:t>من الدرهم، سواء کان فی البدن</w:t>
      </w:r>
      <w:r>
        <w:rPr>
          <w:rStyle w:val="FootnoteAnchor"/>
          <w:rtl w:val="true"/>
        </w:rPr>
        <w:footnoteReference w:id="596"/>
      </w:r>
      <w:r>
        <w:rPr>
          <w:rFonts w:ascii="IRNazanin" w:hAnsi="IRNazanin" w:eastAsia="IRNazanin"/>
          <w:color w:val="111111"/>
          <w:sz w:val="28"/>
          <w:sz w:val="28"/>
          <w:szCs w:val="28"/>
          <w:rtl w:val="true"/>
          <w:lang w:bidi="fa-IR"/>
        </w:rPr>
        <w:t>أو اللباس، من نفسه أو غیره</w:t>
      </w:r>
      <w:r>
        <w:rPr>
          <w:rStyle w:val="FootnoteAnchor"/>
          <w:rtl w:val="true"/>
        </w:rPr>
        <w:footnoteReference w:id="59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الأقوی، والفرق بینهما استناداً إلی مرفوعة البرقی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 الدماء</w:t>
      </w:r>
    </w:p>
    <w:p>
      <w:pPr>
        <w:pStyle w:val="BookText"/>
        <w:rPr/>
      </w:pPr>
      <w:r>
        <w:rPr>
          <w:rFonts w:ascii="Amiri" w:hAnsi="Amiri" w:eastAsia="Amiri" w:cs="Amiri"/>
          <w:color w:val="111111"/>
          <w:sz w:val="28"/>
          <w:sz w:val="28"/>
          <w:szCs w:val="28"/>
          <w:rtl w:val="true"/>
          <w:lang w:bidi="ar-SA"/>
        </w:rPr>
        <w:t>الثلاثة</w:t>
      </w:r>
      <w:r>
        <w:rPr>
          <w:rStyle w:val="FootnoteAnchor"/>
          <w:rtl w:val="true"/>
        </w:rPr>
        <w:footnoteReference w:id="5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الدماء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لاستثنائها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الاستثناء فی دم الحیض لا یخلو من وجه، وأمّا فی غیره ممّا ذکره قدس‌سره فمبنیّ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الحیض والنفاس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دم النفاس والاستحاضة، وعلی الأقوی فی بقیّة المذکورات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والاستحاضة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العفو شاملة، والاستثناء خاصّ بالحیض، ویلحقه النفاس؛ لما دلّ علی أ نّه حیض محتبس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للإجماع علی إلحاقه بدم الحیض فی هذا الحکم، وأمّا النفاس فهو حیض محتبس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فیها خصوصاً الاستحاضة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من نجس العین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المیتة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أو غیر</w:t>
      </w:r>
    </w:p>
    <w:p>
      <w:pPr>
        <w:pStyle w:val="BookText"/>
        <w:rPr/>
      </w:pPr>
      <w:r>
        <w:rPr>
          <w:rFonts w:ascii="IRNazanin" w:hAnsi="IRNazanin" w:eastAsia="IRNazanin"/>
          <w:color w:val="111111"/>
          <w:sz w:val="28"/>
          <w:sz w:val="28"/>
          <w:szCs w:val="28"/>
          <w:rtl w:val="true"/>
          <w:lang w:bidi="fa-IR"/>
        </w:rPr>
        <w:t>المأکول</w:t>
      </w:r>
      <w:r>
        <w:rPr>
          <w:rStyle w:val="FootnoteAnchor"/>
          <w:rtl w:val="true"/>
        </w:rPr>
        <w:footnoteReference w:id="5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کالأرنب والقطّ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عدا الإنسان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النفاس وما بعده، وإن کان العفو عمّا بعد الاستحاضة لا یخلو من وجه، هذا فیما عدا غیر المأکول، وأمّا فیه فالأولی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 یخلو عن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فی غیر المأکول وإن کانت ممنوعة ولکنّ الاحتیاط فیه ممّا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فیما عدا الاستحاضة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الحکم عدم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متفرّقاً فی البدن أو اللباس أو فیهما وکان المجموع بقدر الدرهم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العفو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یجوز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والمناط سعة الدرهم</w:t>
      </w:r>
      <w:r>
        <w:rPr>
          <w:rStyle w:val="FootnoteAnchor"/>
          <w:rtl w:val="true"/>
        </w:rPr>
        <w:footnoteReference w:id="600"/>
      </w:r>
      <w:r>
        <w:rPr>
          <w:rFonts w:ascii="Amiri" w:hAnsi="Amiri" w:eastAsia="Amiri" w:cs="Amiri"/>
          <w:color w:val="111111"/>
          <w:sz w:val="28"/>
          <w:sz w:val="28"/>
          <w:szCs w:val="28"/>
          <w:rtl w:val="true"/>
          <w:lang w:bidi="ar-SA"/>
        </w:rPr>
        <w:t>لا وزنه، وحدّه سعة أخمص الراحة</w:t>
      </w:r>
      <w:r>
        <w:rPr>
          <w:rStyle w:val="FootnoteAnchor"/>
          <w:rtl w:val="true"/>
        </w:rPr>
        <w:footnoteReference w:id="6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عن ابن إدریس، وهو الأشهر لدی القدماء، والمراد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انخفض من باطن الکفّ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بطن الکفّ الّذی لا یمسّ الأرض عند وضعها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ولمّا حدّه بعضهم بسعة عقد الإبهام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بالاقتصار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الید، وآخر بعقد الوسطی، وآخر بعقد السبّابة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التحدید بعقد الوسطی أو بعقد السبّابة لابدّ وأن یکون لقُطر الدرهم، لا لسعته؛ وذلک من جهة استطالة العقدة واستدارة الدرهم، کما أنّ التحدید بهما لابدّ وأن یکون بطول العقدة، کما هو ظاهر لفظ العقدة، لا بعرضها، وإذا کان المراد هو ذلک فالتفاوت بینهما وبین ما یقرب من أخمص الراحة یسیر جدّاً، یمکن وقوعه بین أفراد الدرهم قدیماً، وعلی أیّ حالٍ فالأحوط أن یکون القطر بطول عقدة السبّابة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عبدالهادی الشیرازی، الفانی، الخمینی، الخوئی، الآملی، محمّد رضا الگلپایگانی، حسن القمّی،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ویرجع فیما زاد عن ذلک إلی عموم مانعیّة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 ولا یبعد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الاقتصار</w:t>
      </w:r>
      <w:r>
        <w:rPr>
          <w:rStyle w:val="FootnoteAnchor"/>
          <w:rtl w:val="true"/>
        </w:rPr>
        <w:footnoteReference w:id="602"/>
      </w:r>
      <w:r>
        <w:rPr>
          <w:rFonts w:ascii="Amiri" w:hAnsi="Amiri" w:eastAsia="Amiri" w:cs="Amiri"/>
          <w:color w:val="111111"/>
          <w:sz w:val="28"/>
          <w:sz w:val="28"/>
          <w:szCs w:val="28"/>
          <w:rtl w:val="true"/>
          <w:lang w:bidi="ar-SA"/>
        </w:rPr>
        <w:t>علی الأقلّ</w:t>
      </w:r>
      <w:r>
        <w:rPr>
          <w:rStyle w:val="FootnoteAnchor"/>
          <w:rtl w:val="true"/>
        </w:rPr>
        <w:footnoteReference w:id="6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لإجمال الدرهم من ناحیّة السعة مفهوماً، ففی الزائد علی المتیقّن یرجع إلی عمومات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تفشّی من أحد طرفی الثوب إلی الآخر فدم واحد</w:t>
      </w:r>
      <w:r>
        <w:rPr>
          <w:rStyle w:val="FootnoteAnchor"/>
          <w:rtl w:val="true"/>
        </w:rPr>
        <w:footnoteReference w:id="6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خصوصاً إذا کان الثوب غلیظاً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الثوب غلیظاً ینافی صدق الوحدة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صورة الغلظة، وأمّا فیها فالظاهر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خصوصاً إذا کان الثوب صفیقاً، وخصوصاً إذا عدّه العرف دمین، فإنّ الأقوی حینئذٍ عدم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الثوب غلیظاً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رقیقاً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فیما إذا کان الثوب غلیظاً هو التعدّد، ولا ینبغی ترک الاحتیاط فی الرقیق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 الثیاب الضخمة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الحکم إذا کان الثوب سمیکاً، فلا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الثوب رقیقاً، وأمّا إذا کان صفیقاً فالأظهر أ نّه اثنان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والمناط فی ملاحظة الدرهم أوسع الطرفین، نعم لو کان الثوب طبقات فتفشّی من طرف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 مصحّحة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طبقة إلی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التعدّد</w:t>
      </w:r>
      <w:r>
        <w:rPr>
          <w:rStyle w:val="FootnoteAnchor"/>
          <w:rtl w:val="true"/>
        </w:rPr>
        <w:footnoteReference w:id="6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صحیح مع انفصال الطبقات دون الاتّصال کالملبس فلا یحکم فیه بالتعدّد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استظهار التعدّد مطلقاً حتّی فی الطبقات الغیر المنفصلة، 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انفصال الطبقات بما لا یسمّی عرفاً واحداً، وکذا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فرض الاتّصال علی نحو یعدّ فی العرف دماً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 قبیل الظهارة والبطانة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التعدّد فیها غیر بعید، وینبغی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 نّه لو وصل إلی الطرف الآخر دم آخر لا بالتفشّی یحکم علیه بالتعدّد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یکونا متّصلین بمثل الخیوط بحیث یعدّ بمنزلة ثوب غلیظ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 یتّصل أحد الدمین بالآخر، وإلاّ فالحکم بالتعدّد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یتّحدا بالاتّصال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اتّصل أحد الدمین بالآخر ولم یکن الثوب غلیظاً ولا ذا طبقات فالظاهر وحدة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یشکل فی بعض مصادیقه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یکن طبقتین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الأقلّ إذا وصل إلیه رطوبة من الخارج</w:t>
      </w:r>
      <w:r>
        <w:rPr>
          <w:rStyle w:val="FootnoteAnchor"/>
          <w:rtl w:val="true"/>
        </w:rPr>
        <w:footnoteReference w:id="606"/>
      </w:r>
      <w:r>
        <w:rPr>
          <w:rFonts w:ascii="IRNazanin" w:hAnsi="IRNazanin" w:eastAsia="IRNazanin"/>
          <w:color w:val="111111"/>
          <w:sz w:val="28"/>
          <w:sz w:val="28"/>
          <w:szCs w:val="28"/>
          <w:rtl w:val="true"/>
          <w:lang w:bidi="fa-IR"/>
        </w:rPr>
        <w:t>فصار المجموع بقدر الدرهم أو أزید لا إشکال فی عدم العفو</w:t>
      </w:r>
      <w:r>
        <w:rPr>
          <w:rStyle w:val="FootnoteAnchor"/>
          <w:rtl w:val="true"/>
        </w:rPr>
        <w:footnoteReference w:id="607"/>
      </w:r>
      <w:r>
        <w:rPr>
          <w:rFonts w:ascii="IRNazanin" w:hAnsi="IRNazanin" w:eastAsia="IRNazanin"/>
          <w:color w:val="111111"/>
          <w:sz w:val="28"/>
          <w:sz w:val="28"/>
          <w:szCs w:val="28"/>
          <w:rtl w:val="true"/>
          <w:lang w:bidi="fa-IR"/>
        </w:rPr>
        <w:t>عنه، وإن لم یبلغ الدرهم، فإن لم یتنجّس بها شیء من المحلّ بأن لم تتعدّ عن محلّ الدم فالظاهر بقاء العفو</w:t>
      </w:r>
      <w:r>
        <w:rPr>
          <w:rStyle w:val="FootnoteAnchor"/>
          <w:rtl w:val="true"/>
        </w:rPr>
        <w:footnoteReference w:id="6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استهلاک تلک الرطوبة فی الدم،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جفاف تلک الرطوبة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عدم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جفاف الرطوبة وذهاب عینها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نعم یمکن القول به مع جفاف الرطوبة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لو جفّت الرطوبة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الضابط فی بقاء العفو صدق الدم من جهة استهلاک الرطوبة، بل الماء أو جفافها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عدم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استهلاکه فی الدم، وأمّا مع عدمه فالأحوط عدم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استهلکت الرطوبة فی الدم،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إلاّ مع الاستهلاک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بقاء العفو، إلاّ إذا جفّت الرطوبة حال الصلاة وذهبت عینها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قلنا بجواز حمل المتنجّس فی الصلاة، وإلاّ یشکل الحکم فی صورة عدم جفاف الرطوبة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إلاّ أن یستهلک الماء فی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الاستهلاک،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وإن تعدّی</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609"/>
      </w:r>
      <w:r>
        <w:rPr>
          <w:rFonts w:ascii="IRNazanin" w:hAnsi="IRNazanin" w:eastAsia="IRNazanin"/>
          <w:color w:val="111111"/>
          <w:sz w:val="28"/>
          <w:sz w:val="28"/>
          <w:szCs w:val="28"/>
          <w:rtl w:val="true"/>
          <w:lang w:bidi="fa-IR"/>
        </w:rPr>
        <w:t>ولکن لم یکن المجموع بقدر الدرهم ففیه إشکال</w:t>
      </w:r>
      <w:r>
        <w:rPr>
          <w:rStyle w:val="FootnoteAnchor"/>
          <w:rtl w:val="true"/>
        </w:rPr>
        <w:footnoteReference w:id="610"/>
      </w:r>
      <w:r>
        <w:rPr>
          <w:rFonts w:ascii="IRNazanin" w:hAnsi="IRNazanin" w:eastAsia="IRNazanin"/>
          <w:color w:val="111111"/>
          <w:sz w:val="28"/>
          <w:sz w:val="28"/>
          <w:szCs w:val="28"/>
          <w:rtl w:val="true"/>
          <w:lang w:bidi="fa-IR"/>
        </w:rPr>
        <w:t>، والأحوط</w:t>
      </w:r>
      <w:r>
        <w:rPr>
          <w:rStyle w:val="FootnoteAnchor"/>
          <w:rtl w:val="true"/>
        </w:rPr>
        <w:footnoteReference w:id="6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التعدّی بعد الاستهلاک فی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بتنجیس المتنجّس فالأقوی عدم العفو، وإن قلنا بعدمه فالأقوی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العفو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 التعدّی بعد الاستهلاک بالدم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 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ولکن من جهة نجاسته المتعدّیة، لا من جهة الدم الأقلّ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کون الدم أقلّ من الدرهم، وشکّ فی أ نّه من المستثنیات</w:t>
      </w:r>
      <w:r>
        <w:rPr>
          <w:rStyle w:val="FootnoteAnchor"/>
          <w:rtl w:val="true"/>
        </w:rPr>
        <w:footnoteReference w:id="612"/>
      </w:r>
      <w:r>
        <w:rPr>
          <w:rFonts w:ascii="IRNazanin" w:hAnsi="IRNazanin" w:eastAsia="IRNazanin"/>
          <w:color w:val="111111"/>
          <w:sz w:val="28"/>
          <w:sz w:val="28"/>
          <w:szCs w:val="28"/>
          <w:rtl w:val="true"/>
          <w:lang w:bidi="fa-IR"/>
        </w:rPr>
        <w:t>أم لا یبنی علی العفو</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w:t>
      </w:r>
      <w:r>
        <w:rPr>
          <w:rStyle w:val="FootnoteAnchor"/>
          <w:rtl w:val="true"/>
        </w:rPr>
        <w:footnoteReference w:id="6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التفصیل إشکال، والأقوی جواز الصلاة فی المردّد بین المعفوّ وغیره، نعم لو تمکّن أن یختبر أ نّه بقدر الدرهم أو دونه فالأحوط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فی أ نّه بقدر الدرهم أو أقلّ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أیضاً عدم البأس، کما أنّ الأحوط فی الصورة الاُولی أیضاً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 إلاّ بالمسبوق بعدمه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للاستصحاب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الأقوی العفو عنه، إلاّ إذا کان مسبوقاً بالأکثریّة والشکّ فی صیرورته بمقداره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العفو</w:t>
      </w:r>
      <w:r>
        <w:rPr>
          <w:rStyle w:val="FootnoteAnchor"/>
          <w:rtl w:val="true"/>
        </w:rPr>
        <w:footnoteReference w:id="6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یبنی علی العفو کسابقه، إلاّ أن یکون مسبوقاً بالأکثریّة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العفو، إلاّ أن یکون مسبوقاً بمقدار الدرهم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العفو، لا مع کونه مسبوقاً بالکثرة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والعفو أقرب، حتّی فیما لم تعلم حالته السابقة؛ نظراً إلی استصحاب جواز الصلاة فی الثوب أو 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جواز الصلاة فی المردّد بین المعفوّ وغیره، وإن کان الأحوط الاجتناب مع التمکّن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یقوی المصیر إلی العفو، إلاّ مع سبق کونه بقدره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العفو، وجواز الصلاة فیه للبراءة عن المانعیّة عند الشکّ فیها بعد سقوط العام والخاصّ کلیهما عن الحجّیّة بواسطة الشکّ فی المصداق المخصّص، وکذلک الکلام فی الصورة الاُولی، أی فیما إذا شکّ أ نّه من المستثنیات، مع العلم بکونه أقلّ من الدرهم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العفو، إلاّ إذا کان مسبوقاً بالأکثریّة من مقدار العفو وشکّ فی صیرورته بمقداره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فیه العفو إلاّ فی المسبوق بعدمه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العفو عن الصلاة فیه، إلاّ أن تکون حالته السابقة عدم العفو فتستصحب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العفو، إلاّ إذا کان مسبوقاً بمقدار الدرهم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 نّه معفوّ عنه، إلاّ أن یکون مسبوقاً بالأکثریّة عن المقدار المعفوّ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 أن یکون مسبوقاً بالأقلّیّة وشکّ فی</w:t>
      </w:r>
    </w:p>
    <w:p>
      <w:pPr>
        <w:pStyle w:val="BookText"/>
        <w:rPr/>
      </w:pPr>
      <w:r>
        <w:rPr>
          <w:rFonts w:ascii="IRNazanin" w:hAnsi="IRNazanin" w:eastAsia="IRNazanin"/>
          <w:color w:val="111111"/>
          <w:sz w:val="28"/>
          <w:sz w:val="28"/>
          <w:szCs w:val="28"/>
          <w:rtl w:val="true"/>
          <w:lang w:bidi="fa-IR"/>
        </w:rPr>
        <w:t>زیادته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المتنجّس بالدم لیس کالدم فی العفو عنه</w:t>
      </w:r>
      <w:r>
        <w:rPr>
          <w:rStyle w:val="FootnoteAnchor"/>
          <w:rtl w:val="true"/>
        </w:rPr>
        <w:footnoteReference w:id="617"/>
      </w:r>
      <w:r>
        <w:rPr>
          <w:rFonts w:ascii="IRNazanin" w:hAnsi="IRNazanin" w:eastAsia="IRNazanin"/>
          <w:color w:val="111111"/>
          <w:sz w:val="28"/>
          <w:sz w:val="28"/>
          <w:szCs w:val="28"/>
          <w:rtl w:val="true"/>
          <w:lang w:bidi="fa-IR"/>
        </w:rPr>
        <w:t>إذا کان أقلّ من الدرهم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الأقلّ إذا اُزیل</w:t>
      </w:r>
      <w:r>
        <w:rPr>
          <w:rStyle w:val="FootnoteAnchor"/>
          <w:rtl w:val="true"/>
        </w:rPr>
        <w:footnoteReference w:id="618"/>
      </w:r>
      <w:r>
        <w:rPr>
          <w:rFonts w:ascii="IRNazanin" w:hAnsi="IRNazanin" w:eastAsia="IRNazanin"/>
          <w:color w:val="111111"/>
          <w:sz w:val="28"/>
          <w:sz w:val="28"/>
          <w:szCs w:val="28"/>
          <w:rtl w:val="true"/>
          <w:lang w:bidi="fa-IR"/>
        </w:rPr>
        <w:t>عینه فالظاهر بقاء حکمه</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الأولی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لا ینبغی 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للفرق بین صورة بقاء الدم وصورة إزالته بعدم لغویّة حکم العفو معه، بخلاف صورة الإزالة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الظاهر حکمه حکم المتنجّس بالدم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الظهور إشکال، بل فی عدم العفو وجه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الأقلّ إذا وقع علیه دم آخر أقلّ ولم یتعدّ عنه، أو تعدّی وکان المجموع أقلّ لم یزل حکم العفو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الغلیظ الّذی سعته أقلّ عفو</w:t>
      </w:r>
      <w:r>
        <w:rPr>
          <w:rStyle w:val="FootnoteAnchor"/>
          <w:rtl w:val="true"/>
        </w:rPr>
        <w:footnoteReference w:id="620"/>
      </w:r>
      <w:r>
        <w:rPr>
          <w:rFonts w:ascii="IRNazanin" w:hAnsi="IRNazanin" w:eastAsia="IRNazanin"/>
          <w:color w:val="111111"/>
          <w:sz w:val="28"/>
          <w:sz w:val="28"/>
          <w:szCs w:val="28"/>
          <w:rtl w:val="true"/>
          <w:lang w:bidi="fa-IR"/>
        </w:rPr>
        <w:t>، وإن کان بحیث لو کان رقیقاً صار بقدره أو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نجاسة اُخری کقطرة من البول مثلاً علی الدم الأقلّ بحیث لم تتعدّ عنه إلی المحلّ الطاهر ولم یصل إلی الثوب أیضاً هل یبقی العفو أم لا؟ إشکال</w:t>
      </w:r>
      <w:r>
        <w:rPr>
          <w:rStyle w:val="FootnoteAnchor"/>
          <w:rtl w:val="true"/>
        </w:rPr>
        <w:footnoteReference w:id="6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العفو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الاستهلاک بالدم فلا إشکال فی عفوه، ومع عدمه فمع عدم ملاقاة الثوب معه فلا وجه للاجتناب عنه، إلاّ علی احتمال کون الدم مکتسباً لاشتداد النجاسة،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وجود البول فی اللباس ولو بالواسطة کان مانعاً، وکلا الوجهین تحت المنع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العفو فی البول ونحوه ممّا کان أشدّ حکماً من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عدم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العفو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العفو مع بقاء عین النجاسة، بل مع زوالها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بقاء العفو، لا سیّما بعد زوال تلک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العفو عنه؛ لصدق الصلاة فی النجس غیر المعفوّ عنه، إلاّ أن یقال بأنّ المراد من تلک النواهی، فیما إذا کان النجس منجِّساً للمحلّ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العفو إذا کانت نجاسته أشدّ، مثل البول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العفو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العفو وإن زالت عین النجاسة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الحکم عدم التداخل فلا یبقی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یترک</w:t>
      </w:r>
      <w:bookmarkStart w:id="256" w:name="pg13273_135105"/>
    </w:p>
    <w:p>
      <w:pPr>
        <w:pStyle w:val="BookText"/>
        <w:rPr/>
      </w:pPr>
      <w:bookmarkEnd w:id="256"/>
      <w:r>
        <w:rPr>
          <w:rFonts w:ascii="IRNazanin" w:hAnsi="IRNazanin" w:eastAsia="IRNazanin"/>
          <w:color w:val="111111"/>
          <w:sz w:val="28"/>
          <w:sz w:val="28"/>
          <w:szCs w:val="28"/>
          <w:rtl w:val="true"/>
          <w:lang w:bidi="fa-IR"/>
        </w:rPr>
        <w:t>الاحتیاط</w:t>
      </w:r>
      <w:r>
        <w:rPr>
          <w:rStyle w:val="FootnoteAnchor"/>
          <w:rtl w:val="true"/>
        </w:rPr>
        <w:footnoteReference w:id="6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Heading3"/>
        <w:numPr>
          <w:ilvl w:val="2"/>
          <w:numId w:val="1"/>
        </w:numPr>
        <w:rPr/>
      </w:pPr>
      <w:bookmarkStart w:id="257" w:name="__RefHeading___Toc1666524_2322387425"/>
      <w:bookmarkStart w:id="258" w:name="_Toc90"/>
      <w:bookmarkEnd w:id="257"/>
      <w:r>
        <w:rPr>
          <w:rtl w:val="true"/>
        </w:rPr>
        <w:t>الثالث</w:t>
      </w:r>
      <w:r>
        <w:rPr>
          <w:rtl w:val="true"/>
        </w:rPr>
        <w:t xml:space="preserve">: </w:t>
      </w:r>
      <w:r>
        <w:rPr>
          <w:rtl w:val="true"/>
        </w:rPr>
        <w:t>ما لا تتم الصلاة فیه</w:t>
      </w:r>
      <w:bookmarkEnd w:id="25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تتمّ فیه الصلاة من الملابس</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العفو عنه بالنظر إلی مانعیّة النجاسة فقط، فلا ینافی القول بعدم العفو من أجل سائر الموانع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لا یستر العورتین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کالقلنسوة</w:t>
      </w:r>
      <w:r>
        <w:rPr>
          <w:rStyle w:val="FootnoteAnchor"/>
          <w:rtl w:val="true"/>
        </w:rPr>
        <w:footnoteReference w:id="624"/>
      </w:r>
      <w:r>
        <w:rPr>
          <w:rFonts w:ascii="IRNazanin" w:hAnsi="IRNazanin" w:eastAsia="IRNazanin"/>
          <w:color w:val="111111"/>
          <w:sz w:val="28"/>
          <w:sz w:val="28"/>
          <w:szCs w:val="28"/>
          <w:rtl w:val="true"/>
          <w:lang w:bidi="fa-IR"/>
        </w:rPr>
        <w:t>والعرقچین</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غطاء للرأس وتوضع تحت العمامة أو القلنسوة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کلمة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والتکّة والجورب والنعل والخاتم والخلخال ونحوها، بشرط أن لا یکون من المیتة</w:t>
      </w:r>
      <w:r>
        <w:rPr>
          <w:rStyle w:val="FootnoteAnchor"/>
          <w:rtl w:val="true"/>
        </w:rPr>
        <w:footnoteReference w:id="6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لا تکون النجاسة من غیر المأکول إذا کانت عینیّة علی الأحوط إن لم یکن أقوی، وکذا فی المحمول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من أجزاء غیر المأکول، ولا من الذهب ولا الحریر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من أجزاء نجس العین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من غیر المأکول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من غیر مأکول اللحم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غیر مأکول اللحم والحریر والذهب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کالکلب وأخویه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من دم ما لا یؤکل لحمه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لا تکون النجاسة من غیر مأکول اللحم إذا کانت عینیّة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3273_135107"/>
    </w:p>
    <w:p>
      <w:pPr>
        <w:pStyle w:val="BookText"/>
        <w:rPr/>
      </w:pPr>
      <w:bookmarkEnd w:id="259"/>
      <w:r>
        <w:rPr>
          <w:rFonts w:ascii="IRNazanin" w:hAnsi="IRNazanin" w:eastAsia="IRNazanin"/>
          <w:color w:val="111111"/>
          <w:sz w:val="28"/>
          <w:sz w:val="28"/>
          <w:szCs w:val="28"/>
          <w:rtl w:val="true"/>
          <w:lang w:bidi="fa-IR"/>
        </w:rPr>
        <w:t>والمناط عدم إمکان الستر بلا علاج، فإن تعمّم أو تحزّم بمثل الدستمال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المندیل، وهی کلمة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یستر العورة بلا علاج، لکن یمکن الستر به بشدّه بحبل أو بجعله خرقاً لا مانع من الصلاة فیه، وأمّا مثل العمامة الملفوفة</w:t>
      </w:r>
      <w:r>
        <w:rPr>
          <w:rStyle w:val="FootnoteAnchor"/>
          <w:rtl w:val="true"/>
        </w:rPr>
        <w:footnoteReference w:id="627"/>
      </w:r>
      <w:r>
        <w:rPr>
          <w:rFonts w:ascii="Amiri" w:hAnsi="Amiri" w:eastAsia="Amiri" w:cs="Amiri"/>
          <w:color w:val="111111"/>
          <w:sz w:val="28"/>
          <w:sz w:val="28"/>
          <w:szCs w:val="28"/>
          <w:rtl w:val="true"/>
          <w:lang w:bidi="ar-SA"/>
        </w:rPr>
        <w:t>الّتی تستر العورة إذا فُلّت فلا یکون معفوّاً، إلاّ إذا خیطت</w:t>
      </w:r>
      <w:r>
        <w:rPr>
          <w:rStyle w:val="FootnoteAnchor"/>
          <w:rtl w:val="true"/>
        </w:rPr>
        <w:footnoteReference w:id="628"/>
      </w:r>
      <w:r>
        <w:rPr>
          <w:rFonts w:ascii="IRNazanin" w:hAnsi="IRNazanin" w:eastAsia="IRNazanin"/>
          <w:color w:val="111111"/>
          <w:sz w:val="28"/>
          <w:sz w:val="28"/>
          <w:szCs w:val="28"/>
          <w:rtl w:val="true"/>
          <w:lang w:bidi="fa-IR"/>
        </w:rPr>
        <w:t>بعد اللفّ بحیث تصیر مثل القلنسوة</w:t>
      </w:r>
      <w:r>
        <w:rPr>
          <w:rStyle w:val="FootnoteAnchor"/>
          <w:rtl w:val="true"/>
        </w:rPr>
        <w:footnoteReference w:id="6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لأنّ صیرورتها بالخیاطة، مثل القلنسوة لا یخرجها عن کونها ممّا تتمّ فیه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Heading3"/>
        <w:numPr>
          <w:ilvl w:val="2"/>
          <w:numId w:val="1"/>
        </w:numPr>
        <w:rPr/>
      </w:pPr>
      <w:bookmarkStart w:id="260" w:name="__RefHeading___Toc1666526_2322387425"/>
      <w:bookmarkStart w:id="261" w:name="_Toc91"/>
      <w:bookmarkEnd w:id="260"/>
      <w:r>
        <w:rPr>
          <w:rtl w:val="true"/>
        </w:rPr>
        <w:t>الرابع</w:t>
      </w:r>
      <w:r>
        <w:rPr>
          <w:rtl w:val="true"/>
        </w:rPr>
        <w:t xml:space="preserve">: </w:t>
      </w:r>
      <w:r>
        <w:rPr>
          <w:rtl w:val="true"/>
        </w:rPr>
        <w:t>المحمول المتنجس</w:t>
      </w:r>
      <w:bookmarkEnd w:id="261"/>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المتنجّس</w:t>
      </w:r>
      <w:r>
        <w:rPr>
          <w:rStyle w:val="FootnoteAnchor"/>
          <w:rtl w:val="true"/>
        </w:rPr>
        <w:footnoteReference w:id="6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ثوب المتنجّس إذا استصحبه فی الصلاة ولم یلبسه إذا تمّت الصلاة 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تتمّ فیه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مثل السکّین والدرهم والدینار ونحوها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إذا کان ممّا تتمّ فیه الصلاة، کما إذا جعل ثوبه المتنجّس فی جیبه مثلاً ففیه</w:t>
      </w:r>
    </w:p>
    <w:p>
      <w:pPr>
        <w:pStyle w:val="BookText"/>
        <w:rPr/>
      </w:pPr>
      <w:r>
        <w:rPr>
          <w:rFonts w:ascii="IRNazanin" w:hAnsi="IRNazanin" w:eastAsia="IRNazanin"/>
          <w:color w:val="111111"/>
          <w:sz w:val="28"/>
          <w:sz w:val="28"/>
          <w:szCs w:val="28"/>
          <w:rtl w:val="true"/>
          <w:lang w:bidi="fa-IR"/>
        </w:rPr>
        <w:t>إشکال</w:t>
      </w:r>
      <w:r>
        <w:rPr>
          <w:rStyle w:val="FootnoteAnchor"/>
          <w:rtl w:val="true"/>
        </w:rPr>
        <w:footnoteReference w:id="6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الجواز وإن کان فیه عین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العفو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هو أیضاً معفوّ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الأرجح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المدار فی المنع صدق الصلاة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الاجتناب، وکذا إذا کان من الأعیان النجسة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کالمیتة والدم وشعر الکلب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والخنزیر، فإنّ الأحوط</w:t>
      </w:r>
    </w:p>
    <w:p>
      <w:pPr>
        <w:pStyle w:val="BookText"/>
        <w:rPr/>
      </w:pPr>
      <w:r>
        <w:rPr>
          <w:rFonts w:ascii="IRNazanin" w:hAnsi="IRNazanin" w:eastAsia="IRNazanin"/>
          <w:color w:val="111111"/>
          <w:sz w:val="28"/>
          <w:sz w:val="28"/>
          <w:szCs w:val="28"/>
          <w:rtl w:val="true"/>
          <w:lang w:bidi="fa-IR"/>
        </w:rPr>
        <w:t>اجتناب</w:t>
      </w:r>
      <w:r>
        <w:rPr>
          <w:rStyle w:val="FootnoteAnchor"/>
          <w:rtl w:val="true"/>
        </w:rPr>
        <w:footnoteReference w:id="6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الجواز إذا کان فی جیبه مثلاً، وأمّا فی غیره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مع صدق الصلاة فیه، بل ومعه سیّما فیما لا یؤکل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جواز حملها، إلاّ المیتة وخرقة 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لا سیّما فی غیر الدم من المذکورات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فی غیر المیتة وشعر الکلب والخنزیر وسائر أجزائهما، وأمّا فیها فالأظهر وجوب الاجتناب عن حملها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منه قدس‌سره الفتوی ببطلان الصلاة فی المیتة وأجزاء ما لا یؤکل لحمه مطلقاً، ولو مع عدم اللبس فی المسألة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لباس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الجواز؛ حتّی فیما یعدّ من أجزاء السباع ـ فضلاً عن غیرها ممّا لا یؤکل لحمه ـ إذا لم تکن علی بدنه أو لباسه الّذی تتمّ فیه الصلاة، فلا مانع من جعلها فی جیبه أو فی قارورة وحملها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حملها فی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کان من أجزاء ما لا یؤکل لحمه، وإن کان طاهراً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الجواز إذا لم ینطبق علیها عنوان کونها من أجزاء ما لا یؤکل لحمه کشعر الکلب والخنزیر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الخیط المتنجّس الّذی خیط به الجرح یعدّ من المحمول</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خیط به الثوب والقیاطین </w:t>
      </w:r>
      <w:bookmarkStart w:id="262" w:name="pg13273_135110"/>
    </w:p>
    <w:p>
      <w:pPr>
        <w:pStyle w:val="BookText"/>
        <w:rPr/>
      </w:pPr>
      <w:bookmarkEnd w:id="262"/>
      <w:r>
        <w:rPr>
          <w:rFonts w:ascii="IRNazanin" w:hAnsi="IRNazanin" w:eastAsia="IRNazanin"/>
          <w:color w:val="111111"/>
          <w:sz w:val="28"/>
          <w:sz w:val="28"/>
          <w:szCs w:val="28"/>
          <w:rtl w:val="true"/>
          <w:lang w:bidi="fa-IR"/>
        </w:rPr>
        <w:t>والزرور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جمعه أزرار لا زرور، زرر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 الذی یوضع فی القمیص، 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والسفائف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 سفیفاً الخوص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نسجه، والسفائف جمع سفیفة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تعدّ من أجزاء اللباس لا عفو عن نجاستها</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1666528_2322387425"/>
      <w:bookmarkStart w:id="264" w:name="_Toc92"/>
      <w:bookmarkEnd w:id="263"/>
      <w:r>
        <w:rPr>
          <w:rtl w:val="true"/>
        </w:rPr>
        <w:t>الخامس</w:t>
      </w:r>
      <w:r>
        <w:rPr>
          <w:rtl w:val="true"/>
        </w:rPr>
        <w:t xml:space="preserve">: </w:t>
      </w:r>
      <w:r>
        <w:rPr>
          <w:rtl w:val="true"/>
        </w:rPr>
        <w:t>ثوب المربیة</w:t>
      </w:r>
      <w:bookmarkEnd w:id="264"/>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المربّیة</w:t>
      </w:r>
      <w:r>
        <w:rPr>
          <w:rStyle w:val="FootnoteAnchor"/>
          <w:rtl w:val="true"/>
        </w:rPr>
        <w:footnoteReference w:id="6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المسألة دوران الأمر مدار العسر والحرج، ولا یُترک الاحتیاط بالغسل فی کلّ یومٍ مرّة آخر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مستند هذا الاستثناء سواء کان الإجماع المدّعی أم روایة أبی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جهات من النظر، فالأحوط الاقتصار علی کلّ مورد یستلزم عدم العفو الحرج الشخصیّ، ثمّ الأحوط من ذلک قصر الاستثناء علی المتنجّس بالبول دون سائر النجاسات لو استند إلی الروایة، ثمّ الأظهر ثبوت العفو، سواء کان المولود واحداً أم متعدّداً، مختلفاً فی الذکورة والاُنوثة أو متساویاً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فی العفو فی المربّیة وغیرها علی موارد الحرج الشخصیّ، وبذلک یظهر الحال فی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استثنائه إشکال، بل منع، نعم مع الحرج الشخصیّ تسقط الشرطیّة، کما هو المیزان الکلّی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له خصوصیّة، فالمناط فی العفو فیه تحقّق الحرج الشخصیّ فی غسله الداخل فی النوع السادس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للصبیّ، اُمّاً کانت أو</w:t>
      </w:r>
    </w:p>
    <w:p>
      <w:pPr>
        <w:pStyle w:val="BookText"/>
        <w:rPr/>
      </w:pPr>
      <w:r>
        <w:rPr>
          <w:rFonts w:ascii="IRNazanin" w:hAnsi="IRNazanin" w:eastAsia="IRNazanin"/>
          <w:color w:val="111111"/>
          <w:sz w:val="28"/>
          <w:sz w:val="28"/>
          <w:szCs w:val="28"/>
          <w:rtl w:val="true"/>
          <w:lang w:bidi="fa-IR"/>
        </w:rPr>
        <w:t>غیرها</w:t>
      </w:r>
      <w:r>
        <w:rPr>
          <w:rStyle w:val="FootnoteAnchor"/>
          <w:rtl w:val="true"/>
        </w:rPr>
        <w:footnoteReference w:id="6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فیما عدا ثوب الاُم المربّیة لمولودها الذکر مع وحدته، وکون التنجّس ببوله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المسألة اعتبار أن یکون الولد ذکراً، وأن تکون المربّیة اُمّاً لا تتمکّن عادةً من شراء وغیره، وأن تغسله فی وقت تتمکّن من إیقاع بعض الصلوات فیه بطهارة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 غیر ثوب الاُمّ المتنجّس ببول مولودها الذکر الواحد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الاُمّ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بالعفو فیما عدا ثوب الاُمّ المربّیة لولدها الذکر الواحد مع کون التنجّس ببوله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هو العفو فی خصوص الاُمّ، کما أنّ الأحوط هو العفو عن الولد الذکر دون الاُنثی، وذلک لظهور الروایة فی خصوص الاُم والولد الذکر دون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الأولی الاقتصار علی الاُمّ إلاّ أن یطمئنّ بالمناط المخرّج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القدر المتیقّن من العفو ثوب دم المربّیة لمولودها الذکر مع وحدته وکون التنجّس ببوله، وفیما سوی ذلک إشکال ونظر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یختصّ العفو بالاُمّ، فلا یشمل الحکم غیرها من المربّیات فضلاً عن المربّین من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هذه المسألة إلاّ فی موارد الحرج الشخصیّ، ومن ذلک یظهر الحکم فی متفرّعات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إجراء الحکم فی غیر الاُمّ لا وجه له، کما أ نّه لابدّ من اختصاص العفو بالبول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متبرّعة أو مستأجرة، ذکراً</w:t>
      </w:r>
    </w:p>
    <w:p>
      <w:pPr>
        <w:pStyle w:val="BookText"/>
        <w:rPr/>
      </w:pPr>
      <w:r>
        <w:rPr>
          <w:rFonts w:ascii="IRNazanin" w:hAnsi="IRNazanin" w:eastAsia="IRNazanin"/>
          <w:color w:val="111111"/>
          <w:sz w:val="28"/>
          <w:sz w:val="28"/>
          <w:szCs w:val="28"/>
          <w:rtl w:val="true"/>
          <w:lang w:bidi="fa-IR"/>
        </w:rPr>
        <w:t>کان</w:t>
      </w:r>
      <w:r>
        <w:rPr>
          <w:rStyle w:val="FootnoteAnchor"/>
          <w:rtl w:val="true"/>
        </w:rPr>
        <w:footnoteReference w:id="637"/>
      </w:r>
      <w:r>
        <w:rPr>
          <w:rFonts w:ascii="Amiri" w:hAnsi="Amiri" w:eastAsia="Amiri" w:cs="Amiri"/>
          <w:color w:val="111111"/>
          <w:sz w:val="28"/>
          <w:sz w:val="28"/>
          <w:szCs w:val="28"/>
          <w:rtl w:val="true"/>
          <w:lang w:bidi="ar-SA"/>
        </w:rPr>
        <w:t>الصبیّ أو اُنثی</w:t>
      </w:r>
      <w:r>
        <w:rPr>
          <w:rStyle w:val="FootnoteAnchor"/>
          <w:rtl w:val="true"/>
        </w:rPr>
        <w:footnoteReference w:id="6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المذکور فی النصّ عنوان المولود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لاختصاص النصّ به، ولا وجه للتعدّی مع احتمال أکثریّة بول الصبیّة غالباً؛ لرطوبة مزاجهنّ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فی تحصیله مشقّة نوعیّة، وإلاّ لم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الاقتصار علی الذکر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فنجاسته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البولیّة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یختصّ العفو بنجاسة ثوب الاُمّ من بول الطفل دون غائطه وسائر نجاساته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معفوّة بشرط غسله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کلّ یوم مرّة،</w:t>
      </w:r>
    </w:p>
    <w:p>
      <w:pPr>
        <w:pStyle w:val="BookText"/>
        <w:rPr/>
      </w:pPr>
      <w:r>
        <w:rPr>
          <w:rFonts w:ascii="Amiri" w:hAnsi="Amiri" w:eastAsia="Amiri" w:cs="Amiri"/>
          <w:color w:val="111111"/>
          <w:sz w:val="28"/>
          <w:sz w:val="28"/>
          <w:szCs w:val="28"/>
          <w:rtl w:val="true"/>
          <w:lang w:bidi="ar-SA"/>
        </w:rPr>
        <w:t>مخیّرة</w:t>
      </w:r>
      <w:r>
        <w:rPr>
          <w:rStyle w:val="FootnoteAnchor"/>
          <w:rtl w:val="true"/>
        </w:rPr>
        <w:footnoteReference w:id="6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تغسل کلّ یوم لأوّل صلاة ابتلت بنجاسة الثوب فتصلّی معه صلاة بطهر، ثمّ عفی عنها لبقیّة الصلوات فی الیوم واللیلة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ساعاته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بإیقاع الغسل نهاراً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یتیسّر لها غسله إلاّ مرّة واحدة فی الیوم جاز لها الاکتفاء به، وعلیها حینئذٍ أن تغسله فی وقت تتمکّن من إتیان أکبر عدد من الفرائض مع الطهارة أو مع قلّة النجاسة، وما ذکره فی المتن یحصل به الغرض المذکور غالباً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غسله آخر النهار لتصلّی الظهرین والعشاءین مع الطهارة، أو مع خفّة النجاسة، وإن لم یغسل کلّ یوم مرّة فالصلوات الواقعة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النجاسة البولیّة دون غیرها، والأظهر بطلان ما صلّته بعد الیوم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النجاسة باطلة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وإن کان الأحوط البناء علی بطلان کلّ صلاة صلّتها مع‌النجاسة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خصوص الأخیرة لا یخلو من قوّة؛ لتعیّنها بعد ترک التطهیر فی سوابقها مجازاً من الشرع جریاً علی قاعدة التخییر فی کلّ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ویشترط انحصار ثوبها فی واحد، أو احتیاجها</w:t>
      </w:r>
      <w:r>
        <w:rPr>
          <w:rStyle w:val="FootnoteAnchor"/>
          <w:rtl w:val="true"/>
        </w:rPr>
        <w:footnoteReference w:id="6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وجه للتعمیم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لبس جمیع ما عندها وإن کان متعدّداً، ولا فرق فی العفو بین أن تکون متمکّنة من تحصیل الثوب الطاهر بشراء أو استئجار أو استعارة أم لا،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 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الاقتصار علی صورة عدم التمکّن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بدنها بالثوب فی العفو عن نجاسته محلّ إشکال</w:t>
      </w:r>
      <w:r>
        <w:rPr>
          <w:rStyle w:val="FootnoteAnchor"/>
          <w:rtl w:val="true"/>
        </w:rPr>
        <w:footnoteReference w:id="6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إلحاق غیر البول به أیضاً کذلک، فلا یُترک الاحتیاط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الحاق غیر البول به لا یخلو من إشکال، فلا یترک الاحتیاط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عدم الإلحاق، وکذا عدم إلحاق غیر البول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عدم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یلحق البدن بالثوب فی العفو، ولا یلحق الغائط وغیره من النجاسات بالبول، ولا یلحق المربّی من الرجال ولا المربّیة الأجنبیّة من النساء بالاُم، ولا یعفی عن تواتر بوله إلاّ إذا لزم منه الحرج أو 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لا یخلو عن وجه</w:t>
      </w:r>
      <w:r>
        <w:rPr>
          <w:rStyle w:val="FootnoteAnchor"/>
          <w:rtl w:val="true"/>
        </w:rPr>
        <w:footnoteReference w:id="6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لا ینفکّ عنه غالباً؛ لبعد صرف الإطلاقات عن مثلها فتشمله فحاویها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غیر وجیه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وجیه، وکذا فی التعدّی إلی غیر البول، فلا یُترک الاحتیاط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المذکور ضعیف، وکذا إلحاق غیر البول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غیر وجیه، نعم لو جعل المدار الحرج الشخصیّ لکانت التسویة بینه وبین الثوب فی محلّه، لکنّه کان الحکم حینئذٍ دائراً مدار الحرج کما قدّمناه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أن یعتمد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إلحاق المربّی بالمربّیة إشکال</w:t>
      </w:r>
      <w:r>
        <w:rPr>
          <w:rStyle w:val="FootnoteAnchor"/>
          <w:rtl w:val="true"/>
        </w:rPr>
        <w:footnoteReference w:id="6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فیهما عدم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الإلحاق فی المسألتین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الإلحاق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الإلحاق فی الموردین لا یخلو من قوّة، إلاّ إذا استند إلی المناط الاطمئنانی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وجه للإلحاق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الإلحاق، وکذا من تواتر بوله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65" w:name="pg13273_135116"/>
    </w:p>
    <w:p>
      <w:pPr>
        <w:pStyle w:val="BookText"/>
        <w:rPr/>
      </w:pPr>
      <w:bookmarkEnd w:id="265"/>
      <w:r>
        <w:rPr>
          <w:rFonts w:ascii="IRNazanin" w:hAnsi="IRNazanin" w:eastAsia="IRNazanin"/>
          <w:color w:val="111111"/>
          <w:sz w:val="28"/>
          <w:sz w:val="28"/>
          <w:szCs w:val="28"/>
          <w:rtl w:val="true"/>
          <w:lang w:bidi="fa-IR"/>
        </w:rPr>
        <w:t>وکذا</w:t>
      </w:r>
      <w:r>
        <w:rPr>
          <w:rStyle w:val="FootnoteAnchor"/>
          <w:rtl w:val="true"/>
        </w:rPr>
        <w:footnoteReference w:id="644"/>
      </w:r>
      <w:r>
        <w:rPr>
          <w:rFonts w:ascii="IRNazanin" w:hAnsi="IRNazanin" w:eastAsia="IRNazanin"/>
          <w:color w:val="111111"/>
          <w:sz w:val="28"/>
          <w:sz w:val="28"/>
          <w:szCs w:val="28"/>
          <w:rtl w:val="true"/>
          <w:lang w:bidi="fa-IR"/>
        </w:rPr>
        <w:t>من تواتر</w:t>
      </w:r>
      <w:r>
        <w:rPr>
          <w:rStyle w:val="FootnoteAnchor"/>
          <w:rtl w:val="true"/>
        </w:rPr>
        <w:footnoteReference w:id="645"/>
      </w:r>
      <w:r>
        <w:rPr>
          <w:rFonts w:ascii="IRNazanin" w:hAnsi="IRNazanin" w:eastAsia="IRNazanin"/>
          <w:color w:val="111111"/>
          <w:sz w:val="28"/>
          <w:sz w:val="28"/>
          <w:szCs w:val="28"/>
          <w:rtl w:val="true"/>
          <w:lang w:bidi="fa-IR"/>
        </w:rPr>
        <w:t>بوله</w:t>
      </w:r>
      <w:r>
        <w:rPr>
          <w:rFonts w:eastAsia="IRNazanin" w:cs="IRNazanin"/>
          <w:color w:val="111111"/>
          <w:sz w:val="28"/>
          <w:szCs w:val="28"/>
          <w:rtl w:val="true"/>
          <w:lang w:bidi="fa-IR"/>
        </w:rPr>
        <w:t>.</w:t>
      </w:r>
    </w:p>
    <w:p>
      <w:pPr>
        <w:pStyle w:val="Heading3"/>
        <w:numPr>
          <w:ilvl w:val="2"/>
          <w:numId w:val="1"/>
        </w:numPr>
        <w:rPr/>
      </w:pPr>
      <w:bookmarkStart w:id="266" w:name="__RefHeading___Toc1666530_2322387425"/>
      <w:bookmarkStart w:id="267" w:name="_Toc93"/>
      <w:bookmarkEnd w:id="266"/>
      <w:r>
        <w:rPr>
          <w:rtl w:val="true"/>
        </w:rPr>
        <w:t>السادس</w:t>
      </w:r>
      <w:r>
        <w:rPr>
          <w:rtl w:val="true"/>
        </w:rPr>
        <w:t xml:space="preserve">: </w:t>
      </w:r>
      <w:r>
        <w:rPr>
          <w:rtl w:val="true"/>
        </w:rPr>
        <w:t>العقو عن النجاسة حال الإضطرار</w:t>
      </w:r>
      <w:bookmarkEnd w:id="267"/>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یعفی</w:t>
      </w:r>
      <w:r>
        <w:rPr>
          <w:rStyle w:val="FootnoteAnchor"/>
          <w:rtl w:val="true"/>
        </w:rPr>
        <w:footnoteReference w:id="646"/>
      </w:r>
      <w:r>
        <w:rPr>
          <w:rFonts w:ascii="IRNazanin" w:hAnsi="IRNazanin" w:eastAsia="IRNazanin"/>
          <w:color w:val="111111"/>
          <w:sz w:val="28"/>
          <w:sz w:val="28"/>
          <w:szCs w:val="28"/>
          <w:rtl w:val="true"/>
          <w:lang w:bidi="fa-IR"/>
        </w:rPr>
        <w:t>عن کلّ نجاسة فی البدن أو الثوب فی حال الاضطرار</w:t>
      </w:r>
      <w:r>
        <w:rPr>
          <w:rStyle w:val="FootnoteAnchor"/>
          <w:rtl w:val="true"/>
        </w:rPr>
        <w:footnoteReference w:id="6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استوعب تمام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تعیّن الصلاة فی تلک الحال أو استیعابه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آخر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المستوعب لتمام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بقائه إلی آخر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المستوعب للوقت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استمرار العذر فی جمیع الوقت،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استوعب جمیع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المراد منه فی التعلیق علی المسألة الحادیة عشرة من الفصل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3273_135117"/>
    </w:p>
    <w:p>
      <w:pPr>
        <w:pStyle w:val="Heading2"/>
        <w:numPr>
          <w:ilvl w:val="1"/>
          <w:numId w:val="1"/>
        </w:numPr>
        <w:rPr/>
      </w:pPr>
      <w:bookmarkStart w:id="269" w:name="__RefHeading___Toc1666532_2322387425"/>
      <w:bookmarkStart w:id="270" w:name="_Toc94"/>
      <w:bookmarkEnd w:id="268"/>
      <w:bookmarkEnd w:id="269"/>
      <w:r>
        <w:rPr>
          <w:rtl w:val="true"/>
        </w:rPr>
        <w:t>فصل فی المطهّرات</w:t>
      </w:r>
      <w:bookmarkEnd w:id="270"/>
    </w:p>
    <w:p>
      <w:pPr>
        <w:pStyle w:val="Heading3"/>
        <w:numPr>
          <w:ilvl w:val="2"/>
          <w:numId w:val="1"/>
        </w:numPr>
        <w:rPr/>
      </w:pPr>
      <w:bookmarkStart w:id="271" w:name="__RefHeading___Toc1666534_2322387425"/>
      <w:bookmarkStart w:id="272" w:name="_Toc95"/>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666536_2322387425"/>
      <w:bookmarkStart w:id="274" w:name="_Toc96"/>
      <w:bookmarkEnd w:id="273"/>
      <w:r>
        <w:rPr>
          <w:rtl w:val="true"/>
        </w:rPr>
        <w:t>الأول</w:t>
      </w:r>
      <w:r>
        <w:rPr>
          <w:rtl w:val="true"/>
        </w:rPr>
        <w:t xml:space="preserve">: </w:t>
      </w:r>
      <w:r>
        <w:rPr>
          <w:rtl w:val="true"/>
        </w:rPr>
        <w:t>الماء</w:t>
      </w:r>
      <w:bookmarkEnd w:id="274"/>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عمدتها؛ لأنّ سائر</w:t>
      </w:r>
      <w:r>
        <w:rPr>
          <w:rStyle w:val="FootnoteAnchor"/>
          <w:rtl w:val="true"/>
        </w:rPr>
        <w:footnoteReference w:id="648"/>
      </w:r>
      <w:r>
        <w:rPr>
          <w:rFonts w:ascii="Amiri" w:hAnsi="Amiri" w:eastAsia="Amiri" w:cs="Amiri"/>
          <w:color w:val="111111"/>
          <w:sz w:val="28"/>
          <w:sz w:val="28"/>
          <w:szCs w:val="28"/>
          <w:rtl w:val="true"/>
          <w:lang w:bidi="ar-SA"/>
        </w:rPr>
        <w:t>المطهّرات مخصوصة بأشیاء خاصّة بخلافه، فإنّه مطهّر لکلّ متنجّس حتّی الماء المضاف</w:t>
      </w:r>
      <w:r>
        <w:rPr>
          <w:rStyle w:val="FootnoteAnchor"/>
          <w:rtl w:val="true"/>
        </w:rPr>
        <w:footnoteReference w:id="649"/>
      </w:r>
      <w:r>
        <w:rPr>
          <w:rFonts w:ascii="IRNazanin" w:hAnsi="IRNazanin" w:eastAsia="IRNazanin"/>
          <w:color w:val="111111"/>
          <w:sz w:val="28"/>
          <w:sz w:val="28"/>
          <w:szCs w:val="28"/>
          <w:rtl w:val="true"/>
          <w:lang w:bidi="fa-IR"/>
        </w:rPr>
        <w:t>بالاستهلاک</w:t>
      </w:r>
      <w:r>
        <w:rPr>
          <w:rStyle w:val="FootnoteAnchor"/>
          <w:rtl w:val="true"/>
        </w:rPr>
        <w:footnoteReference w:id="6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الکثیر، علی ما مرّ فی مبحث المیاه، وإسناد الطهارة إلی الاستهلاک مسامحیّ، نعم إسنادها بالاستهلاک إلی الماء 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یعنی بالاستهلاک انعدام صفة الإضافة منه وصیرورته ماءً مطلقاً، فیطهّره حینئذٍ ما یطهّر الماء المطلق إذا تنجّس، وهو الماء المعتصم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بالامتزاج بعد زوال الإضافة وإن لم یستهلک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یطهّر بعض الأعیان النجسة، کمیّت الإنسان فإنّه یطهر بتمام غسله</w:t>
      </w:r>
      <w:r>
        <w:rPr>
          <w:rFonts w:eastAsia="IRNazanin" w:cs="IRNazanin"/>
          <w:color w:val="111111"/>
          <w:sz w:val="28"/>
          <w:szCs w:val="28"/>
          <w:rtl w:val="true"/>
          <w:lang w:bidi="fa-IR"/>
        </w:rPr>
        <w:t>.</w:t>
      </w:r>
    </w:p>
    <w:p>
      <w:pPr>
        <w:pStyle w:val="Heading3"/>
        <w:numPr>
          <w:ilvl w:val="2"/>
          <w:numId w:val="1"/>
        </w:numPr>
        <w:rPr/>
      </w:pPr>
      <w:bookmarkStart w:id="275" w:name="__RefHeading___Toc1666538_2322387425"/>
      <w:bookmarkStart w:id="276" w:name="_Toc97"/>
      <w:bookmarkEnd w:id="275"/>
      <w:r>
        <w:rPr>
          <w:rtl w:val="true"/>
        </w:rPr>
        <w:t>شروط مطهریة الماء</w:t>
      </w:r>
      <w:bookmarkEnd w:id="27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ویشترط فی التطهیر به اُمور، بعضها شرط فی کلٍّ من القلیل والکثیر، وبعضها مختصّ</w:t>
      </w:r>
      <w:r>
        <w:rPr>
          <w:rStyle w:val="FootnoteAnchor"/>
          <w:rtl w:val="true"/>
        </w:rPr>
        <w:footnoteReference w:id="651"/>
      </w:r>
      <w:r>
        <w:rPr>
          <w:rFonts w:ascii="IRNazanin" w:hAnsi="IRNazanin" w:eastAsia="IRNazanin"/>
          <w:color w:val="111111"/>
          <w:sz w:val="28"/>
          <w:sz w:val="28"/>
          <w:szCs w:val="28"/>
          <w:rtl w:val="true"/>
          <w:lang w:bidi="fa-IR"/>
        </w:rPr>
        <w:t>بالتطهیر بالقلیل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زوال العین والأثر</w:t>
      </w:r>
      <w:r>
        <w:rPr>
          <w:rStyle w:val="FootnoteAnchor"/>
          <w:rtl w:val="true"/>
        </w:rPr>
        <w:footnoteReference w:id="6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 الأعیان النجسة، وإلاّ ففی إطلاقه مع وصول الماء المطلق إلیه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الأجزاء الصغار منها، لا بمعنی اللون والطعم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تغیّر الماء</w:t>
      </w:r>
      <w:r>
        <w:rPr>
          <w:rStyle w:val="FootnoteAnchor"/>
          <w:rtl w:val="true"/>
        </w:rPr>
        <w:footnoteReference w:id="6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 بل منع، کما ستعرف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بأحد أوصاف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بأوصاف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عدم تغیّره بأوصاف النجس، لا المتنجّس، وهذا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بأوصاف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بأحد أوصاف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یشترط عدم تغیّره بأوصاف المتنجّس بالاستعمال، بل ولا بأوصاف النجس أیضاً فی غیر الغسلة المتعقّبة بطهارة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بوصف النجس فی الغسلة المتعقّبة بطهارة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بأوصاف النجاسة، کما یأتی توضیحه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بالنجاسة، واعتباره فی غیر الغسلة المطهّرة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الاشتراط، فإنّ مثله لا یکون منجّساً علی مختارنا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عدم تغیّر أحد أوصافه الثلاثة بوصف النجس فی الغسلة المتعقّبة بطهارة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بأوصاف النجاسة فی الغسلة المتعقّبة بطهارة المحلّ حتّی فی حال الانفصال، ولا یعتبر عدم التغیّر بأوصاف المتنجّس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أثناء</w:t>
      </w:r>
    </w:p>
    <w:p>
      <w:pPr>
        <w:pStyle w:val="BookText"/>
        <w:rPr/>
      </w:pPr>
      <w:r>
        <w:rPr>
          <w:rFonts w:ascii="IRNazanin" w:hAnsi="IRNazanin" w:eastAsia="IRNazanin"/>
          <w:color w:val="111111"/>
          <w:sz w:val="28"/>
          <w:sz w:val="28"/>
          <w:szCs w:val="28"/>
          <w:rtl w:val="true"/>
          <w:lang w:bidi="fa-IR"/>
        </w:rPr>
        <w:t>الاستعمال</w:t>
      </w:r>
      <w:r>
        <w:rPr>
          <w:rStyle w:val="FootnoteAnchor"/>
          <w:rtl w:val="true"/>
        </w:rPr>
        <w:footnoteReference w:id="6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أحد أوصاف النجاسة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الماء ولو فی ظاهر الشرع</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w:t>
      </w:r>
      <w:r>
        <w:rPr>
          <w:rStyle w:val="FootnoteAnchor"/>
          <w:rtl w:val="true"/>
        </w:rPr>
        <w:footnoteReference w:id="6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مرّ مراراً من عدم مطهّریّة المضاف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عدم خروجه عن الإطلاق فی أثناء الاستعمال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الثانی</w:t>
      </w:r>
      <w:r>
        <w:rPr>
          <w:rStyle w:val="FootnoteAnchor"/>
          <w:rtl w:val="true"/>
        </w:rPr>
        <w:footnoteReference w:id="6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اختصاص الأوّلین بالقلیل، والورود لا یعتبر مطلقاً علی الأظهر، وأمّا العصر فلا یعتبر بعنوانه ولا لدخله فی تحقّق الغسل، فإنّه یتقوّم باستیلاء الماء علی المحلّ بحیث تنحلّ فیه النجاسة حقیقةً أو اعتباراً، بل حیث إنّ الغسالة فی الماء القلیل محکومة بالنجاسة فلابدّ من انفصالها عرفاً، فإذا کان ممّا ینفذ فیه الماء وممّا یتعارف عصره یجب العصر مقدّمةً للانفصال،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ذلک أیضاً علی الأحوط فی الکثیر، ما عدا الجاری إذا غسل به المتنجّس بالبول، وکذلک التعفیر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التعدّد فی بعض الظروف، وفی مثل الثوب المتنجّس بالبول شرط فی غیر القلیل أیضاً کما سیجیء، وکذلک العصر فی مثل الثوب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المتنجّسات، کالمتنجّس</w:t>
      </w:r>
    </w:p>
    <w:p>
      <w:pPr>
        <w:pStyle w:val="BookText"/>
        <w:rPr/>
      </w:pPr>
      <w:r>
        <w:rPr>
          <w:rFonts w:ascii="IRNazanin" w:hAnsi="IRNazanin" w:eastAsia="IRNazanin"/>
          <w:color w:val="111111"/>
          <w:sz w:val="28"/>
          <w:sz w:val="28"/>
          <w:szCs w:val="28"/>
          <w:rtl w:val="true"/>
          <w:lang w:bidi="fa-IR"/>
        </w:rPr>
        <w:t>بالبول</w:t>
      </w:r>
      <w:r>
        <w:rPr>
          <w:rStyle w:val="FootnoteAnchor"/>
          <w:rtl w:val="true"/>
        </w:rPr>
        <w:footnoteReference w:id="6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المتنجّس بالمتنجّس بالبول بعد زوال أثره فلا یلزم فیه التعدّد علی الأظهر، إلاّ الأوانی ففیها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بول الآدمی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اعتبار التعدّد فی الثوب المتنجّس بالبول حتّی فیما إذا غسل بالماء الکثیر، نعم لا یعتبر ذلک فی الجاری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وکالظروف والتعفیر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تختصّ شرطیّة التعفیر والعصر بالقلیل علی الأحوط فی الأوّل، والأولی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اختصاص للتعفیر بالقلیل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عدم اختصاص التعدّد والتعفیر بالقلیل علی الأحوط، وکذا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اعتباره مطلقاً فی التطهیر بالقلیل والکثیر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سیجیء منه قدس‌سره اعتبار التعفیر عند الغسل بالماء الکثیر أیضاً، وهو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اختصاص التعفیر والعصر بالقلیل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اختصاصه بالقلیل إشکال یأتی بیانه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یختصّ وجوب التعفیر من ولوغ الکلب بالماء القلیل، وهو مختار الماتن قدس‌سره أیضاً، کما سیأتی فی المسألة الثالثة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اختصاصه بالماء القلیل لا یخلو من قوّة،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الکلام فیها وفی 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المتنجّس بولوغ الکلب،</w:t>
      </w:r>
    </w:p>
    <w:p>
      <w:pPr>
        <w:pStyle w:val="BookText"/>
        <w:rPr/>
      </w:pPr>
      <w:r>
        <w:rPr>
          <w:rFonts w:ascii="IRNazanin" w:hAnsi="IRNazanin" w:eastAsia="IRNazanin"/>
          <w:color w:val="111111"/>
          <w:sz w:val="28"/>
          <w:sz w:val="28"/>
          <w:szCs w:val="28"/>
          <w:rtl w:val="true"/>
          <w:lang w:bidi="fa-IR"/>
        </w:rPr>
        <w:t>والعصر</w:t>
      </w:r>
      <w:r>
        <w:rPr>
          <w:rStyle w:val="FootnoteAnchor"/>
          <w:rtl w:val="true"/>
        </w:rPr>
        <w:footnoteReference w:id="6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لأجل إخراج ماء الغسالة، لا لأ نّه داخل فی مفهوم الغسل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توقّف إزالة النجاسة علیه، وحینئذٍ لا فرق بین القلیل والکثیر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اعتباره حیثما توقّف تحقّق الغسل علیه فی نظر العرف، سواء کان بالقلیل أم الکثیر، بل أم الجاری والمطر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توقّف صدق الغسل علی العصر أو ما بحکمه کالدلک فلابدّ من اعتباره ولو کان الغسل بالماء الکثیر، وإلاّ فلا وجه لاعتباره فی الماء القلیل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فیما یقبل العصر اعتباره، أو اعتبار ما یقوم مقامه من الفرک والغمز ونحوهما، حتّی مثل الحرکة العنیفة فی الماء حتّی یخرج الماء الداخل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الثیاب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الغمز بکفّه أو غیره ممّا تخرج به الغسالة، والأحوط وجوباً عدم الاکتفاء عن العصر بتوالی الصبّ علیه إلی أن یعلم بانفصال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والفرش ونحوها ممّا یقبله، والورود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ورود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المتنجّس دون العکس علی</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6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الکوه‌کَمَرئی، الفانی،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اعتباره فی غیر الغسلة المتعقّبة بطهارة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التطهیر زوال عین النجاسة</w:t>
      </w:r>
      <w:r>
        <w:rPr>
          <w:rStyle w:val="FootnoteAnchor"/>
          <w:rtl w:val="true"/>
        </w:rPr>
        <w:footnoteReference w:id="661"/>
      </w:r>
      <w:r>
        <w:rPr>
          <w:rFonts w:ascii="IRNazanin" w:hAnsi="IRNazanin" w:eastAsia="IRNazanin"/>
          <w:color w:val="111111"/>
          <w:sz w:val="28"/>
          <w:sz w:val="28"/>
          <w:szCs w:val="28"/>
          <w:rtl w:val="true"/>
          <w:lang w:bidi="fa-IR"/>
        </w:rPr>
        <w:t>دون أوصافها، فلو بقیت الریح أو اللون مع العلم بزوال العین کفی، إلاّ أن یستکشف</w:t>
      </w:r>
      <w:r>
        <w:rPr>
          <w:rStyle w:val="FootnoteAnchor"/>
          <w:rtl w:val="true"/>
        </w:rPr>
        <w:footnoteReference w:id="662"/>
      </w:r>
      <w:r>
        <w:rPr>
          <w:rFonts w:ascii="IRNazanin" w:hAnsi="IRNazanin" w:eastAsia="IRNazanin"/>
          <w:color w:val="111111"/>
          <w:sz w:val="28"/>
          <w:sz w:val="28"/>
          <w:szCs w:val="28"/>
          <w:rtl w:val="true"/>
          <w:lang w:bidi="fa-IR"/>
        </w:rPr>
        <w:t>من بقائهما بقاء الأجزاء الصغار</w:t>
      </w:r>
      <w:r>
        <w:rPr>
          <w:rStyle w:val="FootnoteAnchor"/>
          <w:rtl w:val="true"/>
        </w:rPr>
        <w:footnoteReference w:id="6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بنظر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بقاؤها عرفاً لا عقلاً، وإلاّ فلا یمکن بقاء اللون والطعم والریح بدون الأجزاء الصغار عقلاً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عرفاً، لا عقلاً وبرهاناً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بنظر العرف، لا بالدقّة العقلیة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 تعدّ بنظر العرف من أجزاء العین، لا ما یعدّ منها بالدقّة العقلیّة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بحسب نظر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یشکّ فی بقائها، فلا یحکم حینئذٍ</w:t>
      </w:r>
    </w:p>
    <w:p>
      <w:pPr>
        <w:pStyle w:val="BookText"/>
        <w:rPr/>
      </w:pPr>
      <w:r>
        <w:rPr>
          <w:rFonts w:ascii="Amiri" w:hAnsi="Amiri" w:eastAsia="Amiri" w:cs="Amiri"/>
          <w:color w:val="111111"/>
          <w:sz w:val="28"/>
          <w:sz w:val="28"/>
          <w:szCs w:val="28"/>
          <w:rtl w:val="true"/>
          <w:lang w:bidi="ar-SA"/>
        </w:rPr>
        <w:t>بالطهارة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یشترط فی التطهیر طهارة الماء قبل الاستعمال، فلا یضرّ تنجّسه بالوصول إلی المحلّ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الإطلاق</w:t>
      </w:r>
      <w:r>
        <w:rPr>
          <w:rStyle w:val="FootnoteAnchor"/>
          <w:rtl w:val="true"/>
        </w:rPr>
        <w:footnoteReference w:id="664"/>
      </w:r>
      <w:r>
        <w:rPr>
          <w:rFonts w:ascii="IRNazanin" w:hAnsi="IRNazanin" w:eastAsia="IRNazanin"/>
          <w:color w:val="111111"/>
          <w:sz w:val="28"/>
          <w:sz w:val="28"/>
          <w:szCs w:val="28"/>
          <w:rtl w:val="true"/>
          <w:lang w:bidi="fa-IR"/>
        </w:rPr>
        <w:t xml:space="preserve">فاعتباره إنّما هو قبل الاستعمال وحینه، فلو صار بعد الوصول إلی المحلّ مضافاً </w:t>
      </w:r>
      <w:r>
        <w:rPr>
          <w:rStyle w:val="FootnoteAnchor"/>
          <w:rtl w:val="true"/>
        </w:rPr>
        <w:footnoteReference w:id="665"/>
      </w:r>
      <w:r>
        <w:rPr>
          <w:rFonts w:ascii="Amiri" w:hAnsi="Amiri" w:eastAsia="Amiri" w:cs="Amiri"/>
          <w:color w:val="111111"/>
          <w:sz w:val="28"/>
          <w:sz w:val="28"/>
          <w:szCs w:val="28"/>
          <w:rtl w:val="true"/>
          <w:lang w:bidi="ar-SA"/>
        </w:rPr>
        <w:t>لم یکفِ</w:t>
      </w:r>
      <w:r>
        <w:rPr>
          <w:rStyle w:val="FootnoteAnchor"/>
          <w:rtl w:val="true"/>
        </w:rPr>
        <w:footnoteReference w:id="6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بأوصاف النجاسة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فی الثوب المصبوغ فإنّه یشترط فی طهارته بالماء القلیل بقاوءه علی الإطلاق حتّی حال 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حال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اعتبار بقاء الإطلاق إلی حال العصر وإن کان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فما دام یخرج منه الماء الملوّن لا یطهر</w:t>
      </w:r>
      <w:r>
        <w:rPr>
          <w:rStyle w:val="FootnoteAnchor"/>
          <w:rtl w:val="true"/>
        </w:rPr>
        <w:footnoteReference w:id="667"/>
      </w:r>
      <w:r>
        <w:rPr>
          <w:rFonts w:ascii="IRNazanin" w:hAnsi="IRNazanin" w:eastAsia="IRNazanin"/>
          <w:color w:val="111111"/>
          <w:sz w:val="28"/>
          <w:sz w:val="28"/>
          <w:szCs w:val="28"/>
          <w:rtl w:val="true"/>
          <w:lang w:bidi="fa-IR"/>
        </w:rPr>
        <w:t>، إلاّ إذا کان اللون قلیلاً</w:t>
      </w:r>
      <w:r>
        <w:rPr>
          <w:rStyle w:val="FootnoteAnchor"/>
          <w:rtl w:val="true"/>
        </w:rPr>
        <w:footnoteReference w:id="668"/>
      </w:r>
      <w:r>
        <w:rPr>
          <w:rFonts w:ascii="IRNazanin" w:hAnsi="IRNazanin" w:eastAsia="IRNazanin"/>
          <w:color w:val="111111"/>
          <w:sz w:val="28"/>
          <w:sz w:val="28"/>
          <w:szCs w:val="28"/>
          <w:rtl w:val="true"/>
          <w:lang w:bidi="fa-IR"/>
        </w:rPr>
        <w:t>لم یصل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غسل فی الکثیر فیکفی فیه نفوذ الماء</w:t>
      </w:r>
      <w:r>
        <w:rPr>
          <w:rStyle w:val="FootnoteAnchor"/>
          <w:rtl w:val="true"/>
        </w:rPr>
        <w:footnoteReference w:id="6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العصر أو ما بحکمه من الدلک والفرک والغمز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جمیع أجزائه بوصف الإطلاق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تمام ما یتحقّق به الغسل، کما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تحقّق الغسل عرفاً، ویأتی اعتبار العصر أو ما یقوم مقامه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إحراز نفوذ الماء مع هذا الوصف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صار بالعصر مضافاً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ما کان نفوذ الماء بعد زوال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منّا بعض الکلام فی العصر،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بغیر النجس، وکذا الحال فی الماء المعصور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الماء المعصور المضاف أیضاً محکوم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بحیث یوجب إضافة الماء بمجرّد وصوله إلیه ولا ینفذ فیه إلاّ مضافاً فلا یطهر ما دام کذلک، والظاهر أنّ اشتراط عدم التغیّر</w:t>
      </w:r>
      <w:r>
        <w:rPr>
          <w:rStyle w:val="FootnoteAnchor"/>
          <w:rtl w:val="true"/>
        </w:rPr>
        <w:footnoteReference w:id="6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بأوصاف النجس؛ لأن التغیّر بأوصاف المتنجّس لا بأس به علی الأظهر حتّی فی التطهیر بالقلیل، فضلاً عن الکثیر مع بقائه علی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حکم التغیّر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بوصف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 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التغیّر بأوصاف النجس، فإنّ التغیّر بأوصاف المتنجّس لا یضرّ بحصول التطهیر به ما لم یخرج الماء بذلک عن وصف الإطلاق، وعلی هذا فإذا تغیّر الماء بوصف النجس ولو فی حال العصر لم یحکم بطهارة الشیء المغسول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تغیّر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بأوصاف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بالاستعمال لم یکف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التغیّر بأوصاف النجس، لا المتنجّس،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أ نّه 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دام کذلک،</w:t>
      </w:r>
      <w:bookmarkStart w:id="277" w:name="pg13273_135126"/>
    </w:p>
    <w:p>
      <w:pPr>
        <w:pStyle w:val="BookText"/>
        <w:rPr/>
      </w:pPr>
      <w:bookmarkEnd w:id="277"/>
      <w:r>
        <w:rPr>
          <w:rFonts w:ascii="IRNazanin" w:hAnsi="IRNazanin" w:eastAsia="IRNazanin"/>
          <w:color w:val="111111"/>
          <w:sz w:val="28"/>
          <w:sz w:val="28"/>
          <w:szCs w:val="28"/>
          <w:rtl w:val="true"/>
          <w:lang w:bidi="fa-IR"/>
        </w:rPr>
        <w:t>ولا یحسب</w:t>
      </w:r>
      <w:r>
        <w:rPr>
          <w:rStyle w:val="FootnoteAnchor"/>
          <w:rtl w:val="true"/>
        </w:rPr>
        <w:footnoteReference w:id="6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یحسب وإن تغیّر بعین النجاسة فضـلاً عن المتنجّس علی الأقوی، بل الظاهر أنّ التغیّر بأوصاف المتنجّس غیر ضائرٍ مطلقاً، کما لعلّه تشعر به العبارة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یحسب إذا کان التغیّر من لوازم غسل المحلّ بالماء، ولکن یشترط فی الغسلة الأخیرة عدم تغیّره آن الاستعمال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غسلة من الغسلات فیما یعتبر فیه التعدّد</w:t>
      </w:r>
      <w:r>
        <w:rPr>
          <w:rFonts w:eastAsia="IRNazanin" w:cs="IRNazanin"/>
          <w:color w:val="111111"/>
          <w:sz w:val="28"/>
          <w:szCs w:val="28"/>
          <w:rtl w:val="true"/>
          <w:lang w:bidi="fa-IR"/>
        </w:rPr>
        <w:t>.</w:t>
      </w:r>
    </w:p>
    <w:p>
      <w:pPr>
        <w:pStyle w:val="Heading3"/>
        <w:numPr>
          <w:ilvl w:val="2"/>
          <w:numId w:val="1"/>
        </w:numPr>
        <w:rPr/>
      </w:pPr>
      <w:bookmarkStart w:id="278" w:name="__RefHeading___Toc1666540_2322387425"/>
      <w:bookmarkStart w:id="279" w:name="_Toc98"/>
      <w:bookmarkEnd w:id="278"/>
      <w:r>
        <w:rPr>
          <w:rtl w:val="true"/>
        </w:rPr>
        <w:t>حکم استعمال الغسالة فی التطهیر</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استعمال</w:t>
      </w:r>
      <w:r>
        <w:rPr>
          <w:rStyle w:val="FootnoteAnchor"/>
          <w:rtl w:val="true"/>
        </w:rPr>
        <w:footnoteReference w:id="6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بالشرائط المذکورة فی محلّها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غسالة الاستنجاء فی التطهیر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طهارته، أمّا علی العفو کما قوّیناه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العدم؛ لاحتمال العفو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الجواز مطلقاً، وأ نّها نجسة، ولکن نجاسة غیر متعدّیة فلا ینجس ملاقیها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عدم استعمالها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بناءً علی کونها نجسة معفوّة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والأحوط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بطهارتها وقد مرّ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غسالة سائر النجاسات علی القول</w:t>
      </w:r>
      <w:bookmarkStart w:id="280" w:name="pg13273_135127"/>
    </w:p>
    <w:p>
      <w:pPr>
        <w:pStyle w:val="BookText"/>
        <w:rPr/>
      </w:pPr>
      <w:bookmarkEnd w:id="280"/>
      <w:r>
        <w:rPr>
          <w:rFonts w:ascii="IRNazanin" w:hAnsi="IRNazanin" w:eastAsia="IRNazanin"/>
          <w:color w:val="111111"/>
          <w:sz w:val="28"/>
          <w:sz w:val="28"/>
          <w:szCs w:val="28"/>
          <w:rtl w:val="true"/>
          <w:lang w:bidi="fa-IR"/>
        </w:rPr>
        <w:t>بطهارتها</w:t>
      </w:r>
      <w:r>
        <w:rPr>
          <w:rStyle w:val="FootnoteAnchor"/>
          <w:rtl w:val="true"/>
        </w:rPr>
        <w:footnoteReference w:id="6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الصحیح فی الغسلة المتعقّبة بطهارة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المزیلة وغیرها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فی الغسلة الّتی تتعقّبها طهارة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علی المختار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وجوب الاجتناب عنها احتیاطاً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ما هو المختار عندنا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لزوماً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 الشاهرودی،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 نّه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الأقوی وجوب الاجتناب عنها؛ لعموم أدلّة انفعال الماء 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الخمینی،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کما تقدّم فی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المستعمل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لزوماً؛ لأنّ غسالة النجس محکومة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فی بعض أقسامها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Heading3"/>
        <w:numPr>
          <w:ilvl w:val="2"/>
          <w:numId w:val="1"/>
        </w:numPr>
        <w:rPr/>
      </w:pPr>
      <w:bookmarkStart w:id="281" w:name="__RefHeading___Toc1666542_2322387425"/>
      <w:bookmarkStart w:id="282" w:name="_Toc99"/>
      <w:bookmarkEnd w:id="281"/>
      <w:r>
        <w:rPr>
          <w:rtl w:val="true"/>
        </w:rPr>
        <w:t>ما یعتبر فیه تعدد الغسل</w:t>
      </w:r>
      <w:bookmarkEnd w:id="28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تطهیر الثوب</w:t>
      </w:r>
      <w:r>
        <w:rPr>
          <w:rStyle w:val="FootnoteAnchor"/>
          <w:rtl w:val="true"/>
        </w:rPr>
        <w:footnoteReference w:id="674"/>
      </w:r>
      <w:r>
        <w:rPr>
          <w:rFonts w:ascii="IRNazanin" w:hAnsi="IRNazanin" w:eastAsia="IRNazanin"/>
          <w:color w:val="111111"/>
          <w:sz w:val="28"/>
          <w:sz w:val="28"/>
          <w:szCs w:val="28"/>
          <w:rtl w:val="true"/>
          <w:lang w:bidi="fa-IR"/>
        </w:rPr>
        <w:t xml:space="preserve">أو البدن بالماء </w:t>
      </w:r>
      <w:bookmarkStart w:id="283" w:name="pg13273_135128"/>
    </w:p>
    <w:p>
      <w:pPr>
        <w:pStyle w:val="BookText"/>
        <w:rPr/>
      </w:pPr>
      <w:bookmarkEnd w:id="283"/>
      <w:r>
        <w:rPr>
          <w:rFonts w:ascii="IRNazanin" w:hAnsi="IRNazanin" w:eastAsia="IRNazanin"/>
          <w:color w:val="111111"/>
          <w:sz w:val="28"/>
          <w:sz w:val="28"/>
          <w:szCs w:val="28"/>
          <w:rtl w:val="true"/>
          <w:lang w:bidi="fa-IR"/>
        </w:rPr>
        <w:t>القلیل</w:t>
      </w:r>
      <w:r>
        <w:rPr>
          <w:rStyle w:val="FootnoteAnchor"/>
          <w:rtl w:val="true"/>
        </w:rPr>
        <w:footnoteReference w:id="675"/>
      </w:r>
      <w:r>
        <w:rPr>
          <w:rFonts w:ascii="IRNazanin" w:hAnsi="IRNazanin" w:eastAsia="IRNazanin"/>
          <w:color w:val="111111"/>
          <w:sz w:val="28"/>
          <w:sz w:val="28"/>
          <w:szCs w:val="28"/>
          <w:rtl w:val="true"/>
          <w:lang w:bidi="fa-IR"/>
        </w:rPr>
        <w:t>من بول غیر الرضیع الغسل مرّتین</w:t>
      </w:r>
      <w:r>
        <w:rPr>
          <w:rStyle w:val="FootnoteAnchor"/>
          <w:rtl w:val="true"/>
        </w:rPr>
        <w:footnoteReference w:id="6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زوال العین قبلهما أم بالأولی منهما علی الأقوی، وکذا الکلام فیما ینوب الغسلتین، کالصبّـتین فی بول الرضیع بناءً علی اعتبار التعدّد، ولیعلم أنّ الأحوط عدم کفایة المرّتین التقدیریّـتین باستمرار الغسل الواحد بقدر المرّتین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84" w:name="__RefHeading___Toc1666544_2322387425"/>
      <w:bookmarkStart w:id="285" w:name="_Toc100"/>
      <w:bookmarkEnd w:id="284"/>
      <w:r>
        <w:rPr>
          <w:rtl w:val="true"/>
        </w:rPr>
        <w:t>ما یعتبر فیه الغسل مرة</w:t>
      </w:r>
      <w:bookmarkEnd w:id="285"/>
    </w:p>
    <w:p>
      <w:pPr>
        <w:pStyle w:val="BookText"/>
        <w:rPr/>
      </w:pPr>
      <w:r>
        <w:rPr>
          <w:rFonts w:ascii="IRNazanin" w:hAnsi="IRNazanin" w:eastAsia="IRNazanin"/>
          <w:color w:val="111111"/>
          <w:sz w:val="28"/>
          <w:sz w:val="28"/>
          <w:szCs w:val="28"/>
          <w:rtl w:val="true"/>
          <w:lang w:bidi="fa-IR"/>
        </w:rPr>
        <w:t>وأمّا من بول الرضیع</w:t>
      </w:r>
      <w:r>
        <w:rPr>
          <w:rStyle w:val="FootnoteAnchor"/>
          <w:rtl w:val="true"/>
        </w:rPr>
        <w:footnoteReference w:id="677"/>
      </w:r>
      <w:r>
        <w:rPr>
          <w:rFonts w:ascii="IRNazanin" w:hAnsi="IRNazanin" w:eastAsia="IRNazanin"/>
          <w:color w:val="111111"/>
          <w:sz w:val="28"/>
          <w:sz w:val="28"/>
          <w:szCs w:val="28"/>
          <w:rtl w:val="true"/>
          <w:lang w:bidi="fa-IR"/>
        </w:rPr>
        <w:t>غیر المتغذّی بالطعام فیکفی صبّ الماء مرّة</w:t>
      </w:r>
      <w:r>
        <w:rPr>
          <w:rStyle w:val="FootnoteAnchor"/>
          <w:rtl w:val="true"/>
        </w:rPr>
        <w:footnoteReference w:id="6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العصر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المرّتان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وینبغی عدم ترک العصر فیما یمکن عصره بعد الصبّ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المتنجّس بسائر النجاسات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w:t>
      </w:r>
    </w:p>
    <w:p>
      <w:pPr>
        <w:pStyle w:val="BookText"/>
        <w:rPr/>
      </w:pPr>
      <w:r>
        <w:rPr>
          <w:rFonts w:ascii="IRNazanin" w:hAnsi="IRNazanin" w:eastAsia="IRNazanin"/>
          <w:color w:val="111111"/>
          <w:sz w:val="28"/>
          <w:sz w:val="28"/>
          <w:szCs w:val="28"/>
          <w:rtl w:val="true"/>
          <w:lang w:bidi="fa-IR"/>
        </w:rPr>
        <w:t>الولوغ</w:t>
      </w:r>
      <w:r>
        <w:rPr>
          <w:rStyle w:val="FootnoteAnchor"/>
          <w:rtl w:val="true"/>
        </w:rPr>
        <w:footnoteReference w:id="6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نجاسة الولوغ أیضاً مثل البول یحتاج إلی التعدّد علاوة علی التعفیر، نعم هاهنا استثناء آخر باعتبار ما وقع علیه النجس، وهی الأوانی ویذکرها فی الفرع الآتی، فالإناء الّذی ولغ فیه الکلب أو الخنزیر یحتاج إلی التعدّد من جهتین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أشبهه من موارد التعدّد، کالأوانی المتنجّسة بغیره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سهو القلم، والصحیح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الإناء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الأوانی بدل الولوغ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العبارة سهو؛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الأوانی، کما سیذکر ذلک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المناسب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الإناء، ویظهر الوجه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کفایة الغسل مرّة بعد زوال العین، فلا تکفی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کاشف الغطاء،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تکفی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الفانی،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کفایتها واحتسابها من العدد فیما یُعتبر فیه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الغسلة المزیلة للعین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کفایته، والاحتیاط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کفایتها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کفایتها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الغسلة</w:t>
      </w:r>
      <w:bookmarkStart w:id="286" w:name="pg13273_135130"/>
    </w:p>
    <w:p>
      <w:pPr>
        <w:pStyle w:val="BookText"/>
        <w:rPr/>
      </w:pPr>
      <w:bookmarkEnd w:id="286"/>
      <w:r>
        <w:rPr>
          <w:rFonts w:ascii="IRNazanin" w:hAnsi="IRNazanin" w:eastAsia="IRNazanin"/>
          <w:color w:val="111111"/>
          <w:sz w:val="28"/>
          <w:sz w:val="28"/>
          <w:szCs w:val="28"/>
          <w:rtl w:val="true"/>
          <w:lang w:bidi="fa-IR"/>
        </w:rPr>
        <w:t>المزیلة لها، إلاّ أن یصبّ الماء</w:t>
      </w:r>
      <w:r>
        <w:rPr>
          <w:rStyle w:val="FootnoteAnchor"/>
          <w:rtl w:val="true"/>
        </w:rPr>
        <w:footnoteReference w:id="680"/>
      </w:r>
      <w:r>
        <w:rPr>
          <w:rFonts w:ascii="IRNazanin" w:hAnsi="IRNazanin" w:eastAsia="IRNazanin"/>
          <w:color w:val="111111"/>
          <w:sz w:val="28"/>
          <w:sz w:val="28"/>
          <w:szCs w:val="28"/>
          <w:rtl w:val="true"/>
          <w:lang w:bidi="fa-IR"/>
        </w:rPr>
        <w:t>مستمرّاً بعد زوالها، والأحوط التعدّد</w:t>
      </w:r>
      <w:r>
        <w:rPr>
          <w:rStyle w:val="FootnoteAnchor"/>
          <w:rtl w:val="true"/>
        </w:rPr>
        <w:footnoteReference w:id="6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ویتحقّق ذلک بالمرّة بعد الغسلة المزیلة مع الفصل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ولکن مع احتساب الغسلة المزیلة إذا استمرّ جریان الماء بعد الإزالة ولو آناً ما، وإن کان الأحوط کونهما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قوّة مع احتساب الغسلة المزیلة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لیس لزومیّاً، والاحتیاط المذکور یأتی أیضاً بالتعدّد بعد الغسلة المزیلة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سائر النجاسات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کونهما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احتسابها حتّی فیما یجب فیه المرّة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موقع لهذا الإضراب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الغسلة المزیلة</w:t>
      </w:r>
      <w:r>
        <w:rPr>
          <w:rFonts w:eastAsia="IRNazanin" w:cs="IRNazanin"/>
          <w:color w:val="111111"/>
          <w:sz w:val="28"/>
          <w:szCs w:val="28"/>
          <w:rtl w:val="true"/>
          <w:lang w:bidi="fa-IR"/>
        </w:rPr>
        <w:t>.</w:t>
      </w:r>
    </w:p>
    <w:p>
      <w:pPr>
        <w:pStyle w:val="Heading3"/>
        <w:numPr>
          <w:ilvl w:val="2"/>
          <w:numId w:val="1"/>
        </w:numPr>
        <w:rPr/>
      </w:pPr>
      <w:bookmarkStart w:id="287" w:name="__RefHeading___Toc1666546_2322387425"/>
      <w:bookmarkStart w:id="288" w:name="_Toc101"/>
      <w:bookmarkEnd w:id="287"/>
      <w:r>
        <w:rPr>
          <w:rtl w:val="true"/>
        </w:rPr>
        <w:t>کیفیة تطهیر الأوانی</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الأوانی إذا تنجّست بغیر الولوغ الغسل ثلاث مرّات</w:t>
      </w:r>
      <w:r>
        <w:rPr>
          <w:rStyle w:val="FootnoteAnchor"/>
          <w:rtl w:val="true"/>
        </w:rPr>
        <w:footnoteReference w:id="68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 ولا یخلو عدم اعتبار الثلاث من قوّة 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الماء القلیل</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تنجّست بالولوغ</w:t>
      </w:r>
      <w:r>
        <w:rPr>
          <w:rStyle w:val="FootnoteAnchor"/>
          <w:rtl w:val="true"/>
        </w:rPr>
        <w:footnoteReference w:id="684"/>
      </w:r>
      <w:r>
        <w:rPr>
          <w:rFonts w:ascii="IRNazanin" w:hAnsi="IRNazanin" w:eastAsia="IRNazanin"/>
          <w:color w:val="111111"/>
          <w:sz w:val="28"/>
          <w:sz w:val="28"/>
          <w:szCs w:val="28"/>
          <w:rtl w:val="true"/>
          <w:lang w:bidi="fa-IR"/>
        </w:rPr>
        <w:t>التعفیر بالتراب</w:t>
      </w:r>
      <w:r>
        <w:rPr>
          <w:rStyle w:val="FootnoteAnchor"/>
          <w:rtl w:val="true"/>
        </w:rPr>
        <w:footnoteReference w:id="6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والأحوط فی کیفیّته أن یمسح بالتراب أوّلاً، ثمّ بترابٍ فیه شیء من الماء، ثمّ یغسل الإناء مرّتین بعد إزالة التراب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 وبالماء بعده مرّتین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ثلاث مرّات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الأولی ثلاث مرّات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الاحتیاط اللازم تقدیم غسلة التراب بما ذکره، لکنّ مراعاة الاحتیاط یقتضی بأن یمسح أوّلاً بالتراب الخالص، ثمّ من جهة یوضع شیء من الماء علی وجه لا یخرجه عن اسم التراب وعن إطلاقه ویمسح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لرعایة الوجهین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بهذا الطریق یجمع بین الاحتمالین فلا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یطرح</w:t>
      </w:r>
      <w:r>
        <w:rPr>
          <w:rStyle w:val="FootnoteAnchor"/>
          <w:rtl w:val="true"/>
        </w:rPr>
        <w:footnoteReference w:id="6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أن یجعل فی الإناء مقدار من التراب، ثمّ یوضع فیه مقدار من الماء فیمسح الإناء به، ثمّ یزال أثر التراب بالماء، ثمّ یغسل الإناء بالماء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الّذی لا یُترک أن یطرح فیه التراب ویجعل فیه شیئاً من الماء بحیث لا یخرج عن مصداق التراب فیمسح به، ثمّ یغسل التراب بالماء، ثمّ یغسل الإناء بالماء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التراب من غیر ماء ویمسح به، ثمّ یجعل فیه شیء من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بقاء اسم 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بمقدار یصدق معه الغسل، ولا یُترک الاحتیاط بالجمع بینه وبین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یصدق الغسل بالتراب، ولکنّ الأقوی عدم لزومه، وذکر الغسل فی مورد التراب مسامحیّ یُراد به إزالة القذارة، ثمّ علی تقدیر لزوم مزج شیء من الماء بالتراب لابدّ أن یکون بمقدار لا یخرج المورد عن صدق التعفیر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ویمسح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کفایة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العکس، فلا یکفی التراب من غیر ماء، ویجب أن یمزج التراب بشیء من الماء، فإنّ المفهوم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بالتراب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کالغسل بالصابون والسدر ونحو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بل</w:t>
      </w:r>
    </w:p>
    <w:p>
      <w:pPr>
        <w:pStyle w:val="BookText"/>
        <w:rPr/>
      </w:pPr>
      <w:r>
        <w:rPr>
          <w:rFonts w:ascii="IRNazanin" w:hAnsi="IRNazanin" w:eastAsia="IRNazanin"/>
          <w:color w:val="111111"/>
          <w:sz w:val="28"/>
          <w:sz w:val="28"/>
          <w:szCs w:val="28"/>
          <w:rtl w:val="true"/>
          <w:lang w:bidi="fa-IR"/>
        </w:rPr>
        <w:t>الثانی</w:t>
      </w:r>
      <w:r>
        <w:rPr>
          <w:rStyle w:val="FootnoteAnchor"/>
          <w:rtl w:val="true"/>
        </w:rPr>
        <w:footnoteReference w:id="6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تعیّن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الثانی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بینهما بترابین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تعیّن الثانی لا یخلو من قوّة بشرط أن یجعل التراب طیناً، والجمع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إن کان المراد منه ـ کما هو ظاهره ـ مزج التراب بالماء ثمّ مسحه؛ لأنّ هذا هو الظاهر من الغسل بالتراب المذکور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المسح بنفس التراب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 یخرج عن صدق الغسل بالتراب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کون الماء لا یخرجه عن صدق التعفیر بالتراب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کفایته فقط إشکال، ثمّ فی عبارة الرضوی الأمر بالتجفیف بعد إتمام الغسلات وإلیه استند جمع، ولکنّه قد مرّ عدم کونه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الاقتصار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کفایته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لم یخرج عن اسم التراب حین المسح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 یخرجه عن اسم 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ولابدّ من التراب، فلا یکفی عنه</w:t>
      </w:r>
    </w:p>
    <w:p>
      <w:pPr>
        <w:pStyle w:val="BookText"/>
        <w:rPr/>
      </w:pPr>
      <w:r>
        <w:rPr>
          <w:rFonts w:ascii="IRNazanin" w:hAnsi="IRNazanin" w:eastAsia="IRNazanin"/>
          <w:color w:val="111111"/>
          <w:sz w:val="28"/>
          <w:sz w:val="28"/>
          <w:szCs w:val="28"/>
          <w:rtl w:val="true"/>
          <w:lang w:bidi="fa-IR"/>
        </w:rPr>
        <w:t>الرماد</w:t>
      </w:r>
      <w:r>
        <w:rPr>
          <w:rStyle w:val="FootnoteAnchor"/>
          <w:rtl w:val="true"/>
        </w:rPr>
        <w:footnoteReference w:id="688"/>
      </w:r>
      <w:r>
        <w:rPr>
          <w:rFonts w:ascii="IRNazanin" w:hAnsi="IRNazanin" w:eastAsia="IRNazanin"/>
          <w:color w:val="111111"/>
          <w:sz w:val="28"/>
          <w:sz w:val="28"/>
          <w:szCs w:val="28"/>
          <w:rtl w:val="true"/>
          <w:lang w:bidi="fa-IR"/>
        </w:rPr>
        <w:t>والإشنان والنورة ونحوها، نعم یکفی الرمل</w:t>
      </w:r>
      <w:r>
        <w:rPr>
          <w:rStyle w:val="FootnoteAnchor"/>
          <w:rtl w:val="true"/>
        </w:rPr>
        <w:footnoteReference w:id="6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اسم التراب علیه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الملحق بالتراب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 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علیه اسم التراب عرفاً، وإلاّ فمشکل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کفایته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الملحق بالتراب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سلم صدق التراب علیه عرفاً، ولکن عدم الصدق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یکفی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احتسب تراباً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التراب علیه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علیه التراب عرفاً، وفی الصدق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شکّ فی صدق التراب علیه لا یکفی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علیه التراب، وإلاّ فلا یکفی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یعدّ من 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دقیقاً بحیث یصدق علیه اسم التراب، وإلاّ ففی کفایته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فرق بین أقسام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الولوغ</w:t>
      </w:r>
      <w:r>
        <w:rPr>
          <w:rStyle w:val="FootnoteAnchor"/>
          <w:rtl w:val="true"/>
        </w:rPr>
        <w:footnoteReference w:id="6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یحتاج إلی تفسیر کلمة الولوغ؛ إذ هو غیر وارد فی النصّ، فإنّ فی روایة البقباق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یتوضّأ بفضله، واصبب ذلک الماء واغسله بالتراب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المصدر فی الصفحة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فالحکم معلّق علی فضل الکلب، أی سؤره، ویلحق به ما یلحق لأجل عدم فهم الخصوصیّة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شربه الماء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مائعاً آخر بطرف لسانه، ویقوی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تأمّل، ولا یُترک الاحتیاط بإلحاقه، بل بإلحاق وقوع لعاب فمه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 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بل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تأمّل، نعم لا یُترک الاحتیاط فی خصوص الشرب بلا ولوغ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إلحاق لطعه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 مع غسله بالماء ثلاثاً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جریان الحکم فی فضله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بقی فیه شیء یصدق أنّه سؤره، بل مطلقاً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الإناء بشربه، وأمّا وقوع</w:t>
      </w:r>
    </w:p>
    <w:p>
      <w:pPr>
        <w:pStyle w:val="BookText"/>
        <w:rPr/>
      </w:pPr>
      <w:r>
        <w:rPr>
          <w:rFonts w:ascii="IRNazanin" w:hAnsi="IRNazanin" w:eastAsia="IRNazanin"/>
          <w:color w:val="111111"/>
          <w:sz w:val="28"/>
          <w:sz w:val="28"/>
          <w:szCs w:val="28"/>
          <w:rtl w:val="true"/>
          <w:lang w:bidi="fa-IR"/>
        </w:rPr>
        <w:t>لعاب فمه</w:t>
      </w:r>
      <w:r>
        <w:rPr>
          <w:rStyle w:val="FootnoteAnchor"/>
          <w:rtl w:val="true"/>
        </w:rPr>
        <w:footnoteReference w:id="691"/>
      </w:r>
      <w:r>
        <w:rPr>
          <w:rFonts w:ascii="IRNazanin" w:hAnsi="IRNazanin" w:eastAsia="IRNazanin"/>
          <w:color w:val="111111"/>
          <w:sz w:val="28"/>
          <w:sz w:val="28"/>
          <w:szCs w:val="28"/>
          <w:rtl w:val="true"/>
          <w:lang w:bidi="fa-IR"/>
        </w:rPr>
        <w:t>فالأقوی فیه عدم اللحوق</w:t>
      </w:r>
      <w:r>
        <w:rPr>
          <w:rStyle w:val="FootnoteAnchor"/>
          <w:rtl w:val="true"/>
        </w:rPr>
        <w:footnoteReference w:id="6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لحوقه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نظر، وعلی کلّ حال یلزم التثلیث فی تطهیر الإناء منه، ومن مطلق مباشرته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تأمّل،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وکذا فی لاحقه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بالتعفیر، ثمّ الغسل بالماء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 البروجردی، مهدی الشیرازی، الشریعتمداری، المرعشی،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رعایة الاحتیاط فیه بالتعفیر، ثمّ الغسل بالماء ثلاثاً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بالغسل بالتراب بنحو ما ذکر، والغسل بعده بالماء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بالتعفیر ثمّ الغسل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مراعاة التثلیث فی 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بالتعفیر، ثمّ الغسل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فیه الغسل بالتراب أوّلاً، ثمّ بالماء ثلاث مرّات، ولا یُترک،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الأحوط</w:t>
      </w:r>
    </w:p>
    <w:p>
      <w:pPr>
        <w:pStyle w:val="BookText"/>
        <w:rPr/>
      </w:pPr>
      <w:r>
        <w:rPr>
          <w:rFonts w:ascii="IRNazanin" w:hAnsi="IRNazanin" w:eastAsia="IRNazanin"/>
          <w:color w:val="111111"/>
          <w:sz w:val="28"/>
          <w:sz w:val="28"/>
          <w:szCs w:val="28"/>
          <w:rtl w:val="true"/>
          <w:lang w:bidi="fa-IR"/>
        </w:rPr>
        <w:t>إجراء</w:t>
      </w:r>
      <w:r>
        <w:rPr>
          <w:rStyle w:val="FootnoteAnchor"/>
          <w:rtl w:val="true"/>
        </w:rPr>
        <w:footnoteReference w:id="6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الإجراء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والاحتیاط فی وقوع لعاب فمه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الاحتیاط المتقدّم أیضاً من الغسل ثلاث مرّات بعد التعفیر، بل هنا آکدّ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أحوط تأمّل، بل الأحوط الجمع بین التعفیر والغسل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ما ذکر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ملزم له، فتطهیر هذا الإناء کسائر الأوانی فی عدد الغسلات بدون لزوم التعفیر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إنّما یتحقّق بالجمع بین التعفیر والغسل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لیس بلازم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المذکور فی مطلق مباشرته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بغیر اللسان من سائر الأعضاء حتّی وقوع شعره أو عرقه فی الإناء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ولوغ الخنزیر</w:t>
      </w:r>
      <w:r>
        <w:rPr>
          <w:rStyle w:val="FootnoteAnchor"/>
          <w:rtl w:val="true"/>
        </w:rPr>
        <w:footnoteReference w:id="694"/>
      </w:r>
      <w:r>
        <w:rPr>
          <w:rFonts w:ascii="IRNazanin" w:hAnsi="IRNazanin" w:eastAsia="IRNazanin"/>
          <w:color w:val="111111"/>
          <w:sz w:val="28"/>
          <w:sz w:val="28"/>
          <w:szCs w:val="28"/>
          <w:rtl w:val="true"/>
          <w:lang w:bidi="fa-IR"/>
        </w:rPr>
        <w:t>غسل الإناء سبع مرّات</w:t>
      </w:r>
      <w:r>
        <w:rPr>
          <w:rStyle w:val="FootnoteAnchor"/>
          <w:rtl w:val="true"/>
        </w:rPr>
        <w:footnoteReference w:id="6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بالماء القلیل، وعلی الأحوط فی الماء الکثیر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الکبیر من الفأرة البرّیّة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الکبیر</w:t>
      </w:r>
      <w:r>
        <w:rPr>
          <w:rStyle w:val="FootnoteAnchor"/>
          <w:rtl w:val="true"/>
        </w:rPr>
        <w:footnoteReference w:id="696"/>
      </w:r>
      <w:r>
        <w:rPr>
          <w:rFonts w:ascii="IRNazanin" w:hAnsi="IRNazanin" w:eastAsia="IRNazanin"/>
          <w:color w:val="111111"/>
          <w:sz w:val="28"/>
          <w:sz w:val="28"/>
          <w:szCs w:val="28"/>
          <w:rtl w:val="true"/>
          <w:lang w:bidi="fa-IR"/>
        </w:rPr>
        <w:t>من الفأرة البرّیّة، والأحوط فی الخنزیر</w:t>
      </w:r>
      <w:r>
        <w:rPr>
          <w:rStyle w:val="FootnoteAnchor"/>
          <w:rtl w:val="true"/>
        </w:rPr>
        <w:footnoteReference w:id="6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إلحاقاً له بالکلب موضوعاً کما عن الشیخ قدس‌سره ، أو حکماً کما عن غیره، وفیهما تأمّل، والأقوی عدم لزوم التعفیر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التعفیر قبل السبع أیضاً، لکن الأقوی عدم وجوبه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فی ظروف الخمر الغسل سبعاً </w:t>
      </w:r>
      <w:r>
        <w:rPr>
          <w:rStyle w:val="FootnoteAnchor"/>
          <w:rtl w:val="true"/>
        </w:rPr>
        <w:footnoteReference w:id="6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الاحتیاط بالسبع لا یُترک فی ظروف النبیذ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لزوم الثلاث وکفایتها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والأقوی کونها کسائر الظروف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کفایة الثلاث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ولکنّها تمتاز عنها بلزوم غسلها ثلاث مرّات حتّی فی الماء الجاری والکرّ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فیجب غسل أوانی الخمر ثلاث مرّات حتّی الماء الکثیر أو الجاری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الّذی یعفّر به یجب أن یکون طاهراً </w:t>
      </w:r>
      <w:r>
        <w:rPr>
          <w:rStyle w:val="FootnoteAnchor"/>
          <w:rtl w:val="true"/>
        </w:rPr>
        <w:footnoteReference w:id="6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نظر، لکنّه لا تترک رعایته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وفی العدم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الوجوب، والحکم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w:t>
      </w:r>
    </w:p>
    <w:p>
      <w:pPr>
        <w:pStyle w:val="BookText"/>
        <w:rPr/>
      </w:pPr>
      <w:r>
        <w:rPr>
          <w:rFonts w:ascii="IRNazanin" w:hAnsi="IRNazanin" w:eastAsia="IRNazanin"/>
          <w:color w:val="111111"/>
          <w:sz w:val="28"/>
          <w:sz w:val="28"/>
          <w:szCs w:val="28"/>
          <w:rtl w:val="true"/>
          <w:lang w:bidi="fa-IR"/>
        </w:rPr>
        <w:t>الاستعمال</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الإناء ضیّقاً </w:t>
      </w:r>
      <w:r>
        <w:rPr>
          <w:rStyle w:val="FootnoteAnchor"/>
          <w:rtl w:val="true"/>
        </w:rPr>
        <w:footnoteReference w:id="701"/>
      </w:r>
      <w:r>
        <w:rPr>
          <w:rFonts w:ascii="IRNazanin" w:hAnsi="IRNazanin" w:eastAsia="IRNazanin"/>
          <w:color w:val="111111"/>
          <w:sz w:val="28"/>
          <w:sz w:val="28"/>
          <w:szCs w:val="28"/>
          <w:rtl w:val="true"/>
          <w:lang w:bidi="fa-IR"/>
        </w:rPr>
        <w:t>لا یمکن</w:t>
      </w:r>
      <w:r>
        <w:rPr>
          <w:rStyle w:val="FootnoteAnchor"/>
          <w:rtl w:val="true"/>
        </w:rPr>
        <w:footnoteReference w:id="702"/>
      </w:r>
      <w:r>
        <w:rPr>
          <w:rFonts w:ascii="IRNazanin" w:hAnsi="IRNazanin" w:eastAsia="IRNazanin"/>
          <w:color w:val="111111"/>
          <w:sz w:val="28"/>
          <w:sz w:val="28"/>
          <w:szCs w:val="28"/>
          <w:rtl w:val="true"/>
          <w:lang w:bidi="fa-IR"/>
        </w:rPr>
        <w:t>مسحه بالتراب فالظاهر کفایة جعل التراب</w:t>
      </w:r>
      <w:r>
        <w:rPr>
          <w:rStyle w:val="FootnoteAnchor"/>
          <w:rtl w:val="true"/>
        </w:rPr>
        <w:footnoteReference w:id="7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النحو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 نّه لابدّ من مزجه بالماء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اللازم وصول التراب ولم تکن للمسح موضوعیّة، وإلاّ فالحکم بالکفایة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إضافة مقدار من الماء إلیه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ما مرّ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کفایة مزج الماء بالتراب وعدم لزوم المسح لاحاجة إلی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وتحریکه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تحریکاً عنیفاً یقوم مقام الدلک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تحریکاً شدیداً یتحقّق به الغسل بالتراب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تحریکاً عنیفاً، وإدخال التراب الممتزج بالماء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تحریکاً موجباً لصدق الغسل بالتراب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کفایته إشکال، نعم لو وضع خرقة علی رأس عود واُدخل فیه وحرّکها عنیفاً حتّی حصل التعفیر والغسل بالتراب یکفی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تحریکاً عینیّاً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فی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صدق أ نّه غسله بالتراب فی نظر العرف، فإن صدق ذلک بأن وضع فیه مقداراً من التراب ومزجه بمقدار من الماء، ثمّ حرّکه فی الإناء حتّی وصل إلی جمیع أطرافه، ثمّ أزال أثره بالماء کفی، وغسله بالماء مرّتین بعد ذلک کما تقدّم، وإن لم یمکن ذلک بقی علی 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یصل إلی جمیع أطرافه،</w:t>
      </w:r>
    </w:p>
    <w:p>
      <w:pPr>
        <w:pStyle w:val="BookText"/>
        <w:rPr/>
      </w:pPr>
      <w:r>
        <w:rPr>
          <w:rFonts w:ascii="IRNazanin" w:hAnsi="IRNazanin" w:eastAsia="IRNazanin"/>
          <w:color w:val="111111"/>
          <w:sz w:val="28"/>
          <w:sz w:val="28"/>
          <w:szCs w:val="28"/>
          <w:rtl w:val="true"/>
          <w:lang w:bidi="fa-IR"/>
        </w:rPr>
        <w:t>وأمّا إذا کان ممّا لا یمکن فیه ذلک فالظاهر بقاوءه</w:t>
      </w:r>
      <w:r>
        <w:rPr>
          <w:rStyle w:val="FootnoteAnchor"/>
          <w:rtl w:val="true"/>
        </w:rPr>
        <w:footnoteReference w:id="7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النجاسة أبداً، إلاّ عند من یقول بسقوط التعفیر فی الغسل بالماء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w:t>
      </w:r>
      <w:r>
        <w:rPr>
          <w:rStyle w:val="FootnoteAnchor"/>
          <w:rtl w:val="true"/>
        </w:rPr>
        <w:footnoteReference w:id="7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الجزم بعدم الجریان مشکل، بل لابدّ من رعایة الاحتیاط فی کلّ مورد یصدق علیه العنوان المأخوذ فی حدیث البقباق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من أبواب النجاسات، ح</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التعفیر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غیر</w:t>
      </w:r>
    </w:p>
    <w:p>
      <w:pPr>
        <w:pStyle w:val="BookText"/>
        <w:rPr/>
      </w:pPr>
      <w:r>
        <w:rPr>
          <w:rFonts w:ascii="IRNazanin" w:hAnsi="IRNazanin" w:eastAsia="IRNazanin"/>
          <w:color w:val="111111"/>
          <w:sz w:val="28"/>
          <w:sz w:val="28"/>
          <w:szCs w:val="28"/>
          <w:rtl w:val="true"/>
          <w:lang w:bidi="fa-IR"/>
        </w:rPr>
        <w:t>الظروف</w:t>
      </w:r>
      <w:r>
        <w:rPr>
          <w:rStyle w:val="FootnoteAnchor"/>
          <w:rtl w:val="true"/>
        </w:rPr>
        <w:footnoteReference w:id="7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الولوغ فی غیر الظروف أیضاً فالأحوط التعفیر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إجراء الحکم فیما یصدق علیه أ نّه ولغ فیه أو شرب منه وإن لم یصدق علیه الظرف، کما لو شرب من قطعة حجر جمع فیه الماء فیلزم التعفیر فی تطهیره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حکم التعفیر فی صحیحة أبی العباس ـ وهی دلیل الحکم فی المسألة ـ هو فضل الکلب، یعنی سؤره الباقی بعد ولوغه، سواء کان فی إناء أو غیره، فالحکم بالتعفیر یعمّ الجمیع، نعم یخرج منه ما لم تجرِ العادة بتنظیفه بالتراب، کالأرض والثیاب ونحوهما، کما إذا ولغ الکلب من ماء مجتمع علیها، أمّا الباقی فحکمه التعفیر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جریانه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تنجّس بالکلب، ولو بماء ولوغه أو بلطعه، نعم لا فرق بین أقسام الظروف فی وجوب التعفیر حتّی مثل الدلو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إسراء الحکم إلی ما لا یصدق علیه الإناء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غیر الأوانی المتعارفة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شرب الکلب منه، بل والقربة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القربة من الظروف والأوانی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والمِطهَرَة، وما أشبه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الحکم لما لا یصدق علیه عنوان الإناء کالقِربة المِطْهرة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یتکرّر التعفیر بتکرّر الولوغ من کلب واحد أو أزید، بل یکفی التعفیر مرّة واحدة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تقدیم التعفیر علی الغسلتین، فلو عکس لم یطهر</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الإناء بالماء الکثیر</w:t>
      </w:r>
      <w:r>
        <w:rPr>
          <w:rStyle w:val="FootnoteAnchor"/>
          <w:rtl w:val="true"/>
        </w:rPr>
        <w:footnoteReference w:id="708"/>
      </w:r>
      <w:r>
        <w:rPr>
          <w:rFonts w:ascii="IRNazanin" w:hAnsi="IRNazanin" w:eastAsia="IRNazanin"/>
          <w:color w:val="111111"/>
          <w:sz w:val="28"/>
          <w:sz w:val="28"/>
          <w:szCs w:val="28"/>
          <w:rtl w:val="true"/>
          <w:lang w:bidi="fa-IR"/>
        </w:rPr>
        <w:t>لا یعتبر فیه التثلیث، بل یکفی مرّة</w:t>
      </w:r>
      <w:r>
        <w:rPr>
          <w:rStyle w:val="FootnoteAnchor"/>
          <w:rtl w:val="true"/>
        </w:rPr>
        <w:footnoteReference w:id="7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یعتبر التعدّد فی الولوغ والبول فی غیر الجاری، والثلاث فی الخمر، والسبع فی الخنزیر وموت الجرذ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واحدة حتّی فی إناء الولوغ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لزوم التعدّد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سقوط التعفیر، ثمّ الغسل بالماء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سقوط</w:t>
      </w:r>
    </w:p>
    <w:p>
      <w:pPr>
        <w:pStyle w:val="BookText"/>
        <w:rPr/>
      </w:pPr>
      <w:r>
        <w:rPr>
          <w:rFonts w:ascii="IRNazanin" w:hAnsi="IRNazanin" w:eastAsia="IRNazanin"/>
          <w:color w:val="111111"/>
          <w:sz w:val="28"/>
          <w:sz w:val="28"/>
          <w:szCs w:val="28"/>
          <w:rtl w:val="true"/>
          <w:lang w:bidi="fa-IR"/>
        </w:rPr>
        <w:t>التعفیر فیه</w:t>
      </w:r>
      <w:r>
        <w:rPr>
          <w:rStyle w:val="FootnoteAnchor"/>
          <w:rtl w:val="true"/>
        </w:rPr>
        <w:footnoteReference w:id="710"/>
      </w:r>
      <w:r>
        <w:rPr>
          <w:rFonts w:ascii="IRNazanin" w:hAnsi="IRNazanin" w:eastAsia="IRNazanin"/>
          <w:color w:val="111111"/>
          <w:sz w:val="28"/>
          <w:sz w:val="28"/>
          <w:szCs w:val="28"/>
          <w:rtl w:val="true"/>
          <w:lang w:bidi="fa-IR"/>
        </w:rPr>
        <w:t>، بل لا یخلو عن قوّة، والأحوط</w:t>
      </w:r>
      <w:r>
        <w:rPr>
          <w:rStyle w:val="FootnoteAnchor"/>
          <w:rtl w:val="true"/>
        </w:rPr>
        <w:footnoteReference w:id="7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الاصطهباناتی، عبداللّه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وسابقه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حتّی فی الجاری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عدم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ویجب التثلیث فی ظروف الخمر، والسبع لولوغ الخنزیر وموت الجرذ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لزوماً حتّی فی الماء الجاری والمطر، بل هو الأقوی فی إناء الخمر، نعم فی إناء الولوغ تکفی المرّتان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المطر فلا حاجة إلی التعدّد، وأمّا فی الکثیر والجاری فلا یترک الاحتیاط بالتعدّد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التثلیث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فی الکثیر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غسل الإناء بالماء القلیل یکفی</w:t>
      </w:r>
      <w:r>
        <w:rPr>
          <w:rStyle w:val="FootnoteAnchor"/>
          <w:rtl w:val="true"/>
        </w:rPr>
        <w:footnoteReference w:id="712"/>
      </w:r>
      <w:r>
        <w:rPr>
          <w:rFonts w:ascii="IRNazanin" w:hAnsi="IRNazanin" w:eastAsia="IRNazanin"/>
          <w:color w:val="111111"/>
          <w:sz w:val="28"/>
          <w:sz w:val="28"/>
          <w:szCs w:val="28"/>
          <w:rtl w:val="true"/>
          <w:lang w:bidi="fa-IR"/>
        </w:rPr>
        <w:t>صبّ الماء فیه وإدارته إلی أطرافه، ثمّ صبّه علی الأرض ثلاث مرّات، کما یکفی أن یملأه</w:t>
      </w:r>
      <w:r>
        <w:rPr>
          <w:rStyle w:val="FootnoteAnchor"/>
          <w:rtl w:val="true"/>
        </w:rPr>
        <w:footnoteReference w:id="713"/>
      </w:r>
      <w:r>
        <w:rPr>
          <w:rFonts w:ascii="Amiri" w:hAnsi="Amiri" w:eastAsia="Amiri" w:cs="Amiri"/>
          <w:color w:val="111111"/>
          <w:sz w:val="28"/>
          <w:sz w:val="28"/>
          <w:szCs w:val="28"/>
          <w:rtl w:val="true"/>
          <w:lang w:bidi="ar-SA"/>
        </w:rPr>
        <w:t>ماء ثمّ یفرغه ثلاث مرّات</w:t>
      </w:r>
      <w:r>
        <w:rPr>
          <w:rFonts w:eastAsia="Amiri" w:cs="Amiri" w:ascii="Amiri" w:hAnsi="Amiri"/>
          <w:color w:val="111111"/>
          <w:sz w:val="28"/>
          <w:szCs w:val="28"/>
          <w:rtl w:val="true"/>
          <w:lang w:bidi="ar-SA"/>
        </w:rPr>
        <w:t xml:space="preserve">. </w:t>
      </w:r>
      <w:bookmarkStart w:id="289" w:name="pg13273_135144"/>
    </w:p>
    <w:p>
      <w:pPr>
        <w:pStyle w:val="Heading3"/>
        <w:numPr>
          <w:ilvl w:val="2"/>
          <w:numId w:val="1"/>
        </w:numPr>
        <w:rPr/>
      </w:pPr>
      <w:bookmarkStart w:id="290" w:name="__RefHeading___Toc1666548_2322387425"/>
      <w:bookmarkStart w:id="291" w:name="_Toc102"/>
      <w:bookmarkEnd w:id="289"/>
      <w:bookmarkEnd w:id="290"/>
      <w:r>
        <w:rPr>
          <w:rtl w:val="true"/>
        </w:rPr>
        <w:t>فروع التطهیر بالماء</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 فی متنجّس</w:t>
      </w:r>
      <w:r>
        <w:rPr>
          <w:rStyle w:val="FootnoteAnchor"/>
          <w:rtl w:val="true"/>
        </w:rPr>
        <w:footnoteReference w:id="714"/>
      </w:r>
      <w:r>
        <w:rPr>
          <w:rFonts w:ascii="IRNazanin" w:hAnsi="IRNazanin" w:eastAsia="IRNazanin"/>
          <w:color w:val="111111"/>
          <w:sz w:val="28"/>
          <w:sz w:val="28"/>
          <w:szCs w:val="28"/>
          <w:rtl w:val="true"/>
          <w:lang w:bidi="fa-IR"/>
        </w:rPr>
        <w:t>أ نّه من الظروف</w:t>
      </w:r>
      <w:r>
        <w:rPr>
          <w:rStyle w:val="FootnoteAnchor"/>
          <w:rtl w:val="true"/>
        </w:rPr>
        <w:footnoteReference w:id="7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الأوانی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یعتبر غسله ثلاث مرّات، أو غیره حتّی یکفی فیه المرّة فالظاهر کفایة المرّة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من جهة أنّ الخارج من عمومات وجوب الغسل مرّةً خصوص الإناء، والأصل یقتضی عدم اتّصاف الجسم بکونه إناءً فیدخل فی المطلقات المقتضیة لوجوب الغسل مرّة فی کلّ جسم لم یتّصف بکونه إناء، ولکنّ الأحوط خلافه؛ تحصیلاً للجزم بالفراغ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الشبهة مفهومیّة، وإلاّ فلابدّ من التثلیث علی الأحوط إن لم یکن أقوی، لا سیّما فی بعض 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تکن الشبهة مصداقیّة، ویعتبر الثلاث فیما إذا کانت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یحکم بطهارته إلاّ بعد غسله ثلاثاً إن کان الشکّ فی المصداق، بخلاف ما لو کان فی الصدق فیکفی المرّة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اعتبار 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الظاهر اعتبار التثلیث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کفایتها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کانت الشبهة مصداقیّة وکان مسبوقاً بعدم الظرفیّة، بخلاف الشبهة المصداقیّة فی غیر المسبوق بشیء، أو المسبوق بالظرفیّة فیعتبر فیهما التثلیث، وأمّا الشبهات المفهومیّة فلابدّ فیها من الاحتیاط أو الرجوع إلی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 التعفیر والغسل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 بالتعدّد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کانت الشبهة مفهومیّة، کما هو الغالب فی موارد الشکّ، کالقربة الّتی استشکلنا فی کونها من الأوانی ـ فی المسألة العاشرة ـ بواسطة الشکّ فی المفهوم، وأمّا لو کانت الشبهة مصداقیّة فاستصحاب النجاسة محکم، ولا أصل حاکم علیه، کما ربّما توهّم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لزوم 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الشبهة المفهومیّة؛ لأنّ المرجع فی الفرد المشکوک للمخصّص أو المقیّد، العام أو المطلق، وأمّا إذا کانت الشبهة مصداقیّة فیعتبر الثلاث؛ لاستصحاب النجاسة بعد الغسل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الشبهات المفهومیّة فی بعض النجاسات، ولمّا کان تشخیص الموارد شأن الفقیه فالأحوط لغیره عدم الاکتفاء بالمرّة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بالکفایة سواء کانت الشبهة مفهومیّة أو مصداقیّة لا یخلو من تأمّل،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بالتثلیث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الشبهة فی المفهوم، وإلاّ فالأقوی اعتبار التثلیث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بالتثلیث مع عدم أصل موضوعی یقتضی عدم الظرفیّة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الشبهة مفهومیّة، وفی الشبهة المصداقیّة لا یُترک الاحتیاط بغسله ثلاث مرّات، وإذا کانت النجاسة بالولوغ عفّره بالتراب قبلها، والأحوط التثلیث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بالتثلیث إذا لم یکن أصل موضوعی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سبق وصف الإنائیّة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کانت الشبهة مفهومیّة، وأمّا إذا کانت مصداقیّة فالظاهر عدم کفایة المرّة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w:t>
      </w:r>
      <w:r>
        <w:rPr>
          <w:rStyle w:val="FootnoteAnchor"/>
          <w:rtl w:val="true"/>
        </w:rPr>
        <w:footnoteReference w:id="716"/>
      </w:r>
      <w:r>
        <w:rPr>
          <w:rFonts w:ascii="IRNazanin" w:hAnsi="IRNazanin" w:eastAsia="IRNazanin"/>
          <w:color w:val="111111"/>
          <w:sz w:val="28"/>
          <w:sz w:val="28"/>
          <w:szCs w:val="28"/>
          <w:rtl w:val="true"/>
          <w:lang w:bidi="fa-IR"/>
        </w:rPr>
        <w:t>فی الغسل بالماء القلیل انفصال الغسالة علی المتعارف، ففی مثل البدن ونحوه ممّا لا ینفذ فیه الماء یکفی صبّ الماء علیه، وانفصال معظم الماء</w:t>
      </w:r>
      <w:r>
        <w:rPr>
          <w:rStyle w:val="FootnoteAnchor"/>
          <w:rtl w:val="true"/>
        </w:rPr>
        <w:footnoteReference w:id="7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غسالته الّتی یعتبر انفصالها هی ما کان من الماء فی معرض الانفصال بالفعل عن الشیء المغسول، فبقیة الماء الّتی یتأخّر انفصالها عن الجسم وهی فی طریقها إلی الانفصال عنه تکون من الغسالة الّتی لا یتحقّق الطهر إلاّ بانفصالها ، وإن انفصل قبلها غالب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مثل الثیاب والفرش ممّا ینفذ فیه الماء لابدّ من عصره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 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یقوم مقامه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إذا داسه برجله أو غمزه بکفّه أو نحو ذلک، ولا یلزم انفصال تمام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یلزم الفرک والدلک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w:t>
      </w:r>
    </w:p>
    <w:p>
      <w:pPr>
        <w:pStyle w:val="BookText"/>
        <w:rPr/>
      </w:pPr>
      <w:r>
        <w:rPr>
          <w:rFonts w:ascii="IRNazanin" w:hAnsi="IRNazanin" w:eastAsia="IRNazanin"/>
          <w:color w:val="111111"/>
          <w:sz w:val="28"/>
          <w:sz w:val="28"/>
          <w:szCs w:val="28"/>
          <w:rtl w:val="true"/>
          <w:lang w:bidi="fa-IR"/>
        </w:rPr>
        <w:t>إذا کان فیه عین النجس أو المتنجّس</w:t>
      </w:r>
      <w:r>
        <w:rPr>
          <w:rStyle w:val="FootnoteAnchor"/>
          <w:rtl w:val="true"/>
        </w:rPr>
        <w:footnoteReference w:id="718"/>
      </w:r>
      <w:r>
        <w:rPr>
          <w:rFonts w:ascii="IRNazanin" w:hAnsi="IRNazanin" w:eastAsia="IRNazanin"/>
          <w:color w:val="111111"/>
          <w:sz w:val="28"/>
          <w:sz w:val="28"/>
          <w:szCs w:val="28"/>
          <w:rtl w:val="true"/>
          <w:lang w:bidi="fa-IR"/>
        </w:rPr>
        <w:t>، وفی مثل الصابون</w:t>
      </w:r>
      <w:r>
        <w:rPr>
          <w:rStyle w:val="FootnoteAnchor"/>
          <w:rtl w:val="true"/>
        </w:rPr>
        <w:footnoteReference w:id="719"/>
      </w:r>
      <w:r>
        <w:rPr>
          <w:rFonts w:ascii="IRNazanin" w:hAnsi="IRNazanin" w:eastAsia="IRNazanin"/>
          <w:color w:val="111111"/>
          <w:sz w:val="28"/>
          <w:sz w:val="28"/>
          <w:szCs w:val="28"/>
          <w:rtl w:val="true"/>
          <w:lang w:bidi="fa-IR"/>
        </w:rPr>
        <w:t>والطین ونحوهما ممّا ینفذ فیه الماء ولا یمکن عصره فیطهر ظاهره بإجراء الماء علیه، ولا یضرّه بقاء نجاسة الباطن علی فرض نفوذها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الغسل بالماء الکثیر فلا یعتبر انفصال</w:t>
      </w:r>
      <w:r>
        <w:rPr>
          <w:rStyle w:val="FootnoteAnchor"/>
          <w:rtl w:val="true"/>
        </w:rPr>
        <w:footnoteReference w:id="720"/>
      </w:r>
      <w:r>
        <w:rPr>
          <w:rFonts w:ascii="Amiri" w:hAnsi="Amiri" w:eastAsia="Amiri" w:cs="Amiri"/>
          <w:color w:val="111111"/>
          <w:sz w:val="28"/>
          <w:sz w:val="28"/>
          <w:szCs w:val="28"/>
          <w:rtl w:val="true"/>
          <w:lang w:bidi="ar-SA"/>
        </w:rPr>
        <w:t>الغسالة ولا العصر</w:t>
      </w:r>
      <w:r>
        <w:rPr>
          <w:rStyle w:val="FootnoteAnchor"/>
          <w:rtl w:val="true"/>
        </w:rPr>
        <w:footnoteReference w:id="7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مرّ فی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العصر، والأظهر اعتبار التعدّد فی الثوب المتنجّس بالبول فی الکرّ أیضاً، وقد مرّ حکم الأوانی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الاحتیاط بالعصر أو ما یقوم مقامه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التعدّد</w:t>
      </w:r>
      <w:r>
        <w:rPr>
          <w:rStyle w:val="FootnoteAnchor"/>
          <w:rtl w:val="true"/>
        </w:rPr>
        <w:footnoteReference w:id="7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المتنجّس بالبول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العصر والتعدّد فیما اعتبر فیه، بل التعفیر فی ولوغ الکلب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العصر والتعدّد، إلاّ فی الثوب المتنجّس بالبول فی الماء الجاری فیکفی فیه المرّة مع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اعتبارهما کما فی القلیل، ویلزم التجفیف أوّلاً، وبین کلّ غسلتین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یعتبر العصر والغمز ونحوهما ممّا یصدق معه الغسل، وکذا التعدّد علی الأحوط فی المتنجّس بالبول، إلاّ إذا غسل بالماء الجاری فیکفی المرّة، وتقدّم الحکم فی الإناء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الاحتیاط فی بعض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اعتبار العصر أو ما بحکمه فی غسل الثیاب ونحوها بالماء الکثیر أیضاً، وقد مرّ حکم التعدّد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العصر والتعدّد فیما یعتبر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اعتبار کلّ ذلک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اعتبار العصر أو ما یقوم مقامه فی غسل الثیاب ونحوها بالماء الکثیر أیضاً، نعم لا یعتبر ذلک فی خصوص المطر، وقد مرّ حکم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بمجرّد غمسه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وإن لا یخلو من وجه، فلا یُترک الاحتیاط بمثل العصر وما قام مقامه، هذا فیما یمکن ذلک فیه، وأمّا فیما لا یمکن کالصابون والطین ونحوهما فیطهر ظواهرها بالتغسیل، وأمّا بواطنها فلا تطهر إلاّ بوصول الماء المطلق علیها، ولا یکفی وصول الرطوبة، فتطهیر بواطن کثیر من الأشیاء غیر ممکن، أو فی غایة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کفایته، وقد مرّ فی أوّل الفصل ما یرتبط بالمقام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الماء بعد زوال العین</w:t>
      </w:r>
    </w:p>
    <w:p>
      <w:pPr>
        <w:pStyle w:val="BookText"/>
        <w:rPr/>
      </w:pPr>
      <w:r>
        <w:rPr>
          <w:rFonts w:ascii="IRNazanin" w:hAnsi="IRNazanin" w:eastAsia="IRNazanin"/>
          <w:color w:val="111111"/>
          <w:sz w:val="28"/>
          <w:sz w:val="28"/>
          <w:szCs w:val="28"/>
          <w:rtl w:val="true"/>
          <w:lang w:bidi="fa-IR"/>
        </w:rPr>
        <w:t>یطهر</w:t>
      </w:r>
      <w:r>
        <w:rPr>
          <w:rStyle w:val="FootnoteAnchor"/>
          <w:rtl w:val="true"/>
        </w:rPr>
        <w:footnoteReference w:id="723"/>
      </w:r>
      <w:r>
        <w:rPr>
          <w:rFonts w:ascii="IRNazanin" w:hAnsi="IRNazanin" w:eastAsia="IRNazanin"/>
          <w:color w:val="111111"/>
          <w:sz w:val="28"/>
          <w:sz w:val="28"/>
          <w:szCs w:val="28"/>
          <w:rtl w:val="true"/>
          <w:lang w:bidi="fa-IR"/>
        </w:rPr>
        <w:t>، ویکفی فی طهارة أعماقه</w:t>
      </w:r>
      <w:r>
        <w:rPr>
          <w:rStyle w:val="FootnoteAnchor"/>
          <w:rtl w:val="true"/>
        </w:rPr>
        <w:footnoteReference w:id="7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وصلت النجاسة إلیها نفوذ الماء الطاهر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إحراز نفوذ الماء فی الأعماق الّتی صارت متنجّسة فی مثل الصابون والجبن والأرزّ والحنطة وأمثال ذلک، بل الحبّ والکوز والآجر وأمثالها ممّا یذکره فی الفروع الآتیة فی غایة الإشکال؛ لأنّ الّذی ینفذ فیها الرطوبة وهی لیست من المطهّرات وإن کانت منجّسة إذا کانت نجسة فالحکم ببقائها علی النجاسة أوفق بالقواعد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الشأن فی تحقّق النفوذ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الکثیر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یلزم تجفیفه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یتوقّف نفوذ الماء الطاهر فی أعماقه علی التجفیف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یعتبر فی صدق الغسل تجفیفه، أو ما یقوم مقامه من التحریک فی الماء، أو إبقائه فیه بمقدار یعلم بخروج الأجزاءالمائیّة النجسة من باطنه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یلزم إذا توقّف نفوذ الماء الطاهر فی عمقه علی التجفیف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مثل الکوز والآجر ممّا ینفذ فیه بوصف الإطلاق، وأمّا مثل الصابون والطین المتنجّس ممّا لا ینفذ فیه بوصف الإطلاق، فالظاهر عدم إمکان تطهیر باطنه إن وصلت النجاسة إلیه لا بالکثیر ولا بالقلیل وإن جُفّف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نعم لو نفذ فیه عین</w:t>
      </w:r>
    </w:p>
    <w:p>
      <w:pPr>
        <w:pStyle w:val="BookText"/>
        <w:rPr/>
      </w:pPr>
      <w:r>
        <w:rPr>
          <w:rFonts w:ascii="IRNazanin" w:hAnsi="IRNazanin" w:eastAsia="IRNazanin"/>
          <w:color w:val="111111"/>
          <w:sz w:val="28"/>
          <w:sz w:val="28"/>
          <w:szCs w:val="28"/>
          <w:rtl w:val="true"/>
          <w:lang w:bidi="fa-IR"/>
        </w:rPr>
        <w:t>البول مثلاً مع بقائه فیه یعتبر تجفیفه</w:t>
      </w:r>
      <w:r>
        <w:rPr>
          <w:rStyle w:val="FootnoteAnchor"/>
          <w:rtl w:val="true"/>
        </w:rPr>
        <w:footnoteReference w:id="7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القول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موضوعیّة للتجفیف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بمعنی عدم بقاء مائیّـته فیه، بخلاف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الماء النجس الموجود فیه فإنّه بالاتّصال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مجرّد اتّصال الماء النجس الموجود فیه بالکرّ الخارج، بل لابدّ من نفوذ الماء الطاهر فی أعماقه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بالکثیر یطهر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مع الامتزاج، ومعه یستهلک النجس أیضاً ویطهر، لکنّ الفرض مستبعد، فلا یُترک الاحتیاط بالتجفیف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لابدّ من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حاجة فیه إلی التجفیف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لابدّ من التجفیف علی الأحوط، ولتکن علی ذکر من ذلک فیما یتفرّع علیه فی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التجفیف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حصول تطهیر الباطن بهذه الکیفیّة إشکال، وقد مرّ نظیره فی الآجرّ المتنجّس من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رعایته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نفذت النجاسة إلی الباطن وتوقّف نفوذ الماء الطاهر وخروج رطوبات النجاسة علیه فیعتبر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العصر</w:t>
      </w:r>
      <w:r>
        <w:rPr>
          <w:rStyle w:val="FootnoteAnchor"/>
          <w:rtl w:val="true"/>
        </w:rPr>
        <w:footnoteReference w:id="726"/>
      </w:r>
      <w:r>
        <w:rPr>
          <w:rFonts w:ascii="IRNazanin" w:hAnsi="IRNazanin" w:eastAsia="IRNazanin"/>
          <w:color w:val="111111"/>
          <w:sz w:val="28"/>
          <w:sz w:val="28"/>
          <w:szCs w:val="28"/>
          <w:rtl w:val="true"/>
          <w:lang w:bidi="fa-IR"/>
        </w:rPr>
        <w:t>ونحوه فیما تنجّس ببول الرضیع</w:t>
      </w:r>
      <w:r>
        <w:rPr>
          <w:rStyle w:val="FootnoteAnchor"/>
          <w:rtl w:val="true"/>
        </w:rPr>
        <w:footnoteReference w:id="727"/>
      </w:r>
      <w:r>
        <w:rPr>
          <w:rFonts w:ascii="IRNazanin" w:hAnsi="IRNazanin" w:eastAsia="IRNazanin"/>
          <w:color w:val="111111"/>
          <w:sz w:val="28"/>
          <w:sz w:val="28"/>
          <w:szCs w:val="28"/>
          <w:rtl w:val="true"/>
          <w:lang w:bidi="fa-IR"/>
        </w:rPr>
        <w:t>وإن کان مثل الثوب والفرش ونحوهما، بل یکفی صبّ الماء</w:t>
      </w:r>
      <w:r>
        <w:rPr>
          <w:rStyle w:val="FootnoteAnchor"/>
          <w:rtl w:val="true"/>
        </w:rPr>
        <w:footnoteReference w:id="728"/>
      </w:r>
      <w:r>
        <w:rPr>
          <w:rFonts w:ascii="IRNazanin" w:hAnsi="IRNazanin" w:eastAsia="IRNazanin"/>
          <w:color w:val="111111"/>
          <w:sz w:val="28"/>
          <w:sz w:val="28"/>
          <w:szCs w:val="28"/>
          <w:rtl w:val="true"/>
          <w:lang w:bidi="fa-IR"/>
        </w:rPr>
        <w:t>علیه مرّة علی وجه یشمل جمیع أجزائه</w:t>
      </w:r>
      <w:r>
        <w:rPr>
          <w:rStyle w:val="FootnoteAnchor"/>
          <w:rtl w:val="true"/>
        </w:rPr>
        <w:footnoteReference w:id="729"/>
      </w:r>
      <w:r>
        <w:rPr>
          <w:rFonts w:ascii="IRNazanin" w:hAnsi="IRNazanin" w:eastAsia="IRNazanin"/>
          <w:color w:val="111111"/>
          <w:sz w:val="28"/>
          <w:sz w:val="28"/>
          <w:szCs w:val="28"/>
          <w:rtl w:val="true"/>
          <w:lang w:bidi="fa-IR"/>
        </w:rPr>
        <w:t>، وإن کان الأحوط مرّتین</w:t>
      </w:r>
      <w:r>
        <w:rPr>
          <w:rStyle w:val="FootnoteAnchor"/>
          <w:rtl w:val="true"/>
        </w:rPr>
        <w:footnoteReference w:id="7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عدم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لکن یشترط أن لا یکون متغذّیاً معتاداً بالغذاء، ولا یضرّ تغذّیه اتّفاقاً نادراً، وأن یکون ذکراً لا اُنثی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التعمیم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هو التعمیم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یشترط</w:t>
      </w:r>
    </w:p>
    <w:p>
      <w:pPr>
        <w:pStyle w:val="BookText"/>
        <w:rPr/>
      </w:pPr>
      <w:r>
        <w:rPr>
          <w:rFonts w:ascii="IRNazanin" w:hAnsi="IRNazanin" w:eastAsia="IRNazanin"/>
          <w:color w:val="111111"/>
          <w:sz w:val="28"/>
          <w:sz w:val="28"/>
          <w:szCs w:val="28"/>
          <w:rtl w:val="true"/>
          <w:lang w:bidi="fa-IR"/>
        </w:rPr>
        <w:t>فیه</w:t>
      </w:r>
      <w:r>
        <w:rPr>
          <w:rStyle w:val="FootnoteAnchor"/>
          <w:rtl w:val="true"/>
        </w:rPr>
        <w:footnoteReference w:id="731"/>
      </w:r>
      <w:r>
        <w:rPr>
          <w:rFonts w:ascii="IRNazanin" w:hAnsi="IRNazanin" w:eastAsia="IRNazanin"/>
          <w:color w:val="111111"/>
          <w:sz w:val="28"/>
          <w:sz w:val="28"/>
          <w:szCs w:val="28"/>
          <w:rtl w:val="true"/>
          <w:lang w:bidi="fa-IR"/>
        </w:rPr>
        <w:t>أن یکون فی الحولین</w:t>
      </w:r>
      <w:r>
        <w:rPr>
          <w:rStyle w:val="FootnoteAnchor"/>
          <w:rtl w:val="true"/>
        </w:rPr>
        <w:footnoteReference w:id="7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کونه فی الحولین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اشتراطه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الاشتراط لا یخلو من وجه، بل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هو کذلک ما دام یعدّ رضیعاً غیر متغذّ، وإن کان بعدهما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عدم کفایة مجرّد صبّ الماء، بل لزوم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 نّه لو صار معتاداً بالغذاء قبل الحولین لا یلحقه الحکم المذکور، بل هو کسائر الأبوال، وکذا یشترط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الاشتراط، نعم هو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عدم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لا یبعد عدم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بالنسبة إلی الموردین مبنیّ علی الاحتیاط، والأقوی لحوق الحکم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الاشتراط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الاشتراط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لحوق الحکم</w:t>
      </w:r>
    </w:p>
    <w:p>
      <w:pPr>
        <w:pStyle w:val="BookText"/>
        <w:rPr/>
      </w:pPr>
      <w:r>
        <w:rPr>
          <w:rFonts w:ascii="IRNazanin" w:hAnsi="IRNazanin" w:eastAsia="IRNazanin"/>
          <w:color w:val="111111"/>
          <w:sz w:val="28"/>
          <w:sz w:val="28"/>
          <w:szCs w:val="28"/>
          <w:rtl w:val="true"/>
          <w:lang w:bidi="fa-IR"/>
        </w:rPr>
        <w:t>أن یکون اللبن من المسلمة</w:t>
      </w:r>
      <w:r>
        <w:rPr>
          <w:rStyle w:val="FootnoteAnchor"/>
          <w:rtl w:val="true"/>
        </w:rPr>
        <w:footnoteReference w:id="733"/>
      </w:r>
      <w:r>
        <w:rPr>
          <w:rFonts w:ascii="IRNazanin" w:hAnsi="IRNazanin" w:eastAsia="IRNazanin"/>
          <w:color w:val="111111"/>
          <w:sz w:val="28"/>
          <w:sz w:val="28"/>
          <w:szCs w:val="28"/>
          <w:rtl w:val="true"/>
          <w:lang w:bidi="fa-IR"/>
        </w:rPr>
        <w:t>، فلو کان من الکافرة لم یلحقه</w:t>
      </w:r>
      <w:r>
        <w:rPr>
          <w:rStyle w:val="FootnoteAnchor"/>
          <w:rtl w:val="true"/>
        </w:rPr>
        <w:footnoteReference w:id="7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الإلحاق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الأقوی اللحوق، وکذا لو کان من الخنزیرة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لوجوه استحسانیّة، فالأقوی هو اللحوق فی لبن الکافرة والخنزیرة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لا سیّما فیما لو کان اللبن من الخنزیرة، وإن کان التعمیم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الإلحاق، وإن کان الأحوط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لو کان من الخنزیرة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نفوذ الماء النجس</w:t>
      </w:r>
      <w:r>
        <w:rPr>
          <w:rStyle w:val="FootnoteAnchor"/>
          <w:rtl w:val="true"/>
        </w:rPr>
        <w:footnoteReference w:id="735"/>
      </w:r>
      <w:r>
        <w:rPr>
          <w:rFonts w:ascii="IRNazanin" w:hAnsi="IRNazanin" w:eastAsia="IRNazanin"/>
          <w:color w:val="111111"/>
          <w:sz w:val="28"/>
          <w:sz w:val="28"/>
          <w:szCs w:val="28"/>
          <w:rtl w:val="true"/>
          <w:lang w:bidi="fa-IR"/>
        </w:rPr>
        <w:t>فی الباطن فی مثل الصابون ونحوه بنی علی عدمه، کما أ نّه إذا شکّ بعد العلم بنفوذه فی نفوذ الماء الطاهر فیه</w:t>
      </w:r>
      <w:r>
        <w:rPr>
          <w:rStyle w:val="FootnoteAnchor"/>
          <w:rtl w:val="true"/>
        </w:rPr>
        <w:footnoteReference w:id="736"/>
      </w:r>
      <w:r>
        <w:rPr>
          <w:rFonts w:ascii="IRNazanin" w:hAnsi="IRNazanin" w:eastAsia="IRNazanin"/>
          <w:color w:val="111111"/>
          <w:sz w:val="28"/>
          <w:sz w:val="28"/>
          <w:szCs w:val="28"/>
          <w:rtl w:val="true"/>
          <w:lang w:bidi="fa-IR"/>
        </w:rPr>
        <w:t>بنی علی عدمه، فیحکم ببقاء الطهارة فی الأوّل، وبقاء النجاسة فی الثانی</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بطهارة الدهن</w:t>
      </w:r>
      <w:r>
        <w:rPr>
          <w:rStyle w:val="FootnoteAnchor"/>
          <w:rtl w:val="true"/>
        </w:rPr>
        <w:footnoteReference w:id="738"/>
      </w:r>
      <w:r>
        <w:rPr>
          <w:rFonts w:ascii="IRNazanin" w:hAnsi="IRNazanin" w:eastAsia="IRNazanin"/>
          <w:color w:val="111111"/>
          <w:sz w:val="28"/>
          <w:sz w:val="28"/>
          <w:szCs w:val="28"/>
          <w:rtl w:val="true"/>
          <w:lang w:bidi="fa-IR"/>
        </w:rPr>
        <w:t xml:space="preserve">المتنجّس إذا جعل فی الکرّ </w:t>
      </w:r>
    </w:p>
    <w:p>
      <w:pPr>
        <w:pStyle w:val="BookText"/>
        <w:rPr/>
      </w:pPr>
      <w:r>
        <w:rPr>
          <w:rFonts w:ascii="IRNazanin" w:hAnsi="IRNazanin" w:eastAsia="IRNazanin"/>
          <w:color w:val="111111"/>
          <w:sz w:val="28"/>
          <w:sz w:val="28"/>
          <w:szCs w:val="28"/>
          <w:rtl w:val="true"/>
          <w:lang w:bidi="fa-IR"/>
        </w:rPr>
        <w:t>الحارّ بحیث اختلط معه، ثمّ اُخذ من فوقه بعد برودته، لکنّه مشکل</w:t>
      </w:r>
      <w:r>
        <w:rPr>
          <w:rStyle w:val="FootnoteAnchor"/>
          <w:rtl w:val="true"/>
        </w:rPr>
        <w:footnoteReference w:id="739"/>
      </w:r>
      <w:r>
        <w:rPr>
          <w:rFonts w:ascii="IRNazanin" w:hAnsi="IRNazanin" w:eastAsia="IRNazanin"/>
          <w:color w:val="111111"/>
          <w:sz w:val="28"/>
          <w:sz w:val="28"/>
          <w:szCs w:val="28"/>
          <w:rtl w:val="true"/>
          <w:lang w:bidi="fa-IR"/>
        </w:rPr>
        <w:t>لعدم حصول العلم بوصول الماء إلی جمیع أجزائه</w:t>
      </w:r>
      <w:r>
        <w:rPr>
          <w:rStyle w:val="FootnoteAnchor"/>
          <w:rtl w:val="true"/>
        </w:rPr>
        <w:footnoteReference w:id="740"/>
      </w:r>
      <w:r>
        <w:rPr>
          <w:rFonts w:ascii="IRNazanin" w:hAnsi="IRNazanin" w:eastAsia="IRNazanin"/>
          <w:color w:val="111111"/>
          <w:sz w:val="28"/>
          <w:sz w:val="28"/>
          <w:szCs w:val="28"/>
          <w:rtl w:val="true"/>
          <w:lang w:bidi="fa-IR"/>
        </w:rPr>
        <w:t>، وإن کان غیر بعید</w:t>
      </w:r>
      <w:r>
        <w:rPr>
          <w:rStyle w:val="FootnoteAnchor"/>
          <w:rtl w:val="true"/>
        </w:rPr>
        <w:footnoteReference w:id="7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تحقّق ذلک مشکل جدّاً إن لم یکن مستحیلاً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آل‌یاسین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غایة البعد 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بعید جدّاً، بل ادُّعی استحالته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الاصطهباناتی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جدّاً، کما سیأتی منه فی آخر مبحث المطهّرات، ولا یقبل الدهن ولا غیره من المایعات النجسة أو المتنجّسة التطهیر بغیر الماء، فإنّه یطهر باتّصاله بالماء المعتصم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بعید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الشاهرودی، 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فرض محض ولا أثر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بعید، وقد أفتی قدس‌سره فی آخر المطهّرات 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نعم لو فرض انحلاله فی الماء بحیث عدّ من عوارضه بالنظر العرفی، کما هو الحال فی الخبز إذا اُضیف إلی عجینه شیء من الدهن حکم بطهارته، ولکنّه فرض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غلی الماء مقداراً من الزمان</w:t>
      </w:r>
      <w:r>
        <w:rPr>
          <w:rStyle w:val="FootnoteAnchor"/>
          <w:rtl w:val="true"/>
        </w:rPr>
        <w:footnoteReference w:id="7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استهلک الدهن فیه وعُدّ من عوارض الماء، وتحقّقه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الأرزّ أو الماش</w:t>
      </w:r>
      <w:r>
        <w:rPr>
          <w:rStyle w:val="FootnoteAnchor"/>
          <w:rtl w:val="true"/>
        </w:rPr>
        <w:footnoteReference w:id="743"/>
      </w:r>
      <w:r>
        <w:rPr>
          <w:rFonts w:ascii="IRNazanin" w:hAnsi="IRNazanin" w:eastAsia="IRNazanin"/>
          <w:color w:val="111111"/>
          <w:sz w:val="28"/>
          <w:sz w:val="28"/>
          <w:szCs w:val="28"/>
          <w:rtl w:val="true"/>
          <w:lang w:bidi="fa-IR"/>
        </w:rPr>
        <w:t>أو نحوهما یجعل فی وصلة</w:t>
      </w:r>
      <w:r>
        <w:rPr>
          <w:rStyle w:val="FootnoteAnchor"/>
          <w:rtl w:val="true"/>
        </w:rPr>
        <w:footnoteReference w:id="7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یفید فی تطهیر ظاهر الحبوب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مستعملة باللهجة العامیّة العراقیّة، بمعنی قطعة من القماش توضع فیها الأطعمة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ویغمس فی الکرّ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تجفیفه أوّلاً إن کان فیه رطوبة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تطهیر الباطن بهذه الکیفیّات، ولا فرق فی ذلک بین التطهیر بالکثیر والقلیل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نفذ فیه الماء النجس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یفتقر إلی التجفیف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یصبر حتّی</w:t>
      </w:r>
    </w:p>
    <w:p>
      <w:pPr>
        <w:pStyle w:val="BookText"/>
        <w:rPr/>
      </w:pPr>
      <w:r>
        <w:rPr>
          <w:rFonts w:ascii="IRNazanin" w:hAnsi="IRNazanin" w:eastAsia="IRNazanin"/>
          <w:color w:val="111111"/>
          <w:sz w:val="28"/>
          <w:sz w:val="28"/>
          <w:szCs w:val="28"/>
          <w:rtl w:val="true"/>
          <w:lang w:bidi="fa-IR"/>
        </w:rPr>
        <w:t>یعلم نفوذ الماء الطاهر</w:t>
      </w:r>
      <w:r>
        <w:rPr>
          <w:rStyle w:val="FootnoteAnchor"/>
          <w:rtl w:val="true"/>
        </w:rPr>
        <w:footnoteReference w:id="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مجرّد بلله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یُکتفی بنفوذ النداوة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تطهیر بواطن مثل الحبوب والصابون فی الماء الکثیر فضلاً عن القلیل غیر میسور، ووصول الرطوبة إلیها غیر کافٍ، بل لابدّ من حصول الغسل واستیلاء الماء المطلق علیها، والعلم بذلک ممّا لا طریق إلیه غالباً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صرف البلل والرطوبة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یحتمل طهارة الباطن بتبع طهارة الظاهر، ومع ذلک لا یُترک الاحتیاط، ویظهر الحال فی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العلم بنفوذ الماء الطاهر لا یکفی؛ لعدم کون الرطوبة النافذة الطاهرة مطهّرة، بخلاف الرطوبة النافذة النجسة فإنّها منجّسة، ولأجل ذلک لا یطهر بواطنها وإن کان فی الماء الکثیر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المقدار الّذی نفذ فیه الماء النجس، بل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تطهیره بالقلیل، سیّما إذا کان الماء النجس موجوداً فی 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إذا نفذت النجاسة فی أعماقه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سرت النجاسة إلی بواطن الأشیاء المذکورة فالمناط فی طهارتها إحراز وصول الماء المطلق إلی بواطنها المتنجّسة، وتحقّقه فی الماء القلیل فی غایة الإشکال، بل وفی الکثیر أیضاً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تطهیره بالکثیر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ینفذ، وإلاّ ففی غایة البعد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لبقاء غسالته وعدم قابلیته لانفصالها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تطهیره</w:t>
      </w:r>
    </w:p>
    <w:p>
      <w:pPr>
        <w:pStyle w:val="BookText"/>
        <w:rPr/>
      </w:pPr>
      <w:r>
        <w:rPr>
          <w:rFonts w:ascii="IRNazanin" w:hAnsi="IRNazanin" w:eastAsia="IRNazanin"/>
          <w:color w:val="111111"/>
          <w:sz w:val="28"/>
          <w:sz w:val="28"/>
          <w:szCs w:val="28"/>
          <w:rtl w:val="true"/>
          <w:lang w:bidi="fa-IR"/>
        </w:rPr>
        <w:t>بالقلیل</w:t>
      </w:r>
      <w:r>
        <w:rPr>
          <w:rStyle w:val="FootnoteAnchor"/>
          <w:rtl w:val="true"/>
        </w:rPr>
        <w:footnoteReference w:id="7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طهارته بالقلیل إذا نفذ فیه الماء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إن لم یکن الأقوی الاقتصار علی تطهیره بالکثیر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عدم نفوذ الماء النجس إلی باطنه، وإلاّ فطهارته بوصول الماء القلیل إلی الباطن مشکل جدّاً، وکذا فی کلّ ما تنجّس باطنه ولا یکون قابلاً للعصر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أعماق الحبوب بالقلیل فی غایة الإشکال؛ لعدم طریق إلی إخراج غسالتها، بل فی الکثیر والجاری أیضاً یعتبر العلم باستیلاء الماء باقیاً علی إطلاقه علی جمیعها ولا یکفی وصول النداوة إلیها، وکذا باطن الصابون والخبز والجبن والطین وأشباهها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ما لم ینفذ الماء النجس إلی أعماقه، أو نفذ وعلم بوصول الماء الطاهر إلی ما نفذ إلیه الماء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یتنجّس باطنه، وإلاّ فالأقوی الاقتصار علی تطهیره بالکثیر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لم ینفذ فیه الماء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تنجّس ظاهر هذه الأشیاء، وأمّا لو وصلت النجاسة إلی باطنها، فلو قلنا بطهارة الغسالة فی الغسل بالقلیل، ولو لم یخرج عن الجسم المغسول، بل جفّ فی محلّه فله وجه أیضاً، وإلاّ فالقول بمطهّریّة الماء القلیل لباطن هذه الأشیاء 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الإشکال فی مثله مع عدم إمکان إخراج الغسالة فی القلیل، وکذا الحال بالنسبة إلی أکثر المذکورات الآتیة أو جمیعها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ظاهره، وأمّا تطهیر الباطن فی الحبوب فمشکل، إلاّ إذا نفذ ماء الکرّ فیه بوصف إطلاقه، ولا یکفی مجرّد النداوة، وکذا فی مثل الخبز والجبن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علم بنفوذ النجاسة إلی باطنها فالأحوط الاقتصار فی تطهیرها علی الماء المعتصم، وکذا فی الصابون والجبن وأمثالهما مع إحراز استیلاء الماء إلی ما وصلت إلیه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یتنجّس باطنه، وإلاّ ففی إمکان تطهیره بالماء القلیل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بأن یجعل فی ظرف ویصبّ علیه، ثمّ یراق غسالته، ویطهر</w:t>
      </w:r>
    </w:p>
    <w:p>
      <w:pPr>
        <w:pStyle w:val="BookText"/>
        <w:rPr/>
      </w:pPr>
      <w:r>
        <w:rPr>
          <w:rFonts w:ascii="IRNazanin" w:hAnsi="IRNazanin" w:eastAsia="IRNazanin"/>
          <w:color w:val="111111"/>
          <w:sz w:val="28"/>
          <w:sz w:val="28"/>
          <w:szCs w:val="28"/>
          <w:rtl w:val="true"/>
          <w:lang w:bidi="fa-IR"/>
        </w:rPr>
        <w:t>الظرف أیضاً بالتبع</w:t>
      </w:r>
      <w:r>
        <w:rPr>
          <w:rStyle w:val="FootnoteAnchor"/>
          <w:rtl w:val="true"/>
        </w:rPr>
        <w:footnoteReference w:id="747"/>
      </w:r>
      <w:r>
        <w:rPr>
          <w:rFonts w:ascii="IRNazanin" w:hAnsi="IRNazanin" w:eastAsia="IRNazanin"/>
          <w:color w:val="111111"/>
          <w:sz w:val="28"/>
          <w:sz w:val="28"/>
          <w:szCs w:val="28"/>
          <w:rtl w:val="true"/>
          <w:lang w:bidi="fa-IR"/>
        </w:rPr>
        <w:t>، فلا حاجة إلی التثلیث</w:t>
      </w:r>
      <w:r>
        <w:rPr>
          <w:rStyle w:val="FootnoteAnchor"/>
          <w:rtl w:val="true"/>
        </w:rPr>
        <w:footnoteReference w:id="7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التثلیث بناءً علی نجاسة الغسالة کما هو المختار واضح، ولا دلیل علی طهارته بالتبع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الحاجة إلیه هو الأظهر إذا کان إناءً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وإن کان هو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بلزوم الثلاث فی غسل الأوانی، وقد مرّ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کان الظرف أیضاً نجساً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w:t>
      </w:r>
    </w:p>
    <w:p>
      <w:pPr>
        <w:pStyle w:val="BookText"/>
        <w:rPr/>
      </w:pPr>
      <w:r>
        <w:rPr>
          <w:rFonts w:ascii="IRNazanin" w:hAnsi="IRNazanin" w:eastAsia="IRNazanin"/>
          <w:color w:val="111111"/>
          <w:sz w:val="28"/>
          <w:sz w:val="28"/>
          <w:szCs w:val="28"/>
          <w:rtl w:val="true"/>
          <w:lang w:bidi="fa-IR"/>
        </w:rPr>
        <w:t>الثلاث</w:t>
      </w:r>
      <w:r>
        <w:rPr>
          <w:rStyle w:val="FootnoteAnchor"/>
          <w:rtl w:val="true"/>
        </w:rPr>
        <w:footnoteReference w:id="7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کلٍّ من الظرف والمظروف فلا یتوهّم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کلٍّ من الظرف والمظروف، کما هو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النجس یمکن تطهیره</w:t>
      </w:r>
      <w:r>
        <w:rPr>
          <w:rStyle w:val="FootnoteAnchor"/>
          <w:rtl w:val="true"/>
        </w:rPr>
        <w:footnoteReference w:id="750"/>
      </w:r>
      <w:r>
        <w:rPr>
          <w:rFonts w:ascii="IRNazanin" w:hAnsi="IRNazanin" w:eastAsia="IRNazanin"/>
          <w:color w:val="111111"/>
          <w:sz w:val="28"/>
          <w:sz w:val="28"/>
          <w:szCs w:val="28"/>
          <w:rtl w:val="true"/>
          <w:lang w:bidi="fa-IR"/>
        </w:rPr>
        <w:t>بجعله فی طشت</w:t>
      </w:r>
      <w:r>
        <w:rPr>
          <w:rStyle w:val="FootnoteAnchor"/>
          <w:rtl w:val="true"/>
        </w:rPr>
        <w:footnoteReference w:id="7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وصبّ الماء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العکس أیضاً؛ لما مرّ من عدم اعتبار الورود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ثمّ عصره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وإخراج غسالته، وکذا اللحم النجس، ویکفی المرّة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یغسل الثوب مرّتین، والطشت ثلاثاً مع وصول الماء فی کلّ غسلة إلی ما وصل إلیه سابقتها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فی الثوب أو اللحم أثر من عین النجاسة، وإلاّ فالأحوط المرّتان، وکذا غسل الطشت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کونها غیر المزیلة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 البول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والمرّتان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یکن الطشت</w:t>
      </w:r>
    </w:p>
    <w:p>
      <w:pPr>
        <w:pStyle w:val="BookText"/>
        <w:rPr/>
      </w:pPr>
      <w:r>
        <w:rPr>
          <w:rFonts w:ascii="Amiri" w:hAnsi="Amiri" w:eastAsia="Amiri" w:cs="Amiri"/>
          <w:color w:val="111111"/>
          <w:sz w:val="28"/>
          <w:sz w:val="28"/>
          <w:szCs w:val="28"/>
          <w:rtl w:val="true"/>
          <w:lang w:bidi="ar-SA"/>
        </w:rPr>
        <w:t>نجساً قبل صبّ الماء</w:t>
      </w:r>
      <w:r>
        <w:rPr>
          <w:rStyle w:val="FootnoteAnchor"/>
          <w:rtl w:val="true"/>
        </w:rPr>
        <w:footnoteReference w:id="752"/>
      </w:r>
      <w:r>
        <w:rPr>
          <w:rFonts w:ascii="Amiri" w:hAnsi="Amiri" w:eastAsia="Amiri" w:cs="Amiri"/>
          <w:color w:val="111111"/>
          <w:sz w:val="28"/>
          <w:sz w:val="28"/>
          <w:szCs w:val="28"/>
          <w:rtl w:val="true"/>
          <w:lang w:bidi="ar-SA"/>
        </w:rPr>
        <w:t>، وإلاّ فلابدّ من الثلاث</w:t>
      </w:r>
      <w:r>
        <w:rPr>
          <w:rStyle w:val="FootnoteAnchor"/>
          <w:rtl w:val="true"/>
        </w:rPr>
        <w:footnoteReference w:id="7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تطهیر الظرف أوّلاً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الظرف وما فیه ممّا یراد تطهیره، وکذا فیما ذکره فی آخر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علی القول بکون المتنجّس منجّساً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 التثلیث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بناءً علی القول بجواز الغسل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عدم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المطبوخ بالماء النجس أو المتنجّس بعد الطبخ یمکن تطهیره</w:t>
      </w:r>
      <w:r>
        <w:rPr>
          <w:rStyle w:val="FootnoteAnchor"/>
          <w:rtl w:val="true"/>
        </w:rPr>
        <w:footnoteReference w:id="7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الشکّ فی نفوذ الماء النجس فی باطنه لا إشکال فی إمکان تطهیره ظاهراً، وأمّا مع العلم به فلابدّ من العلم بغسله بنحو یصل الماء المطلق إلی باطنه، ولا یبعد ذلک فی اللحم دون الشحم، ومع الشکّ فالأحوط لو لم یکن الأقوی لزوم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الکثیر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والقلیل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هو الأقوی فی ما نفذت النجاسة فی أعماقه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فیه فی التطهیر بالقلیل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کما مرّ الاقتصار علی الکثیر، وتقدّم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الکفایة، والأحوط فی کلّ ما یرسب فیه الماء ولا یقبل العصر من غیر الفرش ونحوها الاقتصار فی تطهیرها علی الکثیر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تطهیره بالقلیل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إذا لم یمکن إخراج غسالته، نعم لو اُخرجت غسالته بالدلک والعصر یمکن تطهیره بالقلیل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صبّ علیه الماء ونفذ</w:t>
      </w:r>
    </w:p>
    <w:p>
      <w:pPr>
        <w:pStyle w:val="BookText"/>
        <w:rPr/>
      </w:pPr>
      <w:r>
        <w:rPr>
          <w:rFonts w:ascii="IRNazanin" w:hAnsi="IRNazanin" w:eastAsia="IRNazanin"/>
          <w:color w:val="111111"/>
          <w:sz w:val="28"/>
          <w:sz w:val="28"/>
          <w:szCs w:val="28"/>
          <w:rtl w:val="true"/>
          <w:lang w:bidi="fa-IR"/>
        </w:rPr>
        <w:t>فیه</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الطهارة بالقلیل، کما أنّ الأحوط العصر فی الکثیر إذا تنجّس باطنه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وحینئذٍ لابدّ من عصره بالمقدار الممکن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باقیاً علی إطلاقه ومن دون أن یکتفی بوصول نداوته، لکن لو احتمل عدم وصول الماء النجس إلی باطن اللحم حتّی فی صورة الطبخ یکتفی بغسل ظاهره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کون نفوذ الماء القلیل إلی باطن الشیء النجس بناءً علی نجاسة الغسالة مطهّراً فی غایة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واُخرجت غسالته بالعصر أو بالدلک أو الضغط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المقدار الّذی وصل إلیه الماء النجس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إخراج غسالته بالعصر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خروج غسالته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واُخرجت غسالته بالدلک أو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وخروجه بعصرٍ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بقاء إطلاقه وإخراج الغسالة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 النجس</w:t>
      </w:r>
      <w:r>
        <w:rPr>
          <w:rStyle w:val="FootnoteAnchor"/>
          <w:rtl w:val="true"/>
        </w:rPr>
        <w:footnoteReference w:id="756"/>
      </w:r>
      <w:r>
        <w:rPr>
          <w:rFonts w:ascii="IRNazanin" w:hAnsi="IRNazanin" w:eastAsia="IRNazanin"/>
          <w:color w:val="111111"/>
          <w:sz w:val="28"/>
          <w:sz w:val="28"/>
          <w:szCs w:val="28"/>
          <w:rtl w:val="true"/>
          <w:lang w:bidi="fa-IR"/>
        </w:rPr>
        <w:t>اللاصق بالإبریق یطهر بغمسه فی الکرّ</w:t>
      </w:r>
      <w:r>
        <w:rPr>
          <w:rStyle w:val="FootnoteAnchor"/>
          <w:rtl w:val="true"/>
        </w:rPr>
        <w:footnoteReference w:id="7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تلاحظ المسألة السادسة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ونفوذ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بوصف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أعماقه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متنجّساً بالبول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مستولیاً علیها، وکذا فیما یذکره من وصول الماء القلیل إلی باطنه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لا ینفذ الماء فیه بوصف الإطلاق، فلا یمکن تطهیر باطنه لا بالقلیل ولا بالکثیر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عدم النفوذ یطهر ظاهره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فالقطرات الّتی تقطر منه بعد الإخراج من الماء طاهرة، وکذا الطین اللاصق بالنعل، بل یطهر ظاهره بالماء القلیل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إذا وصل إلی باطنه بأن کان رخواً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طهر باطنه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وصل الماء المطلق إلی باطنه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صبّ علیه تدریجاً وانفصل کذلک حتّی وصل إلی أعماقه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خروج غسالته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طهارته ظاهراً وباطناً إذا کان رخواً بالماء القلیل إشکال، وکذا فی کلّ ما یرسب فیه ماء الغسالة ولم ینفصل؛ لعدم کونه قابلاً للعصر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قبول الرخو لتطهیر الباطن إشکال، نعم یطهر ظاهره إذا کان ینحسر عنه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الآملی،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فلا یمکن تطهیر باطنه إلاّ بالکثیر، بالطریق الّذی تقدّم فی المسألة السادسة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الطحین والعجین النجس یمکن تطهیره</w:t>
      </w:r>
      <w:r>
        <w:rPr>
          <w:rStyle w:val="FootnoteAnchor"/>
          <w:rtl w:val="true"/>
        </w:rPr>
        <w:footnoteReference w:id="7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خصوصاً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وصول الماء بوصف الإطلاق إلی المتنجّس فی جملة من الأجسام محلّ الإشکال والتأمّل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وکذا فی الثانی، بل هو أشدّ إشکالاً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بجعله خبزاً، ثمّ وضعه فی الکرّ حتّی یصل الماء إلی جمیع أجزائه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خصوصاً فی الجبن؛ لدسومته المانعة عن الوصول کذلک، إلاّ إذا علم بذلک مع بعده جدّاً وکان ذلک بعد یبسه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عصره بالعدد المعتبر فی نجاسته بعد التیبیس، أمّا الحلیب فتطهّره بما ذکر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بالاستیلاء علیها، وکذا فی الجبن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یکفی نفوذ الرطوبة والأجزاء المائیّة إذا لم یصدق علیها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w:t>
      </w:r>
    </w:p>
    <w:p>
      <w:pPr>
        <w:pStyle w:val="BookText"/>
        <w:rPr/>
      </w:pPr>
      <w:r>
        <w:rPr>
          <w:rFonts w:ascii="IRNazanin" w:hAnsi="IRNazanin" w:eastAsia="IRNazanin"/>
          <w:color w:val="111111"/>
          <w:sz w:val="28"/>
          <w:sz w:val="28"/>
          <w:szCs w:val="28"/>
          <w:rtl w:val="true"/>
          <w:lang w:bidi="fa-IR"/>
        </w:rPr>
        <w:t>الحلیب</w:t>
      </w:r>
      <w:r>
        <w:rPr>
          <w:rStyle w:val="FootnoteAnchor"/>
          <w:rtl w:val="true"/>
        </w:rPr>
        <w:footnoteReference w:id="7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الحلیب النجس لا یقبل التطهیر، کغیره من المایعات، کما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علی وجه لا یستلزم ذهاب إطلاق الماء النافذ فیه، ولعلّه کذلک فی اللحم المطبوخ بالماء النجس الّذی هو مورد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الأشربة المحرّمة،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إشکال فی مثل الخبز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النجس بجعله جبناً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الشبهة المورَدة فی الدهن المتنجّس لا یبعد تسریتها إلی هنا،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وصول الماء المعتصم إلی ما وصلت إلیه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ووضعه فی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الحکم بالطهارة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التنّور</w:t>
      </w:r>
      <w:r>
        <w:rPr>
          <w:rStyle w:val="FootnoteAnchor"/>
          <w:rtl w:val="true"/>
        </w:rPr>
        <w:footnoteReference w:id="760"/>
      </w:r>
      <w:r>
        <w:rPr>
          <w:rFonts w:ascii="IRNazanin" w:hAnsi="IRNazanin" w:eastAsia="IRNazanin"/>
          <w:color w:val="111111"/>
          <w:sz w:val="28"/>
          <w:sz w:val="28"/>
          <w:szCs w:val="28"/>
          <w:rtl w:val="true"/>
          <w:lang w:bidi="fa-IR"/>
        </w:rPr>
        <w:t>یطهر بصبّ الماء</w:t>
      </w:r>
      <w:r>
        <w:rPr>
          <w:rStyle w:val="FootnoteAnchor"/>
          <w:rtl w:val="true"/>
        </w:rPr>
        <w:footnoteReference w:id="761"/>
      </w:r>
      <w:r>
        <w:rPr>
          <w:rFonts w:ascii="IRNazanin" w:hAnsi="IRNazanin" w:eastAsia="IRNazanin"/>
          <w:color w:val="111111"/>
          <w:sz w:val="28"/>
          <w:sz w:val="28"/>
          <w:szCs w:val="28"/>
          <w:rtl w:val="true"/>
          <w:lang w:bidi="fa-IR"/>
        </w:rPr>
        <w:t>فی أطرافه من فوق إلی تحت، ولا حاجة فیه إلی التثلیث؛ لعدم کونه من الظروف، فیکفی المرّة</w:t>
      </w:r>
      <w:r>
        <w:rPr>
          <w:rStyle w:val="FootnoteAnchor"/>
          <w:rtl w:val="true"/>
        </w:rPr>
        <w:footnoteReference w:id="7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الاحتیاط بالتعدّد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فی غیره التعدّد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استمرار الماء إلی ما بعد زوال العین علی تقدیر وجودها، وحینئذٍ یجتنب عن غسالته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لزوم التعدّد فی مطلق النجاسات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التعدّد مع احتساب الغسلة المزیلة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 البول، والمرّتان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والأولی أن یحفر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رعایةً لأرضه لا لأطرافه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حفیرة یجتمع الغسالة فیها، وطمّها بعد ذلک بالطین الطاهر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 أو المفروشة بالآجرِّ أو الحجر</w:t>
      </w:r>
      <w:r>
        <w:rPr>
          <w:rStyle w:val="FootnoteAnchor"/>
          <w:rtl w:val="true"/>
        </w:rPr>
        <w:footnoteReference w:id="763"/>
      </w:r>
      <w:r>
        <w:rPr>
          <w:rFonts w:ascii="IRNazanin" w:hAnsi="IRNazanin" w:eastAsia="IRNazanin"/>
          <w:color w:val="111111"/>
          <w:sz w:val="28"/>
          <w:sz w:val="28"/>
          <w:szCs w:val="28"/>
          <w:rtl w:val="true"/>
          <w:lang w:bidi="fa-IR"/>
        </w:rPr>
        <w:t xml:space="preserve">تطهر </w:t>
      </w:r>
    </w:p>
    <w:p>
      <w:pPr>
        <w:pStyle w:val="BookText"/>
        <w:rPr/>
      </w:pPr>
      <w:r>
        <w:rPr>
          <w:rFonts w:ascii="IRNazanin" w:hAnsi="IRNazanin" w:eastAsia="IRNazanin"/>
          <w:color w:val="111111"/>
          <w:sz w:val="28"/>
          <w:sz w:val="28"/>
          <w:szCs w:val="28"/>
          <w:rtl w:val="true"/>
          <w:lang w:bidi="fa-IR"/>
        </w:rPr>
        <w:t xml:space="preserve">بالماء القلیل إذا اُجری علیها، لکن مجمع الغسالة یبقی نجساً </w:t>
      </w:r>
      <w:r>
        <w:rPr>
          <w:rStyle w:val="FootnoteAnchor"/>
          <w:rtl w:val="true"/>
        </w:rPr>
        <w:footnoteReference w:id="7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نجاسة الغسالة، وقد مرّ الکلام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 بین الغسلة المزیلة وغیرها علی الاحتیاط فی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المستعمل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منّا حکم الغسالة فیظهر منه حکم باقی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مبنیّ علی کون المتنجّس منجّساً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طهارته مع انفصال الغسالة بمغرفة أو خرقة أو نحوهما، وهی تعدّ من آلات التطهیر فتطهر بالتبعیّة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إخراجها بخرقة ونحوها، ثمّ صبّ الماء الطاهر وإخراجه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اُرید تطهیر بیت أو سکّة فإن أمکن إخراج ماء الغسالة، بأن کان هناک طریق لخروجه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فهو، وإلاّ یحفر حفیرة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ممّا مرّ عدم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لیجتمع فیها، ثمّ یجعل فیها الطین الطاهر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ذکر فی التنّور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کانت الأرض رخوة بحیث لا یمکن</w:t>
      </w:r>
    </w:p>
    <w:p>
      <w:pPr>
        <w:pStyle w:val="BookText"/>
        <w:rPr/>
      </w:pPr>
      <w:r>
        <w:rPr>
          <w:rFonts w:ascii="IRNazanin" w:hAnsi="IRNazanin" w:eastAsia="IRNazanin"/>
          <w:color w:val="111111"/>
          <w:sz w:val="28"/>
          <w:sz w:val="28"/>
          <w:szCs w:val="28"/>
          <w:rtl w:val="true"/>
          <w:lang w:bidi="fa-IR"/>
        </w:rPr>
        <w:t>إجراء الماء علیها فلا تطهر</w:t>
      </w:r>
      <w:r>
        <w:rPr>
          <w:rStyle w:val="FootnoteAnchor"/>
          <w:rtl w:val="true"/>
        </w:rPr>
        <w:footnoteReference w:id="7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طهارة ظاهرها بالقلیل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ویطّرد ذلک فیما یرسب فیه ماء الغسل ولا یقبل العصر أو یفسده، فإنّ الأحوط هو الاقتصار فی جمیع ذلک علی تطهیره بالکثیر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الأحوط فی کلّ ما یرسب فیه ماء الغسل ولا یقبل العصر أرضاً کان أو غیرها هو تطهیره بالکثیر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کذلک فی کلّ ما یرسب فیه ماء الغسل ولا یقبل العصر أو یفسده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الطهارة؛ لعدم الدلیل علی لزوم جریان الماء، وإنّما یکفی صدق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بإلقاء الکرّ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یطهر بالقلیل أیضاً إذا نفذ فی باطنه معظم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المطر أو الشمس، نعم إذا کانت رملاً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یمکن تطهیر ظاهرها بصبّ الماء علیها ورسوبه فی الرمل فیبقی الباطن نجساً بماء الغسالة، وإن کان لا یخلو 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الماء الراسب بعیداً عن السطح الظاهر یرتفع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عدمه؛ لکفایة انفصال الغسالة عن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الموارد مختلفة من حیث خشونتها وکونها ناعمة، ففی الاُولی ربّما یصدق الغسل ویتحقّق الانفصال عن الظاهر، بخلاف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إذ هی نوع انفصال بالنسبة إلی ظاهر الرمل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طهارة سطحه الظاهر، والاحتمال المذکور غیر معتنی به بعد انتقال الغسالة من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إذ المراد بانفصال الغسالة انتقالها عن المحلّ المغسول إلی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انفصلت الغسالة عن الظاهر ورسبت فی أعماق الأرض، بحیث عُدّت غیر متّصلة بالظاهر عرفاً کفی ذلک فی تطهیر الظاهر ویبقی الباطن نجساً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الإشکال فی محلّه، والاحتمال المذکور ضعیف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جهة</w:t>
      </w:r>
    </w:p>
    <w:p>
      <w:pPr>
        <w:pStyle w:val="BookText"/>
        <w:rPr/>
      </w:pPr>
      <w:r>
        <w:rPr>
          <w:rFonts w:ascii="IRNazanin" w:hAnsi="IRNazanin" w:eastAsia="IRNazanin"/>
          <w:color w:val="111111"/>
          <w:sz w:val="28"/>
          <w:sz w:val="28"/>
          <w:szCs w:val="28"/>
          <w:rtl w:val="true"/>
          <w:lang w:bidi="fa-IR"/>
        </w:rPr>
        <w:t>احتمال</w:t>
      </w:r>
      <w:r>
        <w:rPr>
          <w:rStyle w:val="FootnoteAnchor"/>
          <w:rtl w:val="true"/>
        </w:rPr>
        <w:footnoteReference w:id="7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صدق انفصال الغسالة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یطهر حینئذٍ بالماء القلیل، 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صدق ذلک لا یضرّ بعد انتقالها من ظاهرها إلی باطنها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یضرّ عدم انفصال الغسالة فی الصورة المذکورة لو سلِّم عدم صدق الانفصال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یتحقّق الانفصال بنقلها من ظاهرها إلی باطنها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انفصال الغسالة عن الرمال الموجودة فی سطح الأرض بواسطة عبور الماء عن تلک الرمال إلی باطن الأرض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طهارة الظاهر لا یتوقّف علی انفصال الغسالة، فلا إشکال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فی تحقّق مفهوم الغسل هو انفصال الغسالة عن المحلّ المغسول، لا انفصالها عن المغسول نفسه، وقد مرّ حکم الغسالة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الانتقال سریعاً وعدم الحاجة إلی الانفصال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یضرّ عدم صدقه بعد انتقال الماء من الظاهر إلی 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صبغ ثوب بالدم لا یطهر ما دام یخرج منه الماء الأحمر</w:t>
      </w:r>
      <w:r>
        <w:rPr>
          <w:rStyle w:val="FootnoteAnchor"/>
          <w:rtl w:val="true"/>
        </w:rPr>
        <w:footnoteReference w:id="767"/>
      </w:r>
      <w:r>
        <w:rPr>
          <w:rFonts w:ascii="IRNazanin" w:hAnsi="IRNazanin" w:eastAsia="IRNazanin"/>
          <w:color w:val="111111"/>
          <w:sz w:val="28"/>
          <w:sz w:val="28"/>
          <w:szCs w:val="28"/>
          <w:rtl w:val="true"/>
          <w:lang w:bidi="fa-IR"/>
        </w:rPr>
        <w:t>، نعم إذا صار بحیث لا یخرج منه</w:t>
      </w:r>
      <w:r>
        <w:rPr>
          <w:rStyle w:val="FootnoteAnchor"/>
          <w:rtl w:val="true"/>
        </w:rPr>
        <w:footnoteReference w:id="7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وزالت 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الخمینی،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یبق إلاّ اللون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بحیث قد زال عینه وإن بقی لونه، ثمّ إنّ الغمس فی الکرّ یعتبر معه الغمز ونحوه ممّا یصدق معه الغسل، وکذا فی المصبوغ بالنیل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فرض زوال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حکم العرف بزوال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زوال 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زوال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السیستانی،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بحیث زالت عین الدم عن الثوب ولم یبقَ إلاّ لونه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 بالغمس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والعصر مع بقاء إطلاق الماء إلی تمامه، وکذا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تکن عین النجاسة موجودة عرفاً، نعم بقاؤه بالدقّة العقلیّة لا یضرّ، کما تقدّم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وحصول الغسل بالعصر احتیاطاً، وکذا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العصر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الکرّ،</w:t>
      </w:r>
    </w:p>
    <w:p>
      <w:pPr>
        <w:pStyle w:val="BookText"/>
        <w:rPr/>
      </w:pPr>
      <w:r>
        <w:rPr>
          <w:rFonts w:ascii="IRNazanin" w:hAnsi="IRNazanin" w:eastAsia="IRNazanin"/>
          <w:color w:val="111111"/>
          <w:sz w:val="28"/>
          <w:sz w:val="28"/>
          <w:szCs w:val="28"/>
          <w:rtl w:val="true"/>
          <w:lang w:bidi="fa-IR"/>
        </w:rPr>
        <w:t>أو الغسل بالماء القلیل، بخلاف ما إذا صبغ بالنیل النجس فإنّه إذا نفذ فیه الماء فی الکثیر</w:t>
      </w:r>
      <w:r>
        <w:rPr>
          <w:rStyle w:val="FootnoteAnchor"/>
          <w:rtl w:val="true"/>
        </w:rPr>
        <w:footnoteReference w:id="7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تحقّق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بوصف الإطلاق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إحراز نفوذ الماء مع هذا الوصف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یطهر، وإن صار مضافاً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وفیما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صار مضافاً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متلوّناً بعد 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إجراء الماء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قبله إذا لم یخرج بالتلوّن عن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مرّ سابقاً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یعتبر</w:t>
      </w:r>
      <w:r>
        <w:rPr>
          <w:rStyle w:val="FootnoteAnchor"/>
          <w:rtl w:val="true"/>
        </w:rPr>
        <w:footnoteReference w:id="770"/>
      </w:r>
      <w:r>
        <w:rPr>
          <w:rFonts w:ascii="IRNazanin" w:hAnsi="IRNazanin" w:eastAsia="IRNazanin"/>
          <w:color w:val="111111"/>
          <w:sz w:val="28"/>
          <w:sz w:val="28"/>
          <w:szCs w:val="28"/>
          <w:rtl w:val="true"/>
          <w:lang w:bidi="fa-IR"/>
        </w:rPr>
        <w:t xml:space="preserve">فیه التعدّد لا یلزم توالی الغسلتین أو الغسلات، فلو غسل مرّة فی یوم ومرّة اُخری فی یوم آخر کفی، نعم یعتبر </w:t>
      </w:r>
    </w:p>
    <w:p>
      <w:pPr>
        <w:pStyle w:val="BookText"/>
        <w:rPr/>
      </w:pPr>
      <w:r>
        <w:rPr>
          <w:rFonts w:ascii="IRNazanin" w:hAnsi="IRNazanin" w:eastAsia="IRNazanin"/>
          <w:color w:val="111111"/>
          <w:sz w:val="28"/>
          <w:sz w:val="28"/>
          <w:szCs w:val="28"/>
          <w:rtl w:val="true"/>
          <w:lang w:bidi="fa-IR"/>
        </w:rPr>
        <w:t>فی العصر الفوریّة</w:t>
      </w:r>
      <w:r>
        <w:rPr>
          <w:rStyle w:val="FootnoteAnchor"/>
          <w:rtl w:val="true"/>
        </w:rPr>
        <w:footnoteReference w:id="7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الاعتبار أیضاً إذا لم ینقص ولم یجفّ الماء المنصبّ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الشاهرودی، زین الدین،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التأخیر ما لم تجفّ الغسالة فی الشیء المتنجّس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العرفیّة، والأقرب اعتبارها لو جعل العصر جزءاً من مفهوم الغسل ومقوّماً له، وأمّا لو جعل مقدّمة لانفصال الغسالة ـ کما هو الحقّ ـ فاللازم التفصیل بین صورتی جفاف الغسالة فی المحلّ بسرعة لحرارة الهواء ونحوها فیعتبر الفوریّة، وبین ما لم یستلزم التأخیر الجفاف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الفوریّة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العرفیّة علی الأحوط، بل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اعتبارها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العرفیّة المختلفة باختلاف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اعتبارها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 نعم لا یساعد دلیل الفوریّة فی ما أمکن إخراج الغسالة ولو بعد زمان غیر فوری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اعتبارها، نعم لابدّ من عدم التراخی بحدٍّ یجفّ مقدار معتدّ به ممّا یخرج لو عصر 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صبّ الماء علی الشیء المتنجّس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الغسلة المزیلة للعین بحیث لا یبقی بعدها شیء منها تعدّ من الغسلات</w:t>
      </w:r>
      <w:r>
        <w:rPr>
          <w:rStyle w:val="FootnoteAnchor"/>
          <w:rtl w:val="true"/>
        </w:rPr>
        <w:footnoteReference w:id="7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عدّها منها، إلاّ إذا استمرّ جریان الماء علیه بعد الإزالة ولو آناً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تحقّق الزوال قبل تمامیّة الصبّ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فیما إذا استمرّ الصبّ إلی بعد الزوال ولو آناً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منّا فی التعلیق علی المسألة الرابعة؛ أ نّه لا تکفی الغسلة المزیلة للعین حتّی إذا استمرّ صبّ الماء بعد زوالها علی الأحوط، ولا تحسب من العدد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یعتبر فیه التعدّد فتحسب</w:t>
      </w:r>
    </w:p>
    <w:p>
      <w:pPr>
        <w:pStyle w:val="BookText"/>
        <w:rPr/>
      </w:pPr>
      <w:r>
        <w:rPr>
          <w:rFonts w:ascii="Amiri" w:hAnsi="Amiri" w:eastAsia="Amiri" w:cs="Amiri"/>
          <w:color w:val="111111"/>
          <w:sz w:val="28"/>
          <w:sz w:val="28"/>
          <w:szCs w:val="28"/>
          <w:rtl w:val="true"/>
          <w:lang w:bidi="ar-SA"/>
        </w:rPr>
        <w:t>مرّة</w:t>
      </w:r>
      <w:r>
        <w:rPr>
          <w:rStyle w:val="FootnoteAnchor"/>
          <w:rtl w:val="true"/>
        </w:rPr>
        <w:footnoteReference w:id="7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الاحتساب، إلاّ إذا استدام صبّ الماء بعد الإزالة ولو آناً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استمرّ جریان الماء علیه بعد الإزالة، ولو آناً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استمرّ الصبّ بعد زوالها ولو یسیراً علی الأحوط،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استمرّ جریان الماء بعد الإزالة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بخلاف ما إذا بقی بعدها شیء من أجزاء العین، فإنّها لا تحسب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 هذا فإن أزال العین بالماء المطلق فی ما یجب فیه مرّتان کفی غسله 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الغسلة المزیلة مستمرّة بعد زوال العین ولو بزمان یسیر، کما هو الغالب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اُخری، وإن أزالها بماء مضاف یجب بعده مرّتان اُخریان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کفایة المرّة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النعل المتنجّسة تطهر بغمسها</w:t>
      </w:r>
      <w:r>
        <w:rPr>
          <w:rStyle w:val="FootnoteAnchor"/>
          <w:rtl w:val="true"/>
        </w:rPr>
        <w:footnoteReference w:id="774"/>
      </w:r>
      <w:r>
        <w:rPr>
          <w:rFonts w:ascii="IRNazanin" w:hAnsi="IRNazanin" w:eastAsia="IRNazanin"/>
          <w:color w:val="111111"/>
          <w:sz w:val="28"/>
          <w:sz w:val="28"/>
          <w:szCs w:val="28"/>
          <w:rtl w:val="true"/>
          <w:lang w:bidi="fa-IR"/>
        </w:rPr>
        <w:t>فی الماء الکثیر، ولا حاجة فیها إلی العصر</w:t>
      </w:r>
      <w:r>
        <w:rPr>
          <w:rStyle w:val="FootnoteAnchor"/>
          <w:rtl w:val="true"/>
        </w:rPr>
        <w:footnoteReference w:id="7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العصر أو ما یقوم مقامه فی الخیط ونحوه ممّا یرسب فیه الماء ویخرج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من طرف جلدها، ولا من طرف خیوطها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الخیط ممّا یرسب فیه الماء احتاج إلی العصر، بل وکذا الجلد إذا کان رخواً یرسب فیه الماء، کما قد یتّفق فی بعض الجلود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الباریة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فی الغسل بالماء القلیل أیضاً 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یطهر ظاهره، وأمّا الباطن فلا یطهر إلاّ بما مرّ فی الحبوب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الجلد والخیط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عصر الخیط ونحوه ممّا یتخلّله الماء ولو بإمرار الید علیه بعنف وقوّة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 الخیط ممّا لا یعصر مع رسوب الماء فیه إشکال، بل المنع عنه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الأحوال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بالنسبة إلی الجلد لا یحتاج إلی العصر، وبالنسبة إلی خیوطه مع رسوب الماء فیها الأحوط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مراده قدس‌سره من الخیط لا یعمّ مثل الخیط المنفصل الّذی یشدّ به فتق بعض الخفاف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لیسا ممّا</w:t>
      </w:r>
    </w:p>
    <w:p>
      <w:pPr>
        <w:pStyle w:val="BookText"/>
        <w:rPr/>
      </w:pPr>
      <w:r>
        <w:rPr>
          <w:rFonts w:ascii="IRNazanin" w:hAnsi="IRNazanin" w:eastAsia="IRNazanin"/>
          <w:color w:val="111111"/>
          <w:sz w:val="28"/>
          <w:sz w:val="28"/>
          <w:szCs w:val="28"/>
          <w:rtl w:val="true"/>
          <w:lang w:bidi="fa-IR"/>
        </w:rPr>
        <w:t>یعصر</w:t>
      </w:r>
      <w:r>
        <w:rPr>
          <w:rStyle w:val="FootnoteAnchor"/>
          <w:rtl w:val="true"/>
        </w:rPr>
        <w:footnoteReference w:id="7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یرسب فیه الماء، وإلاّ دخل فیما یعصر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یطهر باطنهما لو نفذت النجاسة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لما یعصر میزان کلّی، ففی فرض رسوب الماء حکم الخیط حکم الثیاب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الحزام من الجلد، کان فیه خیط أو لم یکن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المذاب</w:t>
      </w:r>
      <w:r>
        <w:rPr>
          <w:rStyle w:val="FootnoteAnchor"/>
          <w:rtl w:val="true"/>
        </w:rPr>
        <w:footnoteReference w:id="777"/>
      </w:r>
      <w:r>
        <w:rPr>
          <w:rFonts w:ascii="IRNazanin" w:hAnsi="IRNazanin" w:eastAsia="IRNazanin"/>
          <w:color w:val="111111"/>
          <w:sz w:val="28"/>
          <w:sz w:val="28"/>
          <w:szCs w:val="28"/>
          <w:rtl w:val="true"/>
          <w:lang w:bidi="fa-IR"/>
        </w:rPr>
        <w:t>ونحوه من الفلزّات</w:t>
      </w:r>
      <w:r>
        <w:rPr>
          <w:rStyle w:val="FootnoteAnchor"/>
          <w:rtl w:val="true"/>
        </w:rPr>
        <w:footnoteReference w:id="7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السِنّ المصنوع إذا تنجّس حال الذوبان قبل الانجماد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صبّ فی الماء النجس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انتشر فی الماء حال الصبّ ثمّ استمسک، وأمّا إذا کان علی حاله قبل الصبّ فالظاهر أ نّه کقطرة من زئبق واقعة فی الماء النجس لا ینجس إلاّ ظاهره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بمجرّد الصبّ فی الماء لا ینجس باطنه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تفرّق حین الصبّ فی الماء فاجتمع بأن یصیر ما کان ظاهراً حین الصبّ باطناً بالاجتماع، وأمّا إذا کان علی هیئته وحاله قبل الصبّ فالظاهر أ نّه إنّما ینجس ظاهره الملاقی للماء النجس دون أعماقه الذائبة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قابلاً للتأثّر حال الذوبان تنجّس ما یلاقی ماء النجس فقط، ولا یکون مثل سائر المایعات، بل یحتمل أن لا یکون مثله ومثل الزئبق قابلَین للتأثّر أصلاً کالدخان والبخار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ووصل الماء إلی تمام أجزائه، وأمّا تنجّسه بوصول النجس إلیه کسائر المایعات فمحلّ تأمّل، والأحوط الاجتناب عنه، وکذا حال المتنجّس المذاب فإنّ تنجّس سائره بالسرایة محلّ تأمّل، والأحوط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حال تفرّق أجزائه ثمّ اجتمعت تلک الأجزاء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کان متنجّساً فاُذیب ینجس ظاهره</w:t>
      </w:r>
    </w:p>
    <w:p>
      <w:pPr>
        <w:pStyle w:val="BookText"/>
        <w:rPr/>
      </w:pPr>
      <w:r>
        <w:rPr>
          <w:rFonts w:ascii="IRNazanin" w:hAnsi="IRNazanin" w:eastAsia="IRNazanin"/>
          <w:color w:val="111111"/>
          <w:sz w:val="28"/>
          <w:sz w:val="28"/>
          <w:szCs w:val="28"/>
          <w:rtl w:val="true"/>
          <w:lang w:bidi="fa-IR"/>
        </w:rPr>
        <w:t>وبــاطنــه</w:t>
      </w:r>
      <w:r>
        <w:rPr>
          <w:rStyle w:val="FootnoteAnchor"/>
          <w:rtl w:val="true"/>
        </w:rPr>
        <w:footnoteReference w:id="7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المصبوب فی الماء النجس ینجس ظاهره فقط، والمتنجّس المذاب یختلط ظاهره وباطنه بعضاً مع بعض، ولا تنجس الأجزاء الباطنیّة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الفرض الثانی دون الأوّل، إلاّ علی بعض صور الإصابة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نوع تسامح، فإنّه إنّما ینجس الملاقی منه، نعم ربّما یحصل الاختلاط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تنجّس باطنه إشکال، إلاّ إذا صار مائعاً بواسطة الذوبان کسائر المائعات، مثل النفط، وإنّی شاهدت ذلک فی محلول الذهب المصنوع للدواء فإنّه کان کالشای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تنجّس باطنه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لنجاسة باطنه، فإنّ میعان مثل الذهب لیس مثل الماء ونحوه موجب للسرایة إلی 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نجاسة باطن المصبوب فی الماء النجس إشکال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ینجس ظاهره فقط إذا صبّ فی الماء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نجاسة باطنه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المتیقّن نجاسة ما لاقی من سطحه الظاهر، وأمّا الباطن منه فتنجّسه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إحراز وصول النجاسة إلیه أیضاً، وإلاّ فیتنجّس الظاهر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یحکم بنجاسة باطن الذهب المذاب بمجرّد صبّه فی الماء النجس، حتّی یعلم بانتشار أجزائه حین الملاقاة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تنجیس باطنه إشکال، ومع الشکّ یجری أصل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تنجّس باطنه محلّ التأمّل والإشکال، کما أنّ أصل الحکم بالنجاسة مبنیّ علی تنجیس المتنجّس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نجاسة باطنه تأمّل؛ لاحتمال مانعیّة شدّة الحرارة عن وصول النجاسة إلی جمیع أجزائه، نعم لو ظهر باطنه بالاستعمال وکان نجساً یجب تطهیره، ولو شکّ فی ظهور باطنه فالأصل عدم ظهوره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بنجاسة ظاهره فی الفرض الثانی، وبنجاسة باطنه فی کلا الفرضین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نجاسة باطنه محلّ نظر، بل منع، وعلیه فلا تبقی نجاسته بعد الإذابة الثانیة إذا طهّر قبلها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یقبـــل التطهیـــر إلاّ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ظاهره</w:t>
      </w:r>
      <w:r>
        <w:rPr>
          <w:rStyle w:val="FootnoteAnchor"/>
          <w:rtl w:val="true"/>
        </w:rPr>
        <w:footnoteReference w:id="780"/>
      </w:r>
      <w:r>
        <w:rPr>
          <w:rFonts w:ascii="IRNazanin" w:hAnsi="IRNazanin" w:eastAsia="IRNazanin"/>
          <w:color w:val="111111"/>
          <w:sz w:val="28"/>
          <w:sz w:val="28"/>
          <w:szCs w:val="28"/>
          <w:rtl w:val="true"/>
          <w:lang w:bidi="fa-IR"/>
        </w:rPr>
        <w:t xml:space="preserve">، فإذا اُذیب ثانیاً بعد تطهیر ظاهره تنجّس ظاهره ثانیاً </w:t>
      </w:r>
      <w:r>
        <w:rPr>
          <w:rStyle w:val="FootnoteAnchor"/>
          <w:rtl w:val="true"/>
        </w:rPr>
        <w:footnoteReference w:id="7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تنجّس ظاهره بملاقاته للباطن وإن کان محلّ تأمّل، بل منع، کالبوطقة ومحلّ الذوب، ولکن الغلیان واختلاط الأجزاء یوجب الاجتناب عن جمیع الأجزاء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یحکم بنجاسته مطلقاً فی الفرض الأوّل إذا انجمد لمجرّد الوصول إلی الماء المتنجّس، وأمّا فی الفرض الثانی فقد یحصل العلم الإجمالی بنجاسة بعض أجزائه الظاهرة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احتمل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وصول النجاسة إلی جمیع أجزائه وأنّ ما ظهر منه بعد الذوبان الأجزاء الطاهرة یحکم بطهارته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بطهارة ما یلاقیه دون نفسه، إلاّ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بالاجتناب عنه لمکان العلم الإجمالی، نعم یحکم بطهارة ملاقیه علی ما أسلفناه فی الحواشی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بطهارته لا یخلو من إشکال ظاهر، نعم لا ینجس ملاقیه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علی القول بعدم تنجیز العلم الإجمالی بالنسبة إلی جمیع الأطراف، والمسألة محتاجة إلی التفصیل، نعم ملاقیه طاهر؛ لجریان الاستصحاب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لذلک مع العلم الإجمالی بنجاسة بعض الأجزاء، نعم ملاقیه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وعلی أیّ حال بعد تطهیر</w:t>
      </w:r>
    </w:p>
    <w:p>
      <w:pPr>
        <w:pStyle w:val="BookText"/>
        <w:rPr/>
      </w:pPr>
      <w:r>
        <w:rPr>
          <w:rFonts w:ascii="IRNazanin" w:hAnsi="IRNazanin" w:eastAsia="IRNazanin"/>
          <w:color w:val="111111"/>
          <w:sz w:val="28"/>
          <w:sz w:val="28"/>
          <w:szCs w:val="28"/>
          <w:rtl w:val="true"/>
          <w:lang w:bidi="fa-IR"/>
        </w:rPr>
        <w:t>ظاهره لا مانع من استعماله</w:t>
      </w:r>
      <w:r>
        <w:rPr>
          <w:rStyle w:val="FootnoteAnchor"/>
          <w:rtl w:val="true"/>
        </w:rPr>
        <w:footnoteReference w:id="7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یظهر باطنه بالسحق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محمولاً حال الصلاة علی الأحوط، وکذا استعماله إذا انسحق ظاهره فظهر باطنه فإنّه یجب غسله للاستعمال المشروط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إذا احتمل زوال ظاهره بالاستعمال وبروز باطنه وجب تطهیره، وهکذا کلّما شکّ فی بروز الباطن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دام علی حاله، أمّا لو احتمل زوال ظاهره بالاستعمال وظهور باطنه فیقوی المنع حتّی یطهّره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انسحق بالاستعمال سطحه الظاهر فإنّه یجب تطهیره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 بروز باطنه علی فرض 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تطهیره کلّما شکّ فی بروز باطنه النجس بالاستعمال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مثل القدر من الصفر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 الّذی</w:t>
      </w:r>
      <w:r>
        <w:rPr>
          <w:rStyle w:val="FootnoteAnchor"/>
          <w:rtl w:val="true"/>
        </w:rPr>
        <w:footnoteReference w:id="783"/>
      </w:r>
      <w:r>
        <w:rPr>
          <w:rFonts w:ascii="IRNazanin" w:hAnsi="IRNazanin" w:eastAsia="IRNazanin"/>
          <w:color w:val="111111"/>
          <w:sz w:val="28"/>
          <w:sz w:val="28"/>
          <w:szCs w:val="28"/>
          <w:rtl w:val="true"/>
          <w:lang w:bidi="fa-IR"/>
        </w:rPr>
        <w:t>یصوغه الکافر</w:t>
      </w:r>
      <w:r>
        <w:rPr>
          <w:rStyle w:val="FootnoteAnchor"/>
          <w:rtl w:val="true"/>
        </w:rPr>
        <w:footnoteReference w:id="78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المحکوم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یعلم ملاقاته له</w:t>
      </w:r>
    </w:p>
    <w:p>
      <w:pPr>
        <w:pStyle w:val="BookText"/>
        <w:rPr/>
      </w:pPr>
      <w:r>
        <w:rPr>
          <w:rFonts w:ascii="IRNazanin" w:hAnsi="IRNazanin" w:eastAsia="IRNazanin"/>
          <w:color w:val="111111"/>
          <w:sz w:val="28"/>
          <w:sz w:val="28"/>
          <w:szCs w:val="28"/>
          <w:rtl w:val="true"/>
          <w:lang w:bidi="fa-IR"/>
        </w:rPr>
        <w:t>مع الرطوبة یحکم بطهارته</w:t>
      </w:r>
      <w:r>
        <w:rPr>
          <w:rStyle w:val="FootnoteAnchor"/>
          <w:rtl w:val="true"/>
        </w:rPr>
        <w:footnoteReference w:id="785"/>
      </w:r>
      <w:r>
        <w:rPr>
          <w:rFonts w:ascii="IRNazanin" w:hAnsi="IRNazanin" w:eastAsia="IRNazanin"/>
          <w:color w:val="111111"/>
          <w:sz w:val="28"/>
          <w:sz w:val="28"/>
          <w:szCs w:val="28"/>
          <w:rtl w:val="true"/>
          <w:lang w:bidi="fa-IR"/>
        </w:rPr>
        <w:t>، ومع العلم بها یجب غسله</w:t>
      </w:r>
      <w:r>
        <w:rPr>
          <w:rStyle w:val="FootnoteAnchor"/>
          <w:rtl w:val="true"/>
        </w:rPr>
        <w:footnoteReference w:id="786"/>
      </w:r>
      <w:r>
        <w:rPr>
          <w:rFonts w:ascii="IRNazanin" w:hAnsi="IRNazanin" w:eastAsia="IRNazanin"/>
          <w:color w:val="111111"/>
          <w:sz w:val="28"/>
          <w:sz w:val="28"/>
          <w:szCs w:val="28"/>
          <w:rtl w:val="true"/>
          <w:lang w:bidi="fa-IR"/>
        </w:rPr>
        <w:t>، ویطهر ظاهره، وإن بقی باطنه</w:t>
      </w:r>
      <w:r>
        <w:rPr>
          <w:rStyle w:val="FootnoteAnchor"/>
          <w:rtl w:val="true"/>
        </w:rPr>
        <w:footnoteReference w:id="7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النجاسة إذا کان متنجّساً قبل الإذابة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المتنجّس</w:t>
      </w:r>
      <w:r>
        <w:rPr>
          <w:rStyle w:val="FootnoteAnchor"/>
          <w:rtl w:val="true"/>
        </w:rPr>
        <w:footnoteReference w:id="7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تنجّس ظاهره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یطهر بالغمس فی الکثیر، بل والغسل بالقلیل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علم جریان الماء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عدم العلم بالإضافة، ولا یلزم العلم بالإطلاق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شکّ فی بقاء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والمرجع عند الشکّ فی بقاء الإطلاق هو 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بوصف الإطلاق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شکّ فی ذلک یجری استصحاب بقاء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شکّ فی زوال وصف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قطعة الملح، نعم لو صنع النبات من السکّر المتنجّس، أو انجمد الملح بعد</w:t>
      </w:r>
    </w:p>
    <w:p>
      <w:pPr>
        <w:pStyle w:val="BookText"/>
        <w:rPr/>
      </w:pPr>
      <w:r>
        <w:rPr>
          <w:rFonts w:ascii="Amiri" w:hAnsi="Amiri" w:eastAsia="Amiri" w:cs="Amiri"/>
          <w:color w:val="111111"/>
          <w:sz w:val="28"/>
          <w:sz w:val="28"/>
          <w:szCs w:val="28"/>
          <w:rtl w:val="true"/>
          <w:lang w:bidi="ar-SA"/>
        </w:rPr>
        <w:t xml:space="preserve">تنجّسه مائعاً </w:t>
      </w:r>
      <w:r>
        <w:rPr>
          <w:rStyle w:val="FootnoteAnchor"/>
          <w:rtl w:val="true"/>
        </w:rPr>
        <w:footnoteReference w:id="789"/>
      </w:r>
      <w:r>
        <w:rPr>
          <w:rFonts w:ascii="IRNazanin" w:hAnsi="IRNazanin" w:eastAsia="IRNazanin"/>
          <w:color w:val="111111"/>
          <w:sz w:val="28"/>
          <w:sz w:val="28"/>
          <w:szCs w:val="28"/>
          <w:rtl w:val="true"/>
          <w:lang w:bidi="fa-IR"/>
        </w:rPr>
        <w:t>لا یکون حینئذٍ قابلاً للتطهیر</w:t>
      </w:r>
      <w:r>
        <w:rPr>
          <w:rStyle w:val="FootnoteAnchor"/>
          <w:rtl w:val="true"/>
        </w:rPr>
        <w:footnoteReference w:id="7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کلّ متنجّس لا ینفذ الماء منه إلاّ مضافاً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کلّ متنجّس بحسب الظاهر والباطن الّذی لا ینفکّ نفوذ الماء فیه عن إضافته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کلّ مایع متنجّس إذا جمد فإنّه لا یمکن تطهیر باطنه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کذلک فی کلّ متنجّس لا ینفکّ نفوذ الماء فیه عن إضافته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لتعذّر وصول الماء بجمیع أعماقه باقیاً علی وصف الإطلاق، نعم یطهر سطحه الظاهر بشرط جریان الماء علیه مطلقاً، کما مرّ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لصیرورة الماء مضافاً بنفوذه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یطهر فی الماء المعتصم بالاستهلاک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الکوز الّذی صنع من طین نجس أو کان مصنوعاً للکافر یطهر ظاهره بالقلیل</w:t>
      </w:r>
      <w:r>
        <w:rPr>
          <w:rStyle w:val="FootnoteAnchor"/>
          <w:rtl w:val="true"/>
        </w:rPr>
        <w:footnoteReference w:id="7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تثلیث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ظاهره من الداخل هو التطهیر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وباطنه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وضع فی</w:t>
      </w:r>
    </w:p>
    <w:p>
      <w:pPr>
        <w:pStyle w:val="BookText"/>
        <w:rPr/>
      </w:pPr>
      <w:r>
        <w:rPr>
          <w:rFonts w:ascii="IRNazanin" w:hAnsi="IRNazanin" w:eastAsia="IRNazanin"/>
          <w:color w:val="111111"/>
          <w:sz w:val="28"/>
          <w:sz w:val="28"/>
          <w:szCs w:val="28"/>
          <w:rtl w:val="true"/>
          <w:lang w:bidi="fa-IR"/>
        </w:rPr>
        <w:t>الکثیر</w:t>
      </w:r>
      <w:r>
        <w:rPr>
          <w:rStyle w:val="FootnoteAnchor"/>
          <w:rtl w:val="true"/>
        </w:rPr>
        <w:footnoteReference w:id="7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بالقلیل أیضاً إذا أصابه الماء الطاهر ونفذ فی أعماقه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فنفذ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الإشکال فی تحقّق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أعماقه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تقدّم من استیلائه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تکفی النداوة،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صورة عدم إحراز النفوذ أو شکّ فی النفوذ یحکم ببقاء 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یحتاج إلی التجفیف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الدسمة إذا تنجّست تطهر فی الکثیر والقلیل إذا لم یکن</w:t>
      </w:r>
      <w:r>
        <w:rPr>
          <w:rStyle w:val="FootnoteAnchor"/>
          <w:rtl w:val="true"/>
        </w:rPr>
        <w:footnoteReference w:id="793"/>
      </w:r>
      <w:r>
        <w:rPr>
          <w:rFonts w:ascii="IRNazanin" w:hAnsi="IRNazanin" w:eastAsia="IRNazanin"/>
          <w:color w:val="111111"/>
          <w:sz w:val="28"/>
          <w:sz w:val="28"/>
          <w:szCs w:val="28"/>
          <w:rtl w:val="true"/>
          <w:lang w:bidi="fa-IR"/>
        </w:rPr>
        <w:t>لدسومتها جرم، وإلاّ فلابدّ من إزالته</w:t>
      </w:r>
      <w:r>
        <w:rPr>
          <w:rStyle w:val="FootnoteAnchor"/>
          <w:rtl w:val="true"/>
        </w:rPr>
        <w:footnoteReference w:id="7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المتنجّس هو ظاهر الدسومة فقط وإلاّ لم یلزم إزالتها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وکذا اللحم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الدسم والألیة، فهذا المقدار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الدسومة لا یمنع من وصول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الظروف الکبار</w:t>
      </w:r>
      <w:r>
        <w:rPr>
          <w:rStyle w:val="FootnoteAnchor"/>
          <w:rtl w:val="true"/>
        </w:rPr>
        <w:footnoteReference w:id="795"/>
      </w:r>
      <w:r>
        <w:rPr>
          <w:rFonts w:ascii="Amiri" w:hAnsi="Amiri" w:eastAsia="Amiri" w:cs="Amiri"/>
          <w:color w:val="111111"/>
          <w:sz w:val="28"/>
          <w:sz w:val="28"/>
          <w:szCs w:val="28"/>
          <w:rtl w:val="true"/>
          <w:lang w:bidi="ar-SA"/>
        </w:rPr>
        <w:t>الّتی لا یمکن نقلها کالحبّ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الجَرَّه الضخمة، الجمع حُبَبَه وُحباب، مجمع البحرین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حبب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فی الأرض ونحوه إذا تنجّست یمکن تطهیرها بوجوه</w:t>
      </w:r>
      <w:r>
        <w:rPr>
          <w:rStyle w:val="FootnoteAnchor"/>
          <w:rtl w:val="true"/>
        </w:rPr>
        <w:footnoteReference w:id="7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 الثانی للاستظهار 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من أبواب النجاسات،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والرابع لمساعدة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تملأ ماءً</w:t>
      </w:r>
      <w:r>
        <w:rPr>
          <w:rStyle w:val="FootnoteAnchor"/>
          <w:rtl w:val="true"/>
        </w:rPr>
        <w:footnoteReference w:id="797"/>
      </w:r>
      <w:r>
        <w:rPr>
          <w:rFonts w:ascii="Amiri" w:hAnsi="Amiri" w:eastAsia="Amiri" w:cs="Amiri"/>
          <w:color w:val="111111"/>
          <w:sz w:val="28"/>
          <w:sz w:val="28"/>
          <w:szCs w:val="28"/>
          <w:rtl w:val="true"/>
          <w:lang w:bidi="ar-SA"/>
        </w:rPr>
        <w:t>ثمّ تفرغ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w:t>
      </w:r>
      <w:r>
        <w:rPr>
          <w:rStyle w:val="FootnoteAnchor"/>
          <w:rtl w:val="true"/>
        </w:rPr>
        <w:footnoteReference w:id="7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المتراءی من ظاهر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الماء، ثمّ یدار إلی أطرافها بإعانة الید أو غیرها، ثمّ یخرج منها ماء الغسالة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یدار الماء</w:t>
      </w:r>
      <w:r>
        <w:rPr>
          <w:rStyle w:val="FootnoteAnchor"/>
          <w:rtl w:val="true"/>
        </w:rPr>
        <w:footnoteReference w:id="799"/>
      </w:r>
      <w:r>
        <w:rPr>
          <w:rFonts w:ascii="IRNazanin" w:hAnsi="IRNazanin" w:eastAsia="IRNazanin"/>
          <w:color w:val="111111"/>
          <w:sz w:val="28"/>
          <w:sz w:val="28"/>
          <w:szCs w:val="28"/>
          <w:rtl w:val="true"/>
          <w:lang w:bidi="fa-IR"/>
        </w:rPr>
        <w:t>إلی أطرافها مبتدئاً بالأسفل إلی الأعلی، ثمّ یخرج الغسالة المجتمعة، ثلاث مرّات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یدار کذلک، لکن من أعلاها إلی الأسفل ثمّ یخرج، ثلاث </w:t>
      </w:r>
    </w:p>
    <w:p>
      <w:pPr>
        <w:pStyle w:val="BookText"/>
        <w:rPr/>
      </w:pPr>
      <w:r>
        <w:rPr>
          <w:rFonts w:ascii="Amiri" w:hAnsi="Amiri" w:eastAsia="Amiri" w:cs="Amiri"/>
          <w:color w:val="111111"/>
          <w:sz w:val="28"/>
          <w:sz w:val="28"/>
          <w:szCs w:val="28"/>
          <w:rtl w:val="true"/>
          <w:lang w:bidi="ar-SA"/>
        </w:rPr>
        <w:t>مرّات</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یشکل</w:t>
      </w:r>
      <w:r>
        <w:rPr>
          <w:rStyle w:val="FootnoteAnchor"/>
          <w:rtl w:val="true"/>
        </w:rPr>
        <w:footnoteReference w:id="801"/>
      </w:r>
      <w:r>
        <w:rPr>
          <w:rFonts w:ascii="IRNazanin" w:hAnsi="IRNazanin" w:eastAsia="IRNazanin"/>
          <w:color w:val="111111"/>
          <w:sz w:val="28"/>
          <w:sz w:val="28"/>
          <w:szCs w:val="28"/>
          <w:rtl w:val="true"/>
          <w:lang w:bidi="fa-IR"/>
        </w:rPr>
        <w:t>بأنّ الابتداء من أعلاها یوجب اجتماع الغسالة فی أسفلها قبل أن یغسل، ومع اجتماعها لا یمکن إدارة</w:t>
      </w:r>
      <w:r>
        <w:rPr>
          <w:rStyle w:val="FootnoteAnchor"/>
          <w:rtl w:val="true"/>
        </w:rPr>
        <w:footnoteReference w:id="8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إخراج الغسالة المجتمعة فی أسفلها، ثمّ صبّ الماء علی محلِّها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فی أسفلها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المجموع یعدّ غسلاً واحداً، فالماء الّذی ینزل من الأعلی یغسل کلّ ما جری علیه إلی الأسفل، وبعد الاجتماع یعدّ المجموع غسالة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یلزم</w:t>
      </w:r>
      <w:r>
        <w:rPr>
          <w:rStyle w:val="FootnoteAnchor"/>
          <w:rtl w:val="true"/>
        </w:rPr>
        <w:footnoteReference w:id="803"/>
      </w:r>
      <w:r>
        <w:rPr>
          <w:rFonts w:ascii="IRNazanin" w:hAnsi="IRNazanin" w:eastAsia="IRNazanin"/>
          <w:color w:val="111111"/>
          <w:sz w:val="28"/>
          <w:sz w:val="28"/>
          <w:szCs w:val="28"/>
          <w:rtl w:val="true"/>
          <w:lang w:bidi="fa-IR"/>
        </w:rPr>
        <w:t>تطهیر آلة</w:t>
      </w:r>
      <w:r>
        <w:rPr>
          <w:rStyle w:val="FootnoteAnchor"/>
          <w:rtl w:val="true"/>
        </w:rPr>
        <w:footnoteReference w:id="804"/>
      </w:r>
      <w:r>
        <w:rPr>
          <w:rFonts w:ascii="Amiri" w:hAnsi="Amiri" w:eastAsia="Amiri" w:cs="Amiri"/>
          <w:color w:val="111111"/>
          <w:sz w:val="28"/>
          <w:sz w:val="28"/>
          <w:szCs w:val="28"/>
          <w:rtl w:val="true"/>
          <w:lang w:bidi="ar-SA"/>
        </w:rPr>
        <w:t>إخراج الغسالة کلّ مرّة</w:t>
      </w:r>
      <w:r>
        <w:rPr>
          <w:rStyle w:val="FootnoteAnchor"/>
          <w:rtl w:val="true"/>
        </w:rPr>
        <w:footnoteReference w:id="8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تکن من الغسلة المزیلة، وإلاّ فلا یُترک الاحتیاط بذلک وبالاجتناب عن قطراتها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یلزم ذلک، إلاّ إذا غسلت الآلة مع الظرف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کانت مغسولة بالتبع، وإلاّ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w:t>
      </w:r>
    </w:p>
    <w:p>
      <w:pPr>
        <w:pStyle w:val="BookText"/>
        <w:rPr/>
      </w:pPr>
      <w:r>
        <w:rPr>
          <w:rFonts w:ascii="IRNazanin" w:hAnsi="IRNazanin" w:eastAsia="IRNazanin"/>
          <w:color w:val="111111"/>
          <w:sz w:val="28"/>
          <w:sz w:val="28"/>
          <w:szCs w:val="28"/>
          <w:rtl w:val="true"/>
          <w:lang w:bidi="fa-IR"/>
        </w:rPr>
        <w:t>أحوط</w:t>
      </w:r>
      <w:r>
        <w:rPr>
          <w:rStyle w:val="FootnoteAnchor"/>
          <w:rtl w:val="true"/>
        </w:rPr>
        <w:footnoteReference w:id="8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 الاصطهباناتی، البروجردی، عبدالهادی الشیرازی، الحکیم، أحمد الخونساری، الفانی، الخمینی، حسن القمّی، الروحانی،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أو الاحتیاط فی عدم الفصل بین الغسلات بالکیفیة المذکورة والابتداء من الأعلی إلی الأسفل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کلّ غسلة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لتنجّسه بالغسالة، وعدم الدلیل علی تطهّره بالتبعیّة، نعم إذا غسل هو أیضاً مع غسل الإناء لا یحتاج إلی غسلٍ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ویلزم المبادرة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فی المثبتة، والأحوط 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الحکم باللزوم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جواز التراخی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إخراجها عرفاً فی کلّ غسلة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لا یضرّ الفصل بین الغسلات الثلاث، والقطرات الّتی تقطر من الغسالة فیها لا بأس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وهذه الوجوه تجری فی الظروف غیر المثبتة</w:t>
      </w:r>
    </w:p>
    <w:p>
      <w:pPr>
        <w:pStyle w:val="BookText"/>
        <w:rPr/>
      </w:pPr>
      <w:r>
        <w:rPr>
          <w:rFonts w:ascii="Amiri" w:hAnsi="Amiri" w:eastAsia="Amiri" w:cs="Amiri"/>
          <w:color w:val="111111"/>
          <w:sz w:val="28"/>
          <w:sz w:val="28"/>
          <w:szCs w:val="28"/>
          <w:rtl w:val="true"/>
          <w:lang w:bidi="ar-SA"/>
        </w:rPr>
        <w:t xml:space="preserve">أیضاً </w:t>
      </w:r>
      <w:r>
        <w:rPr>
          <w:rStyle w:val="FootnoteAnchor"/>
          <w:rtl w:val="true"/>
        </w:rPr>
        <w:footnoteReference w:id="807"/>
      </w:r>
      <w:r>
        <w:rPr>
          <w:rFonts w:ascii="IRNazanin" w:hAnsi="IRNazanin" w:eastAsia="IRNazanin"/>
          <w:color w:val="111111"/>
          <w:sz w:val="28"/>
          <w:sz w:val="28"/>
          <w:szCs w:val="28"/>
          <w:rtl w:val="true"/>
          <w:lang w:bidi="fa-IR"/>
        </w:rPr>
        <w:t xml:space="preserve">، وتزید بإمکان غمسها فی الکرّ أیضاً، وممّا ذکرنا یظهر حال تطهیر الحوض أیضاً </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فیجب فیه التعدّد إلحاقاً له بالأوانی، ولکنّ صدق الآنیة علیه غیر معلوم، بل معلوم العدم، فیکفی فیه المرّة بعد زوال العین، وإن کان الأحوط ما ذکره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اعتبار التثلیث فیه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بالماء القلیل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تطهیر شعر المرأة ولحیة الرجل لا حاجة إلی العصر</w:t>
      </w:r>
      <w:r>
        <w:rPr>
          <w:rStyle w:val="FootnoteAnchor"/>
          <w:rtl w:val="true"/>
        </w:rPr>
        <w:footnoteReference w:id="8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قویّ،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إمرار الید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یحتاج إلیه فی بعض أنواع الشعر الکثیف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التطهیر بالقلیل محلّ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یحتاج إلی الغمز لإخراج معظم الماء فیما لو اجتمع شیء معتدّ به منه فی الشَعر، کما قد یتّفق ذلک فی الشَعر الکثیر المتراکم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العصر إذا کان الشعر کثیفاً وطهّر بالماء القلیل، بل لابدّ من العصر مع الشکّ فی انفصال الماء عنه بغیر 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الشعر الکثیف جدّاً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والدلک، هذا بحسب الغالب، وقد یحتاج بعض الشعور إلی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غســلا</w:t>
      </w:r>
    </w:p>
    <w:p>
      <w:pPr>
        <w:pStyle w:val="BookText"/>
        <w:rPr/>
      </w:pPr>
      <w:r>
        <w:rPr>
          <w:rFonts w:ascii="IRNazanin" w:hAnsi="IRNazanin" w:eastAsia="IRNazanin"/>
          <w:color w:val="111111"/>
          <w:sz w:val="28"/>
          <w:sz w:val="28"/>
          <w:szCs w:val="28"/>
          <w:rtl w:val="true"/>
          <w:lang w:bidi="fa-IR"/>
        </w:rPr>
        <w:t>بالقلیل</w:t>
      </w:r>
      <w:r>
        <w:rPr>
          <w:rStyle w:val="FootnoteAnchor"/>
          <w:rtl w:val="true"/>
        </w:rPr>
        <w:footnoteReference w:id="8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قویّ،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لانفصال معظم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الأحوط انفصال تمام الماء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بل منع، فلا یُترک الاحتیاط بإخراج الماء بحیث لا تکون النداوة الباقیة إلاّ من قبیل لون الجسم، فالعبرة بصدق انفصال الماء المتنجّس عن المحلّ من غیر فرق بین الأجسام، ولا ما هو الموجب للإخراج، کما هو المفروض من تنجّس الماء بملاقاته للنجس أو المتنجّس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مطلقاً، فلا یُترک فی الشعر الکثیف سیّما المجعّد فی 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فلا یُترک الاحتیاط فی 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والدّلک، هذا بحسب الغالب وقد تحتاج بعض الشعور إلی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یکن کثیفاً جدّاً یمنع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خصوصاً فی الشعر الکثیف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فلا یُترک فی 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 کثیفاً جدّاً بحیث لا ینفصل إلاّ بالعصر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الشعر الکثیف غیر معلوم، فلابدّ من إخراج الغسالة فی 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منعه فی بعض أنواع الشعر، فلا یُترک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مشکل، فلا یُترک العصر مع عدم العلم بخروج الغسالة بدونه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ثوبه المتنجّس، ثمّ رأی بعد ذلک فیه شیئاً من الطین أو من دقاق الاُشنان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الاُشنان و الإشنان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یونانیة، ما تُغسل به الأیدی، من الحمض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مادة أشن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متنجّساً، لا یضرّ ذلک بتطهیره</w:t>
      </w:r>
      <w:r>
        <w:rPr>
          <w:rStyle w:val="FootnoteAnchor"/>
          <w:rtl w:val="true"/>
        </w:rPr>
        <w:footnoteReference w:id="8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لم یکن مانعاً عن وصول الماء إلی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علم بأنّه لم یمنع من وصول الماء إلی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بوصول الماء إلی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بحصول التطهیر وعدم المنع، ولا یکفی الشکّ علی الأحوط، وکذا الحال فی الحکم بطهارة الطین وغیره، ومع الشکّ محکوم بالنجاسة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منعه عن وصول المطهّر ونفوذه فی أعماق الثوب، نعم لو علم منعه من نفوذ الماء إلی ما تحته بقی ما تحته علی النجاسة، وأمّا بقیّة الثوب والسطح الظاهر لهذا المانع فطاهر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بوصول الماء إلی الثوب، کما هو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یحتمل منعه من وصول الماء إلی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یمنع عن وصول الماء إلی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 بعدم نفوذ الماء فی أعماق الثوب أو شکّ فیه، کما إذا کان الطین لاصقاً فی کلا وجهَی الثوب، أمّا طهارة نفس الطین والاُشنان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الاُشنان و الإشنان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یونانیة، ما تُغسل به الأیدی، من الحمض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مادة أشن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فتتوقّف علی نفوذ الماء الطاهر فیه، وإلاّ طهّر ظاهره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یحتمل کونه مانعاً عن وصول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بعدم منعه عن وصول الماء إلی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یحکم</w:t>
      </w:r>
    </w:p>
    <w:p>
      <w:pPr>
        <w:pStyle w:val="BookText"/>
        <w:rPr/>
      </w:pPr>
      <w:r>
        <w:rPr>
          <w:rFonts w:ascii="IRNazanin" w:hAnsi="IRNazanin" w:eastAsia="IRNazanin"/>
          <w:color w:val="111111"/>
          <w:sz w:val="28"/>
          <w:sz w:val="28"/>
          <w:szCs w:val="28"/>
          <w:rtl w:val="true"/>
          <w:lang w:bidi="fa-IR"/>
        </w:rPr>
        <w:t>بطهارته</w:t>
      </w:r>
      <w:r>
        <w:rPr>
          <w:rStyle w:val="FootnoteAnchor"/>
          <w:rtl w:val="true"/>
        </w:rPr>
        <w:footnoteReference w:id="8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بوصول الماء إلی ما تنجّس من الاُشنان أو الطین أو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بطهارة ظاهره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بطهارة ظاهره، وأمّا طهارة باطنه فیعتبر فیها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بطهارة ظاهره إذا کان بالماء 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ظاهره، وکذا الطرف من الثوب الغیر الملاصق بالنجس، وأمّا باطنه والطرف الملاصق به من الثوب إذا لم یعلم بوصول نفس الماء إلیهما غیر الرطوبة فمشکل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طهارة باطن الطین من دون تجفیف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علم بنفوذ الماء فیه، وإلاّ فیطهر ظاهره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ظاهر الطین أو الاُشنان أو غیرهما، بل باطن الطین وغیره إذا نفذ فیه الماء علی الوجه المعتبر، مع إحراز عدم کونه مانعاً عن وصول الماء إلی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بطهارة ظاهره، وأمّا باطنه فمع فرض نفوذ الماء المتنجّس فیه فقد مرّ عدم إمکان تطهیره إذا کان من قبیل الطین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لانغساله بغسل الثوب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فرض وصول الماء إلی أعماقه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به، ولا یکفی الاحتمال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إجراء الماء</w:t>
      </w:r>
      <w:r>
        <w:rPr>
          <w:rStyle w:val="FootnoteAnchor"/>
          <w:rtl w:val="true"/>
        </w:rPr>
        <w:footnoteReference w:id="813"/>
      </w:r>
      <w:r>
        <w:rPr>
          <w:rFonts w:ascii="IRNazanin" w:hAnsi="IRNazanin" w:eastAsia="IRNazanin"/>
          <w:color w:val="111111"/>
          <w:sz w:val="28"/>
          <w:sz w:val="28"/>
          <w:szCs w:val="28"/>
          <w:rtl w:val="true"/>
          <w:lang w:bidi="fa-IR"/>
        </w:rPr>
        <w:t>علی المحلّ النجس من البدن أو الثوب إذا وصل ذلک الماء إلی ما اتّصل به من المحلّ الطاهر علی ما هو المتعارف لا یلحقه حکم ملاقی الغسالة</w:t>
      </w:r>
      <w:r>
        <w:rPr>
          <w:rStyle w:val="FootnoteAnchor"/>
          <w:rtl w:val="true"/>
        </w:rPr>
        <w:footnoteReference w:id="8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مقتضی القاعدة اللحوق إلاّ أ نّه خرج بالسیرة القطعیّة المستمرّة، وعلیه تنزل إطلاقات أدلّة التطهیر، مضافاً إلی عدم إمکان تطهیر البدن أو الثوب لو قیل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یلحقه حکم ملاقیها، فإذا کانت الغسالة نجسة یحکم بنجاسته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بعده إشکال، بناءً علی نجاسة الغسالة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یجب غسله ثانیاً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اللازم ورود الغسلة الثانیة علی ذلک أیضاً فیما یحتاج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وصول الماء إلیه فی الغسلة الثانیة إذا کان ذلک فی الغسلة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یطهر بالتبعیّة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یطهر بطهر المحلّ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ذلک فی الغسلة الاُولی یعتبر وصول الماء إلیه فی الغسلة الثانیة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النجس بتلک الغسلة، وکذا إذا کان جزء</w:t>
      </w:r>
    </w:p>
    <w:p>
      <w:pPr>
        <w:pStyle w:val="BookText"/>
        <w:rPr/>
      </w:pPr>
      <w:r>
        <w:rPr>
          <w:rFonts w:ascii="IRNazanin" w:hAnsi="IRNazanin" w:eastAsia="IRNazanin"/>
          <w:color w:val="111111"/>
          <w:sz w:val="28"/>
          <w:sz w:val="28"/>
          <w:szCs w:val="28"/>
          <w:rtl w:val="true"/>
          <w:lang w:bidi="fa-IR"/>
        </w:rPr>
        <w:t>من الثوب</w:t>
      </w:r>
      <w:r>
        <w:rPr>
          <w:rStyle w:val="FootnoteAnchor"/>
          <w:rtl w:val="true"/>
        </w:rPr>
        <w:footnoteReference w:id="815"/>
      </w:r>
      <w:r>
        <w:rPr>
          <w:rFonts w:ascii="IRNazanin" w:hAnsi="IRNazanin" w:eastAsia="IRNazanin"/>
          <w:color w:val="111111"/>
          <w:sz w:val="28"/>
          <w:sz w:val="28"/>
          <w:szCs w:val="28"/>
          <w:rtl w:val="true"/>
          <w:lang w:bidi="fa-IR"/>
        </w:rPr>
        <w:t>نجساً فغسل مجموعه،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المقدار الطاهر تنجّس بهذه الغسلة فلا تکفیه، بل الحال کذلک</w:t>
      </w:r>
      <w:r>
        <w:rPr>
          <w:rStyle w:val="FootnoteAnchor"/>
          <w:rtl w:val="true"/>
        </w:rPr>
        <w:footnoteReference w:id="816"/>
      </w:r>
      <w:r>
        <w:rPr>
          <w:rFonts w:ascii="Amiri" w:hAnsi="Amiri" w:eastAsia="Amiri" w:cs="Amiri"/>
          <w:color w:val="111111"/>
          <w:sz w:val="28"/>
          <w:sz w:val="28"/>
          <w:szCs w:val="28"/>
          <w:rtl w:val="true"/>
          <w:lang w:bidi="ar-SA"/>
        </w:rPr>
        <w:t>إذا ضمّ</w:t>
      </w:r>
      <w:r>
        <w:rPr>
          <w:rStyle w:val="FootnoteAnchor"/>
          <w:rtl w:val="true"/>
        </w:rPr>
        <w:footnoteReference w:id="817"/>
      </w:r>
      <w:r>
        <w:rPr>
          <w:rFonts w:ascii="IRNazanin" w:hAnsi="IRNazanin" w:eastAsia="IRNazanin"/>
          <w:color w:val="111111"/>
          <w:sz w:val="28"/>
          <w:sz w:val="28"/>
          <w:szCs w:val="28"/>
          <w:rtl w:val="true"/>
          <w:lang w:bidi="fa-IR"/>
        </w:rPr>
        <w:t>مع المتنجّس شیئاً آخر طاهراً، وصبّ الماء علی المجموع</w:t>
      </w:r>
      <w:r>
        <w:rPr>
          <w:rStyle w:val="FootnoteAnchor"/>
          <w:rtl w:val="true"/>
        </w:rPr>
        <w:footnoteReference w:id="818"/>
      </w:r>
      <w:r>
        <w:rPr>
          <w:rFonts w:ascii="IRNazanin" w:hAnsi="IRNazanin" w:eastAsia="IRNazanin"/>
          <w:color w:val="111111"/>
          <w:sz w:val="28"/>
          <w:sz w:val="28"/>
          <w:szCs w:val="28"/>
          <w:rtl w:val="true"/>
          <w:lang w:bidi="fa-IR"/>
        </w:rPr>
        <w:t>، فلو کان واحد من أصابعه نجساً فضمّ إلیه البقیّة وأجری الماء علیها بحیث وصل الماء الجاری علی النجس منها إلی البقیّة ثمّ انفصل تطهّر بطهره، وکذا إذا کان زنده نجساً فأجری الماء علیه فجری علی کفّه ثمّ انفصل فلا یحتاج إلی غسل الکفّ؛ لوصول ماء الغسالة إلیها، وهکذا</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طفر الماء من المتنجّس حین غسله علی محلّ طاهر من یده أو ثوبه یجب غسله، بناءً علی نجاسة الغسالة</w:t>
      </w:r>
      <w:r>
        <w:rPr>
          <w:rStyle w:val="FootnoteAnchor"/>
          <w:rtl w:val="true"/>
        </w:rPr>
        <w:footnoteReference w:id="8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علی کونها منجّسة، وکلاهما محلّ الإشکال، بل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الماء المنفصل من الجسم المغسول محکوم بالنجاسة فی الغسالة النجسة، وطاهر 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لو وصل بعد ما انفصل عن المحلّ إلی طاهر منفصل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والفرق أنّ المتّصل بالمحلّ النجس یعدّ معه مغسولاً واحداً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بخلاف المنفصل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طعاماً نجساً فما یبقی منه بین أسنانه باقٍ علی نجاسته، ویطهر</w:t>
      </w:r>
      <w:r>
        <w:rPr>
          <w:rStyle w:val="FootnoteAnchor"/>
          <w:rtl w:val="true"/>
        </w:rPr>
        <w:footnoteReference w:id="821"/>
      </w:r>
      <w:r>
        <w:rPr>
          <w:rFonts w:ascii="Amiri" w:hAnsi="Amiri" w:eastAsia="Amiri" w:cs="Amiri"/>
          <w:color w:val="111111"/>
          <w:sz w:val="28"/>
          <w:sz w:val="28"/>
          <w:szCs w:val="28"/>
          <w:rtl w:val="true"/>
          <w:lang w:bidi="ar-SA"/>
        </w:rPr>
        <w:t>بالمضمضة</w:t>
      </w:r>
      <w:r>
        <w:rPr>
          <w:rStyle w:val="FootnoteAnchor"/>
          <w:rtl w:val="true"/>
        </w:rPr>
        <w:footnoteReference w:id="8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إحراز وصول الماء إلی جمیع سطوحه وباطنه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 بمقدار ما أصابه ماؤها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استیلاء الماء علی جمیع أطرافه ونفوذه فی أعماقه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استولی الماء علی جمیع سطوحه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استولی ماؤها علی ظاهره وباطنه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الطعام، وأمّا باطنه فقد مرّ تفصیله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نفوذ الماء فی باطنه، وإلاّ فیطهِّر الظاهر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استیلاء الماء ونفوذه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استیلاء الماء علی جمیعه ظاهراً وباطناً، والعصر إذا احتاج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العنیفة مع وفور الماء حتّی یصدق الغسل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صدق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استولی ماء المضمضة علی جمیع أجزائه، وإذا کان ممّا یحتاج إلی التعدّد کالمتنجّس بالبول فلابدّ فیه من التعدّد، وإذا لم ینفذ الماء إلی أعماقه طهّر ظاهره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وصول الماء واستیلائه علی ظاهر الطعام وباطنه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إحراز وصول الماء إلی جمیع أجزائه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شرائط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إذا کان الطعام طاهراً فخرج دم من بین أسنانه، فإن لم یلاقِهِ لا یتنجّس وإن تبلّل بالریق الملاقی للدم؛ لأنّ</w:t>
      </w:r>
    </w:p>
    <w:p>
      <w:pPr>
        <w:pStyle w:val="BookText"/>
        <w:rPr/>
      </w:pPr>
      <w:r>
        <w:rPr>
          <w:rFonts w:ascii="IRNazanin" w:hAnsi="IRNazanin" w:eastAsia="IRNazanin"/>
          <w:color w:val="111111"/>
          <w:sz w:val="28"/>
          <w:sz w:val="28"/>
          <w:szCs w:val="28"/>
          <w:rtl w:val="true"/>
          <w:lang w:bidi="fa-IR"/>
        </w:rPr>
        <w:t>الریق</w:t>
      </w:r>
      <w:r>
        <w:rPr>
          <w:rStyle w:val="FootnoteAnchor"/>
          <w:rtl w:val="true"/>
        </w:rPr>
        <w:footnoteReference w:id="823"/>
      </w:r>
      <w:r>
        <w:rPr>
          <w:rFonts w:ascii="IRNazanin" w:hAnsi="IRNazanin" w:eastAsia="IRNazanin"/>
          <w:color w:val="111111"/>
          <w:sz w:val="28"/>
          <w:sz w:val="28"/>
          <w:szCs w:val="28"/>
          <w:rtl w:val="true"/>
          <w:lang w:bidi="fa-IR"/>
        </w:rPr>
        <w:t>لا یتنجّس بذلک الدم، وإن لاقاه ففی الحکم بنجاسته إشکال</w:t>
      </w:r>
      <w:r>
        <w:rPr>
          <w:rStyle w:val="FootnoteAnchor"/>
          <w:rtl w:val="true"/>
        </w:rPr>
        <w:footnoteReference w:id="8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منّا حکم الصور المتصوّرة فی التلاقی فی حواشی مبحث النجاسات،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إنّه لاقی النجس فی الباطن،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الاجتناب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هذا الاحتیاط والاحتیاط الّذی یکون فی آخر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لأنّ القدر المعلوم أنّ النجس فی الباطن لا ینجّس ما یلاقیه ممّا کان فی الباطن، لا ما دخل إلیه من الخارج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فلو کان فی أنفه نقطة دم لا یحکم بتنجّس باطن أنفه، ولا بتنجّس رطوبته، بخلاف ما إذا أدخل إصبعه فلاقته فإنّ الأحوط غسله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التطهیر کالید والظرف</w:t>
      </w:r>
      <w:r>
        <w:rPr>
          <w:rStyle w:val="FootnoteAnchor"/>
          <w:rtl w:val="true"/>
        </w:rPr>
        <w:footnoteReference w:id="825"/>
      </w:r>
      <w:r>
        <w:rPr>
          <w:rFonts w:ascii="IRNazanin" w:hAnsi="IRNazanin" w:eastAsia="IRNazanin"/>
          <w:color w:val="111111"/>
          <w:sz w:val="28"/>
          <w:sz w:val="28"/>
          <w:szCs w:val="28"/>
          <w:rtl w:val="true"/>
          <w:lang w:bidi="fa-IR"/>
        </w:rPr>
        <w:t>الّذی یغسل فیه تطهر بالتبع</w:t>
      </w:r>
      <w:r>
        <w:rPr>
          <w:rStyle w:val="FootnoteAnchor"/>
          <w:rtl w:val="true"/>
        </w:rPr>
        <w:footnoteReference w:id="8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لا دلیل علی تطهّرها بالتبع، إلاّ إذا غُسلت هی أیضاً مع المغسول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منّا أنّ وجه عدم الحاجة إلی غسلها لیس التبعیّة، بل لأنّ الآلات کذیها مغسولة بنفسها، والسیرة الجاریة علی معاملة الطهارة معها مجملة محتملة لوجوه، ولعلّها لما أشرنا إلیه، وصحیحة ابن مسلم لابدّ من الاقتصار علی موردها، واستفادة المناط منها غیر اطمئنانیّة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غسلت مع المغسول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الإشکال فی التبعیّة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غسل بتبع غسل ذلک الشیء، وإلاّ یشکل الحکم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حاجة إلی غسلها، وفی الظرف لا یجب غسله ثلاث مرّات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التثلیث علی القول بجواز الغسل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بخلاف ما إذا کان نجساً قبل الاستعمال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التطهیر فإنّه یجب غسله ثلاث مرّات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التثلیث مطلقاً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لکلّ من الظرف والمظروف المغسول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حکم غسل الأوانی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bookmarkStart w:id="292" w:name="pg13273_135194"/>
    </w:p>
    <w:p>
      <w:pPr>
        <w:pStyle w:val="BookText"/>
        <w:rPr/>
      </w:pPr>
      <w:bookmarkEnd w:id="292"/>
      <w:r>
        <w:rPr>
          <w:rFonts w:ascii="Amiri" w:hAnsi="Amiri" w:eastAsia="Amiri" w:cs="Amiri"/>
          <w:color w:val="111111"/>
          <w:sz w:val="28"/>
          <w:sz w:val="28"/>
          <w:szCs w:val="28"/>
          <w:rtl w:val="true"/>
          <w:lang w:bidi="ar-SA"/>
        </w:rPr>
        <w:t>کما مرّ</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666550_2322387425"/>
      <w:bookmarkStart w:id="294" w:name="_Toc103"/>
      <w:bookmarkEnd w:id="293"/>
      <w:r>
        <w:rPr>
          <w:rtl w:val="true"/>
        </w:rPr>
        <w:t>اثلانی</w:t>
      </w:r>
      <w:r>
        <w:rPr>
          <w:rtl w:val="true"/>
        </w:rPr>
        <w:t xml:space="preserve">: </w:t>
      </w:r>
      <w:r>
        <w:rPr>
          <w:rtl w:val="true"/>
        </w:rPr>
        <w:t>الأرض</w:t>
      </w:r>
      <w:bookmarkEnd w:id="294"/>
    </w:p>
    <w:p>
      <w:pPr>
        <w:pStyle w:val="BookText"/>
        <w:rPr/>
      </w:pPr>
      <w:r>
        <w:rPr>
          <w:rFonts w:ascii="IRNazanin" w:hAnsi="IRNazanin" w:eastAsia="IRNazanin"/>
          <w:color w:val="111111"/>
          <w:sz w:val="28"/>
          <w:sz w:val="28"/>
          <w:szCs w:val="28"/>
          <w:rtl w:val="true"/>
          <w:lang w:bidi="fa-IR"/>
        </w:rPr>
        <w:t>الثانی من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تطهّر باطن القدم والنعل</w:t>
      </w:r>
      <w:r>
        <w:rPr>
          <w:rStyle w:val="FootnoteAnchor"/>
          <w:rtl w:val="true"/>
        </w:rPr>
        <w:footnoteReference w:id="8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تُوُقِّیَ به کالنعل والخفّ والحذاء ونحوها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مفتی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بالمشی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المسح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بشرط زوال عین النجاسة إن کانت،</w:t>
      </w:r>
    </w:p>
    <w:p>
      <w:pPr>
        <w:pStyle w:val="Heading3"/>
        <w:numPr>
          <w:ilvl w:val="2"/>
          <w:numId w:val="1"/>
        </w:numPr>
        <w:rPr/>
      </w:pPr>
      <w:bookmarkStart w:id="295" w:name="__RefHeading___Toc1666552_2322387425"/>
      <w:bookmarkStart w:id="296" w:name="_Toc104"/>
      <w:bookmarkEnd w:id="295"/>
      <w:r>
        <w:rPr>
          <w:rtl w:val="true"/>
        </w:rPr>
        <w:t>کیفیة التطهیر بالأرض</w:t>
      </w:r>
      <w:bookmarkEnd w:id="296"/>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8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هو التعمیم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التعمیم علی النجاسة الحاصلة من الأرض مطلقاً، سواء کان بالمشی أم بغیره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النجاسة الحاصلة بالمشی علی</w:t>
      </w:r>
    </w:p>
    <w:p>
      <w:pPr>
        <w:pStyle w:val="BookText"/>
        <w:rPr/>
      </w:pPr>
      <w:r>
        <w:rPr>
          <w:rFonts w:ascii="IRNazanin" w:hAnsi="IRNazanin" w:eastAsia="IRNazanin"/>
          <w:color w:val="111111"/>
          <w:sz w:val="28"/>
          <w:sz w:val="28"/>
          <w:szCs w:val="28"/>
          <w:rtl w:val="true"/>
          <w:lang w:bidi="fa-IR"/>
        </w:rPr>
        <w:t>الأرض</w:t>
      </w:r>
      <w:r>
        <w:rPr>
          <w:rStyle w:val="FootnoteAnchor"/>
          <w:rtl w:val="true"/>
        </w:rPr>
        <w:footnoteReference w:id="8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بمطلق المشی أو الوقوف ولو علی غیر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لم تکن من نجاسة الأرض نفسها، کما إذا وطأ علی عذرة ملقاة فی الأرض، وکما إذا دُمیت قدمه بحجر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الوقوف علیها أو 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النجسة دون ما حصل من الخارج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مسمّی المشی أو المسح، وإن کان الأحوط</w:t>
      </w:r>
      <w:r>
        <w:rPr>
          <w:rStyle w:val="FootnoteAnchor"/>
          <w:rtl w:val="true"/>
        </w:rPr>
        <w:footnoteReference w:id="8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المشی خمس عشرة خطوة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خمسة عشر ذراعاً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عن الذراع الموجود فی الروایة إلی الخطوة؛ لأ نّهما متقاربان؛ إذ الخطوة عبارة عن أحد القدمین مع الفاصل بینهما، الّذی هو أیضاً مقدار قدم غالباً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المذکور فی النصّ، وهو صحیح الأحول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کان خمسة عشر ذراعاً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یظهر لذکر الخطوة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عشر خطوات المساویة لخمسة عشر ذراعاً المذکورة فی الخبر، والأحوط ما قدّره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خمسة عشر ذراعاً، وهی تحصل بعشر خطوات تقریباً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الدلیل هو الذراع، ولعلّه قدس‌سره ذکر الخطوة لتقاربهما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والأفضل خمسة عشرة ذراعاً یعادل عشرة أقدام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ذراعاً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وفی کفایة مجرّد</w:t>
      </w:r>
    </w:p>
    <w:p>
      <w:pPr>
        <w:pStyle w:val="BookText"/>
        <w:rPr/>
      </w:pPr>
      <w:r>
        <w:rPr>
          <w:rFonts w:ascii="Amiri" w:hAnsi="Amiri" w:eastAsia="Amiri" w:cs="Amiri"/>
          <w:color w:val="111111"/>
          <w:sz w:val="28"/>
          <w:sz w:val="28"/>
          <w:szCs w:val="28"/>
          <w:rtl w:val="true"/>
          <w:lang w:bidi="ar-SA"/>
        </w:rPr>
        <w:t>المماسّة</w:t>
      </w:r>
      <w:r>
        <w:rPr>
          <w:rStyle w:val="FootnoteAnchor"/>
          <w:rtl w:val="true"/>
        </w:rPr>
        <w:footnoteReference w:id="832"/>
      </w:r>
      <w:r>
        <w:rPr>
          <w:rFonts w:ascii="IRNazanin" w:hAnsi="IRNazanin" w:eastAsia="IRNazanin"/>
          <w:color w:val="111111"/>
          <w:sz w:val="28"/>
          <w:sz w:val="28"/>
          <w:szCs w:val="28"/>
          <w:rtl w:val="true"/>
          <w:lang w:bidi="fa-IR"/>
        </w:rPr>
        <w:t>من دون مسح أو مشی إشکال</w:t>
      </w:r>
      <w:r>
        <w:rPr>
          <w:rStyle w:val="FootnoteAnchor"/>
          <w:rtl w:val="true"/>
        </w:rPr>
        <w:footnoteReference w:id="8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الکفایة، وکذا فی ما یلیه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الکفایة فیه وفی مسح التراب، بل هو الظاهر فی المطلی بالقیر والمفروش بالخشب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والکفایة قویّة إن کان بالوضع والرفع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الکفایة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الکفایة؛ وذلک لظهور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المشی أو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وفی مسح 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عدم الکفایة، والاقتصار علی أحد الأمرین المذکورین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الکفایة، وکذا فی مسح التراب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کفایة مجرّد المماسّة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کالوقوف مثلاً، وإذا شکّ فی الکفایة فیرجع إلی استصحاب بقاء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الاحتیاط، وکذا فیما بعده من مسح 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فی مسح</w:t>
      </w:r>
      <w:bookmarkStart w:id="297" w:name="pg13273_135197"/>
    </w:p>
    <w:p>
      <w:pPr>
        <w:pStyle w:val="BookText"/>
        <w:rPr/>
      </w:pPr>
      <w:bookmarkEnd w:id="297"/>
      <w:r>
        <w:rPr>
          <w:rFonts w:ascii="IRNazanin" w:hAnsi="IRNazanin" w:eastAsia="IRNazanin"/>
          <w:color w:val="111111"/>
          <w:sz w:val="28"/>
          <w:sz w:val="28"/>
          <w:szCs w:val="28"/>
          <w:rtl w:val="true"/>
          <w:lang w:bidi="fa-IR"/>
        </w:rPr>
        <w:t>التراب</w:t>
      </w:r>
      <w:r>
        <w:rPr>
          <w:rStyle w:val="FootnoteAnchor"/>
          <w:rtl w:val="true"/>
        </w:rPr>
        <w:footnoteReference w:id="8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یکفی ذلک من دون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عدم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تبعد الکفایة فیها، والاحتیاط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فی ذلک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p>
    <w:p>
      <w:pPr>
        <w:pStyle w:val="Heading3"/>
        <w:numPr>
          <w:ilvl w:val="2"/>
          <w:numId w:val="1"/>
        </w:numPr>
        <w:rPr/>
      </w:pPr>
      <w:bookmarkStart w:id="298" w:name="__RefHeading___Toc1666554_2322387425"/>
      <w:bookmarkStart w:id="299" w:name="_Toc105"/>
      <w:bookmarkEnd w:id="298"/>
      <w:r>
        <w:rPr>
          <w:rtl w:val="true"/>
        </w:rPr>
        <w:t>تحدید الأرض المطهرة</w:t>
      </w:r>
      <w:bookmarkEnd w:id="299"/>
    </w:p>
    <w:p>
      <w:pPr>
        <w:pStyle w:val="BookText"/>
        <w:rPr/>
      </w:pPr>
      <w:r>
        <w:rPr>
          <w:rFonts w:ascii="IRNazanin" w:hAnsi="IRNazanin" w:eastAsia="IRNazanin"/>
          <w:color w:val="111111"/>
          <w:sz w:val="28"/>
          <w:sz w:val="28"/>
          <w:szCs w:val="28"/>
          <w:rtl w:val="true"/>
          <w:lang w:bidi="fa-IR"/>
        </w:rPr>
        <w:t>ولا فرق فی الأرض بین التراب والرمل والحجر الأصلی، بل الظاهر کفایة</w:t>
      </w:r>
      <w:r>
        <w:rPr>
          <w:rStyle w:val="FootnoteAnchor"/>
          <w:rtl w:val="true"/>
        </w:rPr>
        <w:footnoteReference w:id="8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صدق اسم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المفروشة بالحجر، بل بالآجرّ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وکذلک فی الجصّ والنورة بعد الإحراق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الکفایة فیه، وفی الجصّ والنورة المطبوخین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والجصّ والنورة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للشکّ فی صدق اسم الأرض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یشکل کفایة</w:t>
      </w:r>
      <w:r>
        <w:rPr>
          <w:rStyle w:val="FootnoteAnchor"/>
          <w:rtl w:val="true"/>
        </w:rPr>
        <w:footnoteReference w:id="8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کفایة المفروش باللوح والخشب، وکذا المطلیّ بالقیر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الکفایة قویّ، وکذا الخشب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المطلیّ</w:t>
      </w:r>
    </w:p>
    <w:p>
      <w:pPr>
        <w:pStyle w:val="BookText"/>
        <w:rPr/>
      </w:pPr>
      <w:r>
        <w:rPr>
          <w:rFonts w:ascii="IRNazanin" w:hAnsi="IRNazanin" w:eastAsia="IRNazanin"/>
          <w:color w:val="111111"/>
          <w:sz w:val="28"/>
          <w:sz w:val="28"/>
          <w:szCs w:val="28"/>
          <w:rtl w:val="true"/>
          <w:lang w:bidi="fa-IR"/>
        </w:rPr>
        <w:t>بالقیر</w:t>
      </w:r>
      <w:r>
        <w:rPr>
          <w:rStyle w:val="FootnoteAnchor"/>
          <w:rtl w:val="true"/>
        </w:rPr>
        <w:footnoteReference w:id="8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الکفایة فی الجمیع حتّی الزرع مطلقاً إذا مشی علیه، والحجر والمدر ولو منفصلاً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الکفایة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ممزوجاً مع الحصی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تبعد الکفایة فی القیر، وکذا فی المشی علی الزرع والنباتات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المفروش باللوح من الخشب ممّا لا یصدق علیه اسم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الکفایة فی المفروش باللوح من الخشب، وفی المطلیّ بالقیر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کفایة ما لا یصدق علیه اسم الأرض؛ لأنّ الروایات إمّا صریحة فی الأرض، أو ظاهرة فیها، أو منصرفة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إشکال فی عدم کفایة المشی علی الفرش والحصیر</w:t>
      </w:r>
      <w:bookmarkStart w:id="300" w:name="pg13273_135199"/>
    </w:p>
    <w:p>
      <w:pPr>
        <w:pStyle w:val="BookText"/>
        <w:rPr/>
      </w:pPr>
      <w:bookmarkEnd w:id="300"/>
      <w:r>
        <w:rPr>
          <w:rFonts w:ascii="IRNazanin" w:hAnsi="IRNazanin" w:eastAsia="IRNazanin"/>
          <w:color w:val="111111"/>
          <w:sz w:val="28"/>
          <w:sz w:val="28"/>
          <w:szCs w:val="28"/>
          <w:rtl w:val="true"/>
          <w:lang w:bidi="fa-IR"/>
        </w:rPr>
        <w:t>والبواری وعلی الزرع والنباتات، إلاّ أن یکون النبات قلیلاً بحیث لا یمنع عن صدق المشی علی الأرض، ولا یعتبر أن تکون فی القدم أو النعل رطوبة، ولا زوال العین بالمسح أو بالمشی، وإن کان أحوط</w:t>
      </w:r>
      <w:r>
        <w:rPr>
          <w:rStyle w:val="FootnoteAnchor"/>
          <w:rtl w:val="true"/>
        </w:rPr>
        <w:footnoteReference w:id="8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 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01" w:name="__RefHeading___Toc1666556_2322387425"/>
      <w:bookmarkStart w:id="302" w:name="_Toc106"/>
      <w:bookmarkEnd w:id="301"/>
      <w:r>
        <w:rPr>
          <w:rtl w:val="true"/>
        </w:rPr>
        <w:t>و اعتبار طهارة الأرض فی التطهیر بها</w:t>
      </w:r>
      <w:bookmarkEnd w:id="302"/>
    </w:p>
    <w:p>
      <w:pPr>
        <w:pStyle w:val="BookText"/>
        <w:rPr/>
      </w:pPr>
      <w:r>
        <w:rPr>
          <w:rFonts w:ascii="IRNazanin" w:hAnsi="IRNazanin" w:eastAsia="IRNazanin"/>
          <w:color w:val="111111"/>
          <w:sz w:val="28"/>
          <w:sz w:val="28"/>
          <w:szCs w:val="28"/>
          <w:rtl w:val="true"/>
          <w:lang w:bidi="fa-IR"/>
        </w:rPr>
        <w:t>ویشترط طهارة الأرض</w:t>
      </w:r>
      <w:r>
        <w:rPr>
          <w:rStyle w:val="FootnoteAnchor"/>
          <w:rtl w:val="true"/>
        </w:rPr>
        <w:footnoteReference w:id="8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للارتکاز العرفی، وللمتراءی من ظاهر روایة الأحول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الاشتراط فی الأوّل وأصله فی الثانی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اعتبارها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وجفافها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عدم کونها رطبة برطوبة مسریة، سواء کانت غیر رطبة أم رطبة غیر مسریة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الجفاف إشکال،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الرطوبة غیر المسریة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تنافی صدق الجفاف والیبوسة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الملاک صدق یبوسة الأرض وجفافها، لا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الأولی اعتبار الجفاف والیبوسة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الجفاف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المعبّر عنها بالنداوة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قلیلةً جدّاً بحیث یصدق علیها الجفاف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 لا تمنع من صدق الیبوسة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المانعة عن صدق الیبوسة والجفاف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bookmarkStart w:id="303" w:name="pg13273_135200"/>
    </w:p>
    <w:p>
      <w:pPr>
        <w:pStyle w:val="BookText"/>
        <w:rPr/>
      </w:pPr>
      <w:bookmarkEnd w:id="303"/>
      <w:r>
        <w:rPr>
          <w:rFonts w:ascii="Amiri" w:hAnsi="Amiri" w:eastAsia="Amiri" w:cs="Amiri"/>
          <w:color w:val="111111"/>
          <w:sz w:val="28"/>
          <w:sz w:val="28"/>
          <w:szCs w:val="28"/>
          <w:rtl w:val="true"/>
          <w:lang w:bidi="ar-SA"/>
        </w:rPr>
        <w:t>غیر مضرّة</w:t>
      </w:r>
      <w:r>
        <w:rPr>
          <w:rStyle w:val="FootnoteAnchor"/>
          <w:rtl w:val="true"/>
        </w:rPr>
        <w:footnoteReference w:id="8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لا تضرّ بصدق الجفاف والیبوسة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قلیلة جدّاً بحیث لا تمنع من الیبس والجفاف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الجفاف عرفاً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صدق الجفاف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تضرّ بصدق الجفاف والیبوسة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الیبس والجفاف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الکلام بعدما تقدّم منه اعتبار الجفاف والیبوسة، اللهمّ إلاّ أن تکون الرطوبة من القلّة بحیث لا ینافی إطلاق الجفاف والیابس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صدق الجفاف المصرّح به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معها الجفاف والیبوسة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تمنع صدق الجفاف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الجفاف، لا بدونه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666558_2322387425"/>
      <w:bookmarkStart w:id="305" w:name="_Toc107"/>
      <w:bookmarkEnd w:id="304"/>
      <w:r>
        <w:rPr>
          <w:rtl w:val="true"/>
        </w:rPr>
        <w:t>تحدید ما یطهر بالأرض</w:t>
      </w:r>
      <w:bookmarkEnd w:id="305"/>
    </w:p>
    <w:p>
      <w:pPr>
        <w:pStyle w:val="BookText"/>
        <w:rPr/>
      </w:pPr>
      <w:r>
        <w:rPr>
          <w:rFonts w:ascii="IRNazanin" w:hAnsi="IRNazanin" w:eastAsia="IRNazanin"/>
          <w:color w:val="111111"/>
          <w:sz w:val="28"/>
          <w:sz w:val="28"/>
          <w:szCs w:val="28"/>
          <w:rtl w:val="true"/>
          <w:lang w:bidi="fa-IR"/>
        </w:rPr>
        <w:t>ویلحق بباطن القدم والنعل حواشیهما</w:t>
      </w:r>
      <w:r>
        <w:rPr>
          <w:rStyle w:val="FootnoteAnchor"/>
          <w:rtl w:val="true"/>
        </w:rPr>
        <w:footnoteReference w:id="8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حواشیهما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واصلة إلی الأرض حال المشی أو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باطنهما المتنجِّسَین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بالمقدار المتعارف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w:t>
      </w:r>
    </w:p>
    <w:p>
      <w:pPr>
        <w:pStyle w:val="BookText"/>
        <w:rPr/>
      </w:pPr>
      <w:r>
        <w:rPr>
          <w:rFonts w:ascii="IRNazanin" w:hAnsi="IRNazanin" w:eastAsia="IRNazanin"/>
          <w:color w:val="111111"/>
          <w:sz w:val="28"/>
          <w:sz w:val="28"/>
          <w:szCs w:val="28"/>
          <w:rtl w:val="true"/>
          <w:lang w:bidi="fa-IR"/>
        </w:rPr>
        <w:t>یلتزق بهما من الطین والتراب حال المشی، وفی إلحاق ظاهر القدم أو النعل بباطنهما إذا کان یمشی بهما لاعوجاج فی رجله وجه قویّ</w:t>
      </w:r>
      <w:r>
        <w:rPr>
          <w:rStyle w:val="FootnoteAnchor"/>
          <w:rtl w:val="true"/>
        </w:rPr>
        <w:footnoteReference w:id="8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قوّته غیر معلومة، فلا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لا یخلو 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نظراً للانصراف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ولا فیما بعده علی الظاهر، والاحتیاط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أنّ إلحاق الرکبتین والیدین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بالنسبة إلی من یمشی علیهما أیضاً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لدعوی الانصراف إلی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فی إلحاقهما بالنسبة إلیه أیضاً وجه قویّ،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الإلحاق فیه وفی ما بعده إلی خشبة الأقطع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الإلحاق، وکذا فی ما ذکر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نعل الدابّة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وکعب عصا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الأعرج، وخشبة الأقطع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الإلحاق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فرق فی النعل بین أقسامها من المصنوع</w:t>
      </w:r>
    </w:p>
    <w:p>
      <w:pPr>
        <w:pStyle w:val="BookText"/>
        <w:rPr/>
      </w:pPr>
      <w:r>
        <w:rPr>
          <w:rFonts w:ascii="IRNazanin" w:hAnsi="IRNazanin" w:eastAsia="IRNazanin"/>
          <w:color w:val="111111"/>
          <w:sz w:val="28"/>
          <w:sz w:val="28"/>
          <w:szCs w:val="28"/>
          <w:rtl w:val="true"/>
          <w:lang w:bidi="fa-IR"/>
        </w:rPr>
        <w:t>من الجلود</w:t>
      </w:r>
      <w:r>
        <w:rPr>
          <w:rStyle w:val="FootnoteAnchor"/>
          <w:rtl w:val="true"/>
        </w:rPr>
        <w:footnoteReference w:id="843"/>
      </w:r>
      <w:r>
        <w:rPr>
          <w:rFonts w:ascii="IRNazanin" w:hAnsi="IRNazanin" w:eastAsia="IRNazanin"/>
          <w:color w:val="111111"/>
          <w:sz w:val="28"/>
          <w:sz w:val="28"/>
          <w:szCs w:val="28"/>
          <w:rtl w:val="true"/>
          <w:lang w:bidi="fa-IR"/>
        </w:rPr>
        <w:t>والقطن والخشب ونحوها ممّا هو متعارف</w:t>
      </w:r>
      <w:r>
        <w:rPr>
          <w:rStyle w:val="FootnoteAnchor"/>
          <w:rtl w:val="true"/>
        </w:rPr>
        <w:footnoteReference w:id="844"/>
      </w:r>
      <w:r>
        <w:rPr>
          <w:rFonts w:ascii="IRNazanin" w:hAnsi="IRNazanin" w:eastAsia="IRNazanin"/>
          <w:color w:val="111111"/>
          <w:sz w:val="28"/>
          <w:sz w:val="28"/>
          <w:szCs w:val="28"/>
          <w:rtl w:val="true"/>
          <w:lang w:bidi="fa-IR"/>
        </w:rPr>
        <w:t>، وفی الجورب إشکال</w:t>
      </w:r>
      <w:r>
        <w:rPr>
          <w:rStyle w:val="FootnoteAnchor"/>
          <w:rtl w:val="true"/>
        </w:rPr>
        <w:footnoteReference w:id="8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إذا تعارف لبسه بدلاً عن النعل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مطلقاً، 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إلحاقه بالنعل والقدم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إذا تعارف لبسه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محمّد رضا الگلپایگانی، 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تعارف لبسه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مع التعارف إذا کان جنسه من الجورب المتعارف،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 ومثله، وأمّا إذا کان بطنه من الجلود ـ کما قد یعمل منها ـ فلا یبعد حصول الطهارة ولو مع عدم التعارف، لکن 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فرض التعارف أیضاً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تعارف لبسه 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تعارف، إلاّ إذا کان أسفله من الجلود ونحوها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تعارف، إلاّ إذا کان الجورب بطنه من الجلود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بدلاً عن النعل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ویکفی فی حصول الطهارة زوال عین النجاسة وإن </w:t>
      </w:r>
    </w:p>
    <w:p>
      <w:pPr>
        <w:pStyle w:val="BookText"/>
        <w:rPr/>
      </w:pPr>
      <w:r>
        <w:rPr>
          <w:rFonts w:ascii="IRNazanin" w:hAnsi="IRNazanin" w:eastAsia="IRNazanin"/>
          <w:color w:val="111111"/>
          <w:sz w:val="28"/>
          <w:sz w:val="28"/>
          <w:szCs w:val="28"/>
          <w:rtl w:val="true"/>
          <w:lang w:bidi="fa-IR"/>
        </w:rPr>
        <w:t>بقی أثرها من اللون والرائحة، بل وکذا الأجزاء</w:t>
      </w:r>
      <w:r>
        <w:rPr>
          <w:rStyle w:val="FootnoteAnchor"/>
          <w:rtl w:val="true"/>
        </w:rPr>
        <w:footnoteReference w:id="8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الباقیة بالدقّة لا النظر السطحیّ، وإلاّ کانت أدلّة لزوم إزالتها محکّمة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الصغار الّتی لا تتمیّز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تزول إلاّ بالماء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 یصدق کونها من أجزاء النجس عرفاً وإن علم بوجودها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 لا تزول غالباً بالمسح أو المشی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تزول بغیر الماء، کما فی الاستنجاء بالأحجار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الّتی لا تزول إلاّ بالماء، کما فی الاستنجاء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فی ماء الاستنجاء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الاستنجاء بالأحجار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کما فی أحجاره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والّتی لا تزول إلاّ بالماء 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یشبّه المقام بأحجار الاستنجاء، ولعلّ السهو من القلم، أو أ نّه من غلط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ما لا یرفع عادةً إلاّ بالماء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نسخ المتن، کما فی الاستنجاء بالأحجار، وهو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کما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الاستنجاء بالأحجار، فالأجزاء الّتی لا یمنع بقاؤها من حصول الطهارة بالأرض وبأحجار الاستنجاء، هی الّتی لا تزول غالباً بذلک، ولا تزول إلاّ بالماء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کما فی الاستنجاء بالأحجار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لکنّ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8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زوالها، کما أنّ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زوال الأجزاء الأرضیّة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اللاصقة بالنعل والقدم، وإن کان لا یبعد طهارتها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الأجزاء الأرضیّة اللاصقة ممّا لا ینفکّ عنها المشی علی الأرض غالباً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الطهارة قویّة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تلک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طهارتها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سرت النجاسة إلی داخل النعل لا تطهر بالمشی</w:t>
      </w:r>
      <w:r>
        <w:rPr>
          <w:rStyle w:val="FootnoteAnchor"/>
          <w:rtl w:val="true"/>
        </w:rPr>
        <w:footnoteReference w:id="848"/>
      </w:r>
      <w:r>
        <w:rPr>
          <w:rFonts w:ascii="IRNazanin" w:hAnsi="IRNazanin" w:eastAsia="IRNazanin"/>
          <w:color w:val="111111"/>
          <w:sz w:val="28"/>
          <w:sz w:val="28"/>
          <w:szCs w:val="28"/>
          <w:rtl w:val="true"/>
          <w:lang w:bidi="fa-IR"/>
        </w:rPr>
        <w:t>، بل فی طهارة باطن جلدها إذا نفذت فیه إشکال</w:t>
      </w:r>
      <w:r>
        <w:rPr>
          <w:rStyle w:val="FootnoteAnchor"/>
          <w:rtl w:val="true"/>
        </w:rPr>
        <w:footnoteReference w:id="8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بقاء 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قیل بطهارته</w:t>
      </w:r>
      <w:bookmarkStart w:id="306" w:name="pg13273_135205"/>
    </w:p>
    <w:p>
      <w:pPr>
        <w:pStyle w:val="BookText"/>
        <w:rPr/>
      </w:pPr>
      <w:bookmarkEnd w:id="306"/>
      <w:r>
        <w:rPr>
          <w:rFonts w:ascii="IRNazanin" w:hAnsi="IRNazanin" w:eastAsia="IRNazanin"/>
          <w:color w:val="111111"/>
          <w:sz w:val="28"/>
          <w:sz w:val="28"/>
          <w:szCs w:val="28"/>
          <w:rtl w:val="true"/>
          <w:lang w:bidi="fa-IR"/>
        </w:rPr>
        <w:t>بالتبع</w:t>
      </w:r>
      <w:r>
        <w:rPr>
          <w:rStyle w:val="FootnoteAnchor"/>
          <w:rtl w:val="true"/>
        </w:rPr>
        <w:footnoteReference w:id="8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إجمال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القول ضعیف؛ لعدم تحقّق التبعیّة عرفاً، فإذا شکّ فی التبعیّة فالأصل بقاء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1666560_2322387425"/>
      <w:bookmarkStart w:id="308" w:name="_Toc108"/>
      <w:bookmarkEnd w:id="307"/>
      <w:r>
        <w:rPr>
          <w:rtl w:val="true"/>
        </w:rPr>
        <w:t>فروع فی مطهریة الأرض</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طهارة ما بین أصابع الرجل إشکال</w:t>
      </w:r>
      <w:r>
        <w:rPr>
          <w:rStyle w:val="FootnoteAnchor"/>
          <w:rtl w:val="true"/>
        </w:rPr>
        <w:footnoteReference w:id="8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الطهارة مع وصول الأجزاء الأرضیّة إلیه، کما لو مشی علی التراب أو الرمل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زال عینه بالمشی أو المسح المتعارف یطهر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لا یصل إلی الأرض، بل الأقوی عدم الطهارة، وأمّا المقدار الّذی وصل إلیها متعارفاً، کما لو مشی فی التراب الغلیظ والرمل فالأقوی هو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الإشکال فیما تعارف تنجّسه بالمشی فیطهر بزوال العین به أو بالمسح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الطهارة مع وصول أجزاء الأرض إلیها، کالمشی علی التراب والرمل الناعمین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حصول الطهارة إذا زالت عین النجاسة عنه بالمشی أو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وکذا أخمص القدم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ضعیف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طهارته فی المقدار الّذی تصل إلیه العذرة غالباً، إذا سیخت الرِجل فی العذرة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التبعیّة، نعم إذا مشی علی التراب أو الرمل الناعم ووصل أجزاؤهما إلیها یحکم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طهارته إذا اُزیلت نجاسته بالأرض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وصوله إلی الأرض کما هو الغالب، وأمّا مع الوصول کما فی مثل الرمل فلا یبعد الحکم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وأمّا أخمص</w:t>
      </w:r>
    </w:p>
    <w:p>
      <w:pPr>
        <w:pStyle w:val="BookText"/>
        <w:rPr/>
      </w:pPr>
      <w:r>
        <w:rPr>
          <w:rFonts w:ascii="IRNazanin" w:hAnsi="IRNazanin" w:eastAsia="IRNazanin"/>
          <w:color w:val="111111"/>
          <w:sz w:val="28"/>
          <w:sz w:val="28"/>
          <w:szCs w:val="28"/>
          <w:rtl w:val="true"/>
          <w:lang w:bidi="fa-IR"/>
        </w:rPr>
        <w:t>القدم فإن وصل إلی الأرض یطهر، وإلاّ فلا، فاللازم وصول تمام الأجزاء النجسة إلی الأرض، فلو کان تمام باطن القدم نجساً ومشی علی بعضه لا یطهر الجمیع، بل خصوص ما وصل إلی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کفایة</w:t>
      </w:r>
      <w:r>
        <w:rPr>
          <w:rStyle w:val="FootnoteAnchor"/>
          <w:rtl w:val="true"/>
        </w:rPr>
        <w:footnoteReference w:id="8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المسح علی الحائط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کفایته؛ لعدم إحراز إصابة باطن القدم علی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لا یخلو 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الکفایة قویّة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فی غایة القوّة؛ لأنّ الروایات تدلّ علی مطهّریة الأرض لا الحائط، وتنقیح المناط ظنّی لا یمکن الاعتماد علیه، وما فیها من إطلاق المسح منصرف إلی المسح علی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طهارة الأرض یبنی علی طهارتها فتکون مطهّرة، إلاّ إذا کانت الحالة السابقة نجاستها</w:t>
      </w:r>
      <w:r>
        <w:rPr>
          <w:rStyle w:val="FootnoteAnchor"/>
          <w:rtl w:val="true"/>
        </w:rPr>
        <w:footnoteReference w:id="8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تنجّز بالعلم الإجمالی لزوم الاجتناب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عدم اعتبار طهارة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وجب الاجتناب عنها للعلم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شکّ فی جفافها لا تکون مطهّرة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اشتراط الجفاف، وقد تقدّم الإشکال فیه وأ 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مع سبق الجفاف فیستصحب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وجود عین النجاسة أو المتنجّس</w:t>
      </w:r>
      <w:r>
        <w:rPr>
          <w:rStyle w:val="FootnoteAnchor"/>
          <w:rtl w:val="true"/>
        </w:rPr>
        <w:footnoteReference w:id="854"/>
      </w:r>
      <w:r>
        <w:rPr>
          <w:rFonts w:ascii="IRNazanin" w:hAnsi="IRNazanin" w:eastAsia="IRNazanin"/>
          <w:color w:val="111111"/>
          <w:sz w:val="28"/>
          <w:sz w:val="28"/>
          <w:szCs w:val="28"/>
          <w:rtl w:val="true"/>
          <w:lang w:bidi="fa-IR"/>
        </w:rPr>
        <w:t>لابدّ من العلم بزوالها، وأمّا إذا شکّ فی وجودها</w:t>
      </w:r>
      <w:r>
        <w:rPr>
          <w:rStyle w:val="FootnoteAnchor"/>
          <w:rtl w:val="true"/>
        </w:rPr>
        <w:footnoteReference w:id="8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یحکم بطهارة الملاقی مع الشکّ فی التأثیر، کما أ نّه مع العلم به والشکّ فی استصحابه لعین النجس أو المتنجّس ـ کما هو ظاهر العبارة ـ لابدّ من العلم بالزوال، بأن یمشی أو یمسح بمقدار یعلم بزوالها علی فرض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کفایة المشی</w:t>
      </w:r>
      <w:r>
        <w:rPr>
          <w:rStyle w:val="FootnoteAnchor"/>
          <w:rtl w:val="true"/>
        </w:rPr>
        <w:footnoteReference w:id="8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لا یبعد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کفایته إشکال؛ للشکّ فی حصول التطهیر به، وأصالة عدم وجود العین فی المحلّ لا یثبت ملاصقة العین مع الأرض، اللهمّ إلاّ أن یجری فی المقام أیضاً أصالة عدم وجود الحائل عند الشکّ فی وجوده، کما هو الشأن فی محالّ الغسل والوضوء؛ للسیرة، لا للتعبّد بالاستصحاب کی یجیء فیه شبهة المثبتیّة فیحتاج إلی دعوی خفاء الواسطة الممنوع إنصافاً، ومن هنا ظهر الحکم فی الفرع الآتی التالی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بالمشی بمقدار یعلم بزوالها علی فرض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یکفی علی الأظهر، إلاّ أن یعلم بزوالها علی فرض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عدم کفایة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لو لم یکن أقوی اعتبار المشی بمقدار یعلم بزوالها علی فرض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لزوم الاطمئنان بعدمها حدوثاً أو 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الکفایة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خلافه مع احتمال الحیلولة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المشی أو المسح بمقدار یعلم زوال العین علی تقدیر وجودها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عدمها إلی أن یعلم بزوال العین علی فرض وجودها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الکفایة؛ لاستصحاب نجاسة المحلّ، مع احتمال وجود الحائل من النجس أو المتنجّس، وأصالة عدم وجود الحائل أصل مثبت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الخمینی، محمّد رضاالگلپایگانی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بالمشی بمقدار یعلم بزوالها علی فرض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وإن کان الأوجه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فالأحوط المشی بمقدار یعلم به زوال العین علی تقدیر وجودها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کفایته ما لم یعلم بزوال العین علی فرض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 المشی بمقدار یعلم زوالها علی فرض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أن یمشی أو یمسح حتّی یعلم بزوال العین علی تقدیر وجودها، وخصوصاً مع احتمال الحیلولة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لو کان الشکّ غیر معتنی به عند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کفایته، واللازم إحراز وصول البشرة إلی الأرض، وأصالة عدم الحائل لا تثبته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کفایته، للزوم العلم بزوال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الکفایة مع عدم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یعلم</w:t>
      </w:r>
    </w:p>
    <w:p>
      <w:pPr>
        <w:pStyle w:val="BookText"/>
        <w:rPr/>
      </w:pPr>
      <w:r>
        <w:rPr>
          <w:rFonts w:ascii="IRNazanin" w:hAnsi="IRNazanin" w:eastAsia="IRNazanin"/>
          <w:color w:val="111111"/>
          <w:sz w:val="28"/>
          <w:sz w:val="28"/>
          <w:szCs w:val="28"/>
          <w:rtl w:val="true"/>
          <w:lang w:bidi="fa-IR"/>
        </w:rPr>
        <w:t>بزوالها</w:t>
      </w:r>
      <w:r>
        <w:rPr>
          <w:rStyle w:val="FootnoteAnchor"/>
          <w:rtl w:val="true"/>
        </w:rPr>
        <w:footnoteReference w:id="8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یعلم بزوالها علی فرض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الاطمئنان بالزوال علی فرض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فرض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الظلمة ولا یدری أنّ ما تحت قدمه أرض أو شیء آخر من فرش ونحوه لا یکفی المشی</w:t>
      </w:r>
      <w:r>
        <w:rPr>
          <w:rStyle w:val="FootnoteAnchor"/>
          <w:rtl w:val="true"/>
        </w:rPr>
        <w:footnoteReference w:id="858"/>
      </w:r>
      <w:r>
        <w:rPr>
          <w:rFonts w:ascii="IRNazanin" w:hAnsi="IRNazanin" w:eastAsia="IRNazanin"/>
          <w:color w:val="111111"/>
          <w:sz w:val="28"/>
          <w:sz w:val="28"/>
          <w:szCs w:val="28"/>
          <w:rtl w:val="true"/>
          <w:lang w:bidi="fa-IR"/>
        </w:rPr>
        <w:t>علیه، فلابدّ من العلم بکونه أرضاً، بل إذا شکّ فی حدوث فرش أو نحوه بعد العلم بعدمه یشکل الحکم بمطهّریّـته</w:t>
      </w:r>
      <w:r>
        <w:rPr>
          <w:rStyle w:val="FootnoteAnchor"/>
          <w:rtl w:val="true"/>
        </w:rPr>
        <w:footnoteReference w:id="8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ینبغی الجزم بعدمه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عدم المطهّریّة هو الأقوی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لکون الأصل مثبتاً، وفیه نظر بناءً علی اعتبار أصالة عدم الحاجب کما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یقوی 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المطهّریّة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یحکم بعدم مطهریّـته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فی غایة القوّة؛ لأ نّه لابدّ من إحراز أنّ المشی أو المسح علی نفس الأرض، وهاهنا مشکوک، وفی الفرض الثانی أصالة عدم وجود الفرش أو غیره أصل مثبت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الحکم بمطهّریّـته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لا یحکم بالمطهّریّة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مطهّریّـته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بعدم مطهّریّـته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مقتضی الاستصحاب عدم کونه مطهّراً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المطهّریّة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الحکم عدمها؛ لعدم جریان أصالة عدم حدوث الحائل من الفرش وغیره؛ لأ نّها أصل مثبت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یحکم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الحکم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رقّع نعله بوصلة طاهرة فتنجّست تطهر بالمشی</w:t>
      </w:r>
      <w:r>
        <w:rPr>
          <w:rStyle w:val="FootnoteAnchor"/>
          <w:rtl w:val="true"/>
        </w:rPr>
        <w:footnoteReference w:id="860"/>
      </w:r>
      <w:r>
        <w:rPr>
          <w:rFonts w:ascii="IRNazanin" w:hAnsi="IRNazanin" w:eastAsia="IRNazanin"/>
          <w:color w:val="111111"/>
          <w:sz w:val="28"/>
          <w:sz w:val="28"/>
          <w:szCs w:val="28"/>
          <w:rtl w:val="true"/>
          <w:lang w:bidi="fa-IR"/>
        </w:rPr>
        <w:t>، وأمّا إذا رقّعها بوصلة متنجّسة ففی طهارتها إشکال</w:t>
      </w:r>
      <w:r>
        <w:rPr>
          <w:rStyle w:val="FootnoteAnchor"/>
          <w:rtl w:val="true"/>
        </w:rPr>
        <w:footnoteReference w:id="8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ضعف المبنی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نجاستها حاصلة من المشی علی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الجزم بعدم طهارتها، حتّی علی القول بعدم الاقتصار علی النجاسة الحاصلة بالمشی؛ إذ المفروض نجاسة الوصلة قبل کونها جزءاً من النعل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تبعد الطهارة، وقد مرّ أ نّه 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مجال لتوهّم حصول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نجاستها حاصلة بملاقاة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bookmarkStart w:id="309" w:name="pg13273_135212"/>
    </w:p>
    <w:p>
      <w:pPr>
        <w:pStyle w:val="BookText"/>
        <w:rPr/>
      </w:pPr>
      <w:bookmarkEnd w:id="309"/>
      <w:r>
        <w:rPr>
          <w:rFonts w:ascii="IRNazanin" w:hAnsi="IRNazanin" w:eastAsia="IRNazanin"/>
          <w:color w:val="111111"/>
          <w:sz w:val="28"/>
          <w:sz w:val="28"/>
          <w:szCs w:val="28"/>
          <w:rtl w:val="true"/>
          <w:lang w:bidi="fa-IR"/>
        </w:rPr>
        <w:t>الاقتصار</w:t>
      </w:r>
      <w:r>
        <w:rPr>
          <w:rStyle w:val="FootnoteAnchor"/>
          <w:rtl w:val="true"/>
        </w:rPr>
        <w:footnoteReference w:id="862"/>
      </w:r>
      <w:r>
        <w:rPr>
          <w:rFonts w:ascii="IRNazanin" w:hAnsi="IRNazanin" w:eastAsia="IRNazanin"/>
          <w:color w:val="111111"/>
          <w:sz w:val="28"/>
          <w:sz w:val="28"/>
          <w:szCs w:val="28"/>
          <w:rtl w:val="true"/>
          <w:lang w:bidi="fa-IR"/>
        </w:rPr>
        <w:t>علی النجاسة الحاصلة بالمشی علی الأرض النجسة</w:t>
      </w:r>
      <w:r>
        <w:rPr>
          <w:rFonts w:eastAsia="IRNazanin" w:cs="IRNazanin"/>
          <w:color w:val="111111"/>
          <w:sz w:val="28"/>
          <w:szCs w:val="28"/>
          <w:rtl w:val="true"/>
          <w:lang w:bidi="fa-IR"/>
        </w:rPr>
        <w:t>.</w:t>
      </w:r>
    </w:p>
    <w:p>
      <w:pPr>
        <w:pStyle w:val="Heading3"/>
        <w:numPr>
          <w:ilvl w:val="2"/>
          <w:numId w:val="1"/>
        </w:numPr>
        <w:rPr/>
      </w:pPr>
      <w:bookmarkStart w:id="310" w:name="__RefHeading___Toc1666562_2322387425"/>
      <w:bookmarkStart w:id="311" w:name="_Toc109"/>
      <w:bookmarkEnd w:id="310"/>
      <w:r>
        <w:rPr>
          <w:rtl w:val="true"/>
        </w:rPr>
        <w:t>الثالث</w:t>
      </w:r>
      <w:r>
        <w:rPr>
          <w:rtl w:val="true"/>
        </w:rPr>
        <w:t xml:space="preserve">: </w:t>
      </w:r>
      <w:r>
        <w:rPr>
          <w:rtl w:val="true"/>
        </w:rPr>
        <w:t>الشمس</w:t>
      </w:r>
      <w:bookmarkEnd w:id="311"/>
    </w:p>
    <w:p>
      <w:pPr>
        <w:pStyle w:val="BookText"/>
        <w:rPr/>
      </w:pPr>
      <w:r>
        <w:rPr>
          <w:rFonts w:ascii="IRNazanin" w:hAnsi="IRNazanin" w:eastAsia="IRNazanin"/>
          <w:color w:val="111111"/>
          <w:sz w:val="28"/>
          <w:sz w:val="28"/>
          <w:szCs w:val="28"/>
          <w:rtl w:val="true"/>
          <w:lang w:bidi="fa-IR"/>
        </w:rPr>
        <w:t>الثالث من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pStyle w:val="Heading3"/>
        <w:numPr>
          <w:ilvl w:val="2"/>
          <w:numId w:val="1"/>
        </w:numPr>
        <w:rPr/>
      </w:pPr>
      <w:bookmarkStart w:id="312" w:name="__RefHeading___Toc1666564_2322387425"/>
      <w:bookmarkStart w:id="313" w:name="_Toc110"/>
      <w:bookmarkEnd w:id="312"/>
      <w:r>
        <w:rPr>
          <w:rtl w:val="true"/>
        </w:rPr>
        <w:t>ما یطهر بالشمس</w:t>
      </w:r>
      <w:bookmarkEnd w:id="313"/>
    </w:p>
    <w:p>
      <w:pPr>
        <w:pStyle w:val="BookText"/>
        <w:rPr/>
      </w:pPr>
      <w:r>
        <w:rPr>
          <w:rFonts w:ascii="Amiri" w:hAnsi="Amiri" w:eastAsia="Amiri" w:cs="Amiri"/>
          <w:color w:val="111111"/>
          <w:sz w:val="28"/>
          <w:sz w:val="28"/>
          <w:szCs w:val="28"/>
          <w:rtl w:val="true"/>
          <w:lang w:bidi="ar-SA"/>
        </w:rPr>
        <w:t>وهی تطهّر</w:t>
      </w:r>
      <w:r>
        <w:rPr>
          <w:rStyle w:val="FootnoteAnchor"/>
          <w:rtl w:val="true"/>
        </w:rPr>
        <w:footnoteReference w:id="8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 نّها توجب العفو عن النجاسة مع بقائها کما توهّم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وغیرها من 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لا ینقل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کالأبنیة والحیطان وما یتّصل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بعده إشکال، إلاّ فیما علی الحیطان والأبنیة من الجصّ والقیر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الأبواب والأخشاب والأوتاد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محسوبة جزءاً من البناء، لا مطلق ما فی الجدار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خصوص الأوتاد المحتاج إلیها فی البناء المستدخلة فیه، لا مطلق ما فی الجدار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والأشجار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فیها وفی النباتات والثمار، وکذا الظروف المثبتة نوع تأمّل، وإن لا یخلو من قوّة، فالاحتیاط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بطهارتها وطهارة ما علیها بها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الأوراق والأشجار الصغیرة والنباتات الموضوعة فی الظروف الّتی تنقل من مکان إلی آخر طهارتها بإشراق الشمس علیها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تخلو الأشجار وما بعدها من الإشکال، وإن لا تخلو من قوّة، ولا یُترک الاحتیاط فی الطرّادة، وکذا الگاری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314" w:name="pg13273_135213"/>
    </w:p>
    <w:p>
      <w:pPr>
        <w:pStyle w:val="BookText"/>
        <w:rPr/>
      </w:pPr>
      <w:bookmarkEnd w:id="314"/>
      <w:r>
        <w:rPr>
          <w:rFonts w:ascii="IRNazanin" w:hAnsi="IRNazanin" w:eastAsia="IRNazanin"/>
          <w:color w:val="111111"/>
          <w:sz w:val="28"/>
          <w:sz w:val="28"/>
          <w:szCs w:val="28"/>
          <w:rtl w:val="true"/>
          <w:lang w:bidi="fa-IR"/>
        </w:rPr>
        <w:t>وما علیها</w:t>
      </w:r>
      <w:r>
        <w:rPr>
          <w:rStyle w:val="FootnoteAnchor"/>
          <w:rtl w:val="true"/>
        </w:rPr>
        <w:footnoteReference w:id="864"/>
      </w:r>
      <w:r>
        <w:rPr>
          <w:rFonts w:ascii="IRNazanin" w:hAnsi="IRNazanin" w:eastAsia="IRNazanin"/>
          <w:color w:val="111111"/>
          <w:sz w:val="28"/>
          <w:sz w:val="28"/>
          <w:szCs w:val="28"/>
          <w:rtl w:val="true"/>
          <w:lang w:bidi="fa-IR"/>
        </w:rPr>
        <w:t>من الأوراق والثمار والخضروات والنباتات</w:t>
      </w:r>
      <w:r>
        <w:rPr>
          <w:rStyle w:val="FootnoteAnchor"/>
          <w:rtl w:val="true"/>
        </w:rPr>
        <w:footnoteReference w:id="865"/>
      </w:r>
      <w:r>
        <w:rPr>
          <w:rFonts w:ascii="IRNazanin" w:hAnsi="IRNazanin" w:eastAsia="IRNazanin"/>
          <w:color w:val="111111"/>
          <w:sz w:val="28"/>
          <w:sz w:val="28"/>
          <w:szCs w:val="28"/>
          <w:rtl w:val="true"/>
          <w:lang w:bidi="fa-IR"/>
        </w:rPr>
        <w:t>، ما لم تقطع وإن بلغ أوان قطعها</w:t>
      </w:r>
      <w:r>
        <w:rPr>
          <w:rStyle w:val="FootnoteAnchor"/>
          <w:rtl w:val="true"/>
        </w:rPr>
        <w:footnoteReference w:id="866"/>
      </w:r>
      <w:r>
        <w:rPr>
          <w:rFonts w:ascii="IRNazanin" w:hAnsi="IRNazanin" w:eastAsia="IRNazanin"/>
          <w:color w:val="111111"/>
          <w:sz w:val="28"/>
          <w:sz w:val="28"/>
          <w:szCs w:val="28"/>
          <w:rtl w:val="true"/>
          <w:lang w:bidi="fa-IR"/>
        </w:rPr>
        <w:t>، بل وإن صارت یابسة، ما دامت متّصلة بالأرض أو الأشجار، وکذا</w:t>
      </w:r>
      <w:r>
        <w:rPr>
          <w:rStyle w:val="FootnoteAnchor"/>
          <w:rtl w:val="true"/>
        </w:rPr>
        <w:footnoteReference w:id="867"/>
      </w:r>
      <w:r>
        <w:rPr>
          <w:rFonts w:ascii="IRNazanin" w:hAnsi="IRNazanin" w:eastAsia="IRNazanin"/>
          <w:color w:val="111111"/>
          <w:sz w:val="28"/>
          <w:sz w:val="28"/>
          <w:szCs w:val="28"/>
          <w:rtl w:val="true"/>
          <w:lang w:bidi="fa-IR"/>
        </w:rPr>
        <w:t>الظروف المثبّـتة فی الأرض أو الحائط، وکذا ما علی الحائط والأبنیة ممّا طلی علیها من جصّ وقیر ونحوهما عن نجاسة البول، بل سائر النجاسات</w:t>
      </w:r>
      <w:r>
        <w:rPr>
          <w:rStyle w:val="FootnoteAnchor"/>
          <w:rtl w:val="true"/>
        </w:rPr>
        <w:footnoteReference w:id="8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الأشیاء الّتی لا عین باقیة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بشرط عدم بقاء عینها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والمتنجّسات،</w:t>
      </w:r>
    </w:p>
    <w:p>
      <w:pPr>
        <w:pStyle w:val="Heading3"/>
        <w:numPr>
          <w:ilvl w:val="2"/>
          <w:numId w:val="1"/>
        </w:numPr>
        <w:rPr/>
      </w:pPr>
      <w:bookmarkStart w:id="315" w:name="__RefHeading___Toc1666566_2322387425"/>
      <w:bookmarkStart w:id="316" w:name="_Toc111"/>
      <w:bookmarkEnd w:id="315"/>
      <w:r>
        <w:rPr>
          <w:rtl w:val="true"/>
        </w:rPr>
        <w:t>مطهریة الشمس للحصر البواری من المنقول</w:t>
      </w:r>
      <w:bookmarkEnd w:id="31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تطهّر من </w:t>
      </w:r>
    </w:p>
    <w:p>
      <w:pPr>
        <w:pStyle w:val="BookText"/>
        <w:rPr/>
      </w:pPr>
      <w:r>
        <w:rPr>
          <w:rFonts w:ascii="IRNazanin" w:hAnsi="IRNazanin" w:eastAsia="IRNazanin"/>
          <w:color w:val="111111"/>
          <w:sz w:val="28"/>
          <w:sz w:val="28"/>
          <w:szCs w:val="28"/>
          <w:rtl w:val="true"/>
          <w:lang w:bidi="fa-IR"/>
        </w:rPr>
        <w:t>المنقولات</w:t>
      </w:r>
      <w:r>
        <w:rPr>
          <w:rStyle w:val="FootnoteAnchor"/>
          <w:rtl w:val="true"/>
        </w:rPr>
        <w:footnoteReference w:id="869"/>
      </w:r>
      <w:r>
        <w:rPr>
          <w:rFonts w:ascii="IRNazanin" w:hAnsi="IRNazanin" w:eastAsia="IRNazanin"/>
          <w:color w:val="111111"/>
          <w:sz w:val="28"/>
          <w:sz w:val="28"/>
          <w:szCs w:val="28"/>
          <w:rtl w:val="true"/>
          <w:lang w:bidi="fa-IR"/>
        </w:rPr>
        <w:t>إلاّ الحصر والبواری</w:t>
      </w:r>
      <w:r>
        <w:rPr>
          <w:rStyle w:val="FootnoteAnchor"/>
          <w:rtl w:val="true"/>
        </w:rPr>
        <w:footnoteReference w:id="8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لضعف سند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 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وجه للتعدّی عمّا یصدق علیه الأرض بتبعاتها وسطح البیت وجدرانه بتبعاتها من السفن والطرارید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وما یصدق علیه البیت، لا عنوان المنقول وغیره، وحینئذٍ ربّما یکون إلحاق الگاری وقباب السفینة بالبیت أولی من إلحاقها بغیرها،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تطهّرهما بها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طهارتهما بالشمس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الشریعتمداری،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مطهّریة الشمس لهما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طهرهما بها إشکال خصوصاً فی الحصر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طهرهما بالشمس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طهارة الحصر بها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الحصر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تطهیرهما بها إشکال، خصوصاً فی الحصیر المخلوط بالخیوط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طهارتهما بالشمس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وفیهما أیضاً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الحصر والبواری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تطهّرهما</w:t>
      </w:r>
    </w:p>
    <w:p>
      <w:pPr>
        <w:pStyle w:val="BookText"/>
        <w:rPr/>
      </w:pPr>
      <w:r>
        <w:rPr>
          <w:rFonts w:ascii="Amiri" w:hAnsi="Amiri" w:eastAsia="Amiri" w:cs="Amiri"/>
          <w:color w:val="111111"/>
          <w:sz w:val="28"/>
          <w:sz w:val="28"/>
          <w:szCs w:val="28"/>
          <w:rtl w:val="true"/>
          <w:lang w:bidi="ar-SA"/>
        </w:rPr>
        <w:t xml:space="preserve">أیضاً </w:t>
      </w:r>
      <w:r>
        <w:rPr>
          <w:rStyle w:val="FootnoteAnchor"/>
          <w:rtl w:val="true"/>
        </w:rPr>
        <w:footnoteReference w:id="8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بل عدم تطهیرها لهما أقرب، وکذا الحال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الگاری والچلاّبیة والقفّة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ما کان منهما منقولاً بحسب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إشکال أیضاً، لا سیّما فی الحصر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خلافه لو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طهرهما بالشمس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سوی الخیوط الّتی تشتملان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السفینة والطرّادة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إلحاقهما بالمنقول، سیّما الصغیرة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فیها، وإن لا یخلو التطهیر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المنقول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کونهما منه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دخل لعنوان المنقول وغیره، فالمتَّبع إطلاق النصوص، إلاّ فی ما خرج بالتسالم والسیرة الخارجیّة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وفی الگاری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هندیة، وهی عربة تجرّها الخیول عادة وتستعمل لحمل البضائع والتنقل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bookmarkStart w:id="317" w:name="pg13273_135216"/>
    </w:p>
    <w:p>
      <w:pPr>
        <w:pStyle w:val="BookText"/>
        <w:rPr/>
      </w:pPr>
      <w:bookmarkEnd w:id="317"/>
      <w:r>
        <w:rPr>
          <w:rFonts w:ascii="IRNazanin" w:hAnsi="IRNazanin" w:eastAsia="IRNazanin"/>
          <w:color w:val="111111"/>
          <w:sz w:val="28"/>
          <w:sz w:val="28"/>
          <w:szCs w:val="28"/>
          <w:rtl w:val="true"/>
          <w:lang w:bidi="fa-IR"/>
        </w:rPr>
        <w:t>إشکال</w:t>
      </w:r>
      <w:r>
        <w:rPr>
          <w:rStyle w:val="FootnoteAnchor"/>
          <w:rtl w:val="true"/>
        </w:rPr>
        <w:footnoteReference w:id="8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العدم، وکذا فی الچلابیّة والقفّة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عموم الإشکال فی جمیع المذکورات إلاّ البواری، وإن کان لحوقها بغیر المنقول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کونه، وکذا غیره من الوسائل النقلیّة البرّیّة کالسیّارات والبحریّة کالسفن من المنقول؛ لمکان الانصراف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الأقرب المنع فیه وفی الچلابیّة والقفّة، ویشکل الحکم فی السفینة والطرّادة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الطهارة فیها وفی الچلابیّة والقفّة، وکذا مثل العربة والسیّارة والطیّارة لعلّها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مثل الچلاّبیة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المراکب النهریة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زبیل صغیر من خوص یجتنی فیه الرطب وتضع فیه النساء غزلهن ویجعلون لها معالیق یعلّقون بها من آخرة الرحل، یلقی الراکب فیها زاده و تمره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مادة قفف</w:t>
      </w:r>
      <w:r>
        <w:rPr>
          <w:rFonts w:eastAsia="IRNazanin" w:cs="IRNazanin"/>
          <w:color w:val="111111"/>
          <w:sz w:val="28"/>
          <w:szCs w:val="28"/>
          <w:rtl w:val="true"/>
          <w:lang w:bidi="fa-IR"/>
        </w:rPr>
        <w:t>).).</w:t>
      </w:r>
    </w:p>
    <w:p>
      <w:pPr>
        <w:pStyle w:val="Heading3"/>
        <w:numPr>
          <w:ilvl w:val="2"/>
          <w:numId w:val="1"/>
        </w:numPr>
        <w:rPr/>
      </w:pPr>
      <w:bookmarkStart w:id="318" w:name="__RefHeading___Toc1666568_2322387425"/>
      <w:bookmarkStart w:id="319" w:name="_Toc112"/>
      <w:bookmarkEnd w:id="318"/>
      <w:r>
        <w:rPr>
          <w:rtl w:val="true"/>
        </w:rPr>
        <w:t>ما یعتبر فی مطهریة الشمس</w:t>
      </w:r>
      <w:bookmarkEnd w:id="319"/>
    </w:p>
    <w:p>
      <w:pPr>
        <w:pStyle w:val="BookText"/>
        <w:rPr/>
      </w:pPr>
      <w:r>
        <w:rPr>
          <w:rFonts w:ascii="IRNazanin" w:hAnsi="IRNazanin" w:eastAsia="IRNazanin"/>
          <w:color w:val="111111"/>
          <w:sz w:val="28"/>
          <w:sz w:val="28"/>
          <w:szCs w:val="28"/>
          <w:rtl w:val="true"/>
          <w:lang w:bidi="fa-IR"/>
        </w:rPr>
        <w:t>ویشترط فی تطهیرها</w:t>
      </w:r>
      <w:r>
        <w:rPr>
          <w:rStyle w:val="FootnoteAnchor"/>
          <w:rtl w:val="true"/>
        </w:rPr>
        <w:footnoteReference w:id="8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اشتراط ما ذکر غیر معلوم، والاحتیاط فیها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تکون فی المذکورات رطوبة مسریة</w:t>
      </w:r>
      <w:r>
        <w:rPr>
          <w:rStyle w:val="FootnoteAnchor"/>
          <w:rtl w:val="true"/>
        </w:rPr>
        <w:footnoteReference w:id="8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نفس الرطوبة ولو لم تکن مسریة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یشترط فی الرطوبة السرایة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 السرایة تأمّل؛ لصدق الجفاف فی الباب بزوال النداوة کصدقه بزوال الرطوبة المسریة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أن لا تکون الأرض جافّة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إذا تحقّق عنوان الجفاف والیبوسة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مطلق الرطوبة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وأن تجفّفها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بالإشراق علیها، بلا حجاب علیها ـ کالغیم ونحوه ـ ولا علی المذکورات، فلو جفّت بها من دون إشراقها ولو بإشراقها علی ما یجاورها أو لم تجفّ أو کان الجفاف بمعونة الریح لم تطهر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الظاهر أنّ الغیم الرقیق أو الریح الیسیر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وغیر الیسیر إذا استند التجفیف إلی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وجه یستند التجفیف إلی الشمس وإشراقها لا یضرّ، وفی کفایة إشراقها علی المرآة مع وقوع عکسه علی الأرض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الکفایة، وکذا فی الزجاج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الکفایة؛ لعدم صدق إشراق الشمس علی المنعکس من المرآة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وکذا فی إشراقها من وراء الزجاج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13273_135218"/>
    </w:p>
    <w:p>
      <w:pPr>
        <w:pStyle w:val="Heading3"/>
        <w:numPr>
          <w:ilvl w:val="2"/>
          <w:numId w:val="1"/>
        </w:numPr>
        <w:rPr/>
      </w:pPr>
      <w:bookmarkStart w:id="321" w:name="__RefHeading___Toc1666570_2322387425"/>
      <w:bookmarkStart w:id="322" w:name="_Toc113"/>
      <w:bookmarkEnd w:id="320"/>
      <w:bookmarkEnd w:id="321"/>
      <w:r>
        <w:rPr>
          <w:rtl w:val="true"/>
        </w:rPr>
        <w:t>فروع فی مطهریة الشمس</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تطهّر ظاهر الأرض کذلک باطنها المتّصل</w:t>
      </w:r>
      <w:r>
        <w:rPr>
          <w:rStyle w:val="FootnoteAnchor"/>
          <w:rtl w:val="true"/>
        </w:rPr>
        <w:footnoteReference w:id="875"/>
      </w:r>
      <w:r>
        <w:rPr>
          <w:rFonts w:ascii="IRNazanin" w:hAnsi="IRNazanin" w:eastAsia="IRNazanin"/>
          <w:color w:val="111111"/>
          <w:sz w:val="28"/>
          <w:sz w:val="28"/>
          <w:szCs w:val="28"/>
          <w:rtl w:val="true"/>
          <w:lang w:bidi="fa-IR"/>
        </w:rPr>
        <w:t>بالظاهر النجس بإشراقها علیه وجفافه بذلک، بخلاف ما إذا کان الباطن فقط نجساً، أو لم یکن متّصلاً بالظاهر بأن یکون بینهما فصل بهواء أو بمقدار طاهر أو لم یجفّ أو جفّ بغیر الإشراق علی الظاهر، أو کان فصل بین تجفیفها</w:t>
      </w:r>
      <w:r>
        <w:rPr>
          <w:rStyle w:val="FootnoteAnchor"/>
          <w:rtl w:val="true"/>
        </w:rPr>
        <w:footnoteReference w:id="876"/>
      </w:r>
      <w:r>
        <w:rPr>
          <w:rFonts w:ascii="IRNazanin" w:hAnsi="IRNazanin" w:eastAsia="IRNazanin"/>
          <w:color w:val="111111"/>
          <w:sz w:val="28"/>
          <w:sz w:val="28"/>
          <w:szCs w:val="28"/>
          <w:rtl w:val="true"/>
          <w:lang w:bidi="fa-IR"/>
        </w:rPr>
        <w:t>للظاهر وتجفیفها للباطن، کأن یکون أحدهما فی یوم والآخر فی یوم آخر، فإنّه لا یطهر فی هذه الصور</w:t>
      </w:r>
      <w:r>
        <w:rPr>
          <w:rStyle w:val="FootnoteAnchor"/>
          <w:rtl w:val="true"/>
        </w:rPr>
        <w:footnoteReference w:id="8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ولکن لا تبعد الطهارة فیها جمیعاً إذا صدق إشراق الشمس علیها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بعضها إشکال وتأمّل، لکنّ الحکم بعدم طهارته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الأرض أو نحوها جافّة واُرید تطهیرها بالشمس، یصبّ علیها الماء</w:t>
      </w:r>
      <w:r>
        <w:rPr>
          <w:rStyle w:val="FootnoteAnchor"/>
          <w:rtl w:val="true"/>
        </w:rPr>
        <w:footnoteReference w:id="8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 أو النجس أو غیره ممّا یورث الرطوبة فیها حتّی تجفّفها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بعض العلماء البیدر</w:t>
      </w:r>
      <w:r>
        <w:rPr>
          <w:rStyle w:val="FootnoteAnchor"/>
          <w:rtl w:val="true"/>
        </w:rPr>
        <w:footnoteReference w:id="8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یساعد الدلیل علی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المراد به الکومة من الحنطة والشعیر، والأظهر عدم طهارتها بالشمس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الکبیر بغیر المنقولات، وهو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عدم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اللحوق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الإلحاق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 والتراب والطین والأحجار ونحوها</w:t>
      </w:r>
      <w:r>
        <w:rPr>
          <w:rStyle w:val="FootnoteAnchor"/>
          <w:rtl w:val="true"/>
        </w:rPr>
        <w:footnoteReference w:id="880"/>
      </w:r>
      <w:r>
        <w:rPr>
          <w:rFonts w:ascii="IRNazanin" w:hAnsi="IRNazanin" w:eastAsia="IRNazanin"/>
          <w:color w:val="111111"/>
          <w:sz w:val="28"/>
          <w:sz w:val="28"/>
          <w:szCs w:val="28"/>
          <w:rtl w:val="true"/>
          <w:lang w:bidi="fa-IR"/>
        </w:rPr>
        <w:t xml:space="preserve">ما دامت </w:t>
      </w:r>
    </w:p>
    <w:p>
      <w:pPr>
        <w:pStyle w:val="BookText"/>
        <w:rPr/>
      </w:pPr>
      <w:r>
        <w:rPr>
          <w:rFonts w:ascii="IRNazanin" w:hAnsi="IRNazanin" w:eastAsia="IRNazanin"/>
          <w:color w:val="111111"/>
          <w:sz w:val="28"/>
          <w:sz w:val="28"/>
          <w:szCs w:val="28"/>
          <w:rtl w:val="true"/>
          <w:lang w:bidi="fa-IR"/>
        </w:rPr>
        <w:t>واقعة علی الأرض</w:t>
      </w:r>
      <w:r>
        <w:rPr>
          <w:rStyle w:val="FootnoteAnchor"/>
          <w:rtl w:val="true"/>
        </w:rPr>
        <w:footnoteReference w:id="8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معدودة من أجزائها، لا کالواقعة علی الأرض المفروشة بالقیر أو الآجرّ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وتعدّ من أجزائها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دامت تعدّ جزءاً من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وتعدّ جزءاً من الأرض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فی حکمها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لمکان الجزئیّة للأرض، ولصدق المکان والسطح والموضع ونحوها من التعابیر الواقعة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عدّت من أجزائها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عدّت من أجزائها فی نظر أهل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عدّت جزءاً منها، لا مثل الجصّ أو الآجرّ المطروحین علی الأرض المبلّطة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وإن اُخذت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منها لُحقت بالمنقولات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اُعیدت عاد حکمها، وکذا المسمار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معدوداً من توابعها عرفاً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الثابت فی الأرض أو البناء ما دام ثابتاً یلحقه الحکم، وإذا قلع یلحقه حکم المنقول،</w:t>
      </w:r>
    </w:p>
    <w:p>
      <w:pPr>
        <w:pStyle w:val="BookText"/>
        <w:rPr/>
      </w:pPr>
      <w:r>
        <w:rPr>
          <w:rFonts w:ascii="IRNazanin" w:hAnsi="IRNazanin" w:eastAsia="IRNazanin"/>
          <w:color w:val="111111"/>
          <w:sz w:val="28"/>
          <w:sz w:val="28"/>
          <w:szCs w:val="28"/>
          <w:rtl w:val="true"/>
          <w:lang w:bidi="fa-IR"/>
        </w:rPr>
        <w:t>وإذا اُثبت ثانیاً یعود حکمه الأوّل، وهکذا</w:t>
      </w:r>
      <w:r>
        <w:rPr>
          <w:rStyle w:val="FootnoteAnchor"/>
          <w:rtl w:val="true"/>
        </w:rPr>
        <w:footnoteReference w:id="882"/>
      </w:r>
      <w:r>
        <w:rPr>
          <w:rFonts w:ascii="IRNazanin" w:hAnsi="IRNazanin" w:eastAsia="IRNazanin"/>
          <w:color w:val="111111"/>
          <w:sz w:val="28"/>
          <w:sz w:val="28"/>
          <w:szCs w:val="28"/>
          <w:rtl w:val="true"/>
          <w:lang w:bidi="fa-IR"/>
        </w:rPr>
        <w:t>فیما یشبه ذلک</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التطهیر بالشمس زوال عین النجاسة إن کان لها 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رطوبة الأرض حین الإشراق، أو فی زوال العین بعد العلم بوجودها، أو فی حصول الجفاف، أو فی کونه بالشمس أو بغیرها أو بمعونة الغیر لا یحکم بالطهارة</w:t>
      </w:r>
      <w:r>
        <w:rPr>
          <w:rStyle w:val="FootnoteAnchor"/>
          <w:rtl w:val="true"/>
        </w:rPr>
        <w:footnoteReference w:id="884"/>
      </w:r>
      <w:r>
        <w:rPr>
          <w:rFonts w:ascii="IRNazanin" w:hAnsi="IRNazanin" w:eastAsia="IRNazanin"/>
          <w:color w:val="111111"/>
          <w:sz w:val="28"/>
          <w:sz w:val="28"/>
          <w:szCs w:val="28"/>
          <w:rtl w:val="true"/>
          <w:lang w:bidi="fa-IR"/>
        </w:rPr>
        <w:t>، وإذا شکّ فی حدوث المانع</w:t>
      </w:r>
      <w:r>
        <w:rPr>
          <w:rStyle w:val="FootnoteAnchor"/>
          <w:rtl w:val="true"/>
        </w:rPr>
        <w:footnoteReference w:id="885"/>
      </w:r>
      <w:r>
        <w:rPr>
          <w:rFonts w:ascii="IRNazanin" w:hAnsi="IRNazanin" w:eastAsia="IRNazanin"/>
          <w:color w:val="111111"/>
          <w:sz w:val="28"/>
          <w:sz w:val="28"/>
          <w:szCs w:val="28"/>
          <w:rtl w:val="true"/>
          <w:lang w:bidi="fa-IR"/>
        </w:rPr>
        <w:t>عن الإشراق من ستر ونحوه یبنی علی عدمه</w:t>
      </w:r>
      <w:r>
        <w:rPr>
          <w:rStyle w:val="FootnoteAnchor"/>
          <w:rtl w:val="true"/>
        </w:rPr>
        <w:footnoteReference w:id="8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یقوی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البناء علی عدم الحائل لا یثبت إشراق الشمس علیه والجفاف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علی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فی نظیره أنّ الأحوط لو لم یکن أقوی عدم المطهّریّة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الطهارة، کما مرّ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یبنی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أنّ الأقوی عدم المطهّریّة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نظیره أنّ الأقوی بقاء النجاسة بعد عدم جریان الأصل لمکان الإثبات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الحکم ببقاء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مجال للحکم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الحکم عدم الطهارة، والبناء علی أصالة العدم غیر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تقدّم أنّ الأقوی عدم المطهّریّة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w:t>
      </w:r>
    </w:p>
    <w:p>
      <w:pPr>
        <w:pStyle w:val="BookText"/>
        <w:rPr/>
      </w:pPr>
      <w:r>
        <w:rPr>
          <w:rFonts w:ascii="IRNazanin" w:hAnsi="IRNazanin" w:eastAsia="IRNazanin"/>
          <w:color w:val="111111"/>
          <w:sz w:val="28"/>
          <w:sz w:val="28"/>
          <w:szCs w:val="28"/>
          <w:rtl w:val="true"/>
          <w:lang w:bidi="fa-IR"/>
        </w:rPr>
        <w:t>نظیره</w:t>
      </w:r>
      <w:r>
        <w:rPr>
          <w:rStyle w:val="FootnoteAnchor"/>
          <w:rtl w:val="true"/>
        </w:rPr>
        <w:footnoteReference w:id="8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المنع فی النظیر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المطهّریّة کما تقدّم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أ نّه یحکم بعدم مطهّریّته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مطهّریّة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هو الحکم ببقاء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المطهّریّة کما تقدّم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أنّ الأقوی عدم المطهّریّة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البناء علی العدم مثبت، فالأقوی عدم مطهّریّـته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أنّ الأظهر عدم الحکم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الحصیر یطهر بإشراق الشمس</w:t>
      </w:r>
      <w:r>
        <w:rPr>
          <w:rStyle w:val="FootnoteAnchor"/>
          <w:rtl w:val="true"/>
        </w:rPr>
        <w:footnoteReference w:id="8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تطهّره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عبداللّه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أصل الحکم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طهارته بإشراق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أصل طهره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أصل طهره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سبق الإشکال فی طهارة الحصیر بإشراق الشمس، نعم البوریاء یطهر بإشراق الشمس علی ظاهرها باطنَها وخلفها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الإشکال فی الحصیر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مضی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آنفاً أنّ الأقرب عدم طهارته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أصل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أحد</w:t>
      </w:r>
    </w:p>
    <w:p>
      <w:pPr>
        <w:pStyle w:val="BookText"/>
        <w:rPr/>
      </w:pPr>
      <w:r>
        <w:rPr>
          <w:rFonts w:ascii="IRNazanin" w:hAnsi="IRNazanin" w:eastAsia="IRNazanin"/>
          <w:color w:val="111111"/>
          <w:sz w:val="28"/>
          <w:sz w:val="28"/>
          <w:szCs w:val="28"/>
          <w:rtl w:val="true"/>
          <w:lang w:bidi="fa-IR"/>
        </w:rPr>
        <w:t>طرفیه</w:t>
      </w:r>
      <w:r>
        <w:rPr>
          <w:rStyle w:val="FootnoteAnchor"/>
          <w:rtl w:val="true"/>
        </w:rPr>
        <w:footnoteReference w:id="8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التأمّل فی طهارته فکیف بطرفه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الجفاف بإشراق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بالتبع بعد وحدة المشرق علیه وطرفه، ولا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المجموع نجساً، وإذا کان خصوص ذلک الطرف نجساً یشکل الحکم بالطهارة، وکذلک فی الجدار المتنجّس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إذا کانت الأرض الّتی تحته نجسة فلا تطهر</w:t>
      </w:r>
    </w:p>
    <w:p>
      <w:pPr>
        <w:pStyle w:val="BookText"/>
        <w:rPr/>
      </w:pPr>
      <w:r>
        <w:rPr>
          <w:rFonts w:ascii="Amiri" w:hAnsi="Amiri" w:eastAsia="Amiri" w:cs="Amiri"/>
          <w:color w:val="111111"/>
          <w:sz w:val="28"/>
          <w:sz w:val="28"/>
          <w:szCs w:val="28"/>
          <w:rtl w:val="true"/>
          <w:lang w:bidi="ar-SA"/>
        </w:rPr>
        <w:t>بتبعیّـته</w:t>
      </w:r>
      <w:r>
        <w:rPr>
          <w:rStyle w:val="FootnoteAnchor"/>
          <w:rtl w:val="true"/>
        </w:rPr>
        <w:footnoteReference w:id="8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الطهارة غیر بعیدة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جفّت بعد کونها رطبة، وکذا إذا کان تحته حصیر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إلاّ إذا خیط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علی وجه یعدّان معاً شیئاً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الجدار</w:t>
      </w:r>
      <w:r>
        <w:rPr>
          <w:rStyle w:val="FootnoteAnchor"/>
          <w:rtl w:val="true"/>
        </w:rPr>
        <w:footnoteReference w:id="891"/>
      </w:r>
      <w:r>
        <w:rPr>
          <w:rFonts w:ascii="IRNazanin" w:hAnsi="IRNazanin" w:eastAsia="IRNazanin"/>
          <w:color w:val="111111"/>
          <w:sz w:val="28"/>
          <w:sz w:val="28"/>
          <w:szCs w:val="28"/>
          <w:rtl w:val="true"/>
          <w:lang w:bidi="fa-IR"/>
        </w:rPr>
        <w:t>المتنجّس إذا أشرقت الشمس علی أحد جانبیه فلا یبعد طهارة جانبه</w:t>
      </w:r>
      <w:r>
        <w:rPr>
          <w:rStyle w:val="FootnoteAnchor"/>
          <w:rtl w:val="true"/>
        </w:rPr>
        <w:footnoteReference w:id="8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بل الأظهر عدم طهارته؛ لعدم صدق أنّ جفافه بإشراق الشمس علیه، وعلی فرض الشکّ فاستصحاب النجاسة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رقیقاً جدّاً بحیث استند الجفاف إلی إشراق الشمس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السمیک من الجدران إشکال، والأقرب عدم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بل عدم طهارته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بعیدة، إلاّ إذا کان رقیقاً جدّاً، بحیث کان الجفاف مستنداً إلی الإشراق لا المجاورة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 إذا جفّ به، وإن کان لا یخلو 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الجفاف مستنداً إلی إشراق الشمس فلا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بقاؤه علی النجاسة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 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لا یختصّ بالمورد، بل یطّرد فی نظائره، بل جریانه بالنسبة إلی البواطن أیضاً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یطهر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إذا أشرقت علی جانبه الآخر أیضاً</w:t>
      </w:r>
      <w:bookmarkStart w:id="323" w:name="pg13273_135225"/>
    </w:p>
    <w:p>
      <w:pPr>
        <w:pStyle w:val="BookText"/>
        <w:rPr/>
      </w:pPr>
      <w:bookmarkEnd w:id="323"/>
      <w:r>
        <w:rPr>
          <w:rFonts w:ascii="IRNazanin" w:hAnsi="IRNazanin" w:eastAsia="IRNazanin"/>
          <w:color w:val="111111"/>
          <w:sz w:val="28"/>
          <w:sz w:val="28"/>
          <w:szCs w:val="28"/>
          <w:rtl w:val="true"/>
          <w:lang w:bidi="fa-IR"/>
        </w:rPr>
        <w:t>فلا إشکال</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1666572_2322387425"/>
      <w:bookmarkStart w:id="325" w:name="_Toc114"/>
      <w:bookmarkEnd w:id="324"/>
      <w:r>
        <w:rPr>
          <w:rtl w:val="true"/>
        </w:rPr>
        <w:t>الرابع</w:t>
      </w:r>
      <w:r>
        <w:rPr>
          <w:rtl w:val="true"/>
        </w:rPr>
        <w:t xml:space="preserve">: </w:t>
      </w:r>
      <w:r>
        <w:rPr>
          <w:rtl w:val="true"/>
        </w:rPr>
        <w:t>الاستحالة</w:t>
      </w:r>
      <w:bookmarkEnd w:id="32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الاستحالة ـ وهی تبدّل حقیقة</w:t>
      </w:r>
      <w:r>
        <w:rPr>
          <w:rStyle w:val="FootnoteAnchor"/>
          <w:rtl w:val="true"/>
        </w:rPr>
        <w:footnoteReference w:id="8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الفرق فی الاستحالة بین ما إذا کانت بالقوی الطبیعیّة أو الصناعیّة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التفسیر عند العلماء، وأمّا عند العرف فهی تبدّل موضوع الحکم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حکم العقل أیضاً، فعلی هذا لا یکون المراد منه تبدّل أصل الموضوع، بل زوال وصفه کالنجاسة فیصیر من قبیل السالبة بانتفاء الموضوع، کما فی الأمثلة المذکورة فی المتن من دون فرق فی مطهّریّة الاستحالة بین التبدّل التکوینی أو الصناعی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الشیء وصورته النوعیّة إلی صورة 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طاهرة مغایرة للاُولی فی نظر العرف،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مبدّلاً للموضوع إلی موضوع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p>
    <w:p>
      <w:pPr>
        <w:pStyle w:val="Heading3"/>
        <w:numPr>
          <w:ilvl w:val="2"/>
          <w:numId w:val="1"/>
        </w:numPr>
        <w:rPr/>
      </w:pPr>
      <w:bookmarkStart w:id="326" w:name="__RefHeading___Toc1666574_2322387425"/>
      <w:bookmarkStart w:id="327" w:name="_Toc115"/>
      <w:bookmarkEnd w:id="326"/>
      <w:r>
        <w:rPr>
          <w:rtl w:val="true"/>
        </w:rPr>
        <w:t>مطهریة الاستحالة للنجس والمتنجس</w:t>
      </w:r>
      <w:bookmarkEnd w:id="32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تطهّر </w:t>
      </w:r>
      <w:bookmarkStart w:id="328" w:name="pg13273_135226"/>
    </w:p>
    <w:p>
      <w:pPr>
        <w:pStyle w:val="BookText"/>
        <w:rPr/>
      </w:pPr>
      <w:bookmarkEnd w:id="328"/>
      <w:r>
        <w:rPr>
          <w:rFonts w:ascii="IRNazanin" w:hAnsi="IRNazanin" w:eastAsia="IRNazanin"/>
          <w:color w:val="111111"/>
          <w:sz w:val="28"/>
          <w:sz w:val="28"/>
          <w:szCs w:val="28"/>
          <w:rtl w:val="true"/>
          <w:lang w:bidi="fa-IR"/>
        </w:rPr>
        <w:t>النجس</w:t>
      </w:r>
      <w:r>
        <w:rPr>
          <w:rStyle w:val="FootnoteAnchor"/>
          <w:rtl w:val="true"/>
        </w:rPr>
        <w:footnoteReference w:id="8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تغیّر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والمتنجّس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کالعذرة تصیر تراباً، والخشبة المتنجّسة إذا صارت رماداً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الماء المتنجّس بخاراً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إطلاقه ممنوع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نجاسة البخار وطهارته بالاستحالة إشکال، إلاّ أن یتمسّک فی طهارته بقاعدة الطهارة؛ لعدم جریان استصحاب النجاسة، کما لا یخفی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حال تصاعده دون المجتمع منه علی 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صیرورة البول أو الماء بخاراً لیس من الاستحالة، فلا وجه لطهارتهما بذلک، فیجب الاجتناب عن القطرات الحاصلة من البخار منها، نعم لا یجب الاجتناب عن نفس البخار؛ إذ لا یصدق هناک الملاقاة والمماسّة مع ذرّات المیاه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إذا صار بولاً لحیوان مأکول اللحم أو عرقاً له أو لعاباً فهو طاهر، وهکذا الغذاء النجس إذا صار روثاً أو لبناً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سیجیء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والکلب ملحاً، وهکذا کالنطفة تصیر حیواناً، والطعام النجس جزءاً من الحیوان</w:t>
      </w:r>
      <w:r>
        <w:rPr>
          <w:rFonts w:eastAsia="IRNazanin" w:cs="IRNazanin"/>
          <w:color w:val="111111"/>
          <w:sz w:val="28"/>
          <w:szCs w:val="28"/>
          <w:rtl w:val="true"/>
          <w:lang w:bidi="fa-IR"/>
        </w:rPr>
        <w:t>.</w:t>
      </w:r>
    </w:p>
    <w:p>
      <w:pPr>
        <w:pStyle w:val="Heading3"/>
        <w:numPr>
          <w:ilvl w:val="2"/>
          <w:numId w:val="1"/>
        </w:numPr>
        <w:rPr/>
      </w:pPr>
      <w:bookmarkStart w:id="329" w:name="__RefHeading___Toc1666576_2322387425"/>
      <w:bookmarkStart w:id="330" w:name="_Toc116"/>
      <w:bookmarkEnd w:id="329"/>
      <w:r>
        <w:rPr>
          <w:rtl w:val="true"/>
        </w:rPr>
        <w:t>حکم تبدل الأوصاف و تفرق الأجزاء</w:t>
      </w:r>
      <w:bookmarkEnd w:id="33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تبدّل الأوصاف وتفرّق </w:t>
      </w:r>
    </w:p>
    <w:p>
      <w:pPr>
        <w:pStyle w:val="BookText"/>
        <w:rPr/>
      </w:pPr>
      <w:r>
        <w:rPr>
          <w:rFonts w:ascii="IRNazanin" w:hAnsi="IRNazanin" w:eastAsia="IRNazanin"/>
          <w:color w:val="111111"/>
          <w:sz w:val="28"/>
          <w:sz w:val="28"/>
          <w:szCs w:val="28"/>
          <w:rtl w:val="true"/>
          <w:lang w:bidi="fa-IR"/>
        </w:rPr>
        <w:t>الأجزاء</w:t>
      </w:r>
      <w:r>
        <w:rPr>
          <w:rStyle w:val="FootnoteAnchor"/>
          <w:rtl w:val="true"/>
        </w:rPr>
        <w:footnoteReference w:id="896"/>
      </w:r>
      <w:r>
        <w:rPr>
          <w:rFonts w:ascii="IRNazanin" w:hAnsi="IRNazanin" w:eastAsia="IRNazanin"/>
          <w:color w:val="111111"/>
          <w:sz w:val="28"/>
          <w:sz w:val="28"/>
          <w:szCs w:val="28"/>
          <w:rtl w:val="true"/>
          <w:lang w:bidi="fa-IR"/>
        </w:rPr>
        <w:t xml:space="preserve">فلا اعتبار بهما، کالحنطة إذا صارت طحیناً أو عجیناً أو خبزاً </w:t>
      </w:r>
      <w:r>
        <w:rPr>
          <w:rStyle w:val="FootnoteAnchor"/>
          <w:rtl w:val="true"/>
        </w:rPr>
        <w:footnoteReference w:id="897"/>
      </w:r>
      <w:r>
        <w:rPr>
          <w:rFonts w:ascii="IRNazanin" w:hAnsi="IRNazanin" w:eastAsia="IRNazanin"/>
          <w:color w:val="111111"/>
          <w:sz w:val="28"/>
          <w:sz w:val="28"/>
          <w:szCs w:val="28"/>
          <w:rtl w:val="true"/>
          <w:lang w:bidi="fa-IR"/>
        </w:rPr>
        <w:t>، والحلیب إذا صار جبناً، وفی صدق الاستحالة</w:t>
      </w:r>
      <w:r>
        <w:rPr>
          <w:rStyle w:val="FootnoteAnchor"/>
          <w:rtl w:val="true"/>
        </w:rPr>
        <w:footnoteReference w:id="898"/>
      </w:r>
      <w:r>
        <w:rPr>
          <w:rFonts w:ascii="IRNazanin" w:hAnsi="IRNazanin" w:eastAsia="IRNazanin"/>
          <w:color w:val="111111"/>
          <w:sz w:val="28"/>
          <w:sz w:val="28"/>
          <w:szCs w:val="28"/>
          <w:rtl w:val="true"/>
          <w:lang w:bidi="fa-IR"/>
        </w:rPr>
        <w:t>علی صیرورة الخشب فحماً تأمّل</w:t>
      </w:r>
      <w:r>
        <w:rPr>
          <w:rStyle w:val="FootnoteAnchor"/>
          <w:rtl w:val="true"/>
        </w:rPr>
        <w:footnoteReference w:id="8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بقاوءه علی النجاسة، وکذلک الخزف والآجرّ والجصّ والنورة ونحو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صدقها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الصدق فی المذکورات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التأمّل، نعم فی الخزف والآجرّ تأمّل فإنّ المطبوخ لا یستحیل بالطبخ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بقاؤه علی النجاسة، وکذا الخزف والآجرّ والجصّ والنورة وأمثال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بقاء النجاسة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وکذلک الخزف والآجرّ والنورة والجصّ وکلّ ما کان من هذا القبیل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فیه وفیما بعده عدم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الصدق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تحقّق الاستحالة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والطهارة غیر بعیدة فی الفحم الخالص، وکذا فی الخزف والآجر، لکن لا ینبغی ترک الاحتیاط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الحکم بالطهارة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لم یبقَ شیء من حقیقته السابقة وخواصِّه من الشجریّة والنباتیّة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العدم،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3273_135228"/>
    </w:p>
    <w:p>
      <w:pPr>
        <w:pStyle w:val="BookText"/>
        <w:rPr/>
      </w:pPr>
      <w:bookmarkEnd w:id="331"/>
      <w:r>
        <w:rPr>
          <w:rFonts w:ascii="IRNazanin" w:hAnsi="IRNazanin" w:eastAsia="IRNazanin"/>
          <w:color w:val="111111"/>
          <w:sz w:val="28"/>
          <w:sz w:val="28"/>
          <w:szCs w:val="28"/>
          <w:rtl w:val="true"/>
          <w:lang w:bidi="fa-IR"/>
        </w:rPr>
        <w:t xml:space="preserve">وکذا فی صیرورة الطین خزفاً </w:t>
      </w:r>
      <w:r>
        <w:rPr>
          <w:rStyle w:val="FootnoteAnchor"/>
          <w:rtl w:val="true"/>
        </w:rPr>
        <w:footnoteReference w:id="9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المذکورات البقاء علی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الصدق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آجرّاً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332" w:name="__RefHeading___Toc1666578_2322387425"/>
      <w:bookmarkStart w:id="333" w:name="_Toc117"/>
      <w:bookmarkEnd w:id="332"/>
      <w:r>
        <w:rPr>
          <w:rtl w:val="true"/>
        </w:rPr>
        <w:t>حکم الشک فی الاستحالة</w:t>
      </w:r>
      <w:bookmarkEnd w:id="333"/>
    </w:p>
    <w:p>
      <w:pPr>
        <w:pStyle w:val="BookText"/>
        <w:rPr/>
      </w:pPr>
      <w:r>
        <w:rPr>
          <w:rFonts w:ascii="IRNazanin" w:hAnsi="IRNazanin" w:eastAsia="IRNazanin"/>
          <w:color w:val="111111"/>
          <w:sz w:val="28"/>
          <w:sz w:val="28"/>
          <w:szCs w:val="28"/>
          <w:rtl w:val="true"/>
          <w:lang w:bidi="fa-IR"/>
        </w:rPr>
        <w:t>ومع الشکّ فی الاستحالة</w:t>
      </w:r>
      <w:r>
        <w:rPr>
          <w:rStyle w:val="FootnoteAnchor"/>
          <w:rtl w:val="true"/>
        </w:rPr>
        <w:footnoteReference w:id="9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حصولها بنحو الشبهة الموضوعیّة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w:t>
      </w:r>
      <w:bookmarkStart w:id="334" w:name="pg13273_135229"/>
    </w:p>
    <w:p>
      <w:pPr>
        <w:pStyle w:val="BookText"/>
        <w:rPr/>
      </w:pPr>
      <w:bookmarkEnd w:id="334"/>
      <w:r>
        <w:rPr>
          <w:rFonts w:ascii="Amiri" w:hAnsi="Amiri" w:eastAsia="Amiri" w:cs="Amiri"/>
          <w:color w:val="111111"/>
          <w:sz w:val="28"/>
          <w:sz w:val="28"/>
          <w:szCs w:val="28"/>
          <w:rtl w:val="true"/>
          <w:lang w:bidi="ar-SA"/>
        </w:rPr>
        <w:t>بالطهارة</w:t>
      </w:r>
      <w:r>
        <w:rPr>
          <w:rStyle w:val="FootnoteAnchor"/>
          <w:rtl w:val="true"/>
        </w:rPr>
        <w:footnoteReference w:id="9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صدق عرفاً أ نّه الموضوع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الشبهة مصداقیّة، وأمّا إذا کانت مفهومیّة فالأشبه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منظور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جزماً لو کانت الشبهة مفهومیّة، وفی الشبهة المصداقیّة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کانت الشبهة موضوعیّة، وأمّا إذا کانت مفهومیّة فالأظهر هو الحکم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بقاء الموضوع عرفاً، وإلاّ فیحکم بالطهارة للقاعدة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ولکنّ فیه احتیاطاً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666580_2322387425"/>
      <w:bookmarkStart w:id="336" w:name="_Toc118"/>
      <w:bookmarkEnd w:id="335"/>
      <w:r>
        <w:rPr>
          <w:rtl w:val="true"/>
        </w:rPr>
        <w:t>الخامس</w:t>
      </w:r>
      <w:r>
        <w:rPr>
          <w:rtl w:val="true"/>
        </w:rPr>
        <w:t xml:space="preserve">: </w:t>
      </w:r>
      <w:r>
        <w:rPr>
          <w:rtl w:val="true"/>
        </w:rPr>
        <w:t>الانقلاب</w:t>
      </w:r>
      <w:bookmarkEnd w:id="336"/>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الانقلاب</w:t>
      </w:r>
      <w:r>
        <w:rPr>
          <w:rStyle w:val="FootnoteAnchor"/>
          <w:rtl w:val="true"/>
        </w:rPr>
        <w:footnoteReference w:id="9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یذکر إلاّ مورد واحد وهو انقلاب الخمر خلاًّ، ثمّ إنّ الانقلاب والاستحالة إذا لوحظت حقیقتهما بالنظر العرفی یکون الانقلاب من مصادیق الاستحالة؛ لاختلافهما فی الأثر، فالحکم بالطهارة باعتبار الاستحالة، وبالنظر العلمی یکون الحکم بالطهارة حکماً تعبدیّاً للنصّ الوارد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کالخمر ینقـلب</w:t>
      </w:r>
    </w:p>
    <w:p>
      <w:pPr>
        <w:pStyle w:val="BookText"/>
        <w:rPr/>
      </w:pPr>
      <w:r>
        <w:rPr>
          <w:rFonts w:ascii="Amiri" w:hAnsi="Amiri" w:eastAsia="Amiri" w:cs="Amiri"/>
          <w:color w:val="111111"/>
          <w:sz w:val="28"/>
          <w:sz w:val="28"/>
          <w:szCs w:val="28"/>
          <w:rtl w:val="true"/>
          <w:lang w:bidi="ar-SA"/>
        </w:rPr>
        <w:t xml:space="preserve">خلاًّ </w:t>
      </w:r>
      <w:r>
        <w:rPr>
          <w:rStyle w:val="FootnoteAnchor"/>
          <w:rtl w:val="true"/>
        </w:rPr>
        <w:footnoteReference w:id="904"/>
      </w:r>
      <w:r>
        <w:rPr>
          <w:rFonts w:ascii="IRNazanin" w:hAnsi="IRNazanin" w:eastAsia="IRNazanin"/>
          <w:color w:val="111111"/>
          <w:sz w:val="28"/>
          <w:sz w:val="28"/>
          <w:szCs w:val="28"/>
          <w:rtl w:val="true"/>
          <w:lang w:bidi="fa-IR"/>
        </w:rPr>
        <w:t>فإنّه یطهر، سواء کان بنفسه أو بعلاج کإلقاء شیء</w:t>
      </w:r>
      <w:r>
        <w:rPr>
          <w:rStyle w:val="FootnoteAnchor"/>
          <w:rtl w:val="true"/>
        </w:rPr>
        <w:footnoteReference w:id="9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بقاء العین الأحوط الاجتناب، بل الأولی ترک العلاج مطلقاً حتّی تصیر بنفسها 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یکون وسیلةً للانقلاب، سواء کان إلقاؤه متعارفاً کقطع القثّاء والباذنجان والتین والسفرجل ونحوها، وإن کان إلقاء غیر المتعارف لا یخلو من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الخلّ أو الملح فیه، سواء استهلک أو بقی علی حاله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بقاء ما عولج به وعدم استهلاکه فالقول بطهارته مشکل، والتبعیّة لا دلیل علیها، والإطلاق المقامی لا یشملها، إلاّ إذا کان بقاؤه بعد الانقلاب کثیراً، وأمّا لو کان ما یعالج به غالباً یستهلک ولا یبقی إلاّ نادراً فحینئذٍ استناد طهارته إلی الإطلاق المقامی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مع البقاء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3273_135231"/>
    </w:p>
    <w:p>
      <w:pPr>
        <w:pStyle w:val="Heading3"/>
        <w:numPr>
          <w:ilvl w:val="2"/>
          <w:numId w:val="1"/>
        </w:numPr>
        <w:rPr/>
      </w:pPr>
      <w:bookmarkStart w:id="338" w:name="__RefHeading___Toc1666582_2322387425"/>
      <w:bookmarkStart w:id="339" w:name="_Toc119"/>
      <w:bookmarkEnd w:id="337"/>
      <w:bookmarkEnd w:id="338"/>
      <w:r>
        <w:rPr>
          <w:rtl w:val="true"/>
        </w:rPr>
        <w:t>ما یشترط فی مطهریة الانقلاب</w:t>
      </w:r>
      <w:bookmarkEnd w:id="339"/>
    </w:p>
    <w:p>
      <w:pPr>
        <w:pStyle w:val="BookText"/>
        <w:rPr/>
      </w:pPr>
      <w:r>
        <w:rPr>
          <w:rFonts w:ascii="IRNazanin" w:hAnsi="IRNazanin" w:eastAsia="IRNazanin"/>
          <w:color w:val="111111"/>
          <w:sz w:val="28"/>
          <w:sz w:val="28"/>
          <w:szCs w:val="28"/>
          <w:rtl w:val="true"/>
          <w:lang w:bidi="fa-IR"/>
        </w:rPr>
        <w:t>ویشترط فی طهارة الخمر بالانقلاب عدم وصول</w:t>
      </w:r>
      <w:r>
        <w:rPr>
          <w:rStyle w:val="FootnoteAnchor"/>
          <w:rtl w:val="true"/>
        </w:rPr>
        <w:footnoteReference w:id="906"/>
      </w:r>
      <w:r>
        <w:rPr>
          <w:rFonts w:ascii="IRNazanin" w:hAnsi="IRNazanin" w:eastAsia="IRNazanin"/>
          <w:color w:val="111111"/>
          <w:sz w:val="28"/>
          <w:sz w:val="28"/>
          <w:szCs w:val="28"/>
          <w:rtl w:val="true"/>
          <w:lang w:bidi="fa-IR"/>
        </w:rPr>
        <w:t>نجاسة خارجیّة إلیه، فلو وقع فیه حال کونه خمراً شیء من البول أو غیره أو لاقی نجساً لم یطهر بالانقلاب</w:t>
      </w:r>
      <w:r>
        <w:rPr>
          <w:rStyle w:val="FootnoteAnchor"/>
          <w:rtl w:val="true"/>
        </w:rPr>
        <w:footnoteReference w:id="9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اکتسابها النجاسة ولو باشتدادها فیه، وإلاّ ففیه نظر جدّاً بعد فرض استهلاکه فیه؛ إذ لیس فی البین إلاّ النجاسة الخمریّة المرتفعة بالانقلاب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طهارته به فی صورة الملاقاة، بل فی صورة وقوع عین النجاسة فیه أیضاً مع الاستهلاک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استهلکت فیه قبل الانقلاب، أو لم تکن عینیّة فلا یبعد الطهارة وإن کان لا یخلو من إشکال، لا سیّما فی البول ونحوه ممّا هو أشدّ حکماً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الطهارة لا تخلو من قوّة إن استهلکت فیه عین النجاسة قبل الانقلاب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الحکم علی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بعدم تأثّر النجس بملاقاة نجاسة لا تکون أشدّ منه، ولا بملاقاة متنجّس کذلک، کما هو الصحیح عندنا، فالقول بالطهارة لا یخلو من قوّة؛ لأنّ النجاسة الخمریّة مثلاً ارتفعت بالانقلاب، ولیست نجاسة اُخری فی البین حتّی نقول ببقائها، أو نشکّ فی بقائها حتّی تستصحب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طهارته إذا لم تکن نجاسة الملاقی، أو الواقع أشدّ من نجاسة الخمر مع الاستهلاک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بالعدم فی صورة استهلاک الواقع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حصول الطهارة به إذا استهلک النجس ولم یتنجّس الإناء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مشکل فیما إذا اُلقی فیه خمر وانقلب ذلک الخمر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الّذی لا یُترک، وخصوصاً إذا کانت النجاسة الخارجیّة أشدّ حکماً کالبول والولوغ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یطهر، فإنّه ما دام الخمر موجوداً لا یکون قابلاً للانفعال، وبعد زوال العنوان تکون النجاسة الخارجیة مستهلکة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أو التمر المتنجّس إذا صار خلاًّ لم یطهر، وکذا إذا صار</w:t>
      </w:r>
      <w:r>
        <w:rPr>
          <w:rStyle w:val="FootnoteAnchor"/>
          <w:rtl w:val="true"/>
        </w:rPr>
        <w:footnoteReference w:id="9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خمراً ثمّ انقلب خلاًّ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یطهر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یطهر بذلک بشرط إخراجه حال خمریّـته عن ظرفه المتنجّس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فی التعلیقة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یطهر، فإنّ المیزان فی حصول الطهارة صیرورة الخمر 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صبّ فی الخمر ما یزیل سکره</w:t>
      </w:r>
      <w:r>
        <w:rPr>
          <w:rStyle w:val="FootnoteAnchor"/>
          <w:rtl w:val="true"/>
        </w:rPr>
        <w:footnoteReference w:id="909"/>
      </w:r>
      <w:r>
        <w:rPr>
          <w:rFonts w:ascii="IRNazanin" w:hAnsi="IRNazanin" w:eastAsia="IRNazanin"/>
          <w:color w:val="111111"/>
          <w:sz w:val="28"/>
          <w:sz w:val="28"/>
          <w:szCs w:val="28"/>
          <w:rtl w:val="true"/>
          <w:lang w:bidi="fa-IR"/>
        </w:rPr>
        <w:t>لم یطهر</w:t>
      </w:r>
      <w:r>
        <w:rPr>
          <w:rStyle w:val="FootnoteAnchor"/>
          <w:rtl w:val="true"/>
        </w:rPr>
        <w:footnoteReference w:id="910"/>
      </w:r>
      <w:r>
        <w:rPr>
          <w:rFonts w:ascii="IRNazanin" w:hAnsi="IRNazanin" w:eastAsia="IRNazanin"/>
          <w:color w:val="111111"/>
          <w:sz w:val="28"/>
          <w:sz w:val="28"/>
          <w:szCs w:val="28"/>
          <w:rtl w:val="true"/>
          <w:lang w:bidi="fa-IR"/>
        </w:rPr>
        <w:t>وبقی علی حرمته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 البول</w:t>
      </w:r>
      <w:r>
        <w:rPr>
          <w:rStyle w:val="FootnoteAnchor"/>
          <w:rtl w:val="true"/>
        </w:rPr>
        <w:footnoteReference w:id="9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مادام بخاراً وإن اجتمعت الأجزاء المتصاعدة، ففی البول ونحوه من النجاسات العینیّة، الأقوی النجاسة دون الماء المتنجّس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غلیظاً ذا أجزاء لها رشّاش صالحاً لصیرورته مایعاً، فما یتقاطر من سقف الحمّام إذا علم أ نّه بخار الماء النجس ولم یحتمل کونه من بخار ماء الخزانة فالأحوط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ینقلب ماءً، أو فی صورة الانقلاب إذا لم یصدق علی مصعّد مثل البول عنوانه، کما هو الظاهر فی مصعّدات الأعیان النجسة، وإلاّ یترتّب علیها أحکامها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اجتمع وتقاطر وصدق علیه البول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الماء المتنجّس طاهر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مادام بخاراً، وأمّا بعد انقلابه واجتماعه فإن صدق علیه ما تصاعد عنه فهو نجس،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ینقلب ماءً، وإلاّ فیقوی لزوم الاجتناب عنه کالمتقاطر من سقف الحمّام إذا علم نجاسة أصله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 البول مادام بخاراً طاهر، فإذا تقاطر فإن لم یصدق علیه البول فهو طاهر أیضاً، وإن صدق علیه البول عرفاً فنجس، وما یتقاطر من سقف الحمّام طاهر علی کلّ حال إذا لم یعلم أ نّه من بخار البول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الغلظة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وجوب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المیزان فی حصول الطهارة تغیرّ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قلنا بأنّ البخار ونحوه من مصادیق الاستحالة، وأمّا إذا قلنا من قبیل تفرّق الأجزاء فلا یکون طاهراً، ولو شکّ فی ذلک فیرجع إلی قاعدة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 نّه لا ینجّس ما یلاقیه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بأس بما</w:t>
      </w:r>
    </w:p>
    <w:p>
      <w:pPr>
        <w:pStyle w:val="BookText"/>
        <w:rPr/>
      </w:pPr>
      <w:r>
        <w:rPr>
          <w:rFonts w:ascii="IRNazanin" w:hAnsi="IRNazanin" w:eastAsia="IRNazanin"/>
          <w:color w:val="111111"/>
          <w:sz w:val="28"/>
          <w:sz w:val="28"/>
          <w:szCs w:val="28"/>
          <w:rtl w:val="true"/>
          <w:lang w:bidi="fa-IR"/>
        </w:rPr>
        <w:t>یتقاطر</w:t>
      </w:r>
      <w:r>
        <w:rPr>
          <w:rStyle w:val="FootnoteAnchor"/>
          <w:rtl w:val="true"/>
        </w:rPr>
        <w:footnoteReference w:id="9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أ نّه من البول أو الماء المتنجّس فالأحوط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فرض العلم بکونه من بخار النجس أو المتنجّس فالأقوی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الحکم بطهارة ما یتقاطر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والأوجه أنّ به البأس إن کان من البول، أو الماء المتنجّس بعین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الإطلاق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احتمل کونه من بخار الخزانة، وإلاّ فقد عرفت وجوب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النجاسة فی المائعات المتقاطرة بالتصعید مع العلم بکونه من النجس أو المتنجّس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أنّ فیه ماءً متولّداً من بخار النجس أو المتنجّس، وإلاّ فلا یبعد الحکم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سقف الحمّام إلاّ مع العلم بنجاسة</w:t>
      </w:r>
    </w:p>
    <w:p>
      <w:pPr>
        <w:pStyle w:val="BookText"/>
        <w:rPr/>
      </w:pPr>
      <w:r>
        <w:rPr>
          <w:rFonts w:ascii="IRNazanin" w:hAnsi="IRNazanin" w:eastAsia="IRNazanin"/>
          <w:color w:val="111111"/>
          <w:sz w:val="28"/>
          <w:sz w:val="28"/>
          <w:szCs w:val="28"/>
          <w:rtl w:val="true"/>
          <w:lang w:bidi="fa-IR"/>
        </w:rPr>
        <w:t>السقف</w:t>
      </w:r>
      <w:r>
        <w:rPr>
          <w:rStyle w:val="FootnoteAnchor"/>
          <w:rtl w:val="true"/>
        </w:rPr>
        <w:footnoteReference w:id="9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علی القول بکون المتنجّس منجّساً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قطرة خمر فی حبّ خلّ واستهلکت فیه لم یطهر وتنجّس الخلّ، إلاّ إذا علم انقلابها</w:t>
      </w:r>
      <w:r>
        <w:rPr>
          <w:rStyle w:val="FootnoteAnchor"/>
          <w:rtl w:val="true"/>
        </w:rPr>
        <w:footnoteReference w:id="9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علی تقدیر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علم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وصل إلیه خلاًّ فهو طاهر، وإن وصل إلیه خمراً فهو 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علم علی فرض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لا واقع له ولا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علم انقلابها 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الاستثناء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تنجّس الخلّ بها ولو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الحکم النجاسة وإن علم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محصّل لهذا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مع أ نّه مجرّد 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حتّی لو علم، نعم لو فرض بفرض بعید انقلاب القطرة فی الفضاء قبل تلاقیها مع الخلّ لکان ما أفاده متوجّهاً، لکنّه لا یصدق حینئذٍ وقوع قطرة من الخمر، فهو خروج عن الفرض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إذا علم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طهارته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تنجّس الخلّ وإن علم الانقلاب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إذ الانقلاب یتحقّق بالملاقاة فتحصل النجاسة طبعاً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الطهارة فی هذه الصورة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الصورة الحکم تنجّس الخلّ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الخلّیّة متأخّرة عن الوقوع کما هو الظاهر، فلا یطهر بالانقلاب لما مرّ من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 بمجرّد</w:t>
      </w:r>
    </w:p>
    <w:p>
      <w:pPr>
        <w:pStyle w:val="BookText"/>
        <w:rPr/>
      </w:pPr>
      <w:r>
        <w:rPr>
          <w:rFonts w:ascii="IRNazanin" w:hAnsi="IRNazanin" w:eastAsia="IRNazanin"/>
          <w:color w:val="111111"/>
          <w:sz w:val="28"/>
          <w:sz w:val="28"/>
          <w:szCs w:val="28"/>
          <w:rtl w:val="true"/>
          <w:lang w:bidi="fa-IR"/>
        </w:rPr>
        <w:t>الوقوع فیه</w:t>
      </w:r>
      <w:r>
        <w:rPr>
          <w:rStyle w:val="FootnoteAnchor"/>
          <w:rtl w:val="true"/>
        </w:rPr>
        <w:footnoteReference w:id="9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تنجّس الخلّ بها ولو علم انقلابها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تنجّس الخلّ بها فی هذه الصورة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الاستثناء تأمّل ظاهر؛ لأ نّه إن أراد به حصول الانقلاب بسبب آخر غیر الملاقاة فی آنِ أوّل الملاقاة بحیث لا یصدق أنّ الخلّ لاقی الخمر، بل الخلّ لاقی الخلّ، فعدم تنجّس الخلّ حینئذٍ وإن کان واضحاً لکن هذا المعنی لا ینبغی أن یعبر عنه بهذه العبارة، بل لا ینبغی أن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به ما هو ظاهر العبارة، وهو أنّ الملاقاة صارت سبباً للانقلاب فلا محالة یصدق أنّ الخلّ لاقی الخمر، وهذا المقدار یکفی فی الحکم بنجاسة الخلّ الملاقی لها، واحتمال صیرورتها خلاًّ فی آن أوّل الملاقاة بحیث أ نّه لا یصدق أ نّه لاقی الخمر توهم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یحکم أیضاً بالنجاسة؛ لتقدّم الملاقاة عن الحلّیّة زماناً ورتبةً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تنجّس الخلّ حتّی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3273_135237"/>
    </w:p>
    <w:p>
      <w:pPr>
        <w:pStyle w:val="Heading3"/>
        <w:numPr>
          <w:ilvl w:val="2"/>
          <w:numId w:val="1"/>
        </w:numPr>
        <w:rPr/>
      </w:pPr>
      <w:bookmarkStart w:id="341" w:name="__RefHeading___Toc1666584_2322387425"/>
      <w:bookmarkStart w:id="342" w:name="_Toc120"/>
      <w:bookmarkEnd w:id="340"/>
      <w:bookmarkEnd w:id="341"/>
      <w:r>
        <w:rPr>
          <w:rtl w:val="true"/>
        </w:rPr>
        <w:t>بعض فروع الانقلاب</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الانقلاب غیر الاستحالة</w:t>
      </w:r>
      <w:r>
        <w:rPr>
          <w:rStyle w:val="FootnoteAnchor"/>
          <w:rtl w:val="true"/>
        </w:rPr>
        <w:footnoteReference w:id="9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واضح؛ لأنّ الانقلاب من بعض مصادیق الاستحالة علی ما تقدّم بیانه من اختلاف الأثر الکاشف عن الاختلاف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الانقلاب یختصّ بالمائع والاستحالة تختصّ بمورد لا یکون فیه رطوبة مسریة تصیر مطهّریّة الانقلاب بحکم التعبدیّ ثابتاً بالنصّ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لا تتبدّل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یتبدّل العنوان المأخوذ موضوعاً للحکم فی الدلیل، وهو الملاک، لا تبدّل الحقیقة النوعیّة؛ ولذا لا مجال لجعلهما مطهّرین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الحقیقة النوعیّة بخلافها، ولذا لا تطهر المتنجّسات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مع تأثّر المحلّ بالنجاسة العارضة، لا مع عدمه کالخمر الملاقی للنجاسة، کما أشرنا إلیه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لترتّب النجاسة علی ذواتها، لا علی عناوینها الخاصّة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سائر النجاسات غیر الخمر، بل ولا الخمر إذا انقلب إلی غیر الخلّ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صحیح فیما إذا کانت نجاستها مستلزمة لنجاسة ظرفها، کما هو الشأن فی المائعات، وإن قلنا بأنّ الانقلاب لیس سوی الاستحالة، کما لیس ببعید؛ لأ نّه لا دلیل علی الطهارة التبعیّة فی مطلق موارد الاستحالة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وتطهر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العصیر بالخمر ثمّ انقلب خمراً، وبعد ذلک انقلب الخمر خلاًّ لا یبعد طهارته</w:t>
      </w:r>
      <w:r>
        <w:rPr>
          <w:rStyle w:val="FootnoteAnchor"/>
          <w:rtl w:val="true"/>
        </w:rPr>
        <w:footnoteReference w:id="9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طهارته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طهارته، وتفصیله بین التنجّس بالخمریّة بالحکم بالطهارة هنا، وبین التنجّس بغیرها بالحکم بالنجاسة فی المسألة الاُولی منظور فیه بعد سریان التعلیل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محکوم بالطهارة؛ لأنّ النجاسة العرضیّة لا توجب تعدّد الموضوع، بل هو اشتداد فی أمر اعتباری وهو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التعلیل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العرضیّة صارت ذاتیّة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بصیرورته خمراً؛ لأ نّها هی النجاسة الخمریّة، بخلاف ما إذا تنجّس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حکم ذلک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الحکم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bookmarkStart w:id="343" w:name="pg13273_135239"/>
    </w:p>
    <w:p>
      <w:pPr>
        <w:pStyle w:val="BookText"/>
        <w:rPr/>
      </w:pPr>
      <w:bookmarkEnd w:id="343"/>
      <w:r>
        <w:rPr>
          <w:rFonts w:ascii="IRNazanin" w:hAnsi="IRNazanin" w:eastAsia="IRNazanin"/>
          <w:color w:val="111111"/>
          <w:sz w:val="28"/>
          <w:sz w:val="28"/>
          <w:szCs w:val="28"/>
          <w:rtl w:val="true"/>
          <w:lang w:bidi="fa-IR"/>
        </w:rPr>
        <w:t>العصیر بسائر النجاسات، فإنّ الانقلاب</w:t>
      </w:r>
      <w:r>
        <w:rPr>
          <w:rStyle w:val="FootnoteAnchor"/>
          <w:rtl w:val="true"/>
        </w:rPr>
        <w:footnoteReference w:id="919"/>
      </w:r>
      <w:r>
        <w:rPr>
          <w:rFonts w:ascii="IRNazanin" w:hAnsi="IRNazanin" w:eastAsia="IRNazanin"/>
          <w:color w:val="111111"/>
          <w:sz w:val="28"/>
          <w:sz w:val="28"/>
          <w:szCs w:val="28"/>
          <w:rtl w:val="true"/>
          <w:lang w:bidi="fa-IR"/>
        </w:rPr>
        <w:t>إلی الخمر لا یزیلها ولا یصیّرها ذاتیّة، فأثرها باقٍ</w:t>
      </w:r>
      <w:r>
        <w:rPr>
          <w:rStyle w:val="FootnoteAnchor"/>
          <w:rtl w:val="true"/>
        </w:rPr>
        <w:footnoteReference w:id="9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نظیره أنّ الأقوی الطهارة علی إشکال فی بعض الفروض، بل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أنّ المیزان صیرورة الخمر خلاًّ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الانقلاب أیضاً</w:t>
      </w:r>
      <w:r>
        <w:rPr>
          <w:rFonts w:eastAsia="IRNazanin" w:cs="IRNazanin"/>
          <w:color w:val="111111"/>
          <w:sz w:val="28"/>
          <w:szCs w:val="28"/>
          <w:rtl w:val="true"/>
          <w:lang w:bidi="fa-IR"/>
        </w:rPr>
        <w:t>.</w:t>
      </w:r>
    </w:p>
    <w:p>
      <w:pPr>
        <w:pStyle w:val="Heading3"/>
        <w:numPr>
          <w:ilvl w:val="2"/>
          <w:numId w:val="1"/>
        </w:numPr>
        <w:rPr/>
      </w:pPr>
      <w:bookmarkStart w:id="344" w:name="__RefHeading___Toc1666586_2322387425"/>
      <w:bookmarkStart w:id="345" w:name="_Toc121"/>
      <w:bookmarkEnd w:id="344"/>
      <w:r>
        <w:rPr>
          <w:rtl w:val="true"/>
        </w:rPr>
        <w:t>التسهلاک و الاستحالة</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الأجزاء بالاستهلاک غیر الاستحالة</w:t>
      </w:r>
      <w:r>
        <w:rPr>
          <w:rStyle w:val="FootnoteAnchor"/>
          <w:rtl w:val="true"/>
        </w:rPr>
        <w:footnoteReference w:id="9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فی الاستهلاک زوال الوحدة الاتّصالیّة مع بقاء الحقیقة النوعیّة بخلاف الاستحالة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ولذا لو وقع مقدار من الدم فی الکرّ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واستهلک فیه یحکم بطهارته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الاستهلاک لا موضوع للمحکوم بالطهارة، ومع إخراج الدم یکون من عود الموضوع، لا الحکم للموضوع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ینتفی موضوع النجاسة فینتفی الحکم قهراً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باعتبار أنّ الاستهلاک هو زوال الوحدة، وإلاّ تکون سالبة بانتفاء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لکن لو اُخرج</w:t>
      </w:r>
    </w:p>
    <w:p>
      <w:pPr>
        <w:pStyle w:val="BookText"/>
        <w:rPr/>
      </w:pPr>
      <w:r>
        <w:rPr>
          <w:rFonts w:ascii="IRNazanin" w:hAnsi="IRNazanin" w:eastAsia="IRNazanin"/>
          <w:color w:val="111111"/>
          <w:sz w:val="28"/>
          <w:sz w:val="28"/>
          <w:szCs w:val="28"/>
          <w:rtl w:val="true"/>
          <w:lang w:bidi="fa-IR"/>
        </w:rPr>
        <w:t>الدم من الماء بآلة من الآلات المعدّة لمثل ذلک عاد</w:t>
      </w:r>
      <w:r>
        <w:rPr>
          <w:rStyle w:val="FootnoteAnchor"/>
          <w:rtl w:val="true"/>
        </w:rPr>
        <w:footnoteReference w:id="922"/>
      </w:r>
      <w:r>
        <w:rPr>
          <w:rFonts w:ascii="IRNazanin" w:hAnsi="IRNazanin" w:eastAsia="IRNazanin"/>
          <w:color w:val="111111"/>
          <w:sz w:val="28"/>
          <w:sz w:val="28"/>
          <w:szCs w:val="28"/>
          <w:rtl w:val="true"/>
          <w:lang w:bidi="fa-IR"/>
        </w:rPr>
        <w:t xml:space="preserve">إلی النجاسة؛ بخلاف الاستحالة فإنّه إذا صار البول بخاراً </w:t>
      </w:r>
      <w:r>
        <w:rPr>
          <w:rStyle w:val="FootnoteAnchor"/>
          <w:rtl w:val="true"/>
        </w:rPr>
        <w:footnoteReference w:id="923"/>
      </w:r>
      <w:r>
        <w:rPr>
          <w:rFonts w:ascii="Amiri" w:hAnsi="Amiri" w:eastAsia="Amiri" w:cs="Amiri"/>
          <w:color w:val="111111"/>
          <w:sz w:val="28"/>
          <w:sz w:val="28"/>
          <w:szCs w:val="28"/>
          <w:rtl w:val="true"/>
          <w:lang w:bidi="ar-SA"/>
        </w:rPr>
        <w:t>ثمّ ماءً لا یحکم بنجاسته</w:t>
      </w:r>
      <w:r>
        <w:rPr>
          <w:rStyle w:val="FootnoteAnchor"/>
          <w:rtl w:val="true"/>
        </w:rPr>
        <w:footnoteReference w:id="9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الفرض من الاستحالة محلّ تأمّل، کما مرّ فی نظائره غیر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مع عدم الاستحالة نجس ولو لم یصدق علیه اسم النجس الأوّل، ولم یکن فیه خواصه وآثاره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الأقوی فیه النجاسة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انقلاب البول هواءً وانقلاب الهواء ماءً لا یحکم بنجاسته، وهذا غیر انقلابه بخاراً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المائعات المقطّرة بالتصعید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نجاسة المقطّر من بخار النجس أو المتنجّس مطلقاً، وانقلاب بخار البول ماءً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الفرق بین بخار الماء القراح النجس وبین بخار البول، بأنّه فی الأوّل یصیر بعد التصعید ویکون هو الماء النجس، بخلاف الثانی فإنّه لیس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بها علی الأوجه، ویطّرد ذلک فی عرق الأعیان النجسة والمصعّد من المتنجّس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تحقّق الاستحالة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الحکم بالنجاسة فی المائعات المتقاطرة بالتصعید من النجس أو المتنجّس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یبعد الحکم بها، وکذا الحال فی المصعّد من الأعیان النجسة والمتنجّسة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نّه صار حقیقة</w:t>
      </w:r>
      <w:r>
        <w:rPr>
          <w:rStyle w:val="FootnoteAnchor"/>
          <w:rtl w:val="true"/>
        </w:rPr>
        <w:footnoteReference w:id="925"/>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صدق البول علیه یحکم بنجاسته بعد ما صار ماءً، ومن ذلک یظهر حال عرق بعض الأعیان النجسة</w:t>
      </w:r>
      <w:r>
        <w:rPr>
          <w:rStyle w:val="FootnoteAnchor"/>
          <w:rtl w:val="true"/>
        </w:rPr>
        <w:footnoteReference w:id="926"/>
      </w:r>
      <w:r>
        <w:rPr>
          <w:rFonts w:ascii="IRNazanin" w:hAnsi="IRNazanin" w:eastAsia="IRNazanin"/>
          <w:color w:val="111111"/>
          <w:sz w:val="28"/>
          <w:sz w:val="28"/>
          <w:szCs w:val="28"/>
          <w:rtl w:val="true"/>
          <w:lang w:bidi="fa-IR"/>
        </w:rPr>
        <w:t>أو المحرّمة، مثل عرق لحم الخنزیر، أو عرق العذرة، أو نحوهما، فإنّه إن صدق</w:t>
      </w:r>
      <w:r>
        <w:rPr>
          <w:rStyle w:val="FootnoteAnchor"/>
          <w:rtl w:val="true"/>
        </w:rPr>
        <w:footnoteReference w:id="927"/>
      </w:r>
      <w:r>
        <w:rPr>
          <w:rFonts w:ascii="IRNazanin" w:hAnsi="IRNazanin" w:eastAsia="IRNazanin"/>
          <w:color w:val="111111"/>
          <w:sz w:val="28"/>
          <w:sz w:val="28"/>
          <w:szCs w:val="28"/>
          <w:rtl w:val="true"/>
          <w:lang w:bidi="fa-IR"/>
        </w:rPr>
        <w:t>علیه الاسم السابق وکان فیه آثار</w:t>
      </w:r>
      <w:r>
        <w:rPr>
          <w:rStyle w:val="FootnoteAnchor"/>
          <w:rtl w:val="true"/>
        </w:rPr>
        <w:footnoteReference w:id="928"/>
      </w:r>
      <w:r>
        <w:rPr>
          <w:rFonts w:ascii="IRNazanin" w:hAnsi="IRNazanin" w:eastAsia="IRNazanin"/>
          <w:color w:val="111111"/>
          <w:sz w:val="28"/>
          <w:sz w:val="28"/>
          <w:szCs w:val="28"/>
          <w:rtl w:val="true"/>
          <w:lang w:bidi="fa-IR"/>
        </w:rPr>
        <w:t xml:space="preserve">ذلک الشیء وخواصّه یحکم بنجاسته أو حرمته، وإن لم یصدق علیه ذلک الاسم، بل عُدَّ حقیقةً اُخری ذات أثر وخاصیّة اُخری یکون طاهراً وحلالاً </w:t>
      </w:r>
      <w:r>
        <w:rPr>
          <w:rStyle w:val="FootnoteAnchor"/>
          <w:rtl w:val="true"/>
        </w:rPr>
        <w:footnoteReference w:id="9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موضوعاً وحکماً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لو لم یکن أقوی کونه نجساً وحراماً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وأمّا نجاسة عرق الخمر فمن جهة أ نّه</w:t>
      </w:r>
      <w:bookmarkStart w:id="346" w:name="pg13273_135242"/>
    </w:p>
    <w:p>
      <w:pPr>
        <w:pStyle w:val="BookText"/>
        <w:rPr/>
      </w:pPr>
      <w:bookmarkEnd w:id="346"/>
      <w:r>
        <w:rPr>
          <w:rFonts w:ascii="IRNazanin" w:hAnsi="IRNazanin" w:eastAsia="IRNazanin"/>
          <w:color w:val="111111"/>
          <w:sz w:val="28"/>
          <w:sz w:val="28"/>
          <w:szCs w:val="28"/>
          <w:rtl w:val="true"/>
          <w:lang w:bidi="fa-IR"/>
        </w:rPr>
        <w:t>مسکر</w:t>
      </w:r>
      <w:r>
        <w:rPr>
          <w:rStyle w:val="FootnoteAnchor"/>
          <w:rtl w:val="true"/>
        </w:rPr>
        <w:footnoteReference w:id="930"/>
      </w:r>
      <w:r>
        <w:rPr>
          <w:rFonts w:ascii="IRNazanin" w:hAnsi="IRNazanin" w:eastAsia="IRNazanin"/>
          <w:color w:val="111111"/>
          <w:sz w:val="28"/>
          <w:sz w:val="28"/>
          <w:szCs w:val="28"/>
          <w:rtl w:val="true"/>
          <w:lang w:bidi="fa-IR"/>
        </w:rPr>
        <w:t>مایع، وکلّ مسکر نجس</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الانقلاب</w:t>
      </w:r>
      <w:r>
        <w:rPr>
          <w:rStyle w:val="FootnoteAnchor"/>
          <w:rtl w:val="true"/>
        </w:rPr>
        <w:footnoteReference w:id="9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الشبهة مصداقیّة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علی 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666588_2322387425"/>
      <w:bookmarkStart w:id="348" w:name="_Toc122"/>
      <w:bookmarkEnd w:id="347"/>
      <w:r>
        <w:rPr>
          <w:rtl w:val="true"/>
        </w:rPr>
        <w:t>السادس</w:t>
      </w:r>
      <w:r>
        <w:rPr>
          <w:rtl w:val="true"/>
        </w:rPr>
        <w:t xml:space="preserve">: </w:t>
      </w:r>
      <w:r>
        <w:rPr>
          <w:rtl w:val="true"/>
        </w:rPr>
        <w:t>ذهاب الثلثین</w:t>
      </w:r>
      <w:bookmarkEnd w:id="348"/>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الثلثین فی العصیر العنبی</w:t>
      </w:r>
      <w:r>
        <w:rPr>
          <w:rStyle w:val="FootnoteAnchor"/>
          <w:rtl w:val="true"/>
        </w:rPr>
        <w:footnoteReference w:id="933"/>
      </w:r>
      <w:r>
        <w:rPr>
          <w:rFonts w:ascii="IRNazanin" w:hAnsi="IRNazanin" w:eastAsia="IRNazanin"/>
          <w:color w:val="111111"/>
          <w:sz w:val="28"/>
          <w:sz w:val="28"/>
          <w:szCs w:val="28"/>
          <w:rtl w:val="true"/>
          <w:lang w:bidi="fa-IR"/>
        </w:rPr>
        <w:t>علی القول بنجاسته بالغلیان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عرفت</w:t>
      </w:r>
      <w:r>
        <w:rPr>
          <w:rStyle w:val="FootnoteAnchor"/>
          <w:rtl w:val="true"/>
        </w:rPr>
        <w:footnoteReference w:id="934"/>
      </w:r>
      <w:r>
        <w:rPr>
          <w:rFonts w:ascii="IRNazanin" w:hAnsi="IRNazanin" w:eastAsia="IRNazanin"/>
          <w:color w:val="111111"/>
          <w:sz w:val="28"/>
          <w:sz w:val="28"/>
          <w:szCs w:val="28"/>
          <w:rtl w:val="true"/>
          <w:lang w:bidi="fa-IR"/>
        </w:rPr>
        <w:t>أنّ المختار عدم نجاسته</w:t>
      </w:r>
      <w:r>
        <w:rPr>
          <w:rStyle w:val="FootnoteAnchor"/>
          <w:rtl w:val="true"/>
        </w:rPr>
        <w:footnoteReference w:id="9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نجاسته هی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الاحتیاط لا یُترک فیما إذا غلی بغیر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أنّ المختار حرمته ونجاسته لو غلی بنفسه، ولا یزول حکمه إلاّ بصیرورته خلاًّ، ولا أثر للتثلیث فیه أصلاً، وأمّا لو غلی بالنار فالمختار فیه الحرمة والطهارة، وبالتثلیث ترتفع حرمته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أنّ النجاسة هی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أنّ الأقوی حرمته ونجاسته لو غلی أو نشّ بنفسه، ولا یصیر طاهراً وحلالاً إلاّ بانقلابه خلاًّ، وأمّا لو غلی بالنار فلا إشکال فی حرمته، کما أنّ الأحوط نجاسته، ویرتفعان بالتثلیث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إذا غلی أو نشّ بغیر النار فالأحوط البناء علی نجاسته، ولا یطهر إلاّ بصیرورته 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الغلیان بالنار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الغلیان بالنار، وأمّا إذا کان بغیرها فالمستفاد من الأخبار أ نّه بحکم الخمر، أو بنفسه خمر موضوعاً، فلا یطهر إلاّ بالانقلاب إلی الخلّ، ولا یفید ذهاب الثلثین إلاّ فیما غلی بالنار بالنسبة إلی الحلّیّة فقط، وأمّا الطهارة فحاصلة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الغلیان بأی سببٍ حصل موجب للحرمة بلا إشکال، والنجاسة علی الأحوط، ومرّ أنّ الأقرب کون المُطهِّر والمُحلِّل ذهاب الثلثین بالنار حسب، سواء کان سبب الغلیان الشمس أم النار، أو الهواء، أو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نشّ أو غلی بنفسه فینحصر التحلیل والطهارة حینئذٍ بالتخلیل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منّا فی فصل النجاسات أنّ العصیر العنبی إذا نشّ بغیر النار أو غلی بغیر النار فالأحوط نجاسته، ولا یطهر بذهاب ثلثیه، وإنّما یطهر بانقلابه خلاًّ، ومثله العصیر الزبیبی إذا نشّ أو غلی بغیر النار علی الأحوط کذلک، وإذا غلی العصیر العنبی بالنار حرم ولم ینجس، فإذا ذهب ثلثاه بغلیانه بالنار أصبح حلالاً، ولا یحلّ بذهاب الثلثین بغیر النار، ولا ینجس العصیر الزبیبی ولا یحرم إذا غلی بالنار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حکم خصوصیّات هذه المسألة فالیراجع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المختار عدم نجاسته إذا غلی بالنار، ونجاسته إذا غلی بنفسه، ومطهّره فی صورة النجاسة هو الانقلاب خلاًّ، لا ذهاب الثلثین، فذهاب الثلثین لیس من المطهّرات ولو فی مورد، وإنّما یؤثّر فی الحلّیّة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9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سیّما إذا غلی أو نشّ بنفسه وتطهیره حینئذٍ بالتخلیل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الاجتناب عنه، فعلی المختار فائدة ذهاب الثلثین تظهر بالنسبة إلی الحرمة، وأمّا بالنسبة إلی النجاسة فتفید عدم الإشکال لمن أراد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التفصیل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المتیقّن حلّیّة ما کان غلیانه أو تثلیثه بالنار، فلا یکفی التثلیث بالهواء، بل ولا بالشمس، وأمّا ما کان غلیانه بغیر النار فالأظهر عدم طهره إلاّ بالتخلیل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قصر الذهاب علی الطبخ بالنار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ما یتعلّق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أن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الذهاب بالنار أو بالشمس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الاقتصار علی الذهاب بالنار فی الحلّیّة، وفی الطهارة علی القول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بالهواء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إلحاق الهواء بالنار مشکل، 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فیما إذا کان الذهاب بغیر النار، وکذا فی مطهّریّـته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الذهاب بالهواء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إن لم یکن أقوی الاقتصار علی الذهاب بالنار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الذهاب بالنار، ولإلحاق الشمس بها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الإشکال فی ذهاب الثلثین بالشمس أو بالهواء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الذهاب بهما تأمّل، سیّما فی الأخیر، إلاّ فی بعض الصور التی تقدّمت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سبق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هو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ذهاب الثلثین بالهواء مطهّراً علی القول بالنجاسة أو رافعاً للحرمة فقط بناءً علی عدم النجاسة إشکال؛ لأنّ المستفاد من ظاهر الأخبار غیر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ذهاب الثلثین بغیر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حلّیّة العصیر بالتثلیث إنّما تکون فیما إذا کان غلیانه وتثلیثه بالنار، أمّا التثلیث بالشمس والهواء ففیه إشکال، وما غلی بنفسه لا یحلّ علی الظاهر إلاّ بالتخلیل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الحلّیة بذهاب الثلثین بغیر النار فیما غلی بالنار، وکذا فی حلّیّة ما غلی بغیر النار إلاّ إذا صار 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اعتبار بذهاب الثلثین بالشمس أو بالهواء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لا فرق فی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3273_135246"/>
      <w:bookmarkStart w:id="350" w:name="pg13273_135246"/>
      <w:bookmarkEnd w:id="350"/>
    </w:p>
    <w:p>
      <w:pPr>
        <w:pStyle w:val="BookText"/>
        <w:rPr/>
      </w:pPr>
      <w:bookmarkStart w:id="351" w:name="pg13273_135246"/>
      <w:bookmarkEnd w:id="351"/>
      <w:r>
        <w:rPr>
          <w:rFonts w:ascii="IRNazanin" w:hAnsi="IRNazanin" w:eastAsia="IRNazanin"/>
          <w:color w:val="111111"/>
          <w:sz w:val="28"/>
          <w:sz w:val="28"/>
          <w:szCs w:val="28"/>
          <w:rtl w:val="true"/>
          <w:lang w:bidi="fa-IR"/>
        </w:rPr>
        <w:t>الغلیان</w:t>
      </w:r>
      <w:r>
        <w:rPr>
          <w:rStyle w:val="FootnoteAnchor"/>
          <w:rtl w:val="true"/>
        </w:rPr>
        <w:footnoteReference w:id="9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الإشکال فی مطهّریّة ذهاب الثلثین للمغلیّ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الموجب للنجاسة علی القول بها بین المذکورات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أنّ فی الحرمة بالغلیان الّتی لا إشکال فیها والحلّیّة بعد الذهاب 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أی لا فرق بین المذکورات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الفرق ثابت بالنسبة إلی ذلک أیضاً، فإن غلی بالشمس أو بالهواء لا یحلّ بذهاب الثلثین، بل لابدّ من أن ینقلب 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لاختصاص الحلّیّة بالذهاب بالنار علی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1666590_2322387425"/>
      <w:bookmarkStart w:id="353" w:name="_Toc123"/>
      <w:bookmarkEnd w:id="352"/>
      <w:r>
        <w:rPr>
          <w:rtl w:val="true"/>
        </w:rPr>
        <w:t>کیفیة تقدیر الثلث والثلثین</w:t>
      </w:r>
      <w:bookmarkEnd w:id="353"/>
    </w:p>
    <w:p>
      <w:pPr>
        <w:pStyle w:val="BookText"/>
        <w:rPr/>
      </w:pPr>
      <w:r>
        <w:rPr>
          <w:rFonts w:ascii="IRNazanin" w:hAnsi="IRNazanin" w:eastAsia="IRNazanin"/>
          <w:color w:val="111111"/>
          <w:sz w:val="28"/>
          <w:sz w:val="28"/>
          <w:szCs w:val="28"/>
          <w:rtl w:val="true"/>
          <w:lang w:bidi="fa-IR"/>
        </w:rPr>
        <w:t>وتقدیر الثلث والثلثین إمّا بالوزن</w:t>
      </w:r>
      <w:r>
        <w:rPr>
          <w:rStyle w:val="FootnoteAnchor"/>
          <w:rtl w:val="true"/>
        </w:rPr>
        <w:footnoteReference w:id="9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تقدیره بالوزن هو الأحوط خصوصاً فی مورد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عبرة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بالکیل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العبرة بالکیل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بالمساحة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التقدیر بالأوّل أولی وأحوط إن تیسّر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الکیل والمساحة مرجعهما واحد، وهو التقدیر بحسب الکمّ، وذهاب الثلثین بحسب الکمّ یتقدّم دائماً علی ذهابهما بحسب الوزن، کما لا یخفی، فلا معنی للتخییر بینهما، والأقوی کفایة الکیل والمساحة وعدم الحاجة إلی الوزن، ولعلّه مقصود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الاکتفاء بالتقدیر بالکیل أو المساحة، وهما یرجعان إلی شیء واحد، ویختلفان عن التقدیر بالوزن اختلافاً واضحاً وکبیراً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354" w:name="pg13273_135247"/>
    </w:p>
    <w:p>
      <w:pPr>
        <w:pStyle w:val="Heading3"/>
        <w:numPr>
          <w:ilvl w:val="2"/>
          <w:numId w:val="1"/>
        </w:numPr>
        <w:rPr/>
      </w:pPr>
      <w:bookmarkStart w:id="355" w:name="__RefHeading___Toc1666592_2322387425"/>
      <w:bookmarkStart w:id="356" w:name="_Toc124"/>
      <w:bookmarkEnd w:id="354"/>
      <w:bookmarkEnd w:id="355"/>
      <w:r>
        <w:rPr>
          <w:rtl w:val="true"/>
        </w:rPr>
        <w:t>طرق ثبوت ذهاب الثلثین</w:t>
      </w:r>
      <w:bookmarkEnd w:id="356"/>
    </w:p>
    <w:p>
      <w:pPr>
        <w:pStyle w:val="BookText"/>
        <w:rPr/>
      </w:pPr>
      <w:r>
        <w:rPr>
          <w:rFonts w:ascii="IRNazanin" w:hAnsi="IRNazanin" w:eastAsia="IRNazanin"/>
          <w:color w:val="111111"/>
          <w:sz w:val="28"/>
          <w:sz w:val="28"/>
          <w:szCs w:val="28"/>
          <w:rtl w:val="true"/>
          <w:lang w:bidi="fa-IR"/>
        </w:rPr>
        <w:t>ویثبت بالعلم وبالبیّنة، ولا یکفی الظنّ</w:t>
      </w:r>
      <w:r>
        <w:rPr>
          <w:rStyle w:val="FootnoteAnchor"/>
          <w:rtl w:val="true"/>
        </w:rPr>
        <w:footnoteReference w:id="9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بلغ حدّ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خبر العدل الواحد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الإثبات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أفاد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الثبوت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 مراراً، وأنّ المختار الاعتماد علیه فی صورة الطمأنینة وسکون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الثبوت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إخبار الثقة الواحد فکیف إذا کان عدلاً؟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الأظهر اعتبار خبر العدل الواحد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یثبت به وبالخبر الموثّق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أن یکون فی</w:t>
      </w:r>
      <w:bookmarkStart w:id="357" w:name="pg13273_135248"/>
    </w:p>
    <w:p>
      <w:pPr>
        <w:pStyle w:val="BookText"/>
        <w:rPr/>
      </w:pPr>
      <w:bookmarkEnd w:id="357"/>
      <w:r>
        <w:rPr>
          <w:rFonts w:ascii="IRNazanin" w:hAnsi="IRNazanin" w:eastAsia="IRNazanin"/>
          <w:color w:val="111111"/>
          <w:sz w:val="28"/>
          <w:sz w:val="28"/>
          <w:szCs w:val="28"/>
          <w:rtl w:val="true"/>
          <w:lang w:bidi="fa-IR"/>
        </w:rPr>
        <w:t>یده</w:t>
      </w:r>
      <w:r>
        <w:rPr>
          <w:rStyle w:val="FootnoteAnchor"/>
          <w:rtl w:val="true"/>
        </w:rPr>
        <w:footnoteReference w:id="940"/>
      </w:r>
      <w:r>
        <w:rPr>
          <w:rFonts w:ascii="IRNazanin" w:hAnsi="IRNazanin" w:eastAsia="IRNazanin"/>
          <w:color w:val="111111"/>
          <w:sz w:val="28"/>
          <w:sz w:val="28"/>
          <w:szCs w:val="28"/>
          <w:rtl w:val="true"/>
          <w:lang w:bidi="fa-IR"/>
        </w:rPr>
        <w:t xml:space="preserve">ویخبر بطهارته وحلّیّـته، وحینئذٍ یقبل قوله وإن لم یکن عادلاً </w:t>
      </w:r>
      <w:r>
        <w:rPr>
          <w:rStyle w:val="FootnoteAnchor"/>
          <w:rtl w:val="true"/>
        </w:rPr>
        <w:footnoteReference w:id="9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لاعتبار قول ذی الید مطلقاً إذا لم یعتقد بحلیته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یکن ممّن یستحلّه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ممّن یشربه وإن لم یکن مستحلاًّ کما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الأشربة المحرّمة، ح</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یکون متّهماً بشربه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ممّن یشربه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کان ممّن لا یشربه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ذهاب الثلثین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ممّن یشربه علی النصف أو 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1666594_2322387425"/>
      <w:bookmarkStart w:id="359" w:name="_Toc125"/>
      <w:bookmarkEnd w:id="358"/>
      <w:r>
        <w:rPr>
          <w:rtl w:val="true"/>
        </w:rPr>
        <w:t>فروع فی مطهریة ذهاب الثلثین</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نجاسة العصیر إذا قطرت منه قطرة بعد الغلیان علی الثوب أو البدن أو غیرهما یطهر بجفافه</w:t>
      </w:r>
      <w:r>
        <w:rPr>
          <w:rStyle w:val="FootnoteAnchor"/>
          <w:rtl w:val="true"/>
        </w:rPr>
        <w:footnoteReference w:id="9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یطهر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بذهاب ثلثیه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نعم القول بطهارته بالتبع لا یخلو من وجه قویّ، ویسهل الخطب أ نّه لا ینجس بالغلیان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کلام لا نتعرّض له، وکذا فی الفروع الآتیة المبنیّة علی النجاسة، وإنّما نتعرّض لما یرتبط بالحلّیّة والحرمة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بناءً</w:t>
      </w:r>
    </w:p>
    <w:p>
      <w:pPr>
        <w:pStyle w:val="BookText"/>
        <w:rPr/>
      </w:pPr>
      <w:r>
        <w:rPr>
          <w:rFonts w:ascii="IRNazanin" w:hAnsi="IRNazanin" w:eastAsia="IRNazanin"/>
          <w:color w:val="111111"/>
          <w:sz w:val="28"/>
          <w:sz w:val="28"/>
          <w:szCs w:val="28"/>
          <w:rtl w:val="true"/>
          <w:lang w:bidi="fa-IR"/>
        </w:rPr>
        <w:t>علی ما ذکرنا</w:t>
      </w:r>
      <w:r>
        <w:rPr>
          <w:rStyle w:val="FootnoteAnchor"/>
          <w:rtl w:val="true"/>
        </w:rPr>
        <w:footnoteReference w:id="9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تمامیّة هذا المبنی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الفرق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الأقرب قصر الحکم علی الذهاب بالنار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أن یکون بالنار أو بالهواء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التأمّل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صحّة هذا المبنی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المبنی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یطهر به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ممنوع کما تقدّم، وکذا ما بعده ممّا فرّعه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وعلی هذا فالآلات المستعملة فی طبخه تطهر</w:t>
      </w:r>
    </w:p>
    <w:p>
      <w:pPr>
        <w:pStyle w:val="BookText"/>
        <w:rPr/>
      </w:pPr>
      <w:r>
        <w:rPr>
          <w:rFonts w:ascii="IRNazanin" w:hAnsi="IRNazanin" w:eastAsia="IRNazanin"/>
          <w:color w:val="111111"/>
          <w:sz w:val="28"/>
          <w:sz w:val="28"/>
          <w:szCs w:val="28"/>
          <w:rtl w:val="true"/>
          <w:lang w:bidi="fa-IR"/>
        </w:rPr>
        <w:t>بالجفاف</w:t>
      </w:r>
      <w:r>
        <w:rPr>
          <w:rStyle w:val="FootnoteAnchor"/>
          <w:rtl w:val="true"/>
        </w:rPr>
        <w:footnoteReference w:id="9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تطهر بالجفاف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یذهب الثلثان ممّا فی القدر، ولا یحتاج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إجراء حکم التبعیّة، لکن لا یخلو 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بناءً علی النجاسة وإن کان المبنی ضعیفاً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بقاء نجاستها؛ استضعافاً لمستند احتمال الطهارة، سواء کان هو السیرة أم الَلغویّة أو الإطلاق المقامی فی النصوص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علی القول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یطهر بالجفاف إذا تنجّس المحلّ به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حیث إنّ المحلّ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تنجّس به أوّلاً لا ینفعه جفاف تلک القطرة أو ذهاب ثلثیها، والقدر المتیقّن من الطهر بالتبعیّة المحلّ المعدّ للطبخ، مثل القدر والآلات لا کلّ محلّ، کالثوب والبدن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النجاسة، فجریان حکم التبعیّة فی الثوب والبدن ونحوهما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الحصرم حبّة أو حبّـتان من العنب، فعصر واستهلک لا ینجس</w:t>
      </w:r>
      <w:r>
        <w:rPr>
          <w:rStyle w:val="FootnoteAnchor"/>
          <w:rtl w:val="true"/>
        </w:rPr>
        <w:footnoteReference w:id="945"/>
      </w:r>
      <w:r>
        <w:rPr>
          <w:rFonts w:ascii="IRNazanin" w:hAnsi="IRNazanin" w:eastAsia="IRNazanin"/>
          <w:color w:val="111111"/>
          <w:sz w:val="28"/>
          <w:sz w:val="28"/>
          <w:szCs w:val="28"/>
          <w:rtl w:val="true"/>
          <w:lang w:bidi="fa-IR"/>
        </w:rPr>
        <w:t>ولا یحرم بالغلیان</w:t>
      </w:r>
      <w:r>
        <w:rPr>
          <w:rStyle w:val="FootnoteAnchor"/>
          <w:rtl w:val="true"/>
        </w:rPr>
        <w:footnoteReference w:id="9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موضوع لهما بعد زوال الموضوع بالاستهلاک إذا کان الغلیان بعد الاستهلاک، بخلاف ما کان الغلیان قبل الاستهلاک فإنّه ینجس بناءً علی القول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إذا وقعت تلک الحبّة فی</w:t>
      </w:r>
    </w:p>
    <w:p>
      <w:pPr>
        <w:pStyle w:val="BookText"/>
        <w:rPr/>
      </w:pPr>
      <w:r>
        <w:rPr>
          <w:rFonts w:ascii="IRNazanin" w:hAnsi="IRNazanin" w:eastAsia="IRNazanin"/>
          <w:color w:val="111111"/>
          <w:sz w:val="28"/>
          <w:sz w:val="28"/>
          <w:szCs w:val="28"/>
          <w:rtl w:val="true"/>
          <w:lang w:bidi="fa-IR"/>
        </w:rPr>
        <w:t>القدر من المرق أو غیره فغلی</w:t>
      </w:r>
      <w:r>
        <w:rPr>
          <w:rStyle w:val="FootnoteAnchor"/>
          <w:rtl w:val="true"/>
        </w:rPr>
        <w:footnoteReference w:id="9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غلیان ماء حبّة العنب داخلها لا یوجب تحریماً ولا نجاسة، وإذا وقعت فی القدر وخرج ماؤها فإن استهلک قبل الغلیان لم یحرم کما فی ماء الحصرم، وإذا غلی قبل الاستهلاک حرم علی الأقوی ونجس علی القول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یصیر حراماً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ینجس ولا یحرم؛ لصدق الاستهلاک أیضاً، نعم إذا غلی ماء الحبّة وهو فی الجلد قبل أن ینقطع فالحکم کما فی المتن من النجاسة والحرمة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إذا کان المراد غلیان ما فی جوفه، وأمّا إذا کان المراد ماءه الخارج فیشترط عدم استهلاکه قبل الغلیان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حکمه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یستهلک، ولو استهلک بأن لا یبقی أثر الحلاوة فیه یجوز أکله، وکذا لو 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العنب إذا غلی لا یصیر حراماً ولا نجساً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القول</w:t>
      </w:r>
    </w:p>
    <w:p>
      <w:pPr>
        <w:pStyle w:val="BookText"/>
        <w:rPr/>
      </w:pPr>
      <w:r>
        <w:rPr>
          <w:rFonts w:ascii="Amiri" w:hAnsi="Amiri" w:eastAsia="Amiri" w:cs="Amiri"/>
          <w:color w:val="111111"/>
          <w:sz w:val="28"/>
          <w:sz w:val="28"/>
          <w:szCs w:val="28"/>
          <w:rtl w:val="true"/>
          <w:lang w:bidi="ar-SA"/>
        </w:rPr>
        <w:t>بالنجاسة</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صبّ العصیر الغالی قبل ذهاب ثلثیه فی الّذی ذهب ثلثاه</w:t>
      </w:r>
      <w:r>
        <w:rPr>
          <w:rStyle w:val="FootnoteAnchor"/>
          <w:rtl w:val="true"/>
        </w:rPr>
        <w:footnoteReference w:id="949"/>
      </w:r>
      <w:r>
        <w:rPr>
          <w:rFonts w:ascii="IRNazanin" w:hAnsi="IRNazanin" w:eastAsia="IRNazanin"/>
          <w:color w:val="111111"/>
          <w:sz w:val="28"/>
          <w:sz w:val="28"/>
          <w:szCs w:val="28"/>
          <w:rtl w:val="true"/>
          <w:lang w:bidi="fa-IR"/>
        </w:rPr>
        <w:t>، یشکل طهارته</w:t>
      </w:r>
      <w:r>
        <w:rPr>
          <w:rStyle w:val="FootnoteAnchor"/>
          <w:rtl w:val="true"/>
        </w:rPr>
        <w:footnoteReference w:id="9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بقاؤه علی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العدم، إلاّ أن یکون ما ذهب ثلثاه قلیلاً مستهلکاً فی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طهارته؛ لأنّ ما ذهب ثلثاه وطهر تنجّس بواسطة ملاقاته لذلک الّذی لم یذهب ثلثاه، وذهاب الثلثین لم یجعل مطهّراً فی الشرع لمثل هذه النجاسة العارضة، کلّ ذلک بناءً علی القول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عدمها علی القول بنجاسة الغالی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یبقی علی 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یقوی نجاسته بناءً علی هذا المبنی الضعیف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یطهر بناءً علی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یقوی عدم طهارته بناءً علی نجاسة العصیر بالغلیان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بقاؤه علی النجاسة ظاهر؛ لأنّ مطهّریّة ذهاب الثلثین یکون فیما إذا لم یذهب ثلثاه، بخلاف ما إذا ذهب ثلثاه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لظهور النصوص فی ارتفاع النجاسة الذاتیّة الحاصلة بسبب الغلیان بالذهاب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الطهارة فیها وفی الصورتین الأخیرتین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الاستصحاب یقتضی بقاء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ذهب ثلثا</w:t>
      </w:r>
    </w:p>
    <w:p>
      <w:pPr>
        <w:pStyle w:val="BookText"/>
        <w:rPr/>
      </w:pPr>
      <w:r>
        <w:rPr>
          <w:rFonts w:ascii="IRNazanin" w:hAnsi="IRNazanin" w:eastAsia="IRNazanin"/>
          <w:color w:val="111111"/>
          <w:sz w:val="28"/>
          <w:sz w:val="28"/>
          <w:szCs w:val="28"/>
          <w:rtl w:val="true"/>
          <w:lang w:bidi="fa-IR"/>
        </w:rPr>
        <w:t>المجموع</w:t>
      </w:r>
      <w:r>
        <w:rPr>
          <w:rStyle w:val="FootnoteAnchor"/>
          <w:rtl w:val="true"/>
        </w:rPr>
        <w:footnoteReference w:id="9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فالبقاء علی النجاسة فی هذا الفرض ظاهر؛ لأنّ مطهّریّة ذهاب الثلثین یکون فیما إذا لم یذهب ثلثاه بخلاف ما إذا 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ذهاب ثلثی المجموع بملاحظة بعد الصبّ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صیرورة الامتزاج، بحیث لا یذهب الثلثان منه قبل تمامیّة الذهاب من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فی الحکم بالحلّیّة علی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ذلک قبل ذهاب ثلثیه وإن کان ذهابه قریباً فلا بأس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یعتبر فیه ذهاب ثُلُثَی المجموع بحسب وزنه أو کیله بعد الصبّ، لا باعتبار ما کان لکلّ منهما قبل غلیانه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یعتبر حینئذٍ أن یذهب من المجموع مقدار ما بقی من أقلهما ذهاباً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ذهاب ثلثی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ویعتبر فی الحلّیّة وفی الطهارة علی القول بالتنجّس ذهاب ثلثی المجموع بعد الصبّ، ولا اعتبار بما ذهب قبل الصبّ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لابدّ من العلم بذهاب الثلثین من کلّ من العصیرین، وهو لا یحصل إلاّ بذهاب الثلثین من المجموع بعد الصبّ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ذهاب ثلثی المجموع بعد الصبّ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إحراز ذهاب ثلثی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ویعتبر ذهاب ثلثی المجموع بعد الصبّ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تساویهما فی المقدار الذاهب یکفی ذهاب البقیّة من المجموع فی الحکم بالحلّیّة، ومع عدم التساوی یجب ذهاب الحدّ الأکثر الباقی من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فبعد ذهاب ثلثی المجموع یحلّ ویطهر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أنّ فی الصورة الاُولی ورد العصیر النجس علی ما صار</w:t>
      </w:r>
    </w:p>
    <w:p>
      <w:pPr>
        <w:pStyle w:val="BookText"/>
        <w:rPr/>
      </w:pPr>
      <w:r>
        <w:rPr>
          <w:rFonts w:ascii="IRNazanin" w:hAnsi="IRNazanin" w:eastAsia="IRNazanin"/>
          <w:color w:val="111111"/>
          <w:sz w:val="28"/>
          <w:sz w:val="28"/>
          <w:szCs w:val="28"/>
          <w:rtl w:val="true"/>
          <w:lang w:bidi="fa-IR"/>
        </w:rPr>
        <w:t>طاهراً فیکون منجّساً له، بخلاف الثانیة فإنّه لم یصر بعد طاهراً فورد نجس علی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صبّ العصیر الّذی لم یغلِ علی الّذی غلی، فالظاهر عدم الإشکال</w:t>
      </w:r>
      <w:r>
        <w:rPr>
          <w:rStyle w:val="FootnoteAnchor"/>
          <w:rtl w:val="true"/>
        </w:rPr>
        <w:footnoteReference w:id="9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الإشکال فیه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ولعلّ السرّ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العرضیّة صارت ذاتیّة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کان الفرق بینه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الفرق بأنّ النجاسة العرضیة فی الصورة الاُولی لم تصر ذاتیة، فإنّ الذاهب ثلثاه لا یؤثّر الغلیان فی تنجیسه، ومتی تنجّس لا یطهر بتثلیثه بخلاف هذه الصورة، نعم ربّما یشکل بأنّ صیرورة العرضیة ذاتیة غیر مفیدة فی زوالها بالتثلیث، 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عدم صیرورة النجاسة العرضیّة ذاتیّة فی الصورة الاُولی حتّی تزول؛ لعدم تنجّس المثلّث بالغلیان بخلاف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الصورة الاُولی لا یخلو من</w:t>
      </w:r>
    </w:p>
    <w:p>
      <w:pPr>
        <w:pStyle w:val="BookText"/>
        <w:rPr/>
      </w:pPr>
      <w:r>
        <w:rPr>
          <w:rFonts w:ascii="IRNazanin" w:hAnsi="IRNazanin" w:eastAsia="IRNazanin"/>
          <w:color w:val="111111"/>
          <w:sz w:val="28"/>
          <w:sz w:val="28"/>
          <w:szCs w:val="28"/>
          <w:rtl w:val="true"/>
          <w:lang w:bidi="fa-IR"/>
        </w:rPr>
        <w:t>إشـــــکال</w:t>
      </w:r>
      <w:r>
        <w:rPr>
          <w:rStyle w:val="FootnoteAnchor"/>
          <w:rtl w:val="true"/>
        </w:rPr>
        <w:footnoteReference w:id="9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الفرق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تبیّن الفرق بین الصورتین وضعف الإشکال من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هو أنّ العصیر الغالی المثلّث لا ینجس بغلیانه ثانیاً نجاسة العصیر الغالی، فهو باقٍ علی نجاسته العرضیّة الّتی لا تزول بالتثلیث، بخلاف ما لم یغلِ بعد فإنّه ینجس بالغلیان نجاسة العصیر الّتی تزول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الفرق لوضوحه، لا لما ذکره قدس‌سره ، بل لأنّ المثلّث لو تنجّس لا یقبل التطهیر بالتثلیث ثـانیاً، بخلاف الثانیة فإنّ المغلیّ یطهر بالتثلیث، وکذا العصیر الوارد بعد الغلیان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أنّ العصیر المثلّث لا ینجس بغلیانه ثانیاً نجاسة تزول بالتثلیث، فیبقی علی نجاسته العرضیّة، بخلاف ما لم یغلِ بعد فإنّه ینجس بالغلیان نجاسة العصیر الّتی تزول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بعد کون نجاسة العصیر الغالی الذاهب ثلثاه عرضیّة غیر زائلة بالذهاب، بخلاف الغیر الغالی فکم من فرق بین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بالطهارة بناءً علی النجاسة فی الصور الثلاث مشکل، إلاّ إذا صبّ غیر الغالی فی الغالی الّذی لم ینقص؛ لإطلاق أخبار الباب؛ لبعد حملها جمیعاً علی ما صبّ فی الإناء دفعة مع أنّ المتعارف خلافه، بخلاف ما نقص منه؛ إذ لیس فیها إطلاق یشمله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أنّ المتنجّس بالنجاسة العرضیّة فی الصورة الاُولی لم یحصل له مطهّر، وذهاب ثلثی العصیر الوارد لیس مطهّراً للنجاسة العرضیّة الحاصلة للمورد، بخلاف الصورة الثانیة؛ لأ نّه بعد صیرورة النجاسة العرضیّة ذاتیّة بالغلیان، فبعد ذهاب ثلثیه یشمله ما دلّ علی أنّ ذهاب الثلثین مطهّر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الإشکال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الفرق واضح، فإنّ العصیر المثلّث لا ینجس بغلیانه نجاسة تزول بالتثلیث، فتبقی نجاسته العرضیّة، بخلاف ما لم یغلِ بعد، فإنّه بالغلیان ینجس نجاسة تزول بالتثلیث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الفرق واضح، فإنّه فی الثانی صارت النجاسة للعصیر غیر الغالی عرضیّة بالصبّ فی المغلی وتزول بالتثلیث، وفی الأوّل لا ینجّس العصیر المغلی المثلّث نجاسة العصیر الغالی غیره، فهو باقٍ علی نجاسته العرضیّة الّتی لا تزول بالتثلیث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ومحتــــــاج إلــــــی</w:t>
      </w:r>
    </w:p>
    <w:p>
      <w:pPr>
        <w:pStyle w:val="BookText"/>
        <w:rPr/>
      </w:pPr>
      <w:r>
        <w:rPr>
          <w:rFonts w:ascii="Amiri" w:hAnsi="Amiri" w:eastAsia="Amiri" w:cs="Amiri"/>
          <w:color w:val="111111"/>
          <w:sz w:val="28"/>
          <w:sz w:val="28"/>
          <w:szCs w:val="28"/>
          <w:rtl w:val="true"/>
          <w:lang w:bidi="ar-SA"/>
        </w:rPr>
        <w:t>التأمّل</w:t>
      </w:r>
      <w:r>
        <w:rPr>
          <w:rStyle w:val="FootnoteAnchor"/>
          <w:rtl w:val="true"/>
        </w:rPr>
        <w:footnoteReference w:id="9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واضح ولا یحتاج إلی التأمّل، وهو أ نّه فی الصورة الاُولی بعد ما طهر العصیر بذهاب الثلثین لو تنجّس ثانیاً بأیّ نجاسة کانت لا یطهر بذهاب الثلثین؛ لأنّ ذهاب الثلثین جعل مطهّراً لما لم یذهب ثلثاه، لا الّذی ذهب، وأمّا فی الصورة الثانیة فحیث إ نّه لم یذهب ثلثاه بعد فذهاب الثلثین کما أ نّه یرفع نجاسة غلیان نفسه کذلک یرفع النجاسة الآتیة من قبل الملاقاة للمغلیِّ غیر المثلّث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واضح ولا یحتاج إلی مزید تأمّل، فإنّه فی الأوّل لا تذهب النجاسة العرضیّة بحصول الذاتیّة، بخلاف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w:t>
      </w:r>
      <w:r>
        <w:rPr>
          <w:rStyle w:val="FootnoteAnchor"/>
          <w:rtl w:val="true"/>
        </w:rPr>
        <w:footnoteReference w:id="9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 فالأحوط حرمته بالغلیان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ثلثا العصیر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غیر غلیان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والّذی یسهّل الخطب أنّ هذه الفروع مبنیّة علی نجاسة العصیر بالغلیان بالنار، والمختار فیه الطهارة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حلّیّـته لا تخلو من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ینجس ویظهر وجهه ممّا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النظر فی مثله، فیشکل حلّیّـته وإن لم ینجس علی المختار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النجاسة علی المبنی والحرمة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الذهاب قبل الغلیان بغیره لا أثر له بعد ترتّب النجاسة والحرمة علی المغلی، بشرط صدق العصیر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بقاوءه علی حالته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حکمه حکم العصیر قبل التثلیث ما دام یصدق علیه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العصیر ما دام یکون معنوناً بهذا العنوان تترتّب علیه أحکامه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یحکم بحرمته بشرط خروجه عن عنوان العصیر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هی النجاسة بناءً علی ثبوتها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غلی بعد ذلک</w:t>
      </w:r>
      <w:r>
        <w:rPr>
          <w:rStyle w:val="FootnoteAnchor"/>
          <w:rtl w:val="true"/>
        </w:rPr>
        <w:footnoteReference w:id="9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تثلیثه قبل الغلیان لا یمنع من عروض الحرمة والنجاسة علیه بعده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حیث إنّه علی القول بالنجاسة ینجس ما صدق علیه العصیر بسبب الغلیان، سواء ذهب ثلثاه قبله أم لا، وکذلک الحکم من حیث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النجاسة خلاف ظاهر الأدلّة وإطلاقاتها، ودعوی الانصراف بلا 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علیه العصیر ترتّـب علیه ما یترتّب علی غلیانه من الحرمة، أو هی مع النجاسة علی القول بها، ولا أثر لذهاب ثلثیه قبل الغلیان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خصوصاً فیما إذا ذهب ثلثاه بالشمس أو بالهواء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إن لم یکن بالنار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نجاسة العصیر علی النشیش أو الغلیان بغیر النار کما تقدّم، سواء ذهب ثلثاه قبل ذلک أم لا ، ثمّ لا یطهر إلاّ بانقلابه خلاًّ، وإذا غلی بالنار حرم وإن ذهب ثلثاه قبل ذلک بغیر الغلیان، ویحلّ بذهاب ثلثیه بغلیانه بالنار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ذهاب الثلثین قبل الغلیان وجوده کعدمه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التمریّ</w:t>
      </w:r>
      <w:r>
        <w:rPr>
          <w:rStyle w:val="FootnoteAnchor"/>
          <w:rtl w:val="true"/>
        </w:rPr>
        <w:footnoteReference w:id="957"/>
      </w:r>
      <w:r>
        <w:rPr>
          <w:rFonts w:ascii="IRNazanin" w:hAnsi="IRNazanin" w:eastAsia="IRNazanin"/>
          <w:color w:val="111111"/>
          <w:sz w:val="28"/>
          <w:sz w:val="28"/>
          <w:szCs w:val="28"/>
          <w:rtl w:val="true"/>
          <w:lang w:bidi="fa-IR"/>
        </w:rPr>
        <w:t xml:space="preserve">أو </w:t>
      </w:r>
    </w:p>
    <w:p>
      <w:pPr>
        <w:pStyle w:val="BookText"/>
        <w:rPr/>
      </w:pPr>
      <w:r>
        <w:rPr>
          <w:rFonts w:ascii="Amiri" w:hAnsi="Amiri" w:eastAsia="Amiri" w:cs="Amiri"/>
          <w:color w:val="111111"/>
          <w:sz w:val="28"/>
          <w:sz w:val="28"/>
          <w:szCs w:val="28"/>
          <w:rtl w:val="true"/>
          <w:lang w:bidi="ar-SA"/>
        </w:rPr>
        <w:t>الزبیبیّ</w:t>
      </w:r>
      <w:r>
        <w:rPr>
          <w:rStyle w:val="FootnoteAnchor"/>
          <w:rtl w:val="true"/>
        </w:rPr>
        <w:footnoteReference w:id="9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حلّیّة العصیر الزبیبی، بل منعها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باب النجاسات ما هو المختار من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القول فی العصیر الزبیبی إذا نشّ أو غلی بغیر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 نّه لا ینبغی ترک الاحتیاط فی الزبیبی من حیث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حرمة الزبیبی دون التمری إذا غلیا بالنار، وأمّا لو غلیا بنفسهما فالأقوی فیهما الحرمة والنجاسة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الإشکال فی حلّیّة الزبیبی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العصیر الزبیبی من جهة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فی الزبیبی الحرمة والنجاسة بالغلیان بالنار، وطهارته وحلّیّـته بذهاب ثلثیه أو صیرورته خلاًّ، کما أنّ الأحوط الأقوی فی التمری والزبیبی إذا غلیا بنفسهما ذلک، وطهارتهما وحلّیتهما بصیرورتهما 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 الحرمة فی الزبیبی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هو الحرمة فی العصیر الزبیبی إذا غلی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ینجس بالغلیان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الأولی، بل الأحوط أن یجتنب من شرب الزبیبی وإن لم یسکر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مناط الحرمة والنجاسة فیهما هو الإسکار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الغلیان یبنی علی عدمه، کما أ نّه لو شکّ فی ذهاب الثلثین یبنی علی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 نّه حصرم</w:t>
      </w:r>
      <w:r>
        <w:rPr>
          <w:rStyle w:val="FootnoteAnchor"/>
          <w:rtl w:val="true"/>
        </w:rPr>
        <w:footnoteReference w:id="959"/>
      </w:r>
      <w:r>
        <w:rPr>
          <w:rFonts w:ascii="IRNazanin" w:hAnsi="IRNazanin" w:eastAsia="IRNazanin"/>
          <w:color w:val="111111"/>
          <w:sz w:val="28"/>
          <w:sz w:val="28"/>
          <w:szCs w:val="28"/>
          <w:rtl w:val="true"/>
          <w:lang w:bidi="fa-IR"/>
        </w:rPr>
        <w:t>أو عنب یبنی علی أ نّه حصرم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9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قریباً أنّ فی إلقاء الأشیاء الغیر متعارفة فی الحبّ شوب إشکال، والأحوط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الأحوط جعلها فی الحبّ بعد صیرورتها 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أفاده تامّ علی القول بعدم کون المتنجّس منجّساً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بجعل الباذنجان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کما ستأتی الإشارة إلی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البأس إنّما هو إذا لم یعلم بصیرورة ما فی الحبّ خمراً قبل أن یصیر 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مشکل إذا علم بصیرورته خمراً ثمّ خلاًّ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آل‌یاسین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فیه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بصیرورة ما فی الحبّ خمراً قبل أن یصیر 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شبهة وإشکال، فالأحوط الترک فیما لا یکون منضمّاً إلی التمر أو الزبیب أو العنب بالتبعیّة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الأولی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بل منع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إجراء حکم التبعیّة علی المذکورات فی هذه المسألة 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الأولی الترک بناءً علی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نقل بنجاسة العصیر بالغلیان وإلاّ ففیه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الخیار أو نحو ذلک فی</w:t>
      </w:r>
    </w:p>
    <w:p>
      <w:pPr>
        <w:pStyle w:val="BookText"/>
        <w:rPr/>
      </w:pPr>
      <w:r>
        <w:rPr>
          <w:rFonts w:ascii="Amiri" w:hAnsi="Amiri" w:eastAsia="Amiri" w:cs="Amiri"/>
          <w:color w:val="111111"/>
          <w:sz w:val="28"/>
          <w:sz w:val="28"/>
          <w:szCs w:val="28"/>
          <w:rtl w:val="true"/>
          <w:lang w:bidi="ar-SA"/>
        </w:rPr>
        <w:t>الحبّ</w:t>
      </w:r>
      <w:r>
        <w:rPr>
          <w:rStyle w:val="FootnoteAnchor"/>
          <w:rtl w:val="true"/>
        </w:rPr>
        <w:footnoteReference w:id="961"/>
      </w:r>
      <w:r>
        <w:rPr>
          <w:rFonts w:ascii="IRNazanin" w:hAnsi="IRNazanin" w:eastAsia="IRNazanin"/>
          <w:color w:val="111111"/>
          <w:sz w:val="28"/>
          <w:sz w:val="28"/>
          <w:szCs w:val="28"/>
          <w:rtl w:val="true"/>
          <w:lang w:bidi="fa-IR"/>
        </w:rPr>
        <w:t>مع ما جعل فیه</w:t>
      </w:r>
      <w:r>
        <w:rPr>
          <w:rStyle w:val="FootnoteAnchor"/>
          <w:rtl w:val="true"/>
        </w:rPr>
        <w:footnoteReference w:id="962"/>
      </w:r>
      <w:r>
        <w:rPr>
          <w:rFonts w:ascii="IRNazanin" w:hAnsi="IRNazanin" w:eastAsia="IRNazanin"/>
          <w:color w:val="111111"/>
          <w:sz w:val="28"/>
          <w:sz w:val="28"/>
          <w:szCs w:val="28"/>
          <w:rtl w:val="true"/>
          <w:lang w:bidi="fa-IR"/>
        </w:rPr>
        <w:t>من العنب أو التمر أو الزبیب لیصیر خلاًّ، أو بعد ذلک قبل أن یصیر خلاًّ، وإن کان بعد غلیانه</w:t>
      </w:r>
      <w:r>
        <w:rPr>
          <w:rStyle w:val="FootnoteAnchor"/>
          <w:rtl w:val="true"/>
        </w:rPr>
        <w:footnoteReference w:id="9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الخمر والمسکر، وأمّا فیهما فالأحوط الاقتصار علی ما یجعل فیهما للعلاج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قبله وعلم بحصوله بعد ذلک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حموضة الخلّ</w:t>
      </w:r>
      <w:r>
        <w:rPr>
          <w:rStyle w:val="FootnoteAnchor"/>
          <w:rtl w:val="true"/>
        </w:rPr>
        <w:footnoteReference w:id="964"/>
      </w:r>
      <w:r>
        <w:rPr>
          <w:rFonts w:ascii="IRNazanin" w:hAnsi="IRNazanin" w:eastAsia="IRNazanin"/>
          <w:color w:val="111111"/>
          <w:sz w:val="28"/>
          <w:sz w:val="28"/>
          <w:szCs w:val="28"/>
          <w:rtl w:val="true"/>
          <w:lang w:bidi="fa-IR"/>
        </w:rPr>
        <w:t xml:space="preserve">العنبیّ وصار مثل </w:t>
      </w:r>
    </w:p>
    <w:p>
      <w:pPr>
        <w:pStyle w:val="BookText"/>
        <w:rPr/>
      </w:pPr>
      <w:r>
        <w:rPr>
          <w:rFonts w:ascii="IRNazanin" w:hAnsi="IRNazanin" w:eastAsia="IRNazanin"/>
          <w:color w:val="111111"/>
          <w:sz w:val="28"/>
          <w:sz w:val="28"/>
          <w:szCs w:val="28"/>
          <w:rtl w:val="true"/>
          <w:lang w:bidi="fa-IR"/>
        </w:rPr>
        <w:t>الماء لا بأس به</w:t>
      </w:r>
      <w:r>
        <w:rPr>
          <w:rStyle w:val="FootnoteAnchor"/>
          <w:rtl w:val="true"/>
        </w:rPr>
        <w:footnoteReference w:id="965"/>
      </w:r>
      <w:r>
        <w:rPr>
          <w:rFonts w:ascii="IRNazanin" w:hAnsi="IRNazanin" w:eastAsia="IRNazanin"/>
          <w:color w:val="111111"/>
          <w:sz w:val="28"/>
          <w:sz w:val="28"/>
          <w:szCs w:val="28"/>
          <w:rtl w:val="true"/>
          <w:lang w:bidi="fa-IR"/>
        </w:rPr>
        <w:t>، إلاّ إذا غلی</w:t>
      </w:r>
      <w:r>
        <w:rPr>
          <w:rStyle w:val="FootnoteAnchor"/>
          <w:rtl w:val="true"/>
        </w:rPr>
        <w:footnoteReference w:id="9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غلی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ممنوع موضوعاً وحکماً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یصدق علیه أ نّه خلّ فاسد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صدق علیه عرفاً العصیر، أمّا لو صدق علیه الخلّ الفاسد فحاله حال الخلّ الصحیح فی عدم حرمته بالغلیان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یؤثّر الغلیان فی النجاسة والحرمة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للغلیان فی الحرمة والنجاسة إذا کان خلاًّ فاسداً، نعم إذا صدق علیه عرفاً العصیر یلحقه حکمه، فالتفصیل 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وصدق علیه العصیر العنبی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إذا غلی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غلی؛ لصدق الخلّ الفاسد علیه دون العصیر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غلی؛ إذ لا أثر لغلیان الخلّ الفاسد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غلی؛ لأ نّه خلّ فاسد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غلی ما دام کونه خلاًّ فاسداً، وفی المسألة صور اُخری یختلف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علیه الخلّ الفاسد، کما هو الظاهر لم یحرم ولم ینجس بالغلیان، نعم إذا صدق علیه العصیر العنبی جری فیه حکمه السابق، ولکنّه مجرّد 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فرض عدم صدق العصیر، وکونه خلاًّ فاسداً لا یؤثّر الغلیان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 الفاسد لا یکون عصیراً، فلا یترتب علیه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الغلیان لا یوجب نجاسته وحرمته إلاّ إذا صار مسکراً، وحینئذٍ مطهّره انقلابه خلاًّ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غلی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وصدق اسم العصیر علیه، وإن کان فی غایة البعد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لابدّ</w:t>
      </w:r>
    </w:p>
    <w:p>
      <w:pPr>
        <w:pStyle w:val="BookText"/>
        <w:rPr/>
      </w:pPr>
      <w:r>
        <w:rPr>
          <w:rFonts w:ascii="Amiri" w:hAnsi="Amiri" w:eastAsia="Amiri" w:cs="Amiri"/>
          <w:color w:val="111111"/>
          <w:sz w:val="28"/>
          <w:sz w:val="28"/>
          <w:szCs w:val="28"/>
          <w:rtl w:val="true"/>
          <w:lang w:bidi="ar-SA"/>
        </w:rPr>
        <w:t>حینئذٍ</w:t>
      </w:r>
      <w:r>
        <w:rPr>
          <w:rStyle w:val="FootnoteAnchor"/>
          <w:rtl w:val="true"/>
        </w:rPr>
        <w:footnoteReference w:id="9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اسم العصیر علیه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بناءاً علی صدق اسم العصیر علیه، وهو محل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لازم ولا ینجس ولا یحرم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ذهاب ثلثیه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عدّ خلاًّ فاسداً فالظاهر عدم حرمته ونجاسته بالغلیان حتّی یحتاج إلی التثلیث، نعم لو فرض عوده إلی العصیریّة بعد زوال الحموضة یعود حکمه، لکنّ الظاهر أ نّه مجرّد 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غلیانه بالنار لا تأثیر له فی حرمته ونجاسته، نعم لو فرض غلیانه بنفسه لم یبعد التحریم، لکنّ المزیل له حینئذٍ هو التخلیل لا 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 الفاسد لا ینجس بالغلیان حتّی یحتاج إلی التثلیث، نعم لو فرض العود إلی العصیریّة یعود حکمه، لکنّه مجرّد 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انقلابه خلاًّ ثانیاً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السیلان ـ وهو عصیر التمر أو ما یخرج منه بلا عصر ـ لا مانع من جعله فی الأمراق، ولا یلزم ذهاب ثلثیه</w:t>
      </w:r>
      <w:r>
        <w:rPr>
          <w:rStyle w:val="FootnoteAnchor"/>
          <w:rtl w:val="true"/>
        </w:rPr>
        <w:footnoteReference w:id="968"/>
      </w:r>
      <w:r>
        <w:rPr>
          <w:rFonts w:ascii="IRNazanin" w:hAnsi="IRNazanin" w:eastAsia="IRNazanin"/>
          <w:color w:val="111111"/>
          <w:sz w:val="28"/>
          <w:sz w:val="28"/>
          <w:szCs w:val="28"/>
          <w:rtl w:val="true"/>
          <w:lang w:bidi="fa-IR"/>
        </w:rPr>
        <w:t>کنفس التمر</w:t>
      </w:r>
      <w:r>
        <w:rPr>
          <w:rFonts w:eastAsia="IRNazanin" w:cs="IRNazanin"/>
          <w:color w:val="111111"/>
          <w:sz w:val="28"/>
          <w:szCs w:val="28"/>
          <w:rtl w:val="true"/>
          <w:lang w:bidi="fa-IR"/>
        </w:rPr>
        <w:t xml:space="preserve">. </w:t>
      </w:r>
      <w:bookmarkStart w:id="360" w:name="pg13273_135264"/>
    </w:p>
    <w:p>
      <w:pPr>
        <w:pStyle w:val="Heading3"/>
        <w:numPr>
          <w:ilvl w:val="2"/>
          <w:numId w:val="1"/>
        </w:numPr>
        <w:rPr/>
      </w:pPr>
      <w:bookmarkStart w:id="361" w:name="__RefHeading___Toc1666596_2322387425"/>
      <w:bookmarkStart w:id="362" w:name="_Toc126"/>
      <w:bookmarkEnd w:id="360"/>
      <w:bookmarkEnd w:id="361"/>
      <w:r>
        <w:rPr>
          <w:rtl w:val="true"/>
        </w:rPr>
        <w:t>السابع</w:t>
      </w:r>
      <w:r>
        <w:rPr>
          <w:rtl w:val="true"/>
        </w:rPr>
        <w:t xml:space="preserve">: </w:t>
      </w:r>
      <w:r>
        <w:rPr>
          <w:rtl w:val="true"/>
        </w:rPr>
        <w:t>الانتقال</w:t>
      </w:r>
      <w:bookmarkEnd w:id="362"/>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w:t>
      </w:r>
      <w:r>
        <w:rPr>
          <w:rStyle w:val="FootnoteAnchor"/>
          <w:rtl w:val="true"/>
        </w:rPr>
        <w:footnoteReference w:id="9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اختصاص الحکم بالدم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العناوین الّتی ذکرها المصنّف فی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وهو قد یجتمع مع عنوان الاستحالة، وقد یفترق، فما ذکره فی المقام من موارد الافتراق ومن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الاستحالة والاستهلاک، والانقلاب، وتبدّل الأجزاء، وتبدّل الأوصاف، وقد تقدّم أحکام جملة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1666598_2322387425"/>
      <w:bookmarkStart w:id="364" w:name="_Toc127"/>
      <w:bookmarkEnd w:id="363"/>
      <w:r>
        <w:rPr>
          <w:rtl w:val="true"/>
        </w:rPr>
        <w:t>انتقال دم الانسان إلی جوف البق</w:t>
      </w:r>
      <w:bookmarkEnd w:id="364"/>
    </w:p>
    <w:p>
      <w:pPr>
        <w:pStyle w:val="BookText"/>
        <w:rPr/>
      </w:pPr>
      <w:r>
        <w:rPr>
          <w:rFonts w:ascii="IRNazanin" w:hAnsi="IRNazanin" w:eastAsia="IRNazanin"/>
          <w:color w:val="111111"/>
          <w:sz w:val="28"/>
          <w:sz w:val="28"/>
          <w:szCs w:val="28"/>
          <w:rtl w:val="true"/>
          <w:lang w:bidi="fa-IR"/>
        </w:rPr>
        <w:t>کانتقال دم الإنسان أو غیره ممّا له نفس إلی جوف ما لا نفس له</w:t>
      </w:r>
      <w:r>
        <w:rPr>
          <w:rStyle w:val="FootnoteAnchor"/>
          <w:rtl w:val="true"/>
        </w:rPr>
        <w:footnoteReference w:id="9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 یکون له دم عرفاً، وأمّا فیما له دم فیتوقّف الحکم بالطهارة علی الاستحالة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کالبقّ والقُمّل، وکانتقال البول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النبات والشجر ونحوهما، ولابدّ من کونه علی وجه لا یسند إلی المنتقل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لابدّ فی الحکم بالطهارة من الإسناد إلی المنتقل إلیه، ومع الشکّ لا یحکم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یسند إلی المنتقل إلیه، فلو شک فی استناد الدم إلی المنتقل إلیه من البق والشجر ونحوهما یحکم بنجاسته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المضاف إلی المنتقل عنه وإلیه واضح، وإنّما الإشکال لو استند بالنظر العرفی إلی کلا الأمرین فلا یترک الاحتیاط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الاستناد إلی المنتقل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یشک فی استناده إلی المنتقل إلیه فیحکم بنجاسته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البقّ والقُمَّل والبرغوث فإنّه یحکم بالطهارة فیها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وإلاّ لم یطهر، کدم العلق بعد مصّه من الإنسان</w:t>
      </w:r>
      <w:r>
        <w:rPr>
          <w:rFonts w:eastAsia="IRNazanin" w:cs="IRNazanin"/>
          <w:color w:val="111111"/>
          <w:sz w:val="28"/>
          <w:szCs w:val="28"/>
          <w:rtl w:val="true"/>
          <w:lang w:bidi="fa-IR"/>
        </w:rPr>
        <w:t>.</w:t>
      </w:r>
      <w:bookmarkStart w:id="365" w:name="pg13273_135265"/>
    </w:p>
    <w:p>
      <w:pPr>
        <w:pStyle w:val="Heading3"/>
        <w:numPr>
          <w:ilvl w:val="2"/>
          <w:numId w:val="1"/>
        </w:numPr>
        <w:rPr/>
      </w:pPr>
      <w:bookmarkStart w:id="366" w:name="__RefHeading___Toc1666600_2322387425"/>
      <w:bookmarkStart w:id="367" w:name="_Toc128"/>
      <w:bookmarkEnd w:id="365"/>
      <w:bookmarkEnd w:id="366"/>
      <w:r>
        <w:rPr>
          <w:rtl w:val="true"/>
        </w:rPr>
        <w:t>حکم دم البق الخارج بعد قتله</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البقّ علی جسد الشخص فقتله وخرج منه الدم لم یحکم بنجاسته، إلاّ إذا علم</w:t>
      </w:r>
      <w:r>
        <w:rPr>
          <w:rStyle w:val="FootnoteAnchor"/>
          <w:rtl w:val="true"/>
        </w:rPr>
        <w:footnoteReference w:id="9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الحکم کذلک فی صورة الشک فی الاستناد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شک فی الانتقال حکم أیضاً بنجاسته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صورة الشکّ فی الاسناد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نّه هو الّذی مصّه من جسده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إلاّ إذا علم أ نّه لم ینتقل إلی جوفه حیّاً، أو شکّ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اُسند إلیه لا إلی البقّ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شکّ فی استناده إلی البقّ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شک فی الإسناد کما تقدّم، کما لو شک فی أنّ ما مصّه من الدم دخل جوفه أو لم یتعدّ خرطومه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لو شکّ فی استناد الممصوص إلی البقّ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وکذا مع الشکّ فی استناده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بالاستصحاب؛ للشکّ فی زواله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لو شکّ فی صحّة الإسناد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بحیث لم یعلم استناده إلی البقّ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تارةً معلوم استناده إلی المنتقل عنه فیتبعه حکمه، واُخری معلوم استناده إلی المنتقل إلیه فیکون کذلک، وثالثةً یشک فی استناده إلی واحد منهما، فلا یمکن التمسّک بکلا الدلیلین، لا دلیل المنتقل عنه، ولا المنتقل إلیه، فإن کان الشک فی بقاء الموضوع عرفاً بحیث لا یجری استصحاب النجاسة فالمرجع قاعدة الطهارة، وإلاّ فالمرجع هو الاستصحاب، فیکون کصورة العلم باستناده إلی المنتقل عنه حکماً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مع الشکّ فی إسناده إلی البقّ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لو شکّ فی إسناد الدم إلی البقّ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العلم بأنّه هو الّذی مصّه، والشکّ فی إسناده یحکم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لو قتل البقّ فی حال مصّه بدن الإنسان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وکذا إذا شکّ فی إسناده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مع الشکّ فی الانتقال والاستناد إلی البقّ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مع الشکّ فی الإسناد مع العلم بالمصّ وبقاء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یحکم بالنجاسة إذا شکّ فی استناده إلی البقّ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شکّ فی استناده إلی البقّ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فرض بعید؛ لأنّ الدم یعدّ غذاءً لمثل البقّ، ولا ینسب إلیه عرفاً، بخلاف العلق فإنّه یعدّ آلةً لإخراج الدم، وهو ممّا له دم، وقد عرفت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أو احتمالاً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فحینئذٍ یکون کدم</w:t>
      </w:r>
      <w:bookmarkStart w:id="368" w:name="pg13273_135266"/>
    </w:p>
    <w:p>
      <w:pPr>
        <w:pStyle w:val="BookText"/>
        <w:rPr/>
      </w:pPr>
      <w:bookmarkEnd w:id="368"/>
      <w:r>
        <w:rPr>
          <w:rFonts w:ascii="IRNazanin" w:hAnsi="IRNazanin" w:eastAsia="IRNazanin"/>
          <w:color w:val="111111"/>
          <w:sz w:val="28"/>
          <w:sz w:val="28"/>
          <w:szCs w:val="28"/>
          <w:rtl w:val="true"/>
          <w:lang w:bidi="fa-IR"/>
        </w:rPr>
        <w:t>العلق</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1666602_2322387425"/>
      <w:bookmarkStart w:id="370" w:name="_Toc129"/>
      <w:bookmarkEnd w:id="369"/>
      <w:r>
        <w:rPr>
          <w:rtl w:val="true"/>
        </w:rPr>
        <w:t>الثامن</w:t>
      </w:r>
      <w:r>
        <w:rPr>
          <w:rtl w:val="true"/>
        </w:rPr>
        <w:t xml:space="preserve">: </w:t>
      </w:r>
      <w:r>
        <w:rPr>
          <w:rtl w:val="true"/>
        </w:rPr>
        <w:t>الإسلام</w:t>
      </w:r>
      <w:bookmarkEnd w:id="370"/>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مطهّر لبدن الکافر</w:t>
      </w:r>
      <w:r>
        <w:rPr>
          <w:rStyle w:val="FootnoteAnchor"/>
          <w:rtl w:val="true"/>
        </w:rPr>
        <w:footnoteReference w:id="9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المحکوم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ورطوباته المتّصلة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من بصاقه وعرقه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الاحتیاط فی العرق الکائن علی بدنه المترشّح فی زمان کفره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ونخامته</w:t>
      </w:r>
      <w:bookmarkStart w:id="371" w:name="pg13273_135267"/>
    </w:p>
    <w:p>
      <w:pPr>
        <w:pStyle w:val="BookText"/>
        <w:rPr/>
      </w:pPr>
      <w:bookmarkEnd w:id="371"/>
      <w:r>
        <w:rPr>
          <w:rFonts w:ascii="IRNazanin" w:hAnsi="IRNazanin" w:eastAsia="IRNazanin"/>
          <w:color w:val="111111"/>
          <w:sz w:val="28"/>
          <w:sz w:val="28"/>
          <w:szCs w:val="28"/>
          <w:rtl w:val="true"/>
          <w:lang w:bidi="fa-IR"/>
        </w:rPr>
        <w:t>والوسخ</w:t>
      </w:r>
      <w:r>
        <w:rPr>
          <w:rStyle w:val="FootnoteAnchor"/>
          <w:rtl w:val="true"/>
        </w:rPr>
        <w:footnoteReference w:id="9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الغیر المرئی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الکائن علی بدنه، وأمّا النجاسة الخارجیّة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کانت حین إسلامه علی بدنه یجب علیه إزالتها وغسل محلّها، ولو اُزیلت عین النجاسة قبل إسلامه یجب علیه غسل محلّها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زالت عینها ففی طهارته منها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هو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عدم تأثیر النجاسة فی محلّ النجس، وإلاّ فالأقوی خلافه؛ لوجوب إزالة هذه النجاسة العارضة بعد عدم صلاحیّة الإسلام لرفعه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الاصطهباناتی،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کونه أقوی 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غیر ثابتة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لأنّ الإسلام یرفع النجاسة الآتیة من قبل الکفر، لا النجاسة التی لا یفرّق فیها بین المسلم والکافر وکلاهما فیه سواء، وهکذا بالنسبة إلی ألبسته وأوانیه وسائر ما یمسَّه ببدنه تطهر بالتبعیّة فیما إذا کانت نجاستها من ناحیّة الکفر، کملاقاته معها مع الرطوبة حال الکفر، وأمّا لو تنجّست بالنجاسات الاُخر فلا تطهر بإسلامه، فقول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الأقوی فیما لم یکن علی بدنه فعلاً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خلافه، والأحوط المعاملة مع عرقه معاملة سائر النجاسات الخارجیة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والأحوط عدم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غیر ثابتة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2" w:name="__RefHeading___Toc1666604_2322387425"/>
      <w:bookmarkStart w:id="373" w:name="_Toc130"/>
      <w:bookmarkEnd w:id="372"/>
      <w:r>
        <w:rPr>
          <w:rtl w:val="true"/>
        </w:rPr>
        <w:t>فیما یطهر بالإسلام من الکافر</w:t>
      </w:r>
      <w:bookmarkEnd w:id="373"/>
    </w:p>
    <w:p>
      <w:pPr>
        <w:pStyle w:val="BookText"/>
        <w:rPr/>
      </w:pPr>
      <w:r>
        <w:rPr>
          <w:rFonts w:ascii="IRNazanin" w:hAnsi="IRNazanin" w:eastAsia="IRNazanin"/>
          <w:color w:val="111111"/>
          <w:sz w:val="28"/>
          <w:sz w:val="28"/>
          <w:szCs w:val="28"/>
          <w:rtl w:val="true"/>
          <w:lang w:bidi="fa-IR"/>
        </w:rPr>
        <w:t>ثیابه</w:t>
      </w:r>
      <w:r>
        <w:rPr>
          <w:rStyle w:val="FootnoteAnchor"/>
          <w:rtl w:val="true"/>
        </w:rPr>
        <w:footnoteReference w:id="975"/>
      </w:r>
      <w:r>
        <w:rPr>
          <w:rFonts w:ascii="IRNazanin" w:hAnsi="IRNazanin" w:eastAsia="IRNazanin"/>
          <w:color w:val="111111"/>
          <w:sz w:val="28"/>
          <w:sz w:val="28"/>
          <w:szCs w:val="28"/>
          <w:rtl w:val="true"/>
          <w:lang w:bidi="fa-IR"/>
        </w:rPr>
        <w:t>الّتی لاقاها حال الکفر مع الرطوبة لا تطهر علی الأحوط</w:t>
      </w:r>
      <w:r>
        <w:rPr>
          <w:rStyle w:val="FootnoteAnchor"/>
          <w:rtl w:val="true"/>
        </w:rPr>
        <w:footnoteReference w:id="976"/>
      </w:r>
      <w:r>
        <w:rPr>
          <w:rFonts w:ascii="IRNazanin" w:hAnsi="IRNazanin" w:eastAsia="IRNazanin"/>
          <w:color w:val="111111"/>
          <w:sz w:val="28"/>
          <w:sz w:val="28"/>
          <w:szCs w:val="28"/>
          <w:rtl w:val="true"/>
          <w:lang w:bidi="fa-IR"/>
        </w:rPr>
        <w:t>، بل هو الأقوی</w:t>
      </w:r>
      <w:r>
        <w:rPr>
          <w:rStyle w:val="FootnoteAnchor"/>
          <w:rtl w:val="true"/>
        </w:rPr>
        <w:footnoteReference w:id="9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القوّة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لم یکن علی بدنه</w:t>
      </w:r>
    </w:p>
    <w:p>
      <w:pPr>
        <w:pStyle w:val="BookText"/>
        <w:rPr/>
      </w:pPr>
      <w:r>
        <w:rPr>
          <w:rFonts w:ascii="Amiri" w:hAnsi="Amiri" w:eastAsia="Amiri" w:cs="Amiri"/>
          <w:color w:val="111111"/>
          <w:sz w:val="28"/>
          <w:sz w:val="28"/>
          <w:szCs w:val="28"/>
          <w:rtl w:val="true"/>
          <w:lang w:bidi="ar-SA"/>
        </w:rPr>
        <w:t>فعلاً</w:t>
      </w:r>
      <w:r>
        <w:rPr>
          <w:rStyle w:val="FootnoteAnchor"/>
          <w:rtl w:val="true"/>
        </w:rPr>
        <w:footnoteReference w:id="9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کان علی بدنه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کان علی بدنه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فیما علی بدنه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وفیما علی بدنه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التبعیة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وما کان علی بدنه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وما کان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الکافر بین الأصلی والمرتدّ الملّی، بل الفطری أیضاً </w:t>
      </w:r>
      <w:r>
        <w:rPr>
          <w:rStyle w:val="FootnoteAnchor"/>
          <w:rtl w:val="true"/>
        </w:rPr>
        <w:footnoteReference w:id="979"/>
      </w:r>
      <w:r>
        <w:rPr>
          <w:rFonts w:ascii="IRNazanin" w:hAnsi="IRNazanin" w:eastAsia="IRNazanin"/>
          <w:color w:val="111111"/>
          <w:sz w:val="28"/>
          <w:sz w:val="28"/>
          <w:szCs w:val="28"/>
          <w:rtl w:val="true"/>
          <w:lang w:bidi="fa-IR"/>
        </w:rPr>
        <w:t>علی الأقوی</w:t>
      </w:r>
      <w:r>
        <w:rPr>
          <w:rStyle w:val="FootnoteAnchor"/>
          <w:rtl w:val="true"/>
        </w:rPr>
        <w:footnoteReference w:id="9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بالنسبة إلی الفطری إشکال؛ لحدیث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المرتدّ،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قبول توبته باطناً وظاهراً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قبول توبة الرجل المرتد عن فطرة ظاهراً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قبول توبة الفطری ظاهراً، وطهارة بدنه، وتملّک ما اکتسبه بعد التوبة، وفی تزویجه بالمسلمة بعقد جدید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قبول توبته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فتقبل</w:t>
      </w:r>
    </w:p>
    <w:p>
      <w:pPr>
        <w:pStyle w:val="BookText"/>
        <w:rPr/>
      </w:pPr>
      <w:r>
        <w:rPr>
          <w:rFonts w:ascii="IRNazanin" w:hAnsi="IRNazanin" w:eastAsia="IRNazanin"/>
          <w:color w:val="111111"/>
          <w:sz w:val="28"/>
          <w:sz w:val="28"/>
          <w:szCs w:val="28"/>
          <w:rtl w:val="true"/>
          <w:lang w:bidi="fa-IR"/>
        </w:rPr>
        <w:t>عباداته ویطهر بدنه، نعم یجب قتله إن أمکن، وتبین زوجته وتعتدّ عدّة الوفاة، وتنتقل أمواله الموجودة حال الارتداد إلی ورثته، ولا تسقط هذه الأحکام</w:t>
      </w:r>
      <w:r>
        <w:rPr>
          <w:rStyle w:val="FootnoteAnchor"/>
          <w:rtl w:val="true"/>
        </w:rPr>
        <w:footnoteReference w:id="9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علی قول نادر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بالتوبة، لکن یملک ما اکتسبه بعد التوبة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یملک ما اکتسبه قبل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تملّکه المکتسب لا یتوقف علی التوبة أو قبولها، بل یتملّک وینتقل منه إلی الورثة، ویمکن توجیه کلامه بإرادة الملکیّة المستقرّة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ما اکتسبه بعد کفره قبل توبته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ملکه ما اکتسبه قبلها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اکتسبه قبل التوبة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وما اکتسبه بعد الارتداد ولو قبل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قبلها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 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الرجوع إلی زوجته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رجوعه بعقد جدید لا إشکال فیه، إنّما الإشکال فی عقده علیها فی عدّتها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أبدیّة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بعقد جدید، حتّی قبل خروج</w:t>
      </w:r>
      <w:bookmarkStart w:id="374" w:name="pg13273_135271"/>
    </w:p>
    <w:p>
      <w:pPr>
        <w:pStyle w:val="BookText"/>
        <w:rPr/>
      </w:pPr>
      <w:bookmarkEnd w:id="374"/>
      <w:r>
        <w:rPr>
          <w:rFonts w:ascii="Amiri" w:hAnsi="Amiri" w:eastAsia="Amiri" w:cs="Amiri"/>
          <w:color w:val="111111"/>
          <w:sz w:val="28"/>
          <w:sz w:val="28"/>
          <w:szCs w:val="28"/>
          <w:rtl w:val="true"/>
          <w:lang w:bidi="ar-SA"/>
        </w:rPr>
        <w:t>العدّة</w:t>
      </w:r>
      <w:r>
        <w:rPr>
          <w:rStyle w:val="FootnoteAnchor"/>
          <w:rtl w:val="true"/>
        </w:rPr>
        <w:footnoteReference w:id="9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الصورة محلّ إشکال، فلا یُترک الاحتیاط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أقوائیته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1666606_2322387425"/>
      <w:bookmarkStart w:id="376" w:name="_Toc131"/>
      <w:bookmarkEnd w:id="375"/>
      <w:r>
        <w:rPr>
          <w:rtl w:val="true"/>
        </w:rPr>
        <w:t>فیما یتحقق به الإسلام</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الحکم بإسلام الکافر إظهاره الشهادتین وإن لم یعلم موافقة قلبه لِلِسانه، لا مع العلم بالمخالفة</w:t>
      </w:r>
      <w:r>
        <w:rPr>
          <w:rStyle w:val="FootnoteAnchor"/>
          <w:rtl w:val="true"/>
        </w:rPr>
        <w:footnoteReference w:id="9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علم عدم بنائه قلباً علی التدیّن بدین الإسلام والالتزام بلوازمه، لا إذا علم عدم یقینه بما یظهر فإنّه لا ینافی الحکم بإسلامه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لا یعقد قلبه علی مضمون الشهادتین، وإلاّ فهو مسلم وإن کان شاکّاً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الأخبار الکثیرة أنّ لنفس الإسلام الظاهری ما لم یُظهر جحوداً وإنکاراً آثاراً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مجرّد الإظهار ولو مع العلم بالمخالفة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الاعتناق الصوری بالإسلام وأحکامه کافٍ فی الحکم بالإسلام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الکفایة معه أیضاً إذا کان المظهِر للشهادتین جاریاً علی طبق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العلم أیضاً إن لم یظهر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العلم بها أیضاً إن عمِل بالأحکام الإسلامیة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إجراء حکم الإسلام العامّ علیه، حتّی مع العلم بالمخالفة لما فی قلبه إذا لم یظهر ما یخالف الإسلام کما فی المنافقین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یبعد الحکم بالإسلام إذا أظهر استعداده للعمل بالإسلام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مع العلم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معه أیضاً ما لم یجحد ولم ینکر بلسانه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بأنّه یعتقد بمفاد إقراره مع العمل بأحکام الإسلام یحکم بإسلامه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علم أنّه لم یصِر مسلماً من قبله فما لم یظهر الکفر المنافی لإقراره فهو طاهر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العلم بها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قبول إسلام</w:t>
      </w:r>
      <w:r>
        <w:rPr>
          <w:rStyle w:val="FootnoteAnchor"/>
          <w:rtl w:val="true"/>
        </w:rPr>
        <w:footnoteReference w:id="9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لإطلاق دلیل التبعیّة، ومع المعارضة لإطلاق دلیل الشهادتین فی المطهّریّة یرجع إلی استصحاب أحکامه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کما فی عکسه، وقد مرّ منّا فی باب النجاسات ما هو مرتبط بالمقام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الصبیّ الممیّز إذا کان عن بصیرة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عدم دخالتها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3273_135273"/>
    </w:p>
    <w:p>
      <w:pPr>
        <w:pStyle w:val="BookText"/>
        <w:rPr/>
      </w:pPr>
      <w:bookmarkEnd w:id="3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Style w:val="FootnoteAnchor"/>
          <w:rtl w:val="true"/>
        </w:rPr>
        <w:footnoteReference w:id="9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بفرعیها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توجبه الحکومة الشرعیة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الوجوب بعد حکم الحاکم بلزوم 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بعد حکم الحاکم الشرعی بلزوم قتله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المرتدّ الفطری بعد التوبة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قبلها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قبلها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تعریض نفسه للقتل، بل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خصوصاً إذا أراد الحاکم إجراءه فإنّ الظاهر عدم الجواز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له الدفاع عن نفسه ـ کما یجوز لغیره ـ ولا تکذیب الشاهدین، نعم یجوز له الفرار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الممانعة منه، وإن وجب قتله علی غیره</w:t>
      </w:r>
      <w:r>
        <w:rPr>
          <w:rFonts w:eastAsia="IRNazanin" w:cs="IRNazanin"/>
          <w:color w:val="111111"/>
          <w:sz w:val="28"/>
          <w:szCs w:val="28"/>
          <w:rtl w:val="true"/>
          <w:lang w:bidi="fa-IR"/>
        </w:rPr>
        <w:t>.</w:t>
      </w:r>
    </w:p>
    <w:p>
      <w:pPr>
        <w:pStyle w:val="Heading3"/>
        <w:numPr>
          <w:ilvl w:val="2"/>
          <w:numId w:val="1"/>
        </w:numPr>
        <w:rPr/>
      </w:pPr>
      <w:bookmarkStart w:id="378" w:name="__RefHeading___Toc1666608_2322387425"/>
      <w:bookmarkStart w:id="379" w:name="_Toc132"/>
      <w:bookmarkEnd w:id="378"/>
      <w:r>
        <w:rPr>
          <w:rtl w:val="true"/>
        </w:rPr>
        <w:t>التاسع</w:t>
      </w:r>
      <w:r>
        <w:rPr>
          <w:rtl w:val="true"/>
        </w:rPr>
        <w:t xml:space="preserve">: </w:t>
      </w:r>
      <w:r>
        <w:rPr>
          <w:rtl w:val="true"/>
        </w:rPr>
        <w:t>التبعیة</w:t>
      </w:r>
      <w:bookmarkEnd w:id="379"/>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التبعیّة وهی فی موارد</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 فضلات الکافر</w:t>
      </w:r>
      <w:r>
        <w:rPr>
          <w:rStyle w:val="FootnoteAnchor"/>
          <w:rtl w:val="true"/>
        </w:rPr>
        <w:footnoteReference w:id="988"/>
      </w:r>
      <w:r>
        <w:rPr>
          <w:rFonts w:ascii="Amiri" w:hAnsi="Amiri" w:eastAsia="Amiri" w:cs="Amiri"/>
          <w:color w:val="111111"/>
          <w:sz w:val="28"/>
          <w:sz w:val="28"/>
          <w:szCs w:val="28"/>
          <w:rtl w:val="true"/>
          <w:lang w:bidi="ar-SA"/>
        </w:rPr>
        <w:t>المتّصلة ببدنه کما مرّ</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 ولد الکافر له فی الإسلام</w:t>
      </w:r>
      <w:r>
        <w:rPr>
          <w:rStyle w:val="FootnoteAnchor"/>
          <w:rtl w:val="true"/>
        </w:rPr>
        <w:footnoteReference w:id="9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 کفالته ولم یکن ممیِّزاً ولم یظهر الکفر، وإلاّ ففیه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 یکون الولد مظهراً للکفر مع تمییزه، وکذا الحال فی تبعیّة الأسیر للمسلم الّذی أسره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الولد ممیِّزاً ولم یعترف بالإسلام، أو أظهر الکفر فالحکم بطهارته بالتبعیّة مشکل، ولعلّ الأقوی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إظهار الولد البقاء علی 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یکن الولد ممیِّزاً مظهراً للکفر، وکذا فی تبعیّة الأسیر للمسلم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التبعیّة، بل الحکم بالطهارة من باب عدم الدلیل علی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یکن ممیِّزاً، وکذا الحال فی تبعیة الأسیر للمسلم الذی أسره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یشترط فی طهارة الطفل أن لا یظهر الکفر إذا کان ممیّزاً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کونه محکوماً بالنجاسة تبعاً، لا بها أصالةً ولا بالطهارة کذلک، کما لو کان ممیّزاً واختار الکفر أو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ولا یبعد اختصاص الطهارة التبعیّة فی الولد، وبما إذا کان مع من أسلم بأن یکون تحت کفالته ورعایته، بل وأن لا یکون معه کافر أقرب منه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أباً کان أو جدّاً أو 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 الأســـیر</w:t>
      </w:r>
      <w:r>
        <w:rPr>
          <w:rStyle w:val="FootnoteAnchor"/>
          <w:rtl w:val="true"/>
        </w:rPr>
        <w:footnoteReference w:id="9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عدم التبعیّة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الطهارة التبعیّة فیه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محلّ 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إظهار الأسیر الصغیر البقاء علی الکفر علی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التبعیّة لا دخل لها، بل الطهارة من باب عدم المقتضی للنجاسة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للمســـلم الّـــذی</w:t>
      </w:r>
    </w:p>
    <w:p>
      <w:pPr>
        <w:pStyle w:val="BookText"/>
        <w:rPr/>
      </w:pPr>
      <w:r>
        <w:rPr>
          <w:rFonts w:ascii="IRNazanin" w:hAnsi="IRNazanin" w:eastAsia="IRNazanin"/>
          <w:color w:val="111111"/>
          <w:sz w:val="28"/>
          <w:sz w:val="28"/>
          <w:szCs w:val="28"/>
          <w:rtl w:val="true"/>
          <w:lang w:bidi="fa-IR"/>
        </w:rPr>
        <w:t>أسره</w:t>
      </w:r>
      <w:r>
        <w:rPr>
          <w:rStyle w:val="FootnoteAnchor"/>
          <w:rtl w:val="true"/>
        </w:rPr>
        <w:footnoteReference w:id="9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إذا کان غیر بالغ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بالشرط المتقدّم فی 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معه أبوه أو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w:t>
      </w:r>
      <w:r>
        <w:rPr>
          <w:rStyle w:val="FootnoteAnchor"/>
          <w:rtl w:val="true"/>
        </w:rPr>
        <w:footnoteReference w:id="993"/>
      </w:r>
      <w:r>
        <w:rPr>
          <w:rFonts w:ascii="IRNazanin" w:hAnsi="IRNazanin" w:eastAsia="IRNazanin"/>
          <w:color w:val="111111"/>
          <w:sz w:val="28"/>
          <w:sz w:val="28"/>
          <w:szCs w:val="28"/>
          <w:rtl w:val="true"/>
          <w:lang w:bidi="fa-IR"/>
        </w:rPr>
        <w:t>ظرف الخمر له بانقلابه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تغسـیــل المیّت</w:t>
      </w:r>
      <w:r>
        <w:rPr>
          <w:rStyle w:val="FootnoteAnchor"/>
          <w:rtl w:val="true"/>
        </w:rPr>
        <w:footnoteReference w:id="9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انغسالها معه، وإلاّ ففیه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المتیقّن من الحکم بالطهارة بالتبعیة فیه وفی السادس وفی السابع والثامن هو ما لو لم یحکم بالطهارة فیها کان الحکم بطهارة المتبوع لغواً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 قامت السیرة علی عدم تطهیرها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جرت السیرة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الحکم بطهارة بدن الغاسل وثیابه تبعاً للمیّت محلّ إشکال، والأحوط الاقتصار علی ید الغاسل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مـــن</w:t>
      </w:r>
    </w:p>
    <w:p>
      <w:pPr>
        <w:pStyle w:val="BookText"/>
        <w:rPr/>
      </w:pPr>
      <w:r>
        <w:rPr>
          <w:rFonts w:ascii="Amiri" w:hAnsi="Amiri" w:eastAsia="Amiri" w:cs="Amiri"/>
          <w:color w:val="111111"/>
          <w:sz w:val="28"/>
          <w:sz w:val="28"/>
          <w:szCs w:val="28"/>
          <w:rtl w:val="true"/>
          <w:lang w:bidi="ar-SA"/>
        </w:rPr>
        <w:t>السدّة</w:t>
      </w:r>
      <w:r>
        <w:rPr>
          <w:rStyle w:val="FootnoteAnchor"/>
          <w:rtl w:val="true"/>
        </w:rPr>
        <w:footnoteReference w:id="995"/>
      </w:r>
      <w:r>
        <w:rPr>
          <w:rFonts w:ascii="IRNazanin" w:hAnsi="IRNazanin" w:eastAsia="IRNazanin"/>
          <w:color w:val="111111"/>
          <w:sz w:val="28"/>
          <w:sz w:val="28"/>
          <w:szCs w:val="28"/>
          <w:rtl w:val="true"/>
          <w:lang w:bidi="fa-IR"/>
        </w:rPr>
        <w:t>والثوب الّذی یغسله فیه</w:t>
      </w:r>
      <w:r>
        <w:rPr>
          <w:rStyle w:val="FootnoteAnchor"/>
          <w:rtl w:val="true"/>
        </w:rPr>
        <w:footnoteReference w:id="996"/>
      </w:r>
      <w:r>
        <w:rPr>
          <w:rFonts w:ascii="IRNazanin" w:hAnsi="IRNazanin" w:eastAsia="IRNazanin"/>
          <w:color w:val="111111"/>
          <w:sz w:val="28"/>
          <w:sz w:val="28"/>
          <w:szCs w:val="28"/>
          <w:rtl w:val="true"/>
          <w:lang w:bidi="fa-IR"/>
        </w:rPr>
        <w:t>، وید الغاسل</w:t>
      </w:r>
      <w:r>
        <w:rPr>
          <w:rStyle w:val="FootnoteAnchor"/>
          <w:rtl w:val="true"/>
        </w:rPr>
        <w:footnoteReference w:id="9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الخرقة الملفوفة بها حین غسله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ثیابه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الأولی والأحوط الاقتصار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فی غیر السُدّة الّتی یغسل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ید الغاسل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 أطراف البئر والدلو والعدّة وثیاب النازح</w:t>
      </w:r>
      <w:r>
        <w:rPr>
          <w:rStyle w:val="FootnoteAnchor"/>
          <w:rtl w:val="true"/>
        </w:rPr>
        <w:footnoteReference w:id="99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بطهارة هذه المذکورات بالتبعیّة، ولکن لا دلیل علی ذلک، فالظاهر أ نّها لا تتبع ماء البئر فی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بنجاسة البئر، لکنّ المختار عدم تنجّسه بما عدا التغیّر، ومعه أیضاً</w:t>
      </w:r>
    </w:p>
    <w:p>
      <w:pPr>
        <w:pStyle w:val="BookText"/>
        <w:rPr/>
      </w:pPr>
      <w:r>
        <w:rPr>
          <w:rFonts w:ascii="IRNazanin" w:hAnsi="IRNazanin" w:eastAsia="IRNazanin"/>
          <w:color w:val="111111"/>
          <w:sz w:val="28"/>
          <w:sz w:val="28"/>
          <w:szCs w:val="28"/>
          <w:rtl w:val="true"/>
          <w:lang w:bidi="fa-IR"/>
        </w:rPr>
        <w:t>یشکل</w:t>
      </w:r>
      <w:r>
        <w:rPr>
          <w:rStyle w:val="FootnoteAnchor"/>
          <w:rtl w:val="true"/>
        </w:rPr>
        <w:footnoteReference w:id="999"/>
      </w:r>
      <w:r>
        <w:rPr>
          <w:rFonts w:ascii="IRNazanin" w:hAnsi="IRNazanin" w:eastAsia="IRNazanin"/>
          <w:color w:val="111111"/>
          <w:sz w:val="28"/>
          <w:sz w:val="28"/>
          <w:szCs w:val="28"/>
          <w:rtl w:val="true"/>
          <w:lang w:bidi="fa-IR"/>
        </w:rPr>
        <w:t>جریان حکم التبعیّة</w:t>
      </w:r>
      <w:r>
        <w:rPr>
          <w:rStyle w:val="FootnoteAnchor"/>
          <w:rtl w:val="true"/>
        </w:rPr>
        <w:footnoteReference w:id="10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جریان التبعیّة بالنسبة إلی أطراف البئر والدلو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إذا کان رفع التغیّر بالنزح، وأمّا إذا کان بنفسه فالظاهر عدم جریان حکم التبعیّة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جریان التبعیّة فی أطراف البئر والدلو والرِشاء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5/223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علی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 الآلات</w:t>
      </w:r>
      <w:r>
        <w:rPr>
          <w:rStyle w:val="FootnoteAnchor"/>
          <w:rtl w:val="true"/>
        </w:rPr>
        <w:footnoteReference w:id="1001"/>
      </w:r>
      <w:r>
        <w:rPr>
          <w:rFonts w:ascii="IRNazanin" w:hAnsi="IRNazanin" w:eastAsia="IRNazanin"/>
          <w:color w:val="111111"/>
          <w:sz w:val="28"/>
          <w:sz w:val="28"/>
          <w:szCs w:val="28"/>
          <w:rtl w:val="true"/>
          <w:lang w:bidi="fa-IR"/>
        </w:rPr>
        <w:t xml:space="preserve">المعمولة فی طبخ العصیر علی القول بنجاسته، فإنّها تطهر تبعاً </w:t>
      </w:r>
      <w:r>
        <w:rPr>
          <w:rStyle w:val="FootnoteAnchor"/>
          <w:rtl w:val="true"/>
        </w:rPr>
        <w:footnoteReference w:id="10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بقائها فی العصیر حین ذهاب ثلثیه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بعد ذهاب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الغاسل</w:t>
      </w:r>
      <w:r>
        <w:rPr>
          <w:rStyle w:val="FootnoteAnchor"/>
          <w:rtl w:val="true"/>
        </w:rPr>
        <w:footnoteReference w:id="10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أنّ احتمال الأصالة فی مغسولیّة الید والآلات لا یخلو من قوّة، وأنّ طهارتها بسبب تحقّق الغسل فیها کتحقّقها فی الجسم المتنجّس فلا تبعیّة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وآلات</w:t>
      </w:r>
    </w:p>
    <w:p>
      <w:pPr>
        <w:pStyle w:val="BookText"/>
        <w:rPr/>
      </w:pPr>
      <w:r>
        <w:rPr>
          <w:rFonts w:ascii="IRNazanin" w:hAnsi="IRNazanin" w:eastAsia="IRNazanin"/>
          <w:color w:val="111111"/>
          <w:sz w:val="28"/>
          <w:sz w:val="28"/>
          <w:szCs w:val="28"/>
          <w:rtl w:val="true"/>
          <w:lang w:bidi="fa-IR"/>
        </w:rPr>
        <w:t>الغسل</w:t>
      </w:r>
      <w:r>
        <w:rPr>
          <w:rStyle w:val="FootnoteAnchor"/>
          <w:rtl w:val="true"/>
        </w:rPr>
        <w:footnoteReference w:id="10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 تغسل مع المغسول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ما تستعمل فی حال الغسل دون ما یستعمل فی مقدّماته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إنّها تغسل بالتبع فتطهر لا أ نّها تطهر بالتبعیّة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بطهارتها إنّما هو لأجل غسلها بالتبع، وأمّا بقیّة الغسالة فقد مرّ أ نّها طاهرة فی 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غسلت بتبع غسل الثوب، وإلاّ فلا وجه للحکم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تطهیر النجاسات وبقیّة الغسالة الباقیة فی المحلّ بعد انفصالها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 ما یجعل</w:t>
      </w:r>
      <w:r>
        <w:rPr>
          <w:rStyle w:val="FootnoteAnchor"/>
          <w:rtl w:val="true"/>
        </w:rPr>
        <w:footnoteReference w:id="10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تعارف جعله للتخلیل، وفی غیره إشکال سیّما ما لم یکن للعلاج، بل الأقوی فیه عدم التبعیّة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یکون متعارفاً، أو من لوازم التخلیل، لا مثل الخیار والباذنجان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الإشکال فی مثل الباذنجان والخیار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لا بأس بذلک ما لم یعلم الإسکار بسبب الغلیان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النظر فی إلقاء الشیء الغیر متعارف فی العنب والتمر للتخلیل، وأنّ تبعیّـته غیر صافیة عن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تبعیّـته فی الطهارة إشکال، بل منع، والّذی یسهّل الخطب ما مرّ من أنّ العصیر لا ینجس بالغلیان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حول الفرع فی المسألة الثامنة من السادس من المطهِّرات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العنب أو التمر للتخلیل کالخیار</w:t>
      </w:r>
      <w:bookmarkStart w:id="380" w:name="pg13273_135279"/>
    </w:p>
    <w:p>
      <w:pPr>
        <w:pStyle w:val="BookText"/>
        <w:rPr/>
      </w:pPr>
      <w:bookmarkEnd w:id="380"/>
      <w:r>
        <w:rPr>
          <w:rFonts w:ascii="IRNazanin" w:hAnsi="IRNazanin" w:eastAsia="IRNazanin"/>
          <w:color w:val="111111"/>
          <w:sz w:val="28"/>
          <w:sz w:val="28"/>
          <w:szCs w:val="28"/>
          <w:rtl w:val="true"/>
          <w:lang w:bidi="fa-IR"/>
        </w:rPr>
        <w:t>والباذنجان</w:t>
      </w:r>
      <w:r>
        <w:rPr>
          <w:rStyle w:val="FootnoteAnchor"/>
          <w:rtl w:val="true"/>
        </w:rPr>
        <w:footnoteReference w:id="10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فی المسألة الثامنة من مسائل العصیر العنبی فی هذا 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بصیرورته مسکراً قبل صیرورته خمراً فطهارة ما ذکر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ونحوهما کالخشب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والعود، فإنّها تنجس تبعاً له عند غلیانه علی القول بها وتطهر تبعاً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التعدی إلی غیر ما جرت العادة به 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صیرورته خلاًّ</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666610_2322387425"/>
      <w:bookmarkStart w:id="382" w:name="_Toc133"/>
      <w:bookmarkEnd w:id="381"/>
      <w:r>
        <w:rPr>
          <w:rtl w:val="true"/>
        </w:rPr>
        <w:t>العاشر</w:t>
      </w:r>
      <w:r>
        <w:rPr>
          <w:rtl w:val="true"/>
        </w:rPr>
        <w:t xml:space="preserve">: </w:t>
      </w:r>
      <w:r>
        <w:rPr>
          <w:rtl w:val="true"/>
        </w:rPr>
        <w:t>زوال العین</w:t>
      </w:r>
      <w:bookmarkEnd w:id="382"/>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عین النجاسة</w:t>
      </w:r>
      <w:r>
        <w:rPr>
          <w:rStyle w:val="FootnoteAnchor"/>
          <w:rtl w:val="true"/>
        </w:rPr>
        <w:footnoteReference w:id="1007"/>
      </w:r>
      <w:r>
        <w:rPr>
          <w:rFonts w:ascii="IRNazanin" w:hAnsi="IRNazanin" w:eastAsia="IRNazanin"/>
          <w:color w:val="111111"/>
          <w:sz w:val="28"/>
          <w:sz w:val="28"/>
          <w:szCs w:val="28"/>
          <w:rtl w:val="true"/>
          <w:lang w:bidi="fa-IR"/>
        </w:rPr>
        <w:t xml:space="preserve">أو المتنجّس عن جسد </w:t>
      </w:r>
    </w:p>
    <w:p>
      <w:pPr>
        <w:pStyle w:val="BookText"/>
        <w:rPr/>
      </w:pPr>
      <w:r>
        <w:rPr>
          <w:rFonts w:ascii="IRNazanin" w:hAnsi="IRNazanin" w:eastAsia="IRNazanin"/>
          <w:color w:val="111111"/>
          <w:sz w:val="28"/>
          <w:sz w:val="28"/>
          <w:szCs w:val="28"/>
          <w:rtl w:val="true"/>
          <w:lang w:bidi="fa-IR"/>
        </w:rPr>
        <w:t>الحیوان</w:t>
      </w:r>
      <w:r>
        <w:rPr>
          <w:rStyle w:val="FootnoteAnchor"/>
          <w:rtl w:val="true"/>
        </w:rPr>
        <w:footnoteReference w:id="1008"/>
      </w:r>
      <w:r>
        <w:rPr>
          <w:rFonts w:ascii="IRNazanin" w:hAnsi="IRNazanin" w:eastAsia="IRNazanin"/>
          <w:color w:val="111111"/>
          <w:sz w:val="28"/>
          <w:sz w:val="28"/>
          <w:szCs w:val="28"/>
          <w:rtl w:val="true"/>
          <w:lang w:bidi="fa-IR"/>
        </w:rPr>
        <w:t>غیر الإنسان بأیّ وجهٍ کان، سواء کان بمُزیل أو من قبل نفسه، فمنقار الدجاجة إذا تلوّث بالعذرة یطهر بزوال عینها</w:t>
      </w:r>
      <w:r>
        <w:rPr>
          <w:rStyle w:val="FootnoteAnchor"/>
          <w:rtl w:val="true"/>
        </w:rPr>
        <w:footnoteReference w:id="1009"/>
      </w:r>
      <w:r>
        <w:rPr>
          <w:rFonts w:ascii="IRNazanin" w:hAnsi="IRNazanin" w:eastAsia="IRNazanin"/>
          <w:color w:val="111111"/>
          <w:sz w:val="28"/>
          <w:sz w:val="28"/>
          <w:szCs w:val="28"/>
          <w:rtl w:val="true"/>
          <w:lang w:bidi="fa-IR"/>
        </w:rPr>
        <w:t>وجفاف رطوبتها، وکذا ظهر الدابّة المجروح إذا زال دمه بأیّ وجه، وکذا ولد الحیوانات الملوّث بالدم عند التولّد،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زوال عین النجاسة أو المتنجّس عن بواطن الإنسان</w:t>
      </w:r>
      <w:r>
        <w:rPr>
          <w:rStyle w:val="FootnoteAnchor"/>
          <w:rtl w:val="true"/>
        </w:rPr>
        <w:footnoteReference w:id="10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المحضة، کالأمثلة المذکورة، وهی تتنجّس بالنجاسة الخارجیة، وتطهر بالزوال، ولا تنجس بالداخلیة، وأمّا المحضة فلا تتنجّس بشیءٍ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کفمه وأنفه واُذنه، فإذا أکل طعاماً نجساً یطهر فمه بمجرّد بلعه، هذا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البواطن تتنجّس بملاقاة النجاسة، وکذا جسد الحیوان، ولکن یمکن 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بعدم تنجّسهما أصلاً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وإنّما النجس هو العین الموجودة فی الباطن أو علی جسد الحیوان، وعلی هذا فلا وجه لعدّه من المطهّرات،</w:t>
      </w:r>
    </w:p>
    <w:p>
      <w:pPr>
        <w:pStyle w:val="BookText"/>
        <w:rPr/>
      </w:pPr>
      <w:r>
        <w:rPr>
          <w:rFonts w:ascii="Amiri" w:hAnsi="Amiri" w:eastAsia="Amiri" w:cs="Amiri"/>
          <w:color w:val="111111"/>
          <w:sz w:val="28"/>
          <w:sz w:val="28"/>
          <w:szCs w:val="28"/>
          <w:rtl w:val="true"/>
          <w:lang w:bidi="ar-SA"/>
        </w:rPr>
        <w:t xml:space="preserve">وهذا الوجه قریب جدّاً </w:t>
      </w:r>
      <w:r>
        <w:rPr>
          <w:rStyle w:val="FootnoteAnchor"/>
          <w:rtl w:val="true"/>
        </w:rPr>
        <w:footnoteReference w:id="10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الأقرب فی جسد الحیوان هو التنجّس بملاقاة النجاسة، والطهارة بزوال عینها، وفی البواطن عدم التنجّس مطلقاً علی إشکال تقدّم فی الخمسة الظاهرة، نعم لو کان النجس والملاقی کلاهما خارجیّین والملاقاة فی الباطن کان الأظهر حینئذٍ هو التنجّس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الأوّل أقرب وأحوط، لا سیّما بالنسبة إلی جسد الحیوان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والاحتیاط اللازم فی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تنجّس باطن الإنسان، وطهارته بزوال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البواطن المحضة، وأمّا فی الّتی تُری ولو أحیاناً، وکذا فی جسد الحیوان فالوجه الأوّل أقرب، فلو ذبح الحیوان وعلیه عین النجاسة لزم تطهیر محلّها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قرب فیه مطلقاً أو فی ظاهر الحیوان، بل الأقرب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التقریب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نعم هو قریب بالإضافة إلی ما دون الحلق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قوة عدم تنجّس البواطن المحضة، والإشکال فی البواطن المحس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فی کلٍّ من جسد الحیوان وبواطن الإنسان، سواء کان المتلاقیان فی هذا الأخیر کلاهماً من الباطن، أو کان أحدهما من الخارج، وإذا کانا معاً من الخارج وتلاقیا فی الباطن فالأحوط الاجتناب، وخصوصاً إذا کان التلاقی فی الفم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عدم تنجّس باطن الإنسان وبدن الحیوان، کما أ نّه لا دلیل علی طهارة الباطن بزوال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التنجّس بالملاقاة، نعم، إذا لاقت عین النجس غیر الظاهرة مع الباطن لا یحکم بنجاسته؛ لعدم نجاسة الأعیان النجسة ما لم تظهر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قویّ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مفتی الشیعة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یترتّب علی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لو کان فی فمه</w:t>
      </w:r>
    </w:p>
    <w:p>
      <w:pPr>
        <w:pStyle w:val="BookText"/>
        <w:rPr/>
      </w:pPr>
      <w:r>
        <w:rPr>
          <w:rFonts w:ascii="IRNazanin" w:hAnsi="IRNazanin" w:eastAsia="IRNazanin"/>
          <w:color w:val="111111"/>
          <w:sz w:val="28"/>
          <w:sz w:val="28"/>
          <w:szCs w:val="28"/>
          <w:rtl w:val="true"/>
          <w:lang w:bidi="fa-IR"/>
        </w:rPr>
        <w:t>شیء من الدم</w:t>
      </w:r>
      <w:r>
        <w:rPr>
          <w:rStyle w:val="FootnoteAnchor"/>
          <w:rtl w:val="true"/>
        </w:rPr>
        <w:footnoteReference w:id="1012"/>
      </w:r>
      <w:r>
        <w:rPr>
          <w:rFonts w:ascii="IRNazanin" w:hAnsi="IRNazanin" w:eastAsia="IRNazanin"/>
          <w:color w:val="111111"/>
          <w:sz w:val="28"/>
          <w:sz w:val="28"/>
          <w:szCs w:val="28"/>
          <w:rtl w:val="true"/>
          <w:lang w:bidi="fa-IR"/>
        </w:rPr>
        <w:t>فریقه نجس</w:t>
      </w:r>
      <w:r>
        <w:rPr>
          <w:rStyle w:val="FootnoteAnchor"/>
          <w:rtl w:val="true"/>
        </w:rPr>
        <w:footnoteReference w:id="1013"/>
      </w:r>
      <w:r>
        <w:rPr>
          <w:rFonts w:ascii="IRNazanin" w:hAnsi="IRNazanin" w:eastAsia="IRNazanin"/>
          <w:color w:val="111111"/>
          <w:sz w:val="28"/>
          <w:sz w:val="28"/>
          <w:szCs w:val="28"/>
          <w:rtl w:val="true"/>
          <w:lang w:bidi="fa-IR"/>
        </w:rPr>
        <w:t>ما دام الدم موجوداً علی الوجه الأوّل، فإذا لاقی شیئاً نجّسه</w:t>
      </w:r>
      <w:r>
        <w:rPr>
          <w:rStyle w:val="FootnoteAnchor"/>
          <w:rtl w:val="true"/>
        </w:rPr>
        <w:footnoteReference w:id="1014"/>
      </w:r>
      <w:r>
        <w:rPr>
          <w:rFonts w:ascii="IRNazanin" w:hAnsi="IRNazanin" w:eastAsia="IRNazanin"/>
          <w:color w:val="111111"/>
          <w:sz w:val="28"/>
          <w:sz w:val="28"/>
          <w:szCs w:val="28"/>
          <w:rtl w:val="true"/>
          <w:lang w:bidi="fa-IR"/>
        </w:rPr>
        <w:t>، بخلافه علی الوجه الثانی</w:t>
      </w:r>
      <w:r>
        <w:rPr>
          <w:rStyle w:val="FootnoteAnchor"/>
          <w:rtl w:val="true"/>
        </w:rPr>
        <w:footnoteReference w:id="1015"/>
      </w:r>
      <w:r>
        <w:rPr>
          <w:rFonts w:ascii="IRNazanin" w:hAnsi="IRNazanin" w:eastAsia="IRNazanin"/>
          <w:color w:val="111111"/>
          <w:sz w:val="28"/>
          <w:sz w:val="28"/>
          <w:szCs w:val="28"/>
          <w:rtl w:val="true"/>
          <w:lang w:bidi="fa-IR"/>
        </w:rPr>
        <w:t>، فإنّ الریق طاهر، والنجس هو الدم فقط، فإن أدخل إصبعه مثلاً فی فمه ولم یلاقِ الدم لم ینجس، وإن لاقی الدم ینجس إذا قلنا بأنّ</w:t>
      </w:r>
      <w:r>
        <w:rPr>
          <w:rStyle w:val="FootnoteAnchor"/>
          <w:rtl w:val="true"/>
        </w:rPr>
        <w:footnoteReference w:id="1016"/>
      </w:r>
      <w:r>
        <w:rPr>
          <w:rFonts w:ascii="IRNazanin" w:hAnsi="IRNazanin" w:eastAsia="IRNazanin"/>
          <w:color w:val="111111"/>
          <w:sz w:val="28"/>
          <w:sz w:val="28"/>
          <w:szCs w:val="28"/>
          <w:rtl w:val="true"/>
          <w:lang w:bidi="fa-IR"/>
        </w:rPr>
        <w:t>ملاقاة النجس فی الباطن أیضاً موجب للتنجّس</w:t>
      </w:r>
      <w:r>
        <w:rPr>
          <w:rStyle w:val="FootnoteAnchor"/>
          <w:rtl w:val="true"/>
        </w:rPr>
        <w:footnoteReference w:id="10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المختار فیما إذا کان الباطن غیر محض ـ کما هو محل الکلام ـ وکان الملاقی والملاقی خارجیین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فلا ینجس أصلاً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إذا أخرجه وهو ملوّث بالدم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w:t>
      </w:r>
      <w:r>
        <w:rPr>
          <w:rStyle w:val="FootnoteAnchor"/>
          <w:rtl w:val="true"/>
        </w:rPr>
        <w:footnoteReference w:id="10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الشبهة الموضوعیّة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کون شیء من الباطن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کانت الشبهة موضوعیّة، وأمّا إذا کانت الشبهة حکمیّةً فلابدّ من العمل بالاحتیاط، أو الرجوع إلی مرجع تقلیده فی حکم الشکّ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المشکوک فیه یحکم بعدم کونه من الباطن، وعلیه فلا أثر للوجهین المذکورین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المشکوک فیه إن کان له حالة سابقة یبنی علیها، وإلاّ فیبنی علی عدم کونه من الباطن، فلا أثر للوجهین المذکورین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الشبهة الموضوعیة، وأمّا فی الحکمیة فلابدّ للعامّی من الاحتیاط أو مراجعة من یصحّ الرجوع إلیه من المجتهدین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یحکم ببقائه علی 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زوال العین علی الوجه الأوّل من الوجهین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ویبنی علی طهارته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الشبهة موضوعیّة، وأمّا إذا کانت حکمیّة فلابدّ للمقلد الاحتیاط، وإمّا الرجوع إلی مجتهده إلاّ إذا علم أ نّه أیضاً شاک فیبنی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یبنی علی نجاسته علی هذا الوجه أیضاً؛ لأنّ حکم التنجّس لم یتعلّق علی العنوان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النجاسة فی الشبهات المفهومیّة؛ لأنّ المتیقّن خروجه من أدلّة التنجیس ما عُلم کونه باطناً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الوجه</w:t>
      </w:r>
    </w:p>
    <w:p>
      <w:pPr>
        <w:pStyle w:val="BookText"/>
        <w:rPr/>
      </w:pPr>
      <w:r>
        <w:rPr>
          <w:rFonts w:ascii="IRNazanin" w:hAnsi="IRNazanin" w:eastAsia="IRNazanin"/>
          <w:color w:val="111111"/>
          <w:sz w:val="28"/>
          <w:sz w:val="28"/>
          <w:szCs w:val="28"/>
          <w:rtl w:val="true"/>
          <w:lang w:bidi="fa-IR"/>
        </w:rPr>
        <w:t>الثانی</w:t>
      </w:r>
      <w:r>
        <w:rPr>
          <w:rStyle w:val="FootnoteAnchor"/>
          <w:rtl w:val="true"/>
        </w:rPr>
        <w:footnoteReference w:id="10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تبیّن أنّ هذا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تکن له حالة سابقة، وإلاّ وجب الأخذ بها، ثم إنّ الحکم المذکور فی ما إذا کان الشک بنحو الشبهة الموضوعیّة، أمّا إذا کان من جهة الشبهة المفهومیّة فلابدّ للعامّی فیها من الرجوع إلی مقلَّده، أو إلی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الشکّ علیه یرجع إلی الشکّ فی أصل التنجّس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مُطبق الشَفتین من الباطن</w:t>
      </w:r>
      <w:r>
        <w:rPr>
          <w:rStyle w:val="FootnoteAnchor"/>
          <w:rtl w:val="true"/>
        </w:rPr>
        <w:footnoteReference w:id="10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مطبق الشفتین ومطبق الجفنین من الباطن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کلاهما محسوبان من الباطن فی باب الغسل والوضوء، أمّا فی باب الطهارة الخبثیّة فالأحوط غسلهما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غیر فرق بین الطهارة الحدثیة والخبثیة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کونهما من الباطن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مطبق</w:t>
      </w:r>
      <w:bookmarkStart w:id="383" w:name="pg13273_135285"/>
    </w:p>
    <w:p>
      <w:pPr>
        <w:pStyle w:val="BookText"/>
        <w:rPr/>
      </w:pPr>
      <w:bookmarkEnd w:id="383"/>
      <w:r>
        <w:rPr>
          <w:rFonts w:ascii="IRNazanin" w:hAnsi="IRNazanin" w:eastAsia="IRNazanin"/>
          <w:color w:val="111111"/>
          <w:sz w:val="28"/>
          <w:sz w:val="28"/>
          <w:szCs w:val="28"/>
          <w:rtl w:val="true"/>
          <w:lang w:bidi="fa-IR"/>
        </w:rPr>
        <w:t>الجفنین</w:t>
      </w:r>
      <w:r>
        <w:rPr>
          <w:rStyle w:val="FootnoteAnchor"/>
          <w:rtl w:val="true"/>
        </w:rPr>
        <w:footnoteReference w:id="10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الوضوء والغسل، أمّا فی الطهارة الخبثیّة فالأحوط أن یجری مطبق الشفتین ومطبق الجفنین مجری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فالمناط فی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فیهما ما یظهر منهما بعد التطبیق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الظاهر أ نّه من الظاهر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بدون التطبیق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1666612_2322387425"/>
      <w:bookmarkStart w:id="385" w:name="_Toc134"/>
      <w:bookmarkEnd w:id="384"/>
      <w:r>
        <w:rPr>
          <w:rtl w:val="true"/>
        </w:rPr>
        <w:t>الحادی عشر</w:t>
      </w:r>
      <w:r>
        <w:rPr>
          <w:rtl w:val="true"/>
        </w:rPr>
        <w:t xml:space="preserve">: </w:t>
      </w:r>
      <w:r>
        <w:rPr>
          <w:rtl w:val="true"/>
        </w:rPr>
        <w:t>استبراء الحیوان الجلال</w:t>
      </w:r>
      <w:bookmarkEnd w:id="385"/>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الحیوان الجلاّل، فإنّه مطهّر لبوله وروثه</w:t>
      </w:r>
      <w:r>
        <w:rPr>
          <w:rStyle w:val="FootnoteAnchor"/>
          <w:rtl w:val="true"/>
        </w:rPr>
        <w:footnoteReference w:id="1022"/>
      </w:r>
      <w:r>
        <w:rPr>
          <w:rFonts w:ascii="IRNazanin" w:hAnsi="IRNazanin" w:eastAsia="IRNazanin"/>
          <w:color w:val="111111"/>
          <w:sz w:val="28"/>
          <w:sz w:val="28"/>
          <w:szCs w:val="28"/>
          <w:rtl w:val="true"/>
          <w:lang w:bidi="fa-IR"/>
        </w:rPr>
        <w:t>،</w:t>
      </w:r>
    </w:p>
    <w:p>
      <w:pPr>
        <w:pStyle w:val="Heading3"/>
        <w:numPr>
          <w:ilvl w:val="2"/>
          <w:numId w:val="1"/>
        </w:numPr>
        <w:rPr/>
      </w:pPr>
      <w:bookmarkStart w:id="386" w:name="__RefHeading___Toc1666614_2322387425"/>
      <w:bookmarkStart w:id="387" w:name="_Toc135"/>
      <w:bookmarkEnd w:id="386"/>
      <w:r>
        <w:rPr>
          <w:rtl w:val="true"/>
        </w:rPr>
        <w:t>معنی الجلل</w:t>
      </w:r>
      <w:bookmarkEnd w:id="387"/>
    </w:p>
    <w:p>
      <w:pPr>
        <w:pStyle w:val="BookText"/>
        <w:rPr/>
      </w:pPr>
      <w:r>
        <w:rPr>
          <w:rFonts w:ascii="IRNazanin" w:hAnsi="IRNazanin" w:eastAsia="IRNazanin"/>
          <w:color w:val="111111"/>
          <w:sz w:val="28"/>
          <w:sz w:val="28"/>
          <w:szCs w:val="28"/>
          <w:rtl w:val="true"/>
          <w:lang w:bidi="fa-IR"/>
        </w:rPr>
        <w:t>والمراد بالجلاّل</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ما یوءکل لحمه من الحیوانات</w:t>
      </w:r>
      <w:r>
        <w:rPr>
          <w:rStyle w:val="FootnoteAnchor"/>
          <w:rtl w:val="true"/>
        </w:rPr>
        <w:footnoteReference w:id="10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غیر مأکول اللحم، کالهرة فإنّها إن تعوّدت أکل العذرة صار لعابها وعرقها نجساً، نعم لا أثر فی الأکل؛ لأنّ غیر مأکول اللحم حرام بذاته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المعتادة بتغذّی العذرة، وهی غائط الإنسان،</w:t>
      </w:r>
    </w:p>
    <w:p>
      <w:pPr>
        <w:pStyle w:val="Heading3"/>
        <w:numPr>
          <w:ilvl w:val="2"/>
          <w:numId w:val="1"/>
        </w:numPr>
        <w:rPr/>
      </w:pPr>
      <w:bookmarkStart w:id="388" w:name="__RefHeading___Toc1666616_2322387425"/>
      <w:bookmarkStart w:id="389" w:name="_Toc136"/>
      <w:bookmarkEnd w:id="388"/>
      <w:r>
        <w:rPr>
          <w:rtl w:val="true"/>
        </w:rPr>
        <w:t>ما یحصل به الاستبراء عن الجلل</w:t>
      </w:r>
      <w:bookmarkEnd w:id="38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من ذلک واغتذاوءه </w:t>
      </w:r>
      <w:bookmarkStart w:id="390" w:name="pg13273_135286"/>
    </w:p>
    <w:p>
      <w:pPr>
        <w:pStyle w:val="BookText"/>
        <w:rPr/>
      </w:pPr>
      <w:bookmarkEnd w:id="390"/>
      <w:r>
        <w:rPr>
          <w:rFonts w:ascii="IRNazanin" w:hAnsi="IRNazanin" w:eastAsia="IRNazanin"/>
          <w:color w:val="111111"/>
          <w:sz w:val="28"/>
          <w:sz w:val="28"/>
          <w:szCs w:val="28"/>
          <w:rtl w:val="true"/>
          <w:lang w:bidi="fa-IR"/>
        </w:rPr>
        <w:t>بالعلف</w:t>
      </w:r>
      <w:r>
        <w:rPr>
          <w:rStyle w:val="FootnoteAnchor"/>
          <w:rtl w:val="true"/>
        </w:rPr>
        <w:footnoteReference w:id="1025"/>
      </w:r>
      <w:r>
        <w:rPr>
          <w:rFonts w:ascii="IRNazanin" w:hAnsi="IRNazanin" w:eastAsia="IRNazanin"/>
          <w:color w:val="111111"/>
          <w:sz w:val="28"/>
          <w:sz w:val="28"/>
          <w:szCs w:val="28"/>
          <w:rtl w:val="true"/>
          <w:lang w:bidi="fa-IR"/>
        </w:rPr>
        <w:t>الطاهر</w:t>
      </w:r>
      <w:r>
        <w:rPr>
          <w:rStyle w:val="FootnoteAnchor"/>
          <w:rtl w:val="true"/>
        </w:rPr>
        <w:footnoteReference w:id="10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بالأصل، وإن کان متنجّساً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منعه من الاغتذاء بالعذرة، وأمّا اشتراط طهارة علفه فلم یذکروا له دلیلاً، وإن کان هو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الطهارة فی العلف هذا هو المشهور، لا یساعده الدلیل، ولکنّ اعتبارها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یزول عنه اسم الجلل،</w:t>
      </w:r>
    </w:p>
    <w:p>
      <w:pPr>
        <w:pStyle w:val="Heading3"/>
        <w:numPr>
          <w:ilvl w:val="2"/>
          <w:numId w:val="1"/>
        </w:numPr>
        <w:rPr/>
      </w:pPr>
      <w:bookmarkStart w:id="391" w:name="__RefHeading___Toc1666618_2322387425"/>
      <w:bookmarkStart w:id="392" w:name="_Toc137"/>
      <w:bookmarkEnd w:id="391"/>
      <w:r>
        <w:rPr>
          <w:rtl w:val="true"/>
        </w:rPr>
        <w:t>مدة الاستبراء فی الحیوانات</w:t>
      </w:r>
      <w:bookmarkEnd w:id="392"/>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10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الإبل بما ذکره، وفی البقر عشرون یوماً، وفی الغنم بما ذکره، وفی البطّة خمسة أیّام، وفی الدجاجة بما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أکثر الأمرین من المقدّر وما یزول به عنوان الجلل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وفی السمک بیوم ولیلة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وإذا مضت المدّة فی الحیوان قبل زوال اسم الجلل لم تنتفِ عنه أحکام الجلل حتّی یزول الاسم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فی الإبل بما ذکره من عشرین، والغنم عشرة أیّام، والبطّة خسمة أیّام، والدجاجة ثلاثة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زوال الاسم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 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لروایات دالّة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مضیّ المدّة</w:t>
      </w:r>
      <w:bookmarkStart w:id="393" w:name="pg13273_135287"/>
    </w:p>
    <w:p>
      <w:pPr>
        <w:pStyle w:val="BookText"/>
        <w:rPr/>
      </w:pPr>
      <w:bookmarkEnd w:id="393"/>
      <w:r>
        <w:rPr>
          <w:rFonts w:ascii="Amiri" w:hAnsi="Amiri" w:eastAsia="Amiri" w:cs="Amiri"/>
          <w:color w:val="111111"/>
          <w:sz w:val="28"/>
          <w:sz w:val="28"/>
          <w:szCs w:val="28"/>
          <w:rtl w:val="true"/>
          <w:lang w:bidi="ar-SA"/>
        </w:rPr>
        <w:t>المنصوصة</w:t>
      </w:r>
      <w:r>
        <w:rPr>
          <w:rStyle w:val="FootnoteAnchor"/>
          <w:rtl w:val="true"/>
        </w:rPr>
        <w:footnoteReference w:id="1028"/>
      </w:r>
      <w:r>
        <w:rPr>
          <w:rFonts w:ascii="IRNazanin" w:hAnsi="IRNazanin" w:eastAsia="IRNazanin"/>
          <w:color w:val="111111"/>
          <w:sz w:val="28"/>
          <w:sz w:val="28"/>
          <w:szCs w:val="28"/>
          <w:rtl w:val="true"/>
          <w:lang w:bidi="fa-IR"/>
        </w:rPr>
        <w:t>فی کلّ حیوان بهذا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الإبل إلی أربعین یوماً، وفی البقر إلی ثلاثین</w:t>
      </w:r>
      <w:r>
        <w:rPr>
          <w:rStyle w:val="FootnoteAnchor"/>
          <w:rtl w:val="true"/>
        </w:rPr>
        <w:footnoteReference w:id="10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 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أن یکون عشرون کافیاً، کما فی خبر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الأطعمة المحرّمة،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الغنم إلی عشرة أیّام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وفی البطّة إلی خمسة أو سبعة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لاختلاف الأخبار، وقد وقع نظیره بالنسبة إلی البقر والدجاجة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الدجاجة إلی ثلاثة أیّام، وفی غیرها یکفی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مضی المدّة المنصوصة لما یشابهه من المذکورات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زوال الاسم</w:t>
      </w:r>
      <w:r>
        <w:rPr>
          <w:rFonts w:eastAsia="IRNazanin" w:cs="IRNazanin"/>
          <w:color w:val="111111"/>
          <w:sz w:val="28"/>
          <w:szCs w:val="28"/>
          <w:rtl w:val="true"/>
          <w:lang w:bidi="fa-IR"/>
        </w:rPr>
        <w:t>.</w:t>
      </w:r>
    </w:p>
    <w:p>
      <w:pPr>
        <w:pStyle w:val="Heading3"/>
        <w:numPr>
          <w:ilvl w:val="2"/>
          <w:numId w:val="1"/>
        </w:numPr>
        <w:rPr/>
      </w:pPr>
      <w:bookmarkStart w:id="394" w:name="__RefHeading___Toc1666620_2322387425"/>
      <w:bookmarkStart w:id="395" w:name="_Toc138"/>
      <w:bookmarkEnd w:id="394"/>
      <w:r>
        <w:rPr>
          <w:rtl w:val="true"/>
        </w:rPr>
        <w:t>الثانی عشر</w:t>
      </w:r>
      <w:r>
        <w:rPr>
          <w:rtl w:val="true"/>
        </w:rPr>
        <w:t xml:space="preserve">: </w:t>
      </w:r>
      <w:r>
        <w:rPr>
          <w:rtl w:val="true"/>
        </w:rPr>
        <w:t>حجر الاستنجاء</w:t>
      </w:r>
      <w:bookmarkEnd w:id="395"/>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الاستنجاء علی التفصیل الآتی</w:t>
      </w:r>
      <w:r>
        <w:rPr>
          <w:rFonts w:eastAsia="IRNazanin" w:cs="IRNazanin"/>
          <w:color w:val="111111"/>
          <w:sz w:val="28"/>
          <w:szCs w:val="28"/>
          <w:rtl w:val="true"/>
          <w:lang w:bidi="fa-IR"/>
        </w:rPr>
        <w:t>.</w:t>
      </w:r>
    </w:p>
    <w:p>
      <w:pPr>
        <w:pStyle w:val="Heading3"/>
        <w:numPr>
          <w:ilvl w:val="2"/>
          <w:numId w:val="1"/>
        </w:numPr>
        <w:rPr/>
      </w:pPr>
      <w:bookmarkStart w:id="396" w:name="__RefHeading___Toc1666622_2322387425"/>
      <w:bookmarkStart w:id="397" w:name="_Toc139"/>
      <w:bookmarkEnd w:id="396"/>
      <w:r>
        <w:rPr>
          <w:rtl w:val="true"/>
        </w:rPr>
        <w:t>الثالث عشر</w:t>
      </w:r>
      <w:r>
        <w:rPr>
          <w:rtl w:val="true"/>
        </w:rPr>
        <w:t xml:space="preserve">: </w:t>
      </w:r>
      <w:r>
        <w:rPr>
          <w:rtl w:val="true"/>
        </w:rPr>
        <w:t>خروج الدم من الذبیحة</w:t>
      </w:r>
      <w:bookmarkEnd w:id="397"/>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الدم</w:t>
      </w:r>
      <w:r>
        <w:rPr>
          <w:rStyle w:val="FootnoteAnchor"/>
          <w:rtl w:val="true"/>
        </w:rPr>
        <w:footnoteReference w:id="1030"/>
      </w:r>
      <w:r>
        <w:rPr>
          <w:rFonts w:ascii="IRNazanin" w:hAnsi="IRNazanin" w:eastAsia="IRNazanin"/>
          <w:color w:val="111111"/>
          <w:sz w:val="28"/>
          <w:sz w:val="28"/>
          <w:szCs w:val="28"/>
          <w:rtl w:val="true"/>
          <w:lang w:bidi="fa-IR"/>
        </w:rPr>
        <w:t xml:space="preserve">من الذبیحة بالمقدار </w:t>
      </w:r>
      <w:bookmarkStart w:id="398" w:name="pg13273_135288"/>
    </w:p>
    <w:p>
      <w:pPr>
        <w:pStyle w:val="BookText"/>
        <w:rPr/>
      </w:pPr>
      <w:bookmarkEnd w:id="398"/>
      <w:r>
        <w:rPr>
          <w:rFonts w:ascii="IRNazanin" w:hAnsi="IRNazanin" w:eastAsia="IRNazanin"/>
          <w:color w:val="111111"/>
          <w:sz w:val="28"/>
          <w:sz w:val="28"/>
          <w:szCs w:val="28"/>
          <w:rtl w:val="true"/>
          <w:lang w:bidi="fa-IR"/>
        </w:rPr>
        <w:t>المتعارف</w:t>
      </w:r>
      <w:r>
        <w:rPr>
          <w:rStyle w:val="FootnoteAnchor"/>
          <w:rtl w:val="true"/>
        </w:rPr>
        <w:footnoteReference w:id="1031"/>
      </w:r>
      <w:r>
        <w:rPr>
          <w:rFonts w:ascii="IRNazanin" w:hAnsi="IRNazanin" w:eastAsia="IRNazanin"/>
          <w:color w:val="111111"/>
          <w:sz w:val="28"/>
          <w:sz w:val="28"/>
          <w:szCs w:val="28"/>
          <w:rtl w:val="true"/>
          <w:lang w:bidi="fa-IR"/>
        </w:rPr>
        <w:t>فإنّه مطهّر لما بقی منه فی الجوف</w:t>
      </w:r>
      <w:r>
        <w:rPr>
          <w:rStyle w:val="FootnoteAnchor"/>
          <w:rtl w:val="true"/>
        </w:rPr>
        <w:footnoteReference w:id="10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فیما یحرم أکله من أجزائه کالطحال ونحوه، فالاجتناب عمّا بقی فی ذلک أحوط وأولی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1666624_2322387425"/>
      <w:bookmarkStart w:id="400" w:name="_Toc140"/>
      <w:bookmarkEnd w:id="399"/>
      <w:r>
        <w:rPr>
          <w:rtl w:val="true"/>
        </w:rPr>
        <w:t>الرابع عشر</w:t>
      </w:r>
      <w:r>
        <w:rPr>
          <w:rtl w:val="true"/>
        </w:rPr>
        <w:t xml:space="preserve">: </w:t>
      </w:r>
      <w:r>
        <w:rPr>
          <w:rtl w:val="true"/>
        </w:rPr>
        <w:t>نزح البئر</w:t>
      </w:r>
      <w:bookmarkEnd w:id="400"/>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 المقادیر المنصوصة لوقوع النجاسات المخصوصة فی البئر علی القول بنجاستها ووجوب نزحها</w:t>
      </w:r>
      <w:r>
        <w:rPr>
          <w:rFonts w:eastAsia="IRNazanin" w:cs="IRNazanin"/>
          <w:color w:val="111111"/>
          <w:sz w:val="28"/>
          <w:szCs w:val="28"/>
          <w:rtl w:val="true"/>
          <w:lang w:bidi="fa-IR"/>
        </w:rPr>
        <w:t>.</w:t>
      </w:r>
    </w:p>
    <w:p>
      <w:pPr>
        <w:pStyle w:val="Heading3"/>
        <w:numPr>
          <w:ilvl w:val="2"/>
          <w:numId w:val="1"/>
        </w:numPr>
        <w:rPr/>
      </w:pPr>
      <w:bookmarkStart w:id="401" w:name="__RefHeading___Toc1666626_2322387425"/>
      <w:bookmarkStart w:id="402" w:name="_Toc141"/>
      <w:bookmarkEnd w:id="401"/>
      <w:r>
        <w:rPr>
          <w:rtl w:val="true"/>
        </w:rPr>
        <w:t>الخامس عشر</w:t>
      </w:r>
      <w:r>
        <w:rPr>
          <w:rtl w:val="true"/>
        </w:rPr>
        <w:t xml:space="preserve">: </w:t>
      </w:r>
      <w:r>
        <w:rPr>
          <w:rtl w:val="true"/>
        </w:rPr>
        <w:t>تیمم المیت</w:t>
      </w:r>
      <w:bookmarkEnd w:id="402"/>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تیمّم المیّت</w:t>
      </w:r>
      <w:r>
        <w:rPr>
          <w:rStyle w:val="FootnoteAnchor"/>
        </w:rPr>
        <w:footnoteReference w:id="103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بطهارة بدن المیّت بالتیمّم محتاج إلی 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 البروجردی،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السیستانی</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بدلاً عن الأغسال عند فقد الماء فإنّــه مطهّر لبدنه</w:t>
      </w:r>
      <w:r>
        <w:rPr>
          <w:rStyle w:val="FootnoteAnchor"/>
          <w:rtl w:val="true"/>
        </w:rPr>
        <w:footnoteReference w:id="10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الخبث الطارئ علی المیّت اللازم للحدث الطارئ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والأقرب بقاء بدنه علی النجاسة ما لم یغسل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مشکل، ولا یترک الاحتیاط بتطهیر ملاقیه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یکن بدن المیّت متنجّساً بالنجاسة العرضیّة، وإلاّ فالحکم بطهارة هذه العرضیّة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403" w:name="pg13273_135289"/>
    </w:p>
    <w:p>
      <w:pPr>
        <w:pStyle w:val="Heading3"/>
        <w:numPr>
          <w:ilvl w:val="2"/>
          <w:numId w:val="1"/>
        </w:numPr>
        <w:rPr/>
      </w:pPr>
      <w:bookmarkStart w:id="404" w:name="__RefHeading___Toc1666628_2322387425"/>
      <w:bookmarkStart w:id="405" w:name="_Toc142"/>
      <w:bookmarkEnd w:id="403"/>
      <w:bookmarkEnd w:id="404"/>
      <w:r>
        <w:rPr>
          <w:rtl w:val="true"/>
        </w:rPr>
        <w:t>السادس عشر</w:t>
      </w:r>
      <w:r>
        <w:rPr>
          <w:rtl w:val="true"/>
        </w:rPr>
        <w:t xml:space="preserve">: </w:t>
      </w:r>
      <w:r>
        <w:rPr>
          <w:rtl w:val="true"/>
        </w:rPr>
        <w:t>الاستبراء بالخرطات</w:t>
      </w:r>
      <w:bookmarkEnd w:id="405"/>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الاستبراء بالخرطات بعد البول، وبالبول بعد خروج المنیّ، فإنّه مطهّر لما یخرج منه من الرطوبة المشتبهة، لکن لا یخفی أنّ عدّ هذا من المطهّرات من باب المسامحة</w:t>
      </w:r>
      <w:r>
        <w:rPr>
          <w:rStyle w:val="FootnoteAnchor"/>
          <w:rtl w:val="true"/>
        </w:rPr>
        <w:footnoteReference w:id="10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الاستبراء موضوعاً شرعیّاً للحکم الواقعی الشرعی بطهارة البلل المشتبه، فیصیر الاستبراء من المطهّرات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ففی الحقیقة مانع عن الحکم بالنجاسة أصلاً</w:t>
      </w:r>
      <w:r>
        <w:rPr>
          <w:rFonts w:eastAsia="IRNazanin" w:cs="IRNazanin"/>
          <w:color w:val="111111"/>
          <w:sz w:val="28"/>
          <w:szCs w:val="28"/>
          <w:rtl w:val="true"/>
          <w:lang w:bidi="fa-IR"/>
        </w:rPr>
        <w:t>.</w:t>
      </w:r>
    </w:p>
    <w:p>
      <w:pPr>
        <w:pStyle w:val="Heading3"/>
        <w:numPr>
          <w:ilvl w:val="2"/>
          <w:numId w:val="1"/>
        </w:numPr>
        <w:rPr/>
      </w:pPr>
      <w:bookmarkStart w:id="406" w:name="__RefHeading___Toc1666630_2322387425"/>
      <w:bookmarkStart w:id="407" w:name="_Toc143"/>
      <w:bookmarkEnd w:id="406"/>
      <w:r>
        <w:rPr>
          <w:rtl w:val="true"/>
        </w:rPr>
        <w:t>السابع عشر</w:t>
      </w:r>
      <w:r>
        <w:rPr>
          <w:rtl w:val="true"/>
        </w:rPr>
        <w:t xml:space="preserve">: </w:t>
      </w:r>
      <w:r>
        <w:rPr>
          <w:rtl w:val="true"/>
        </w:rPr>
        <w:t>زوال التغیر</w:t>
      </w:r>
      <w:bookmarkEnd w:id="407"/>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التغییر</w:t>
      </w:r>
      <w:r>
        <w:rPr>
          <w:rStyle w:val="FootnoteAnchor"/>
          <w:rtl w:val="true"/>
        </w:rPr>
        <w:footnoteReference w:id="10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الامتزاج علی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الامتزاج بالعاصم بالمادة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فی مبحث المیاه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الجاری والبئر، بل مطلق النابع بأیّ وجهٍ کان، وفی عدّ هذا منها أیضاً مسامحة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وإلاّ ففی الحقیقة المطهّر هو</w:t>
      </w:r>
      <w:bookmarkStart w:id="408" w:name="pg13273_135290"/>
    </w:p>
    <w:p>
      <w:pPr>
        <w:pStyle w:val="BookText"/>
        <w:rPr/>
      </w:pPr>
      <w:bookmarkEnd w:id="408"/>
      <w:r>
        <w:rPr>
          <w:rFonts w:ascii="IRNazanin" w:hAnsi="IRNazanin" w:eastAsia="IRNazanin"/>
          <w:color w:val="111111"/>
          <w:sz w:val="28"/>
          <w:sz w:val="28"/>
          <w:szCs w:val="28"/>
          <w:rtl w:val="true"/>
          <w:lang w:bidi="fa-IR"/>
        </w:rPr>
        <w:t>الماء الموجود فی المادّة</w:t>
      </w:r>
      <w:r>
        <w:rPr>
          <w:rStyle w:val="FootnoteAnchor"/>
          <w:rtl w:val="true"/>
        </w:rPr>
        <w:footnoteReference w:id="10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الماء الخارج المعتصم الممتزج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الاحتیاط بالمزج فی تطهیر المیاه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خروجه منها وامتزاجه بماء البئر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1666632_2322387425"/>
      <w:bookmarkStart w:id="410" w:name="_Toc144"/>
      <w:bookmarkEnd w:id="409"/>
      <w:r>
        <w:rPr>
          <w:rtl w:val="true"/>
        </w:rPr>
        <w:t>الثامن عشر</w:t>
      </w:r>
      <w:r>
        <w:rPr>
          <w:rtl w:val="true"/>
        </w:rPr>
        <w:t xml:space="preserve">: </w:t>
      </w:r>
      <w:r>
        <w:rPr>
          <w:rtl w:val="true"/>
        </w:rPr>
        <w:t>غیبة المسلم</w:t>
      </w:r>
      <w:bookmarkEnd w:id="410"/>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p>
    <w:p>
      <w:pPr>
        <w:pStyle w:val="Heading3"/>
        <w:numPr>
          <w:ilvl w:val="2"/>
          <w:numId w:val="1"/>
        </w:numPr>
        <w:rPr/>
      </w:pPr>
      <w:bookmarkStart w:id="411" w:name="__RefHeading___Toc1666634_2322387425"/>
      <w:bookmarkStart w:id="412" w:name="_Toc145"/>
      <w:bookmarkEnd w:id="411"/>
      <w:r>
        <w:rPr>
          <w:rtl w:val="true"/>
        </w:rPr>
        <w:t>شروط مطهریة غیبة المسلم</w:t>
      </w:r>
      <w:bookmarkEnd w:id="412"/>
    </w:p>
    <w:p>
      <w:pPr>
        <w:pStyle w:val="BookText"/>
        <w:rPr/>
      </w:pPr>
      <w:r>
        <w:rPr>
          <w:rFonts w:ascii="IRNazanin" w:hAnsi="IRNazanin" w:eastAsia="IRNazanin"/>
          <w:color w:val="111111"/>
          <w:sz w:val="28"/>
          <w:sz w:val="28"/>
          <w:szCs w:val="28"/>
          <w:rtl w:val="true"/>
          <w:lang w:bidi="fa-IR"/>
        </w:rPr>
        <w:t>غیبة</w:t>
      </w:r>
      <w:r>
        <w:rPr>
          <w:rStyle w:val="FootnoteAnchor"/>
          <w:rtl w:val="true"/>
        </w:rPr>
        <w:footnoteReference w:id="1039"/>
      </w:r>
      <w:r>
        <w:rPr>
          <w:rFonts w:ascii="IRNazanin" w:hAnsi="IRNazanin" w:eastAsia="IRNazanin"/>
          <w:color w:val="111111"/>
          <w:sz w:val="28"/>
          <w:sz w:val="28"/>
          <w:szCs w:val="28"/>
          <w:rtl w:val="true"/>
          <w:lang w:bidi="fa-IR"/>
        </w:rPr>
        <w:t>المسلم فإنّها مطهّرة لبدنه أو لباسه أو فرشه أو ظرفه أو غیر ذلک ممّا فی یده بشروط خمسة</w:t>
      </w:r>
      <w:r>
        <w:rPr>
          <w:rStyle w:val="FootnoteAnchor"/>
          <w:rtl w:val="true"/>
        </w:rPr>
        <w:footnoteReference w:id="10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اعتبار شیء منها سوی احتمال الطهارة ولو اتّفاقاً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الشروط الخمسة فی أماریة الغیبة للتطهیر وإن کان الأقوی کفایة احتمال التطهیر احتمالاً عقلائیاً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غیر احتمال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الاکتفاء بالشرط الثالث والخامس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وذلک لأ نّه فی مورد وجود هذه الشرائط نعلم بتحقّق السیرة أو انعقاد الإجماع، وأمّا فی غیره فتحقّقهما مشکوک وإن کان من المحتمل القریب تحقّق السیرة عند فقد بعض هذه الشرائط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 هذه الشروط الخمسة فی الحکم بالطهارة إشکال، والأقوی کفایة مجرّد احتمال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کفایة احتمال التطهیر منه عقلائیاً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الخامس من الشروط مبنیّ علی الاحتیاط، فمع احتمال التطهیر أو حصول الطهارة لا یبعد أن یحکم علیه بالطهارة مطلقاً، بل ولو لم یکن مبالیاً فی دینه، لکنّ الاحتیاط حسن، نعم فی إلحاق الظلمة والعَمی بما ذکرنا إشکال، ولا یبعد مع الشروط المذکورة، وإن کان الأحوط خلافه، وإلحاق الممیّز مطلقاً لا یخلو من قوّة، وکذا غیر الممیّز التابع للمکلّف، وأمّا المستقلّ فلا یُلحق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کفایة احتمال الطهارة احتمالاً عقلائیّاً من دون حاجة إلی الظنّ الحاصل من شهادة القرائن الحالیّة أو المقالیّة، ولا اجتماع الشروط المذکورة فی المتن، نعم الأحوط تحقّق الشروط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الشرط الثالث والخامس؛ لعدم اشتراط بعضها، ورجوع بعضها الآخر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غیر احتمال حصول الطهارة محلّ نظر وإشکال، 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اعتبار شیء منها سوی احتمال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أ نّه لا یشترط فی عدم جریان استصحاب النجاسة إلاّ احتمال تطهیره لما فی یده احتمالاً عقلائیاً؛ وإن علم أ نّه لا یبالی بالنجاسة کبعض أفراد الحائض المتّهمة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عالماً بملاقاة المذکورات للنجس الفلانی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بکون ذلک الشیء نجساً أو متنجّساً اجتهاداً أو تقلیداً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 لذلک الشیء</w:t>
      </w:r>
      <w:r>
        <w:rPr>
          <w:rStyle w:val="FootnoteAnchor"/>
          <w:rtl w:val="true"/>
        </w:rPr>
        <w:footnoteReference w:id="10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ترتّب آثار الطهارة مطلقاً ولو کان بغیر الاستعمال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یشترط فیه الطهارة علی وجه یکون أمارة نوعیّة علی طهارته؛ من باب حمل 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 علی</w:t>
      </w:r>
    </w:p>
    <w:p>
      <w:pPr>
        <w:pStyle w:val="BookText"/>
        <w:rPr/>
      </w:pPr>
      <w:r>
        <w:rPr>
          <w:rFonts w:ascii="Amiri" w:hAnsi="Amiri" w:eastAsia="Amiri" w:cs="Amiri"/>
          <w:color w:val="111111"/>
          <w:sz w:val="28"/>
          <w:sz w:val="28"/>
          <w:szCs w:val="28"/>
          <w:rtl w:val="true"/>
          <w:lang w:bidi="ar-SA"/>
        </w:rPr>
        <w:t>الصحّة</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باشتراط</w:t>
      </w:r>
      <w:r>
        <w:rPr>
          <w:rStyle w:val="FootnoteAnchor"/>
          <w:rtl w:val="true"/>
        </w:rPr>
        <w:footnoteReference w:id="10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کفایة احتمال علمه بذلک عادةً، ولا حاجة إلی العلم بعلمه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فی الاستعمال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تطهیره لذلک الشیء محتملاً، وإلاّ فمع العلم بعدمه لا وجه للحکم بطهارته، بل لو علم من حاله أ نّه لا یبالی بالنجاسة وأنّ الطاهر والنجس عنده سواء، یشکل الحکم بطهارته</w:t>
      </w:r>
      <w:r>
        <w:rPr>
          <w:rStyle w:val="FootnoteAnchor"/>
          <w:rtl w:val="true"/>
        </w:rPr>
        <w:footnoteReference w:id="10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فیها مع احتمال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الحکم بالطهارة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الحکم بالطهارة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تطهیره إیّاه محتملاً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وفی اشتراط کونه بالغاً، أو یکفی ولو کان صبیّاً ممیّزاً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اعتبار البلوغ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جریان الحکم بالطهارة فی الصبی الممیِّز إذا تمّت الشرائط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الکفایة، بل الطفل غیر الممیّز یمکن إجراء الحکم فیه بلحاظ کونه من شؤون من یتولّی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والأحوط</w:t>
      </w:r>
    </w:p>
    <w:p>
      <w:pPr>
        <w:pStyle w:val="BookText"/>
        <w:rPr/>
      </w:pPr>
      <w:r>
        <w:rPr>
          <w:rFonts w:ascii="IRNazanin" w:hAnsi="IRNazanin" w:eastAsia="IRNazanin"/>
          <w:color w:val="111111"/>
          <w:sz w:val="28"/>
          <w:sz w:val="28"/>
          <w:szCs w:val="28"/>
          <w:rtl w:val="true"/>
          <w:lang w:bidi="fa-IR"/>
        </w:rPr>
        <w:t>ذلک</w:t>
      </w:r>
      <w:r>
        <w:rPr>
          <w:rStyle w:val="FootnoteAnchor"/>
          <w:rtl w:val="true"/>
        </w:rPr>
        <w:footnoteReference w:id="10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الأقوی الطهارة فی الصبیّ الممیّز، ولا یلحق العمی والظلمة بالغَیبة علی الأصحّ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الاشتراط، إلاّ إذا علم من حاله أ نّه لا یبالی بالنجاسة ولو باعتبار أ نّه غیر مکلّف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العدم مع الشرائط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الإلحاق فی الممیّز بالشروط المزبورة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عدم اشتراط البلوغ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اعتبار البلوغ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رأینا أنّ ولیّه مع علمه بنجاسة بدنه أو ثوبه یُجری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غیبته آثار الطهارة لا یبعد البناء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نعم فعل الولی محمول علی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علم بأنّ غیبة الصبیّ لیست عند الولیّ أمارة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تکن غیبة الصبیّ عند الولی اجتهاداً أو تقلیداً من المطهّرات، وإلاّ یمکن أن یکون معتمداً علی ذلک فی ترتیب آثار الطهارة، لا من جهة تطهیره أو تطهیر الصبیّ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أنّ وجه معاملة الولیّ الغیبة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بعدم کون صرف غیبة المولّی علیه طریقاً إلی طهارته عند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علم أنّ غیبة الصبیّ لیست عند الولی إلاّ علی الطهارة، وإلاّ لا أثر لعمل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غیبة الطفل والولیّ معاً، والعلم بعدم اعتماد الولیّ علی غیبة الصبیّ بناءً علی عدم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غاب کلّ من الولیّ والصبیّ وعلمنا أنّ الولیّ بحسب اجتهاده أو تقلیده لا یعدّ غیبة الطفل أمارة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مبنیّ علی عمل الولیّ لو حصل له الاطمئنان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w:t>
      </w:r>
      <w:r>
        <w:rPr>
          <w:rStyle w:val="FootnoteAnchor"/>
          <w:rtl w:val="true"/>
        </w:rPr>
        <w:footnoteReference w:id="10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إلحاق الظلمة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الظهور ممنوع، بل الأقوی عدم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إلحاقها بالغیبة إشکال؛ لعدم معلومیّة انعقاد السیرة علی ذلک التی هی العمدة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الإشکال والتأمّل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الاقوی الإلحاق فیها وفی الغیم والعمی بعد کون الأظهر عدم موضوعیّة للغیبة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لعدم السیرة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نظر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413" w:name="pg13273_135295"/>
    </w:p>
    <w:p>
      <w:pPr>
        <w:pStyle w:val="BookText"/>
        <w:rPr/>
      </w:pPr>
      <w:bookmarkEnd w:id="413"/>
      <w:r>
        <w:rPr>
          <w:rFonts w:ascii="IRNazanin" w:hAnsi="IRNazanin" w:eastAsia="IRNazanin"/>
          <w:color w:val="111111"/>
          <w:sz w:val="28"/>
          <w:sz w:val="28"/>
          <w:szCs w:val="28"/>
          <w:rtl w:val="true"/>
          <w:lang w:bidi="fa-IR"/>
        </w:rPr>
        <w:t>والعمی</w:t>
      </w:r>
      <w:r>
        <w:rPr>
          <w:rStyle w:val="FootnoteAnchor"/>
          <w:rtl w:val="true"/>
        </w:rPr>
        <w:footnoteReference w:id="10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إلحاقهما بالغیبة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بالغیبة مع تحقّق الشروط المذکورة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1666636_2322387425"/>
      <w:bookmarkStart w:id="415" w:name="_Toc146"/>
      <w:bookmarkEnd w:id="414"/>
      <w:r>
        <w:rPr>
          <w:rtl w:val="true"/>
        </w:rPr>
        <w:t>فروع فی المطهرات</w:t>
      </w:r>
      <w:bookmarkEnd w:id="415"/>
    </w:p>
    <w:p>
      <w:pPr>
        <w:pStyle w:val="BookText"/>
        <w:rPr/>
      </w:pPr>
      <w:r>
        <w:rPr>
          <w:rFonts w:ascii="Amiri" w:hAnsi="Amiri" w:eastAsia="Amiri" w:cs="Amiri"/>
          <w:color w:val="111111"/>
          <w:sz w:val="28"/>
          <w:sz w:val="28"/>
          <w:szCs w:val="28"/>
          <w:rtl w:val="true"/>
          <w:lang w:bidi="ar-SA"/>
        </w:rPr>
        <w:t>ثمّ لا یخفی أنّ مطهّریّة الغیبة إنّما هی فی الظاهر</w:t>
      </w:r>
      <w:r>
        <w:rPr>
          <w:rStyle w:val="FootnoteAnchor"/>
          <w:rtl w:val="true"/>
        </w:rPr>
        <w:footnoteReference w:id="1048"/>
      </w:r>
      <w:r>
        <w:rPr>
          <w:rFonts w:ascii="IRNazanin" w:hAnsi="IRNazanin" w:eastAsia="IRNazanin"/>
          <w:color w:val="111111"/>
          <w:sz w:val="28"/>
          <w:sz w:val="28"/>
          <w:szCs w:val="28"/>
          <w:rtl w:val="true"/>
          <w:lang w:bidi="fa-IR"/>
        </w:rPr>
        <w:t>، وإلاّ فالواقع علی حاله</w:t>
      </w:r>
      <w:r>
        <w:rPr>
          <w:rStyle w:val="FootnoteAnchor"/>
          <w:rtl w:val="true"/>
        </w:rPr>
        <w:footnoteReference w:id="1049"/>
      </w:r>
      <w:r>
        <w:rPr>
          <w:rFonts w:ascii="IRNazanin" w:hAnsi="IRNazanin" w:eastAsia="IRNazanin"/>
          <w:color w:val="111111"/>
          <w:sz w:val="28"/>
          <w:sz w:val="28"/>
          <w:szCs w:val="28"/>
          <w:rtl w:val="true"/>
          <w:lang w:bidi="fa-IR"/>
        </w:rPr>
        <w:t>، وکذا المطهّر السابق وهو الاستبراء</w:t>
      </w:r>
      <w:r>
        <w:rPr>
          <w:rStyle w:val="FootnoteAnchor"/>
          <w:rtl w:val="true"/>
        </w:rPr>
        <w:footnoteReference w:id="1050"/>
      </w:r>
      <w:r>
        <w:rPr>
          <w:rFonts w:ascii="IRNazanin" w:hAnsi="IRNazanin" w:eastAsia="IRNazanin"/>
          <w:color w:val="111111"/>
          <w:sz w:val="28"/>
          <w:sz w:val="28"/>
          <w:szCs w:val="28"/>
          <w:rtl w:val="true"/>
          <w:lang w:bidi="fa-IR"/>
        </w:rPr>
        <w:t>بخلاف سائر الاُمور المذکورة، کما لا یخفی أنّ عدّ الغیبة من المطهّرات من باب المسامحة، وإلاّ فهی فی الحقیقة من طرق إثبات التطهیر</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المطهّرات</w:t>
      </w:r>
      <w:r>
        <w:rPr>
          <w:rStyle w:val="FootnoteAnchor"/>
          <w:rtl w:val="true"/>
        </w:rPr>
        <w:footnoteReference w:id="1051"/>
      </w:r>
      <w:r>
        <w:rPr>
          <w:rFonts w:ascii="IRNazanin" w:hAnsi="IRNazanin" w:eastAsia="IRNazanin"/>
          <w:color w:val="111111"/>
          <w:sz w:val="28"/>
          <w:sz w:val="28"/>
          <w:szCs w:val="28"/>
          <w:rtl w:val="true"/>
          <w:lang w:bidi="fa-IR"/>
        </w:rPr>
        <w:t>الغسل بالماء المضاف، ولا مسح النجاسة عن الجسم الصقیل کالشیشة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فارسیة، معربها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إزالة الدم بالبصاق، ولا غلیان </w:t>
      </w:r>
    </w:p>
    <w:p>
      <w:pPr>
        <w:pStyle w:val="BookText"/>
        <w:rPr/>
      </w:pPr>
      <w:r>
        <w:rPr>
          <w:rFonts w:ascii="IRNazanin" w:hAnsi="IRNazanin" w:eastAsia="IRNazanin"/>
          <w:color w:val="111111"/>
          <w:sz w:val="28"/>
          <w:sz w:val="28"/>
          <w:szCs w:val="28"/>
          <w:rtl w:val="true"/>
          <w:lang w:bidi="fa-IR"/>
        </w:rPr>
        <w:t>الدم</w:t>
      </w:r>
      <w:r>
        <w:rPr>
          <w:rStyle w:val="FootnoteAnchor"/>
          <w:rtl w:val="true"/>
        </w:rPr>
        <w:footnoteReference w:id="1052"/>
      </w:r>
      <w:r>
        <w:rPr>
          <w:rFonts w:ascii="IRNazanin" w:hAnsi="IRNazanin" w:eastAsia="IRNazanin"/>
          <w:color w:val="111111"/>
          <w:sz w:val="28"/>
          <w:sz w:val="28"/>
          <w:szCs w:val="28"/>
          <w:rtl w:val="true"/>
          <w:lang w:bidi="fa-IR"/>
        </w:rPr>
        <w:t>فی المرق، ولا خبز العجین النجس، ولا مزج الدهن</w:t>
      </w:r>
      <w:r>
        <w:rPr>
          <w:rStyle w:val="FootnoteAnchor"/>
          <w:rtl w:val="true"/>
        </w:rPr>
        <w:footnoteReference w:id="10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مسائل التطهیر بالماء ونفی البعد عن الطهارة لو جعل الدُهن فی الکثیر الحارّ بشرط وصول المطهّر إلی جمیع أجزاء المتنجّس، لا النداوة فقط لو أمکن، وإنّما الإشکال فی الإمکان، ویمکن حمل کلامه هنا علی ما إذا لم یغلِ کذلک، فحینئذٍ لا مناقضة بین کلامیه فی المسألتین السابقة وهذه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علی النحو المذکور فیما تقدّم، وقد مرّ أ نّه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النجس بالکرّ الحارّ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منه قدس‌سره نفی البُعد عن طهارته بذلک إذا غلی مقداراً من الزمان، ولعلّ مراده هنا عدم کفایة صرف المزج ما لم یغلِ الماء مقداراً من الزمان، فلا تنافی کما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قد تقدّم منّا بُعده جدّاً، بل إنّه ادُّعی استحالته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دبغ جلد المیتة، وإن قال بکلٍّ 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استعمال</w:t>
      </w:r>
      <w:r>
        <w:rPr>
          <w:rStyle w:val="FootnoteAnchor"/>
          <w:rtl w:val="true"/>
        </w:rPr>
        <w:footnoteReference w:id="1054"/>
      </w:r>
      <w:r>
        <w:rPr>
          <w:rFonts w:ascii="IRNazanin" w:hAnsi="IRNazanin" w:eastAsia="IRNazanin"/>
          <w:color w:val="111111"/>
          <w:sz w:val="28"/>
          <w:sz w:val="28"/>
          <w:szCs w:val="28"/>
          <w:rtl w:val="true"/>
          <w:lang w:bidi="fa-IR"/>
        </w:rPr>
        <w:t>جلد الحیوان الّذی لا یوءکل لحمه بعد التذکیة</w:t>
      </w:r>
      <w:r>
        <w:rPr>
          <w:rStyle w:val="FootnoteAnchor"/>
          <w:rtl w:val="true"/>
        </w:rPr>
        <w:footnoteReference w:id="1055"/>
      </w:r>
      <w:r>
        <w:rPr>
          <w:rFonts w:ascii="IRNazanin" w:hAnsi="IRNazanin" w:eastAsia="IRNazanin"/>
          <w:color w:val="111111"/>
          <w:sz w:val="28"/>
          <w:sz w:val="28"/>
          <w:szCs w:val="28"/>
          <w:rtl w:val="true"/>
          <w:lang w:bidi="fa-IR"/>
        </w:rPr>
        <w:t>، ولو فیما یشترط فیه الطهارة</w:t>
      </w:r>
      <w:r>
        <w:rPr>
          <w:rStyle w:val="FootnoteAnchor"/>
          <w:rtl w:val="true"/>
        </w:rPr>
        <w:footnoteReference w:id="10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الصلاة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الشریعتمداری،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الصلاة والطواف من جهة کونه جزءاً ممّا لا یؤکل لحمه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ما عدا الصلاة والطواف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الصلاة والطواف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الصلاة وما هو منزّل منزلتها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الصلاة والطواف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ما عدا الصلاة والطواف فیعتبر فیهما أن یکون الجلد ممّا یؤکل لحمه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الصلاة والطواف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استعماله فیه إلاّ بعد الدبغ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الجلد المذکور فی خصوص الصلاة والطواف محلّ تأمّل، نعم فی جملة من الموارد المذکورة منها هذا المورد تجری قاعدة التسامح، فإتیانها رجاءً 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یعتبر فیه عدم استصحاب أجزاء ما لا یؤکل لحمه، کثیاب المصلّی وثوبی الإحرام، علی 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الصلاة، لأجل کون عدم المأکولیة فیها مانعاً مستقلاً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یدبغ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یستحبّ</w:t>
      </w:r>
      <w:r>
        <w:rPr>
          <w:rStyle w:val="FootnoteAnchor"/>
          <w:rtl w:val="true"/>
        </w:rPr>
        <w:footnoteReference w:id="10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بالاستحباب محلّ نظر، استضعافاً لمستنده صدوراً وظهوراً، وقاعدة التسامح لا تقوم عندنا دلیلاً علی الندبیة، وکراهة الاستعمال قبلها لو سلّمت غیر مستلزمة لاستحباب ترکه؛ إذ التحقیق عدم التلازم بین کراهة الفعل واستحباب الترک، وبالعکس، فالإتیان به رجاءً نِعْمَ المهیع الأهنی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 یستعمل مطلقاً إلاّ بعد الدبغ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یوءخذ من الجلود</w:t>
      </w:r>
      <w:r>
        <w:rPr>
          <w:rStyle w:val="FootnoteAnchor"/>
          <w:rtl w:val="true"/>
        </w:rPr>
        <w:footnoteReference w:id="10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الجلود المأخوذة من البلاد الکافرة إذا علم سبق ید المسلم علیها، أو احتمل احتمالاً عقلائیّاً محکوم بالتذکیة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أیدی المسلمین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من أسواقهم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ید من لا یعلم کفره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غیر ید الکافر الغیر مسبوق بید المسلم وسوق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محکوم بالتذکیة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الجلود المجلوبة من بلاد الکفّار إن علم إجمالاً، أو تفصیلاً أو احتمل احتمالاً عقلائیاً بسبق ید المسلم علیها، وإلاّ فیشکل الحکم بالتذکیة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مسبوقاً بید الکفّار أو سوقهم، وإلاّ یلزم احتمال فحص المسلم البائع والعمل علی طبقه، وإلاّ فالأحوط لو لم یکن أقوی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 فی نجاسة المیتة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أحرز ترتیب المسلم آثار التذکیة علیه، وهکذا الجلود المجلوبة من بلاد الکفّار إن علم إجمالاً أو تفصیلاً، أو احتمل احتمالاً عقلائیاً بسبق ید المسلم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کانوا ممّن یقول بطهارة جلد المیتة بالدبغ</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عـدا الکلب والخنزیر مـن الحیوانـات </w:t>
      </w:r>
    </w:p>
    <w:p>
      <w:pPr>
        <w:pStyle w:val="BookText"/>
        <w:rPr/>
      </w:pPr>
      <w:r>
        <w:rPr>
          <w:rFonts w:ascii="IRNazanin" w:hAnsi="IRNazanin" w:eastAsia="IRNazanin"/>
          <w:color w:val="111111"/>
          <w:sz w:val="28"/>
          <w:sz w:val="28"/>
          <w:szCs w:val="28"/>
          <w:rtl w:val="true"/>
          <w:lang w:bidi="fa-IR"/>
        </w:rPr>
        <w:t>الّتی لا یؤکل</w:t>
      </w:r>
      <w:r>
        <w:rPr>
          <w:rStyle w:val="FootnoteAnchor"/>
          <w:rtl w:val="true"/>
        </w:rPr>
        <w:footnoteReference w:id="1059"/>
      </w:r>
      <w:r>
        <w:rPr>
          <w:rFonts w:ascii="IRNazanin" w:hAnsi="IRNazanin" w:eastAsia="IRNazanin"/>
          <w:color w:val="111111"/>
          <w:sz w:val="28"/>
          <w:sz w:val="28"/>
          <w:szCs w:val="28"/>
          <w:rtl w:val="true"/>
          <w:lang w:bidi="fa-IR"/>
        </w:rPr>
        <w:t>لحمها</w:t>
      </w:r>
      <w:r>
        <w:rPr>
          <w:rStyle w:val="FootnoteAnchor"/>
          <w:rtl w:val="true"/>
        </w:rPr>
        <w:footnoteReference w:id="10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الحشرات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ذات جلد، لا کالخنافس ونحوها فإنّها لا تنجس بالموت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للتذکیة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فی غیر السباع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تأمّل فی إطلاقه، وإن کان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من الحشرات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صغار الحشرات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ذات جلد معتدّ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الحشرات فخارجة عن محلّ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 الحشرات لا سیّما فیما لا تعدّ من ذوات الجلود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عندی أنّ الحشرات کالفأرة وابن عرس وأمثالهما لیست قابلة للتذکیة للإجماع والأخبار والمسألة محرّرة فی کتاب الذباحة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الحشرات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هذه الکلّیّة محلّ إشکال، إلاّ أنّ الحکم بالطهارة مع ذلک مع مراعاة ما یعتبر فی التذکیة له وجه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 ما تعدّ من الحشرات خصوصاً صغارها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الحشرات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یراجع ما علّقناه فی المسألة الثالثة من نجاسة البول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تأمّل فی إطلاقه، وإن کان له وجه، ولکن مع ذلک إذا وقع التذکیة علیه فمحکوم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الحشرات والإنسان فإنّها غیر قابلة للتذکیة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الحشرات، وإن کانت ذات نفس سائلة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قبول الحشرات للتذکیة خصوصاً صغارها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فجلده</w:t>
      </w:r>
      <w:r>
        <w:rPr>
          <w:rStyle w:val="FootnoteAnchor"/>
          <w:rtl w:val="true"/>
        </w:rPr>
        <w:footnoteReference w:id="1061"/>
      </w:r>
      <w:r>
        <w:rPr>
          <w:rFonts w:ascii="IRNazanin" w:hAnsi="IRNazanin" w:eastAsia="IRNazanin"/>
          <w:color w:val="111111"/>
          <w:sz w:val="28"/>
          <w:sz w:val="28"/>
          <w:szCs w:val="28"/>
          <w:rtl w:val="true"/>
          <w:lang w:bidi="fa-IR"/>
        </w:rPr>
        <w:t>ولحمه طاهر بعد التذکیة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w:t>
      </w:r>
      <w:r>
        <w:rPr>
          <w:rStyle w:val="FootnoteAnchor"/>
          <w:rtl w:val="true"/>
        </w:rPr>
        <w:footnoteReference w:id="1062"/>
      </w:r>
      <w:r>
        <w:rPr>
          <w:rFonts w:ascii="IRNazanin" w:hAnsi="IRNazanin" w:eastAsia="IRNazanin"/>
          <w:color w:val="111111"/>
          <w:sz w:val="28"/>
          <w:sz w:val="28"/>
          <w:szCs w:val="28"/>
          <w:rtl w:val="true"/>
          <w:lang w:bidi="fa-IR"/>
        </w:rPr>
        <w:t>غسل الملاقی</w:t>
      </w:r>
      <w:r>
        <w:rPr>
          <w:rStyle w:val="FootnoteAnchor"/>
          <w:rtl w:val="true"/>
        </w:rPr>
        <w:footnoteReference w:id="10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الموارد المحکومة باستحباب غسل ملاقیها أکثر ممّا أفاده،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جزء من البدن لو عضّه الکلب مع جفاف العاضّ والمعضوض،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الخنزیر کذلک،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البدن والثوب الملطّخین بالمذی،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المستعار من المجوس لو اُرید الصلاة فیها،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الثوب والبدن لو أصابهما بول البعیر والشاة،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الثوب والبدن من عرق المجنب من الحلال،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غسلهما عند تماسّ الفأرة إیاهما بالرطوبة،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الصفرة الخارجة من الجرح مع عدم وجود الدم، إلی غیر ذلک، ولکن الشأن فی إثبات الاستحباب فی أکثر الموارد التی ذکرها قدس‌سره ، ورعایة الرجاء فیما أشرنا إلیه بعد ضعف مدارکه سنداً أو دلالة أو جهة، وعدم کفایة التسامح لإثبات الندب والکراهة نعم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 بعض هذه الاُمور من باب التسامح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استحبابه فی بعض ما ذکره قدس‌سره غیر ثابت فیؤتی به رجاءً، وکذا الحال فی استحباب النضح والمسح فی بعض الموارد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جملة من الموارد مع</w:t>
      </w:r>
    </w:p>
    <w:p>
      <w:pPr>
        <w:pStyle w:val="BookText"/>
        <w:rPr/>
      </w:pPr>
      <w:r>
        <w:rPr>
          <w:rFonts w:ascii="IRNazanin" w:hAnsi="IRNazanin" w:eastAsia="IRNazanin"/>
          <w:color w:val="111111"/>
          <w:sz w:val="28"/>
          <w:sz w:val="28"/>
          <w:szCs w:val="28"/>
          <w:rtl w:val="true"/>
          <w:lang w:bidi="fa-IR"/>
        </w:rPr>
        <w:t>عدم تنجّسه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کملاقاة البدن أو الثوب لبول الفرس والبغل والحمار، وملاقاة الفأرة الحیّة مع الرطوبة مع عدم ظهور أثرها، والمصافحة مع الناصبی بلا 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النَضح، أیْ الرشّ بالماء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کملاقاة الکلب والخنزیر والکافر بلا رطوبة، وعرق الجنب من الحلال</w:t>
      </w:r>
      <w:r>
        <w:rPr>
          <w:rStyle w:val="FootnoteAnchor"/>
          <w:rtl w:val="true"/>
        </w:rPr>
        <w:footnoteReference w:id="10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استفادة الاستحباب الشرعی من خبر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الرشّ فیه محلّ تأمّل، بل ممنوع بناءً علی القول بعدم نجاسته کما اخترناه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وملاقاة ما شکّ فی ملاقاته لبول الفرس والبغل والحمار، وملاقاة الفأرة الحیّة مع الرطوبة إذا لم یظهر أثرها، وما شکّ فی ملاقاته للبول أو الدم أو المنیّ، وملاقاة الصفرة الخارجة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دبر صاحب البواسیر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الموجود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نواقض الوضوء،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الجرح فی مقعدته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کلّ من له جرح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ومعبد</w:t>
      </w:r>
    </w:p>
    <w:p>
      <w:pPr>
        <w:pStyle w:val="BookText"/>
        <w:rPr/>
      </w:pPr>
      <w:r>
        <w:rPr>
          <w:rFonts w:ascii="IRNazanin" w:hAnsi="IRNazanin" w:eastAsia="IRNazanin"/>
          <w:color w:val="111111"/>
          <w:sz w:val="28"/>
          <w:sz w:val="28"/>
          <w:szCs w:val="28"/>
          <w:rtl w:val="true"/>
          <w:lang w:bidi="fa-IR"/>
        </w:rPr>
        <w:t>الیهود</w:t>
      </w:r>
      <w:r>
        <w:rPr>
          <w:rStyle w:val="FootnoteAnchor"/>
          <w:rtl w:val="true"/>
        </w:rPr>
        <w:footnoteReference w:id="1065"/>
      </w:r>
      <w:r>
        <w:rPr>
          <w:rFonts w:ascii="IRNazanin" w:hAnsi="IRNazanin" w:eastAsia="IRNazanin"/>
          <w:color w:val="111111"/>
          <w:sz w:val="28"/>
          <w:sz w:val="28"/>
          <w:szCs w:val="28"/>
          <w:rtl w:val="true"/>
          <w:lang w:bidi="fa-IR"/>
        </w:rPr>
        <w:t>والنصاری والمجوس</w:t>
      </w:r>
      <w:r>
        <w:rPr>
          <w:rStyle w:val="FootnoteAnchor"/>
          <w:rtl w:val="true"/>
        </w:rPr>
        <w:footnoteReference w:id="10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المذکور فی الأخبار بیوت المجوس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وبیوت المجوس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المذکور فی النصوص بیوت المجوس، وإرادة المعابد منها غیر واضحة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 أن یصلّی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المسح بالتراب</w:t>
      </w:r>
      <w:r>
        <w:rPr>
          <w:rStyle w:val="FootnoteAnchor"/>
          <w:rtl w:val="true"/>
        </w:rPr>
        <w:footnoteReference w:id="1067"/>
      </w:r>
      <w:r>
        <w:rPr>
          <w:rFonts w:ascii="IRNazanin" w:hAnsi="IRNazanin" w:eastAsia="IRNazanin"/>
          <w:color w:val="111111"/>
          <w:sz w:val="28"/>
          <w:sz w:val="28"/>
          <w:szCs w:val="28"/>
          <w:rtl w:val="true"/>
          <w:lang w:bidi="fa-IR"/>
        </w:rPr>
        <w:t>أو بالحائط فی موارد</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کمصافحة الکافر الکتابی بلا رطوبة، ومسّ الکلب والخنزیر</w:t>
      </w:r>
      <w:r>
        <w:rPr>
          <w:rStyle w:val="FootnoteAnchor"/>
          <w:rtl w:val="true"/>
        </w:rPr>
        <w:footnoteReference w:id="10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کلّ نجاسة یابسة کما أفتی به بعض القدماء، لکنّ الخطب سهل بعد استضعاف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أقف فیه وفی ما بعده علی دلیل، وکذا فی الثعلب والأرنب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 رطوبة، ومسّ الثعلب والأرنب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3273_135303"/>
    </w:p>
    <w:p>
      <w:pPr>
        <w:pStyle w:val="Heading2"/>
        <w:numPr>
          <w:ilvl w:val="1"/>
          <w:numId w:val="1"/>
        </w:numPr>
        <w:rPr/>
      </w:pPr>
      <w:bookmarkStart w:id="417" w:name="__RefHeading___Toc1666638_2322387425"/>
      <w:bookmarkStart w:id="418" w:name="_Toc147"/>
      <w:bookmarkEnd w:id="416"/>
      <w:bookmarkEnd w:id="417"/>
      <w:r>
        <w:rPr>
          <w:rtl w:val="true"/>
        </w:rPr>
        <w:t>فصل طرق ثبوت التطهیر</w:t>
      </w:r>
      <w:bookmarkEnd w:id="418"/>
    </w:p>
    <w:p>
      <w:pPr>
        <w:pStyle w:val="Heading3"/>
        <w:numPr>
          <w:ilvl w:val="2"/>
          <w:numId w:val="1"/>
        </w:numPr>
        <w:rPr/>
      </w:pPr>
      <w:bookmarkStart w:id="419" w:name="__RefHeading___Toc1666640_2322387425"/>
      <w:bookmarkStart w:id="420" w:name="_Toc148"/>
      <w:bookmarkEnd w:id="419"/>
      <w:r>
        <w:rPr>
          <w:rtl w:val="true"/>
        </w:rPr>
        <w:t>اشارة</w:t>
      </w:r>
      <w:bookmarkEnd w:id="420"/>
    </w:p>
    <w:p>
      <w:pPr>
        <w:pStyle w:val="BookText"/>
        <w:rPr/>
      </w:pPr>
      <w:r>
        <w:rPr>
          <w:rFonts w:ascii="IRNazanin" w:hAnsi="IRNazanin" w:eastAsia="IRNazanin"/>
          <w:color w:val="111111"/>
          <w:sz w:val="28"/>
          <w:sz w:val="28"/>
          <w:szCs w:val="28"/>
          <w:rtl w:val="true"/>
          <w:lang w:bidi="fa-IR"/>
        </w:rPr>
        <w:t>إذا علم نجاسة شیء یحکم ببقائها ما لم یثبت تطهیره، وطریق الثبوت اُمور</w:t>
      </w:r>
      <w:r>
        <w:rPr>
          <w:rFonts w:eastAsia="IRNazanin" w:cs="IRNazanin"/>
          <w:color w:val="111111"/>
          <w:sz w:val="28"/>
          <w:szCs w:val="28"/>
          <w:rtl w:val="true"/>
          <w:lang w:bidi="fa-IR"/>
        </w:rPr>
        <w:t>:</w:t>
      </w:r>
    </w:p>
    <w:p>
      <w:pPr>
        <w:pStyle w:val="Heading3"/>
        <w:numPr>
          <w:ilvl w:val="2"/>
          <w:numId w:val="1"/>
        </w:numPr>
        <w:rPr/>
      </w:pPr>
      <w:bookmarkStart w:id="421" w:name="__RefHeading___Toc1666642_2322387425"/>
      <w:bookmarkStart w:id="422" w:name="_Toc149"/>
      <w:bookmarkEnd w:id="421"/>
      <w:r>
        <w:rPr>
          <w:rtl w:val="true"/>
        </w:rPr>
        <w:t>الأول والثانیک العلم الوجدانی والبینة</w:t>
      </w:r>
      <w:bookmarkEnd w:id="42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Style w:val="FootnoteAnchor"/>
          <w:rtl w:val="true"/>
        </w:rPr>
        <w:footnoteReference w:id="1070"/>
      </w:r>
      <w:r>
        <w:rPr>
          <w:rFonts w:ascii="IRNazanin" w:hAnsi="IRNazanin" w:eastAsia="IRNazanin"/>
          <w:color w:val="111111"/>
          <w:sz w:val="28"/>
          <w:sz w:val="28"/>
          <w:szCs w:val="28"/>
          <w:rtl w:val="true"/>
          <w:lang w:bidi="fa-IR"/>
        </w:rPr>
        <w:t>الوجدانی</w:t>
      </w:r>
      <w:r>
        <w:rPr>
          <w:rStyle w:val="FootnoteAnchor"/>
          <w:rtl w:val="true"/>
        </w:rPr>
        <w:footnoteReference w:id="10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بحکمه من الاطمئنان الناشئ من المبادئ العقلائیة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العلم العادی الاطمئنانی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العدلین</w:t>
      </w:r>
      <w:r>
        <w:rPr>
          <w:rStyle w:val="FootnoteAnchor"/>
          <w:rtl w:val="true"/>
        </w:rPr>
        <w:footnoteReference w:id="10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منه قدس‌سره ، ومنّا الکلام فی إطلاق حجّیة البیّنة وعدمه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بالتطهیر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بسبب الطهارة، وإن لم یکن مطهّراً عندهما، أو عند أحدهما، کما إذا أخبرا بنزول المطر علی الماء النجس بمقدار لا یکفی عندهما فی التطهیر، مع کونه کافیاً عنده، أو أخبرا بغسل الشیء بما یعتقدان أ نّه مضاف، وهو عالم بأ نّه ماء مطلق، وهکذا</w:t>
      </w:r>
      <w:r>
        <w:rPr>
          <w:rFonts w:eastAsia="IRNazanin" w:cs="IRNazanin"/>
          <w:color w:val="111111"/>
          <w:sz w:val="28"/>
          <w:szCs w:val="28"/>
          <w:rtl w:val="true"/>
          <w:lang w:bidi="fa-IR"/>
        </w:rPr>
        <w:t>.</w:t>
      </w:r>
      <w:bookmarkStart w:id="423" w:name="pg13273_135304"/>
    </w:p>
    <w:p>
      <w:pPr>
        <w:pStyle w:val="Heading3"/>
        <w:numPr>
          <w:ilvl w:val="2"/>
          <w:numId w:val="1"/>
        </w:numPr>
        <w:rPr/>
      </w:pPr>
      <w:bookmarkStart w:id="424" w:name="__RefHeading___Toc1666644_2322387425"/>
      <w:bookmarkStart w:id="425" w:name="_Toc150"/>
      <w:bookmarkEnd w:id="423"/>
      <w:bookmarkEnd w:id="424"/>
      <w:r>
        <w:rPr>
          <w:rtl w:val="true"/>
        </w:rPr>
        <w:t>الثالث</w:t>
      </w:r>
      <w:r>
        <w:rPr>
          <w:rtl w:val="true"/>
        </w:rPr>
        <w:t xml:space="preserve">: </w:t>
      </w:r>
      <w:r>
        <w:rPr>
          <w:rtl w:val="true"/>
        </w:rPr>
        <w:t>إخبار ذی الید</w:t>
      </w:r>
      <w:bookmarkEnd w:id="42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ذی الید</w:t>
      </w:r>
      <w:r>
        <w:rPr>
          <w:rStyle w:val="FootnoteAnchor"/>
          <w:rtl w:val="true"/>
        </w:rPr>
        <w:footnoteReference w:id="10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متّهماً بعدم المبالاة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ما یوجب اتّهامه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عادلاً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قرینة علی اتّهامه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ولا مسلماً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قرینة علی اتّهامه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1666646_2322387425"/>
      <w:bookmarkStart w:id="427" w:name="_Toc151"/>
      <w:bookmarkEnd w:id="426"/>
      <w:r>
        <w:rPr>
          <w:rtl w:val="true"/>
        </w:rPr>
        <w:t>الرابع</w:t>
      </w:r>
      <w:r>
        <w:rPr>
          <w:rtl w:val="true"/>
        </w:rPr>
        <w:t xml:space="preserve">: </w:t>
      </w:r>
      <w:r>
        <w:rPr>
          <w:rtl w:val="true"/>
        </w:rPr>
        <w:t>غیبة المسلم</w:t>
      </w:r>
      <w:bookmarkEnd w:id="42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المسلم علی التفصیل الّذی سبق</w:t>
      </w:r>
      <w:r>
        <w:rPr>
          <w:rStyle w:val="FootnoteAnchor"/>
          <w:rtl w:val="true"/>
        </w:rPr>
        <w:footnoteReference w:id="10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التفصیل السابق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القول فیه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666648_2322387425"/>
      <w:bookmarkStart w:id="429" w:name="_Toc152"/>
      <w:bookmarkEnd w:id="428"/>
      <w:r>
        <w:rPr>
          <w:rtl w:val="true"/>
        </w:rPr>
        <w:t>الخامس</w:t>
      </w:r>
      <w:r>
        <w:rPr>
          <w:rtl w:val="true"/>
        </w:rPr>
        <w:t xml:space="preserve">: </w:t>
      </w:r>
      <w:r>
        <w:rPr>
          <w:rtl w:val="true"/>
        </w:rPr>
        <w:t>إخبار الوکیل</w:t>
      </w:r>
      <w:bookmarkEnd w:id="429"/>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الوکیل</w:t>
      </w:r>
      <w:r>
        <w:rPr>
          <w:rStyle w:val="FootnoteAnchor"/>
          <w:rtl w:val="true"/>
        </w:rPr>
        <w:footnoteReference w:id="10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الوثوق منه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ذی الید منه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 ذا یدٍ علیه أو موثوقاً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مجرّد إخبار الوکیل إشکال ما لم یکن تحت یده، أو یعلم تصدّیه لتطهیره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إخبار الوکیل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یستولی علیه ویکون فی 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الوثوق والاطمئنان بصدور الفعل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ذی الید فیه تأمّل، إلاّ إذا علم صدور الفعل منه فیحمل علی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 ذا الید،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ثبوت الطهارة بإخباره إذا لم یکن الشیء فی یده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حصل بإخباره الاطمئنان، وإلاّ فیشکل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تحت 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یختلف الوکیل مع المکلّف فی سبب التطهیر، وکذا الحکم فی غسل المسلم له بعنوان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إذا لم یکن فی 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تصدیق المخبر کونه من مصادیق ذی 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خصوصیّة لعنوان الوکیل، فإن کان ما أخبره تحت یده وسیطرته علیه فیدخل فی إخبار ذی الید، وإن لم یکن تحت یده فإخباره حجّة إذا کان عادلاً أو موثّقاً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حجّیّـته، نعم إذا کان ذا الید یقبل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ذا الید ففی اعتبار إخباره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التطهیر بطهارته</w:t>
      </w:r>
      <w:r>
        <w:rPr>
          <w:rFonts w:eastAsia="IRNazanin" w:cs="IRNazanin"/>
          <w:color w:val="111111"/>
          <w:sz w:val="28"/>
          <w:szCs w:val="28"/>
          <w:rtl w:val="true"/>
          <w:lang w:bidi="fa-IR"/>
        </w:rPr>
        <w:t>.</w:t>
      </w:r>
      <w:bookmarkStart w:id="430" w:name="pg13273_135305"/>
    </w:p>
    <w:p>
      <w:pPr>
        <w:pStyle w:val="Heading3"/>
        <w:numPr>
          <w:ilvl w:val="2"/>
          <w:numId w:val="1"/>
        </w:numPr>
        <w:rPr/>
      </w:pPr>
      <w:bookmarkStart w:id="431" w:name="__RefHeading___Toc1666650_2322387425"/>
      <w:bookmarkStart w:id="432" w:name="_Toc153"/>
      <w:bookmarkEnd w:id="430"/>
      <w:bookmarkEnd w:id="431"/>
      <w:r>
        <w:rPr>
          <w:rtl w:val="true"/>
        </w:rPr>
        <w:t>السادس</w:t>
      </w:r>
      <w:r>
        <w:rPr>
          <w:rtl w:val="true"/>
        </w:rPr>
        <w:t xml:space="preserve">: </w:t>
      </w:r>
      <w:r>
        <w:rPr>
          <w:rtl w:val="true"/>
        </w:rPr>
        <w:t>غسل مسلم له بعنوان التطهیر</w:t>
      </w:r>
      <w:bookmarkEnd w:id="432"/>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مسلمٍ له</w:t>
      </w:r>
      <w:r>
        <w:rPr>
          <w:rStyle w:val="FootnoteAnchor"/>
          <w:rtl w:val="true"/>
        </w:rPr>
        <w:footnoteReference w:id="1076"/>
      </w:r>
      <w:r>
        <w:rPr>
          <w:rFonts w:ascii="IRNazanin" w:hAnsi="IRNazanin" w:eastAsia="IRNazanin"/>
          <w:color w:val="111111"/>
          <w:sz w:val="28"/>
          <w:sz w:val="28"/>
          <w:szCs w:val="28"/>
          <w:rtl w:val="true"/>
          <w:lang w:bidi="fa-IR"/>
        </w:rPr>
        <w:t>بعنوان التطهیر</w:t>
      </w:r>
      <w:r>
        <w:rPr>
          <w:rStyle w:val="FootnoteAnchor"/>
          <w:rtl w:val="true"/>
        </w:rPr>
        <w:footnoteReference w:id="1077"/>
      </w:r>
      <w:r>
        <w:rPr>
          <w:rFonts w:ascii="IRNazanin" w:hAnsi="IRNazanin" w:eastAsia="IRNazanin"/>
          <w:color w:val="111111"/>
          <w:sz w:val="28"/>
          <w:sz w:val="28"/>
          <w:szCs w:val="28"/>
          <w:rtl w:val="true"/>
          <w:lang w:bidi="fa-IR"/>
        </w:rPr>
        <w:t>، وإن لم یعلم أ نّه غسله علی الوجه الشرعی</w:t>
      </w:r>
      <w:r>
        <w:rPr>
          <w:rStyle w:val="FootnoteAnchor"/>
          <w:rtl w:val="true"/>
        </w:rPr>
        <w:footnoteReference w:id="1078"/>
      </w:r>
      <w:r>
        <w:rPr>
          <w:rFonts w:ascii="IRNazanin" w:hAnsi="IRNazanin" w:eastAsia="IRNazanin"/>
          <w:color w:val="111111"/>
          <w:sz w:val="28"/>
          <w:sz w:val="28"/>
          <w:szCs w:val="28"/>
          <w:rtl w:val="true"/>
          <w:lang w:bidi="fa-IR"/>
        </w:rPr>
        <w:t xml:space="preserve">أم لا، </w:t>
      </w:r>
      <w:bookmarkStart w:id="433" w:name="pg13273_135306"/>
    </w:p>
    <w:p>
      <w:pPr>
        <w:pStyle w:val="BookText"/>
        <w:rPr/>
      </w:pPr>
      <w:bookmarkEnd w:id="433"/>
      <w:r>
        <w:rPr>
          <w:rFonts w:ascii="Amiri" w:hAnsi="Amiri" w:eastAsia="Amiri" w:cs="Amiri"/>
          <w:color w:val="111111"/>
          <w:sz w:val="28"/>
          <w:sz w:val="28"/>
          <w:szCs w:val="28"/>
          <w:rtl w:val="true"/>
          <w:lang w:bidi="ar-SA"/>
        </w:rPr>
        <w:t xml:space="preserve">حملاً </w:t>
      </w:r>
      <w:r>
        <w:rPr>
          <w:rStyle w:val="FootnoteAnchor"/>
          <w:rtl w:val="true"/>
        </w:rPr>
        <w:footnoteReference w:id="1079"/>
      </w:r>
      <w:r>
        <w:rPr>
          <w:rFonts w:ascii="IRNazanin" w:hAnsi="IRNazanin" w:eastAsia="IRNazanin"/>
          <w:color w:val="111111"/>
          <w:sz w:val="28"/>
          <w:sz w:val="28"/>
          <w:szCs w:val="28"/>
          <w:rtl w:val="true"/>
          <w:lang w:bidi="fa-IR"/>
        </w:rPr>
        <w:t>لفعله علی الصحّة</w:t>
      </w:r>
      <w:r>
        <w:rPr>
          <w:rFonts w:eastAsia="IRNazanin" w:cs="IRNazanin"/>
          <w:color w:val="111111"/>
          <w:sz w:val="28"/>
          <w:szCs w:val="28"/>
          <w:rtl w:val="true"/>
          <w:lang w:bidi="fa-IR"/>
        </w:rPr>
        <w:t>.</w:t>
      </w:r>
    </w:p>
    <w:p>
      <w:pPr>
        <w:pStyle w:val="Heading3"/>
        <w:numPr>
          <w:ilvl w:val="2"/>
          <w:numId w:val="1"/>
        </w:numPr>
        <w:rPr/>
      </w:pPr>
      <w:bookmarkStart w:id="434" w:name="__RefHeading___Toc1666652_2322387425"/>
      <w:bookmarkStart w:id="435" w:name="_Toc154"/>
      <w:bookmarkEnd w:id="434"/>
      <w:r>
        <w:rPr>
          <w:rtl w:val="true"/>
        </w:rPr>
        <w:t>السابع</w:t>
      </w:r>
      <w:r>
        <w:rPr>
          <w:rtl w:val="true"/>
        </w:rPr>
        <w:t xml:space="preserve">: </w:t>
      </w:r>
      <w:r>
        <w:rPr>
          <w:rtl w:val="true"/>
        </w:rPr>
        <w:t>إخبار عدل واحد</w:t>
      </w:r>
      <w:bookmarkEnd w:id="435"/>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العدل الواحد</w:t>
      </w:r>
      <w:r>
        <w:rPr>
          <w:rStyle w:val="FootnoteAnchor"/>
          <w:rtl w:val="true"/>
        </w:rPr>
        <w:footnoteReference w:id="10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الکلام فیه منّا فی طرق ثبوت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بعضهم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لکنّه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الاعتماد علیه إذا أفاد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أفاد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کفایته، ولا سیّما مع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لم یحصل الاطمئنان بالتطهیر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حصل الاطمئنان من إخباره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أنّه مع حصول الوثوق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 نّه لا یبعد ثبوت الطهارة بإخبار العدل الواحد، بل مطلق الثقة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یخلو من وجه،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حصول الوثوق، وإلاّ فلا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إذا أوجب الاطمئنان،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قبوله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ثبوتها بإخبار عدل، بل بإخبار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للإشکال، بل یکفی للإثبات إخبار الثقة الواحد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یحصل الاطمئنان بصدقه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ممنوع؛ إلاّ فیما أفاد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13273_135307"/>
    </w:p>
    <w:p>
      <w:pPr>
        <w:pStyle w:val="Heading3"/>
        <w:numPr>
          <w:ilvl w:val="2"/>
          <w:numId w:val="1"/>
        </w:numPr>
        <w:rPr/>
      </w:pPr>
      <w:bookmarkStart w:id="437" w:name="__RefHeading___Toc1666654_2322387425"/>
      <w:bookmarkStart w:id="438" w:name="_Toc155"/>
      <w:bookmarkEnd w:id="436"/>
      <w:bookmarkEnd w:id="437"/>
      <w:r>
        <w:rPr>
          <w:rtl w:val="true"/>
        </w:rPr>
        <w:t>فروع فی ثبوت الطهارة</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البیّنتان</w:t>
      </w:r>
      <w:r>
        <w:rPr>
          <w:rStyle w:val="FootnoteAnchor"/>
          <w:rtl w:val="true"/>
        </w:rPr>
        <w:footnoteReference w:id="10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کون البیّنتین علی أمرٍ وجودی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تتساقط البیّنتان إذا استندتا معاً إلی العلم أو إلی الأصل، وإذا استندت إحداهما إلی العلم قدّمت علی الاُخری المستندة إلی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إخبار صاحبَی الید فی التطهیر وعدمه تساقطا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التفصیل الّذی سبق فی المیاه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قدّم ما دلّ علی التطهیر، وفیما إذا تعارضا فی الطهارة والنجاسة لا یبعد تقدیم البیّنة إذا کانت مستندة إلی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بیّنة العدم لا حکم لها، نعم إن شهدت بأمر وجودی مستلزم لعدم التطهیر تساقطتا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 استناد بیّنة العدم إلی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أحدهما رافعاً لمستند الآخر، وإلاّ کان هو الحجّة، وکذا الکلام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استند کلاهما فی مؤدّی کلامهما إلی العلم بالطهارة والنجاسة فعلاً، أو فی الحالة السابقة، أمّا لو استند أحدهما إلی علمه بواحد منهما فعلاً، والآخر إلی الأصل سقط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تنازعا أحیاناً واستند کلاهما إلی الأصل، أی أصالة الطهارة واستصحاب النجاسة سقط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یعلم مستند البیّنتین، أو یعلم بتساویهما، وأمّا لو علم بمستندهما وانهما غیر متساویین فلا وجه للتساقط بل یجب أن یقدم التی مستندها هو مقدم فلو کانت إحداهما مثلاً مستندة إلی استصحاب النجاسة والأخری إلی العلم الوجدانی أو اخبار ذی الید بتطهیره تکون الاولی ساقطة بواسطة التخصص أو الحکومة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إتحاد مستندیهما بحسب النوع وعدم کون مشهود إحدیهما النفی والعدم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التساوی فی الاستناد إلی العلم وعدم کونه شهادة علی النفی وإلاّ یقدم واجد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موءدّاهما الإثبات، وإلاّ یقدّم المثبت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استناد بیّنة العدم إلی الأصل وعدم شهادته بالنفی المحض، وإلاّ فتقدّم بیّنة التطهیر، وکذا فی إخبار صاحبی 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استند احدهما إلی العلم والثانی إلی الأصل قدّم الأوّل علی الثانی کما تقدّم فی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التخییر فی العمل بأیّهما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کلّ منهما مستنداً إلی العلم وعدم کونه شهادة علی النفی، أو إخباراً عنه فلو استند بیّنة العدم إلی الأصل فتقدّم بیّنة التطهیر، وکذا إذا کان مستنداً أحدهما إلی العلم وعدم کونه شهادة علی النفی والآخر فاقداً لهما فیقدّم الأوّل، وکذا فی إخبار صاحبی 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أحدهما مستنداً إلی الوجدان، والآخر إلی الأصل فیقدّم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ویحکم ببقاء النجاسة، وإذا تعارض</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البیّنة</w:t>
      </w:r>
      <w:r>
        <w:rPr>
          <w:rStyle w:val="FootnoteAnchor"/>
          <w:rtl w:val="true"/>
        </w:rPr>
        <w:footnoteReference w:id="1082"/>
      </w:r>
      <w:r>
        <w:rPr>
          <w:rFonts w:ascii="IRNazanin" w:hAnsi="IRNazanin" w:eastAsia="IRNazanin"/>
          <w:color w:val="111111"/>
          <w:sz w:val="28"/>
          <w:sz w:val="28"/>
          <w:szCs w:val="28"/>
          <w:rtl w:val="true"/>
          <w:lang w:bidi="fa-IR"/>
        </w:rPr>
        <w:t xml:space="preserve">مع أحد الطرق المتقدّمة ما عدا العلم الوجدانی تقدّم </w:t>
      </w:r>
    </w:p>
    <w:p>
      <w:pPr>
        <w:pStyle w:val="BookText"/>
        <w:rPr/>
      </w:pPr>
      <w:r>
        <w:rPr>
          <w:rFonts w:ascii="Amiri" w:hAnsi="Amiri" w:eastAsia="Amiri" w:cs="Amiri"/>
          <w:color w:val="111111"/>
          <w:sz w:val="28"/>
          <w:sz w:val="28"/>
          <w:szCs w:val="28"/>
          <w:rtl w:val="true"/>
          <w:lang w:bidi="ar-SA"/>
        </w:rPr>
        <w:t>البیّنة</w:t>
      </w:r>
      <w:r>
        <w:rPr>
          <w:rStyle w:val="FootnoteAnchor"/>
          <w:rtl w:val="true"/>
        </w:rPr>
        <w:footnoteReference w:id="10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مستندة إلی الأصل، وإلاّ قدّم ما هو مستند إلی العلم من الطرق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إطلاقه ممنوع، بل فیما إذا لم تکن مستندة إلی الأصل أو شهادة علی النفی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یعلم استنادها إلی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استندت إلی العلم بالطهارة أو النجاسة فعلاً، وإلاّ ففیه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کونها أقوی الطرق فی الموضوعات عدا الإقرار، وفی النفس منه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مرّ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یقال بتقدیم قول ذی الید إذا کان مستنداً إلی العلم علی البینة إذا استندت إلی الاصل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فیما إذا کانت مستندة إلی الأصل، فإنّها لا تکون متقدّمة علی اخبار ذی 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بنجاسة شیئین فقامت البیّنة علی تطهیر أحدهما غیر المعیّن أو المعیّن واشتبه عنده، أو طهّر هو أحدهما، ثمّ اشتبه علیه، حکم علیهما بالنجاسة</w:t>
      </w:r>
      <w:r>
        <w:rPr>
          <w:rStyle w:val="FootnoteAnchor"/>
          <w:rtl w:val="true"/>
        </w:rPr>
        <w:footnoteReference w:id="10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یحکم إلاّ بنجاسة أحدهما ومنه یعلم طهارة الملاقی لکلّ منهما بانفراده کما فی سائر موارد الشبهة المحصورة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بالاجتناب للعلم الإجمالی، ولا یجری الاستصحاب، فلا یحکم بنجاسة ملاقی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الفرض الأوّل دون الأخیرین؛ فإن حکمها حکم الشبهة المحصورة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الحکم بوجوب الاجتناب عنهما عقلاً؛ لأجل العلم الإجمالی، وأما الحکم بنجاستهما شرعاً استناداً إلی استصحاب النجاسة فیهما والحکم بنجاسة الملاقی لأحدهما فی غایة الإشکال خصوصاً فی صورتی عروض الاشتباه، ثم إنّ حکمه بنجاستهما شرعاً عملاً بالاستصحاب ینافی حکمه أخیراً بصحّة الصلاة مع تکرّرها فیهما إلاّ علی فرض تحقّق قصد القربة، وهو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یحکم إلاّ بنجاسة أحدهما خصوصاً فی الفرض الثانی والثالث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أحدهما المردّد، فلا ینجس الملاقی لأحدهما، هذا مع ثبوت تطهیر أحدهما غیر المعیّن، وأمّا المعیّن فالأمر فیه أوضح؛ حیث أ نّه لا مجال لجریان الاستصحاب من جهتین بخلاف المردّد؛ لأ نّه من جهة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الفرع إشکال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بلزوم الاجتناب للعلم إجمالاً بنجاسة أحدهما، ولا یحکم بنجاسة الملاقی إذا لاقی کلیهما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یحکم إلاّ بنجاسة أحدهما المردد ولا ینجس الملاقی إلاّ إذا لاقاهما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الاجتناب عنهما معاً للعلم الاجمالی وأمّا ترتیب آثار النجاسة علی کلّ واحد منهما ومنها نجاسة مایلاقیه ففیه إشکال ولا سیّما فی الصورة الثانیة والثالثة 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یحکم إلاّ بنجاسة أحدهما خصوصاً فی صورتی عروض الإشتباه، نعم یجب الاجتناب عن کلیهما لأجل العلم الإجمالی؛ ولذا لا یحکم بنجاسة ملاقی أحدهما، وتصح الصلاة مع التکریر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عملاً</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بالاستصحاب</w:t>
      </w:r>
      <w:r>
        <w:rPr>
          <w:rStyle w:val="FootnoteAnchor"/>
          <w:rtl w:val="true"/>
        </w:rPr>
        <w:footnoteReference w:id="10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ولا یحکم بنجاسة الملاقی لکلّ واحد منهما بل ینجس ما لاقاهما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جریان الاستصحاب فی غیر ما إذا کان قیام البیّنة بنحو الإجمال من الصورة الأُولی إشکال لعدم إحراز اتصال زمان الیقین بالشّکّ وإن کان الحکم فیها وجوب الاجتناب عنهما وحکم ملاقیهما حکم ملاقی الشبهة المحصورة، فلا یجب الاجتناب عن ملاقی احدهما بخلاف المجمل من الصورة الأُولی فیجری الاستصحاب، فیجب الاجتناب عن ملاقی کلّ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بالعلم الإجمالی بنجاسة أحدهما، فحکمهما حکم الشبهة المحصورة، فلا یحکم بنجاسة الملاقی لکل منهما منفرداً، نعم 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مانع عن جریانه لا فی مقام الثبوت ولا فی مقام الإثبات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عملاً بالعلم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وعملاً بالعلم الوجدانی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الاستصحاب ههنا مبنیّ علی جریانه فی أطراف العلم الاجمالی علی خلاف المعلوم بالاجمال إذا لم یکن مستلزماً للمخالفة القطعیة العملیّة وهو لا یخلو عن اشکال فالحکم بنجاسة الملاقی کل واحد منهما مشکل والمسألة محررة فی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لم نقل بنجاسة ملاقی بعض أطراف الشبهة، وذلک لجریان إستصحاب النجاسة فی کلّ من الطرفین، والوجوه الموردة علی جریان الإستصحاب کلّها مدخولة فی محلّها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بنجاسة ملاقی کلّ</w:t>
      </w:r>
    </w:p>
    <w:p>
      <w:pPr>
        <w:pStyle w:val="BookText"/>
        <w:rPr/>
      </w:pPr>
      <w:r>
        <w:rPr>
          <w:rFonts w:ascii="IRNazanin" w:hAnsi="IRNazanin" w:eastAsia="IRNazanin"/>
          <w:color w:val="111111"/>
          <w:sz w:val="28"/>
          <w:sz w:val="28"/>
          <w:szCs w:val="28"/>
          <w:rtl w:val="true"/>
          <w:lang w:bidi="fa-IR"/>
        </w:rPr>
        <w:t>منهما</w:t>
      </w:r>
      <w:r>
        <w:rPr>
          <w:rStyle w:val="FootnoteAnchor"/>
          <w:rtl w:val="true"/>
        </w:rPr>
        <w:footnoteReference w:id="10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أیضاً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إذا کانا ثوبین وکرّر الصلاة فیهما 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بعد التطهیر</w:t>
      </w:r>
      <w:r>
        <w:rPr>
          <w:rStyle w:val="FootnoteAnchor"/>
          <w:rtl w:val="true"/>
        </w:rPr>
        <w:footnoteReference w:id="1087"/>
      </w:r>
      <w:r>
        <w:rPr>
          <w:rFonts w:ascii="IRNazanin" w:hAnsi="IRNazanin" w:eastAsia="IRNazanin"/>
          <w:color w:val="111111"/>
          <w:sz w:val="28"/>
          <w:sz w:val="28"/>
          <w:szCs w:val="28"/>
          <w:rtl w:val="true"/>
          <w:lang w:bidi="fa-IR"/>
        </w:rPr>
        <w:t>وعلمه بالطهارة فی أ نّه هل أزال العین أم لا</w:t>
      </w:r>
      <w:r>
        <w:rPr>
          <w:rStyle w:val="FootnoteAnchor"/>
          <w:rtl w:val="true"/>
        </w:rPr>
        <w:footnoteReference w:id="10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عالماً بها حین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کونه بصدد الإزالة حین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حال التطهیر عالماً بها وبصدد إزالتها بالغسل وإلاّ فجریان إصالة الصحة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 نّه طهّره علی الوجه الشرعی أم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یبنی علی الطهارة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الصورة الاُولی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فی الصورة الاُولی والثالثة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عالماً حین الشک بأنّه کان غافلاً حین العمل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الصورة الثانیة، وأمّا فی الصورة الاُولی فیجب تحصیل العلم بالإزالة أو غسله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بینهما أن الشک فی الاُولی راجع إلی الشک فی أصل تحقّق الغسل الغیر الجاری فیه أصل الصحّة بخلاف الثانیة، فإنّ الشک فیها راجع إلی الشک فی صحّة الغسل شرعاً بعد إحراز أصله، فتجری أصالة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 الصورة الاُولی والثانیة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الشک فی کیفیة التطهیر دون ما لو کان الشک فی نفس التطهیر بحیث یرجع إلی الشک فی أ نّه دخل فی العمل أم لا، فلا مجال لما علّقه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الصورة الثانیة، أما فی الصورة الأُولی فوجوب تحصیل العلم بزوال العین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الصورة الاُولی إشکال بخلاف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الشکّ فی زوال العین فالأقرب أ نّه لا یبنی علی الطهارة، ومنه یظهر الحال فیما إذا شکّ فی کون النجاسة سابقة أو طارئة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ملتفتاً وکان بصدد إزالة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الصورة الأُولی والثالثة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یحرز غفلته حین الغسل، وإلاّ فیحکم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کان ذاکراً وبانیاً علی إزالة العین، وأمّا لو کان غافلاً حین التطهیر فالبناء علی الطهارة مشکل، نعم بناءً علی جریان قاعدة الصحّة حتّی فی صورة الغفلة یبنی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الصورة الثانیة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الصورة الثانیة، وکذا فی الصورة الأُولی مع العلم بتحقّق الغسل والشک فی صحّته، وأمّا مع الشک فی أصل تحقّق الغسل فلا مجال للبناء علی الصحّة والطهارة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یری فیه عین النجاسة، ولو رأی فیه نجاسة وشکّ فی</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 نّها هی السابقة أو اُخری طارئة، بنی علی أ نّها طارئة</w:t>
      </w:r>
      <w:r>
        <w:rPr>
          <w:rStyle w:val="FootnoteAnchor"/>
          <w:rtl w:val="true"/>
        </w:rPr>
        <w:footnoteReference w:id="10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 لما اُشیر إلیه فی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شکّ بعد التطهیر أ نّها الاُولی أو هی جدیدة بنی علی صحّة أعماله السابقة بعد التطهیر، لا أ نّه یرتّب آثار الحدوث والطریان لو کان لها 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یبنی علی ذلک ویجدّد الغسل بعد إزالتها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الأجتناب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بمعنی جریان آثار الطارئة لو فرض لها أثر بل بمعنی البناء علی زوال الاُولی لکن مع احتمال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یرجع شکّه إلی الشکّ فی تحقّق الغسل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تقدّم فی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یبنی علیه لأ نّه من الصورة الأُولی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بنجاسة شیء وشکّ فی أنّ لها عیناً </w:t>
      </w:r>
      <w:r>
        <w:rPr>
          <w:rStyle w:val="FootnoteAnchor"/>
          <w:rtl w:val="true"/>
        </w:rPr>
        <w:footnoteReference w:id="1090"/>
      </w:r>
      <w:r>
        <w:rPr>
          <w:rFonts w:ascii="IRNazanin" w:hAnsi="IRNazanin" w:eastAsia="IRNazanin"/>
          <w:color w:val="111111"/>
          <w:sz w:val="28"/>
          <w:sz w:val="28"/>
          <w:szCs w:val="28"/>
          <w:rtl w:val="true"/>
          <w:lang w:bidi="fa-IR"/>
        </w:rPr>
        <w:t>أم لا، له أن یبنی علی عدم العین</w:t>
      </w:r>
      <w:r>
        <w:rPr>
          <w:rStyle w:val="FootnoteAnchor"/>
          <w:rtl w:val="true"/>
        </w:rPr>
        <w:footnoteReference w:id="10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العین علی تقدیر وجودها مانعاً عن انغسال محلها، وإلاّ فلابدّ من إحراز زوالها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احتمال کونه حائلاً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البناء علی عدم العین لا یجدی إلاّ علی القول بالأصل المثبت، وهو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جریان السّیرة علی عدم الإعتناء بإحتمال وجود المانع مطلقاً حتّی فی صورة عدم الإطمئنان بوجود المانع وبشرط عدم کون الأصل مثبتاً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إنّه لاوجه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فلا یلزم الغسل</w:t>
      </w:r>
      <w:r>
        <w:rPr>
          <w:rStyle w:val="FootnoteAnchor"/>
          <w:rtl w:val="true"/>
        </w:rPr>
        <w:footnoteReference w:id="10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یلزم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اللّزوم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یلزم الغسل بحیث یعلم زوال العین علی تقدیر وجودها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یلزم ذلک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یلزم فان استصحاب عدم العین لا یثبت الطهارة إلاّ علی القول بالمثبت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بمقدار یعلم بزوال العین علی تقدیر وجودها، وإن کان</w:t>
      </w:r>
      <w:bookmarkStart w:id="439" w:name="pg13273_135316"/>
    </w:p>
    <w:p>
      <w:pPr>
        <w:pStyle w:val="BookText"/>
        <w:rPr/>
      </w:pPr>
      <w:bookmarkEnd w:id="439"/>
      <w:r>
        <w:rPr>
          <w:rFonts w:ascii="IRNazanin" w:hAnsi="IRNazanin" w:eastAsia="IRNazanin"/>
          <w:color w:val="111111"/>
          <w:sz w:val="28"/>
          <w:sz w:val="28"/>
          <w:szCs w:val="28"/>
          <w:rtl w:val="true"/>
          <w:lang w:bidi="fa-IR"/>
        </w:rPr>
        <w:t>أحوط</w:t>
      </w:r>
      <w:r>
        <w:rPr>
          <w:rStyle w:val="FootnoteAnchor"/>
          <w:rtl w:val="true"/>
        </w:rPr>
        <w:footnoteReference w:id="10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محمّد تقی الخونساری، عبدالهادی الشیرازی، الآملی،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إن لم یکن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لعدم حجیّة المثبت وعدم جریان أصالة الصحّة لما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لعدم احراز التطهیر بدون ذلک لا بمحرز وجدانی ولا شرعی وأصالة عدم وجود العین بمفاد لیس التامة لا یثبت وصول الماء إلی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الغفلة حین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لعدم حجّیّة المثبت، فاستصحاب عدم حدوث العین من المثبت فیلزم الغسل بمقدار العلم بزوال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عن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1666656_2322387425"/>
      <w:bookmarkStart w:id="441" w:name="_Toc156"/>
      <w:bookmarkEnd w:id="440"/>
      <w:r>
        <w:rPr>
          <w:rtl w:val="true"/>
        </w:rPr>
        <w:t>وظیفة الوسواسی</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الوسواسیّ</w:t>
      </w:r>
      <w:r>
        <w:rPr>
          <w:rStyle w:val="FootnoteAnchor"/>
          <w:rtl w:val="true"/>
        </w:rPr>
        <w:footnoteReference w:id="1094"/>
      </w:r>
      <w:r>
        <w:rPr>
          <w:rFonts w:ascii="IRNazanin" w:hAnsi="IRNazanin" w:eastAsia="IRNazanin"/>
          <w:color w:val="111111"/>
          <w:sz w:val="28"/>
          <w:sz w:val="28"/>
          <w:szCs w:val="28"/>
          <w:rtl w:val="true"/>
          <w:lang w:bidi="fa-IR"/>
        </w:rPr>
        <w:t>یرجع فی التطهیر إلی المتعارف، ولا یلزم أن یحصل</w:t>
      </w:r>
      <w:r>
        <w:rPr>
          <w:rStyle w:val="FootnoteAnchor"/>
          <w:rtl w:val="true"/>
        </w:rPr>
        <w:footnoteReference w:id="10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تحصیل العلم له مرجوح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العلم بزوال 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3273_135317"/>
    </w:p>
    <w:p>
      <w:pPr>
        <w:pStyle w:val="Heading2"/>
        <w:numPr>
          <w:ilvl w:val="1"/>
          <w:numId w:val="1"/>
        </w:numPr>
        <w:rPr/>
      </w:pPr>
      <w:bookmarkStart w:id="443" w:name="__RefHeading___Toc1666658_2322387425"/>
      <w:bookmarkStart w:id="444" w:name="_Toc157"/>
      <w:bookmarkEnd w:id="442"/>
      <w:bookmarkEnd w:id="443"/>
      <w:r>
        <w:rPr>
          <w:rtl w:val="true"/>
        </w:rPr>
        <w:t>فهرس محتویات الجزء الثانی</w:t>
      </w:r>
      <w:bookmarkEnd w:id="444"/>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الماء المشکوک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 المشکوک 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الشکّ فی إطلاق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الشکّ فی إباحة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العلم الإجمالی بالنجاسة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حکم مالو اشتبه مضاف فی محصور أو غیر محصور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حکم انحصار الماء فی المشکوک إطلاقه وإضافته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العلم الإجمالی بالنجاسة والإضافة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العلم الإجمالی بالنجاسة أو الغصبیة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التوضؤ بالمشتبه بالمضاف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ملاقی الشبهة المحصورة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انحصار الماء فی المشتبهین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إذا کان هناک إناءان نجس وطاهر فاُریق أحدهما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الحکم فی الماءین المشتبهین إذا توضأ أو اغتسل بأحدهما ثم بالآخر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العلم الإجمالی بالنجاسة بعد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إستعمال أحد المشتبهین بالغصبیّة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الأسئار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سؤر نجس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طهارة السؤر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النجاسات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وغائط مالا یؤکل لحمه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بول وغائط ما یؤکل لحمه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فضلة مالا نفس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ملاقاة النجاسة فی الباطن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بیع البول والغائط</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الانتفاع بالبول والغائط</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البول والغائط من الحیوان المشکوک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الأجزاء المبانة من الحی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فأرة المسک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المراد من 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أمارات التذکیة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ما یؤخذ من ید الکافر أو أرضهم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نجاسة السقط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نجاسة المیّت قبل البرد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نجاسة المضغة والمشیمة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العضو المقطوع المعلّق بالبدن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حکم الجند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بیع 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الانتفاع بالمیتة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السادس 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والخنزیر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المراد بالکافر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ولد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الجنب من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الابل الجلاّلة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طرق ثبوت النجاسة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النجاسة بالعلم الوجدانی وبالبیّنة العادلة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ثبوت النجاسة بقول ذی الید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عدم ثبوت النجاسة بمطلق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عدم الاعتبار بعلم الوسواسی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ثبوت النجاسة بالعلم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فیما لا یعتبر بالبیّنة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فروع فی الشهادة بالنجاسة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قبول خبر صاحب الید بالنجاسة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لا یعتبر العدالة فی حجیة خبر صاحب الید مع الکلام فی اعتبار الإسلام والبلوغ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حکم ما إذا أخبر صاحب الید بعد الاستعمال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تنجیس المتنجّسات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التنجّس</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منجّسیّة المتنجّس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فروع فی کیفیة التنجیس</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النجاسات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الطهارة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وجوب إزالة النجاسة عن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فروع فی لزوم تطهیر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فی أن المشاهد کالمساجد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أحکام فی حرمة تنجیس المصحف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فی إزالة النجاسة عن الطعام وظروفه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حرمة الانتفاع بالنجس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حرمة التسبیب إلی أکل النجس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فی حرمة سقی المسکرات للأطفال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بعض فروع الإعلام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الصلاة فی النجس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فی النجس جهلاً</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الالتفات إلی النجاسة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الصّلاة فی النجس ناسیاً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انحصار ثوب المصلّی فی 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الصّلاة فی النجس اضطراراً</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فیما یُعفی عنه فی الصلاة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الجروح والقروح</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الأقل من الدرهم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تتم الصّلاة فیه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المتنجِّس</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المربیّة</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 النجاسة حال الإضطرار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المطهّرات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شروط مطهّریة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حکم استعمال الغسالة فی التطهیر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ما یعتبر فیه تعدّد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ما یعتبر فیه الغسل مرّة</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کیفیة تطهیر الأوانی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فروع التطهیر بالماء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کیفیة التطهیر بالأرض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تحدید الأرض المطهّرة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اعتبار طهارة الأرض فی التطهیر بها</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تحدید ما یطهر بالأرض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فروع فی مطهریة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ما یطهر بالشمس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مطهّریة الشمس للحصر والبواری من المنقول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ما یعتبر فی مطهّریة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فروع فی مطهّریة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معنی الاستحالة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مطهّریة الاستحالة للنجس والمتنجّس</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حکم تبدّل الأوصاف وتفرق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حکم الشک فی الاستحالة</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ما یشترط فی مطهریة الانقلاب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بعض فروع الانقلاب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الاستهلاک والاستحالة</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الثلثین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کیفیة تقدیر الثلث والثلثین</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طرق ثبوت ذهاب الثلثین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فروع فی مطهّریة ذهاب الثلثین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انتقال دم الانسال إلی جوف البق</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حکم دم البق الخارج بعد قتله</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فیما یطهر بالإسلام من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فیما یتحقق به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التبعیّة</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الحیوان الجلاّل</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معنی الجلل</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ما یحصل به الاستبراء عن الجلل</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مدّة الاستبراء فی الحیوانات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الاستنجاء</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الدم من الذبیحة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 البئر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تیمّم المیّت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الاستبراء بالخرطات</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التغیّر</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شروط مطهریة غیبة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فروع فی المطهِّرات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طرق ثبوت التطهیر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الوجدانی والبیّنة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ذی الید</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الوکیل</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مسلم له بعنوان التطهیر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عدل واحد</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فروع فی ثبوت 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وظیفة الوسواسی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بتوفیق من اللّه تعالی ومنّه انتهی هذا الجزء وسیلیه الجزء الثالث، إن شاء اللّه تعالی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ممّا لا حالة سابقة له فی الإطلاق أم کانت مجهولة، أو کان المورد من باب توارد الحالتین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حکم المضاف، فالکرّ منه لا یحکم بنجاسته بالملاقاة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إباحته الأصلیّة، لا المردّد بین ملکه وملک الغیر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إحرازها ولـو بالأصل لـو کـان الشکّ فی أصـل ثبـوت مملوکیّـته، أمّا لـو علـم ذلک لکنّه تردّد بین کونه مملوکاً له ولغیره فالأقرب فیه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لموکّله وأمثاله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لکـن لو توضّأ بکلٍّ من الماءین المعلوم غصبیّة أحدهما غفلةً أو عمداً مع حصول نیّة القربة، صحّ وضووءه وإن أثم مع الالتفات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توضّأ بأحدِ الآنیة وطهّر المحلّ بالآخر وتوضّأ به صحّ وضووءه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ملاکه أن تکون الأطراف من الکثرة بحدّ لا یکون احتمال الحرمة فی کلّ واحد عقلائیّاً، أو یعسر الاجتناب عن جمیعها، أو یکون بعضها خارجاً عن محلّ الابتلاء، ولا اعتبار بالعدد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یرتکب الجمیع ویبقی مقداراً معتدّاً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الاجتناب لو لم ینطبق علیه عنوان الحرج أو الضرر، أو خرج البعض عن محلّ الابتلاء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الشامل لصورة وجدان غیر المحصور شرائط التنجیز فی المحصور نظر جدّاً، ودعوی جعل مقدار المعلوم بدلاً عن الواقع ولو علی البدل المستلزم لجواز ارتکاب ما عداه کما یظهر من شیخنا العلاّمة حتّی فی هذه الصورة نظر، إلاّ بدعوی إطلاق معاقد إجماعاتهم له لولا دعوی انصراف حکمهم إلی غیر هذه الصورة، فراجع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یصحّ، وإلاّ فیجب فی مورد الوجوب، کما یشیر إلیه عن قریب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یجد ماءً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الماء منحصراً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المعیار أن یبلغ الاحتمال فی الضعف إلی حدٍّ لا یکون مورداً لاعتناء العقلاء، والتفصیل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یحتمل زیادة المضاف علی العدد المعلوم بالإجمال، أو قامت حجّة علی خلافه، وإلاّ فاللازم الزیادة بواحد علی أکبر عدد محتمل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لا أثر للحصر وعدمه، وکون تمام الأطراف محلاًّ للابتلاء وعدمه فی نحو المقام ممّا کان حکم الشبهة البدویّة فیه الاحتیاط، والالتزام بعدم جریان حکم الشبهة البدویّة هنا لا أری له وجهاً کما هو ظاهر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الواحد فی الألف مطلقاً من غیر المحصور إشکال، بل منع، والظاهر أ نّه لو بلغت المشتبهات من الکثرة حدّاً لا یتمکّن عادةً من جمیعها وإن تمکّن من آحادها علی البدل کان ذلک من غیر المحصور، ومع الشکّ فی أ نّه کذلک یلحقه حکم المحصور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الملاک هو إحراز الإطلاق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 لا یکون منجّزاً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عدم الانحصار فی أطراف الشبهة عدم الاعتداد بالعلم الإجمالی، لا أ نّه یرفع الشکّ، والفرق بین هذا وبین مسألة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أصالة الطهارة هناک وعدم وجود أصالة الإطلاق هنا، فلیتدبّر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حکم الشبهة البدویّة لو کان هو الاحتیاط کما فی المقام ونظائره لا یجری ذلک فی غیر المحصورة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للشکّ فی إطلاقه وإضافته من الأوّل، وإمّا لتوارد الحالتین بالتعاقب، وشکّ فی المتقدّم منهما والمتأخّر، بناءً علی عدم جریان الاستصحاب أو سقوطه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یجمع بینهما إلاّ مع العلم بکون حالته السابقة الإضافة فیتیمّم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الجمع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الاحتیاط بالجمع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یجـوز الوضوء به إذا لـم یعلـم أنّ حالته السابقة الإطلاق، وکـذا إذا علم أ نّه مضـاف أو مغصـوب، فإنّ أصالة الإباحة واستصحاب إطلاقه یجریان فیجوز شربه والوضوء بـه، فإنّ النجاسة إنّما توءثّر فی الجهة الوضعیّة وهی بطلان الوضوء به، والغصبیّة إنّما توءثّر فی الجهة التکلیفیّة وهی الحرمة، فلا مانع من جریان أصالة الإباحة واستصحاب الإطلاق، ونظیره ما لو عُلم بأنّ هذا اللباس إمّا غصب أو غیر مأکول، ولکن لا یُترک الاحتیاط فی الفرعین، وأمّا لو علم أ نّه نجس أو مغصوب فلا یجوز شیء منهما، وقد ذکرنا دلیل القائلین بالجواز وضعفه فی شرحنا الکبیر علی العروة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العلم التفصیلی ولا الإجمالی بحرمته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للعلم التفصیلی بالبطلان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الشرب لعدم العلم بالحرمة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أمارة أو أصل، کما لو کانت تحت 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یجوز الوضوء به، وأمّا من حیث شربه فهو داخل فی مشکوک الإباحة علی التفصیل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لو استعمله فی إزالة الخبث لم یخلُ الحکم بالطهارة عن الإشکال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العلاّمة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الشیخ محمّد طه آل نجف النجفی من مشایخ مشایخنا بانیاً علی کون المانع الغصبیّة المحرزة، لا الغصبیّة الواقعیّة، فعلیه لا أثر لأحد طرفی العلم، فیبقی الطرف الآخر بلا مزاحم وهو احتمال النجاسة فیدفع بأصالة الطهارة، وللکلام فی هدم هذا المبنی محلّ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قویّ جدّاً، کما ذهب إلیه شیخنا الشیخ محمّد طه نجف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العلم الإجمالی، وأمّا قبل تنجّزه فلا أثر للعلم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لبقاء احتمال النجاسة مثلاً فی الباقی، ولا مجری للأصل فیه؛ لمکان التعارض بین أصالة الطهارة حدوثاً فی أحدهما معها فی الآخر حدوثاً وبقاءً، أو تساقطهما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مسامحة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ملاقی بعضها بعد تنجّز العلم الإجمالی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خصوصاً فیما إذا کان المشتبهان متنجّسین فی السابق ثمّ طُهِّر واحد منهما واشتبه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عبداللّه الشیرازی، حسن القمّی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یجب؛ إذ لا تعارض للاُصول بقاءً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الصورة الّتی أشرنا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لجریان الأصل الحکمی مطلقاً والموضوعی فی بعض الفروض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فیه هو الکلام فی سابقه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مع قلّة کلٍّ منهما یحصل الیقین بنجاسة أعضائه، فلابدّ من تکرار الصلاة بعد کلّ وضوء، أمّا لو کان أحدهما أو کلاهما کثیراً کفت صلاة واحدة إذا طهّر أعضاءه بالکثیر ثمّ توضّأ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الماء الثانی کـرّاً حیـن الاستعمال فلـه أن یکتفی فی الغسل بالغسل بـه مرّة واحدة، وکذلک فی غسل الوجه والیدین فی الوضوء، نعم فی مسح الرأس والرجلین لابدّ من الغسل به قبل المسح بماء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لا یجوز معه الدخول فی الصلاة؛ لابتلائه حین ملاقاة الماء الثانی بنجاسة هذا، أو محلّ آخر من أعضاء وضوئه أو غسله، وهذا العلم جارٍ فی جمیع صور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الصحّة مع الانحصار والتنبّه، ونجاسة الأعضاء مستصحبة علی الأقوی، فیترکه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المتعیّن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فی هذه الصورة تعیّن التیمّم للروایة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مصدر الروایة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صورة عدم وجود الظرف الآخر حین تحقّق العلم الإجمالی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الجریان، فلابدّ من تجدید الوضوء أو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لتحقّق التفاته حین العمل إلی نجاسة أحد الطرفین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یبعد جریان الاستصحاب فی بعض الصور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یکونا معلومَی السبق بملکیّة الغیر، وإلاّ فالأحوط إن لم یکن أقوی الحکم بالضمان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السؤر بقیّة الطعام والشراب مع مباشرة الفم ذلک ممّا یطمئنّ به من جاس خلال کلمات الشعراء الأقدمین، وأهل اللغة والأدب، والعرف العام العربی شاهد علی ذلک أیضاً، فما باشره بغیره خارج عن مصادیقه، کما أنّ الماء الکثیر والجاری کذلک، والعرف هو الحَکَم العدل فی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لبعض الفقهاء توسّع فی إطلاقه علی مطلق ما باشره الحیوان بفمه، أو بغیره من مطلق ما بقی من الطعام أو الشراب، بل قد یدّعی الاستظهار من بعض النصوص أیضاً، ولکنّه توسّع متمحّل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الکتابی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الأقوی الاجتناب عن عرق الإبل الجلاّل وهو الأحوط فیما عداها، فطهارة سوءر الجلاّل ثابتة فیما یخلو عضوه الّذی باشره من العرق، وأمّا مع جفاف العضو منه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 السؤر، والمراد کراهة التوضّؤ والاغتسال به، لا مطلق الاستعمال، وکذا فی سؤر الحائض والجنب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عشرة؛ لعدم معلومیّة نجاسة ما زاد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 مدرکاً لهذا الشرط إلاّ ما أشار إلیه صاحب الجواهر رحمه‌الله ، لا علی ما هو ظاهره من القیاس، بل علی وجه یکون منشؤه انصراف الأدلّة، فیخرج عن کون المنشأ له ندرة الوجود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الاجتناب، ولو لم یکن له دم 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النجاسة، وأمّا الخفّاش فالأقوی فیه الطهارة والکراهة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 خصوصاً فی بولها، وأمّا فی خرئها وبول الخفّاش فالاحتیاط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الموطوء من البهائم، وعلی الأحوط إن لم یکن أکل لحمها متعارفاً کالبغل والفرس والحمار، وإن کان الواطئ غیر بالغ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تأمّل أحوطه الاجتناب عن بوله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فیه النجاسة؛ للعموم السابق من دون وجود معارض، ولا وجه لدعوی الانصراف عنها کما اعترف فی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وإن ذهب فی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المسألة صورٌ مختلفة حکماً، وقد مرّت وستأتی الإشارة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قرّر فی محلّه أنّ موضوع النجاسة بحسب ما یقتضیه الارتکاز العرفی والشرعی هو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النوی وشیشة الاحتقان فی الاحتیاط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 حال شیشة الاحتقان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التنجّس بملاقاة النجاسة فی الباطن، نعم إذا دخل الشیء الطاهر والشیء النجس المتکوّنان فی الخارج وتلاقیا فی الباطن، فالأحوط الاجتناب عن الملاقی، وخصوصاً إذا کانت الملاقاة فی الفم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علم ملاقاته إذا خرج ولم یکن معه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جواز بیع الأبوال مطلقاً إشکال، بل فیما عدا بول الإبل یقوی عدم جوازه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تفصیل یذکر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بمکان من الوضوح بعد عدم حجّیّة روایة التحف، وما تحذو حذوها من الوجوه والمستندات، وعدم تمامیّة الأمر بالهجر عن الرجز وغیرها ممّا استند إلیها واعتمد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الشبهة الموضوعیّة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الشکّ فی الحلّیة والحرمة الأقوی أنّ الأصل هو الحلّیة إن أحرز قبوله للتذکیة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الشکّ فی حلّیة الحیوان، ملازماً للشکّ فی قبوله للتذکیة أیضاً، کما لو تردّد بین ما یحلّ أکله وبین ما لا یقبلها من المحرّم، أمّا إذا علم قبوله لها علی کلّ تقدیر فالظاهر جواز أکله بعد التذکیة وإن کانت الشبهة حکمیّة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التفصیل بین ما کان طرف التردید ذا لحم فیحکم بالنجاسة أو ما لم یکن کذلک، کمثال الفأرة والخنفساء فیحکم بالطهارة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المذکور فی المسألة إلاّ صورتین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الاحتیاط فیما لا یؤکل لحمه وإن لم یکن له دم 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بالنجاسة لا یخلو من قوّة، بناءً علی ما مرّ من کونه ذات 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وسمعنا مذاکرةً عن بعض الأساتذة، أ نّه العلاّمة سیّدنا بحر العلوم الطباطبائی قدس‌سره ، ولکنّ المحکیّ عن العلاّمة الآیة السیّد إسماعیل الصدر الموسوی قدس‌سره أ نّه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نفس لها وذبحت بمشهد منّی،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یظهر من کلمات علماء معرفة الحیوان أنّ الحیّات مختلفة فی هذا الشأن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الجدیر بالقبول، کما سمعناه من أهل الخبرة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الاحتیاط فی مثلها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ویلحق به ما یخرج من البلل المشتبه قبل الاستبراء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فُسرِّ فی الحدیث الوارد عن الصادق علیه‌السلام بأنّ المنیّ هو الّذی تسترخی له العظام ویفتر منه الجسد، والمذیّ یخرج من شهوة، أی عقبها عند الملاعبة وشبهها، والودی ما یخرج بعد البول، والوذی ما یخرج من الإدواء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والمنیّ والدم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یستثنی منه الشهید ومن اغتسل لإجراء الحدّ علیه أو القصاص منه، ولا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الحیوانیّة وإن کانت بها الحیاة النباتیّة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ومع عدم الاکتساء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والحافر والخفّ والناب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المسریة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اُرید بالأنفحة الوعاء فالأحوط الاجتناب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حیوان طاهر فی حیاته حلالاً أو حراماً، یقبل التذکیة أم لا، کالمرأة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لطهارة باطن الضرع، أو عدم تنجّس خصوص هذا الملاقی من ملاقیاته وإن کان باطنه نجساً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 بل فی غیر المأکول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الاصطهباناتی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طهارة لبن غیر مأکول اللحم إشکال فلا یترک الاحتیاط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 غیر المأکول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الاجتناب عن وعائها، ولا یلزم غسل ما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النحو المتعارف بحیث لا یکون جزءاً حیّاً مباناً من حیّ، بل زالت عنه الحیاة قبل الانفصال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لم تبقَ فیها الحیاة وتنفصل بسهولة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الاجتناب عنه بعد انفصاله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وجع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انفصالها بسهولة، وأمّا إذا کان مع المشقّة وحصول الألم والوجع، فالأحوط الاجتناب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جلدة یجتمع فیها الدم قریباً من سرّة الظبیة الختائیّة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 والظاهر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تعرض</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طهارة المسک وفأرته مطلقاً من حیّ أو میّت، مذکّی أم لا، من ید مسلم أو کافر، ولا أثر للید والسوق هنا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إشکال فی طهارة مسک المبانة من المیّت أیضاً ما لم یعلم برطوبته الساریة حین الموت، سواء جهل تاریخهما أو علم تاریخ أحدهما مطلقاً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المبانة من المذکّی طاهرة مطلقاً، وأمّا من المیتة فحکمها حکم المبانة من الحیّ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انجمدت قبل موت الظبی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طهارة المسک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أثر لها فی الحکم بالطهارة، إلاّ علی تقدیر القطع بأنّها ممّا تحلّها الحیاة، والقطع بأخذها بعد حیاة الظبی والشکّ فی التذکیة، وإلاّ فیکفی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الفأرة المشکوک انفصالها عن الحیّ أو المیّت یحکم بطهارتها ولو لم توءخذ من ید المسلم، ولا أثر للأخذ من یده فی المقام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إذا اُخذت من ید الکافر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یحکم بطهارتها فی مفروض المتن مطلقاً وإن اُخذت من ید الکافر، ولا أثر للید فی المقام، نعم لو علم أ نّها اُخذت من غیر الحیّ وشکّ أ نّها من میّت أو مذکّی اُشکل أخذها من ید الکافر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ذا لحم معتدّ به أو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الحیّات مختلفة، وأنّ التمساح ذو نفس علی ما عن علماء معرفة الحیوان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یجب الفحص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حاجة إلی الفحص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سوق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أماریّة صرف الید فی التذکیة نظر، فلابدّ من ضمّ معاملة ذی الید معه معاملة المذکّی؛ إذ هذا المقدار هو المستفاد من بعض النصوص علی ما تعرّضوا له فی ذیل مسألة المذکّی والمیتة وتأسیس الأصل فیهما، فراجع باب لباس المصلّی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أ نّه عُمل فی غیر بلاد الإسلام وبأیدی غیر أهله، ثمّ وقع فی أیدی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علم سبق ید المسلم علیه فلا إشکال، وإلاّ فالحکم بتذکیته فی غایة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ما یصنع فی أرضهم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أجزاء الحیوان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محکوم بالطهارة، فإنّ المیتة عنوان وجودی لا یثبت بالأصل، نعم مقتضی أصالة عدم التذکیة حرمة الأکل، وعدم جواز الصلاة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ما کان تنجّسه من جهة موته وعدم تذکیته فی الحکم بالنجاسة إشکال، إلاّ مع العلم بسبق الملاقاة؛ لعدم دلیل وافٍ لإثبات أماریّة ید الکافر للنجاسة، وإنّما الحکم بالنجاسة فی بعض الموارد من جهة أصالة عدم التذکیة أو أصالة عدم التطهیر بعد الجزم بملاقاته مع النجس من دون ارتباطهما بید الکافر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احتمل، کما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 وفیما بعده من الفرخ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نجاستهما إشکال، ولا ینبغی ترک الاحتیاط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میتة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عبدالهادی الشیرازی، عبداللّه الشیرازی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یُترک الاحتیاط فیه، ولو من جهة تقابل الغسل فیه فی نصّه بالاغتسال عنه بمسّه المعلوم عدم دخل الرطوبة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انقطاع علاقة الروح عنه بالکلّیة، کما یشهد له بقاؤه علی حاله وعدم صیرورته متعفّناً، وإلاّ یحکم بنجاسته کالقطعة المبانة، فالفارق بین هذه القطعات الیابسة المتّصلة هو هذا، لا مجرّد الاتّصال والانفصال،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الإنسان، وأمّا بعد برده فلا إشکال فی نجاسته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نجاسة المضغة والقطعة الخارجة حین الوضع إشکال، وإن کان الاحتیاط فیهما حسناً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والمشیمة هی الکیس الّذی یکون الطفل فی داخله، أو البرقع الجلدی الکائن علی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وللطهارة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لصدق إضافته إلی صاحب العضو وتبعیّـته للحیّ، وأ نّه جزء من الحیوان الطاهر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لا یضاف إلی ذی العضو، ولا یصدق أ نّه جزؤه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غیر موجبة لصدق الاتّصال فالأظهر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لا یجب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الفحص والیأس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ثبت بإخبار المطّلعین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بعض أهل الخبرة بأنّ له نفساً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القلیل والکثیر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فی أرض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لحرمة بیعها تکلیفاً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للتوصّل به إلی ما یجوز الانتفاع به فلا بأس؛ لانصراف النواهی عن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جواز الانتفاع به فیما هو المتعارف منه إشکال، وأمّا الغیر متعارف منه مثل التسمید ونحوه فلا 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انتفاعاً غیر متعارف، وإلاّ فمشکل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دم ذی نفسٍ جاریة بدفع وقوّة عند قطع أوداجه الأربعة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بحیث لا یدرکه الطرف، أو کان دون الحمّصة، خلافاً لبعض الفقهاء فی الصورتین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هذه الکلّیة، وإطلاق دلیل نجاسة مطلق الدم محکم، فالجزم بالکلّیة بلا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لدعوی الانصراف، والمحکم بإطلاق دلیل النجاسة وکون الدم متقوّماً بخروجه عن بدن الحیوان دعوی بلا 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وکالخارج من الشجرة الموجودة فی قریة ـ زر آباد ـ من قری بلدة قزوین ونحوهما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طهارة ما عدا المتخلّف فی نفس اللحم المأکول ممّا یعسر التحرّز عنه إشکال أحوطه الاجتناب، ومنه یعلم الإشکال فیما یتفرّع علی القول بالطهارة ممّا سیذکره فی ضمن المسائل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طهارة الدم المتخلّف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الحیوان محکوماً بالتذکیة، وعدم خروج الدم المتعارف إنّما یضرّ بتذکیة الذبیحة فیما إذا کان بسبب انجماد الدم فی عروقها أو لنحو ذلک، وأمّا إذا کان لأجل سبق نزیفها لجرح مثلاً فلا یضرّ بتذکیتها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الاجتناب عن الدم فی جزء غیر المأکول من الذبیحة کالطحال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ومن أجزائه المأکولة علی الأحوط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نجاسة العلقة إشکال، وإن کان الاحتیاط فیها حسناً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حراماً نظر، وإن کان الاحتیاط حسناً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کان مستهلکاً فی الأمراق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متمیّز عن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 نّه لم ینقلب إلی مائع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یعجبنی التعبیر بالنجاسة، فلو عبّر بعدم جواز الصلاة فیه ونحوها لکان أجود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الأولی والأوفق بالتعظیم عدم التعرّض له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الاجتناب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اجتنابه أحوط، وطهارته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فی لحمه وعروقه لا 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عبداللّه الشیرازی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الاجتناب عن کلّ دم شکّ فی کونه من الطاهر أو النجس حکماً أو موضوعاً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فرض أنّه متخلّف، أمّا لو شکّ فی أ نّه منه أو من المتعارف الخارج فالأقوی طهارته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المتخلّف بعد خروج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المتخلّف مع عدم خروج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بطهارته 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اعتبار بالأصل المذکور؛ لکونه من الاُصول المثبتة، فالأقوی الحکم بالنجاسة فی کلا القسمین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 لظلمة ونحوها یجب فیه الاستعلام، والشکّ فی الشبهات الموضوعیّة وإن کان لا یجب فیه الفحص، ولکن یشترط فی جریان الاُصول صدق الشکّ وعدم العلم، وهو فی مثل الظلمة ونحوها غیر معلوم الصدق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 الشبهة موضوعیّة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لا تحقّق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بعض القدماء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 المبارک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 کون خبر زکریا بن آدم ضعیفاً، مع أنّ للمنع عنه مجالاً لا نسلّم ضعف خبرَی سعید الأعرج وعلی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ولکن لإعراض الأصحاب عنهما لا یعتمد علیهما، مضافاً إلی إمکان حملهما علی الدم الطاهر؛ ولعلّه إلی هذا نظر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التنجّس بملاقاة الدم فی الباطن، کما تقدّم نظیره فی المسألة الاُولی من نجاسة البول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عدم التنجّس بملاقاة النجاسة فی البواطن المحضة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فی ترتیب آثار الباطن علی البواطن المحسة بالظاهر، فالأحوط ترک بلعه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کذلک 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بجمیع أقسامه حتّی کلب الصید، وما یتراءی من ظاهر کلام صدوق الطائفة فی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أواخر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ینجّس الثوب والجسد، 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کلب الصید لابدّ من توجیهه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والبحریّ منهما خارج عن حکمهما، إمّا لدخولهما فی الأسماک، أو لانصراف الأدلّة إلی البرّی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حیوان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نجاسة المتولّد منهما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نجاسة الکافر تختصّ بالناصبی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بنجاسة أهل الکتاب مبنیّ علی الاحتیاط، وکذا الحال فی المرتدّ إذا لم یدخل فی عنوان المشرک أو الملحد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 هو من لم ینتحل دیناً، أو انتحل دیناً غیر الإسلام، أو انتحله وجحد بما یعلم أ نّه من الدین الإسلامی ضرورة ولم یُحتمل فیه الشبهة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یکون معترفاً بالثلاثة الاُوَل أو المعاد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حسن القمّی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المقابل للإقرار لساناً بالشهادتین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 الخوئی، محمّد الشیرازی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فی بعض أفراده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رجع إنکاره إلی إنکار الرسالة مثلاً یکون کافراً، وإلاّ فلا دلیل علی کفره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لم یکن عاقلاً رشیداً معتقداً بعقائد الکفّار، بأن کان طفلاً غیر ممیّزٍ تابعاً صرفاً لأبویه، ولیعلم أنّ الحکم بتبعیّة ولد الکافر له عامّ شامل للکافر الأصلی والمرتدّ، نعم ولد المرتدّ یتبعه فی الکفر لا فی الارتداد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نجاسة المُعرِض عنهم إلی المسلمین أو إلی فسحة النظر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الحکم بإسلام الصبی مطلقاً إذا أقرّ بالشهادتین، کإسلام غیره من عوامّ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الطرفین، وأمّا إن کان الزنا من طرف المسلم فقط فلا یبعد الحکم بنجاسة الولد؛ للحوقه بالکافر شرعاً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من الطرف الآخر أیضاً کذلک، وإلاّ فالولد ملحق به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الشاهرودی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أنّ هذا الحکم ثابت فیما لو تحقّق الزنا من الطرفین، وأمّا إذا کان الزنا من طرف واحد وکان هو المسلم وغیر الزانی هو الکافر مع الوجه الوجیه، فالولد ملحق به ومحکوم بالنجاسة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کان الزنا من طرف واحد وکان غیر الزانی منهما کافراً إشکال، لا یبعد الحکم بکفر الولد من جهة إلحاقه شرعاً بالکافر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غلوّهم مستلزماً لإنکار أحد الثلاثة أو التردید فیه، وکذا فی الفرع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لزوماً إذا لم یکونوا من النصّاب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نجاسة المجسّمة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العلم بإنکارهم ضروریّاً من الدین، وإلاّ فهو طریق إلی تکذیبهم النبیّ صلی‌الله‌علیه‌و‌آله الّذی هو المناط فی الحکم بکفر کلّ منکر، لا أنّ له موضوعیّة کی یشمل حتّی مع العلم بعدم تکذیبهم النبیّ صلی‌الله‌علیه‌و‌آله باعتقادهم علی ما قیل بتوهّم إطلاق معاقد إجماعاتهم؛ إذ من الممکن حملها علی الطریقیّة فی ظرف الجهل بالاعتقاد کما هو الغالب، لا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أنّ لهذه الفرق المذکورة فی المتن عقائد مختلفة لا یمکن الحکم بطهارتهم مطلقاً، کما لا یحکم بنجاستهم مطلقاً، فلابدّ من النظر إلی عقیدتهم، فإنّ أدّت إلی إنکار الاُمور الثلاثة الّتی ذکرناها، فالأحوط لزوماً الاجتناب عنهم، وإلاّ فالأقوی عدم نجاستهم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الشامل لصورة عدم کون لوازمه موجباً لخلاف ضـروری من ضروریّات الإسلام نظر ظاهر؛ لعدم الدلیل علی النجاسة بمجرّد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کالزیدیّة بأقسامها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السلیمانیّة والجارودیّة والبتریّة وغیرها، وکالإسماعیلیّة بأنواعها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الداودیّة والنزاریّة، وکالفطحیّة والکیسانیّة بضروبهما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لو تجاسروا بالسبّ لدخلوا فی النصّاب موضوعاً، أو لحقوهم حکماً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تُعلم أنّ حالته السابقة هی الکفر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فی بلاد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لم یکن مسبوقاً بالإسلام، ولم تکن علیه أمارة کظاهر الحال، أو کونه فی بلاد المسلمین، أو 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ویلحق به النبیذ المسکر، وأمّا الحکم بالنجاسة فی غیره فهو مبنیّ علی الاحتیاط، وأمّا المسکر الّذی لم یتعارف شربه کالإسپرتو فالظاهر طهارته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 مسکراً بعلاج فنجاسته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غلی العنب أو الزبیب أو التمر أو عصیرها بنفسها ینجس ویحرم شربها، ولا یطهر ولا یحلّ إلاّ بالتخلیل وإن غلی بالنار، فإن کان المغلیّ عصیراً عنبیّاً فالأقوی حرمته والأحوط نجاسته، وإن کان عصیر الزبیب فالأحوط حرمته ونجاسته، ولا یحلّ ولا یطهر إلاّ بالتثلیث، وإن کان عصیر التمر فالأقوی حلّیّـته وطهارته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لا سیّما إذا غلی من نفسه، بل الأحوط أ نّه لا یحلّ حینئذٍ ولا یطهر إلاّ بالتخلیل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غلی أو نشّ بنفسه فالأقوی نجاسته، وعدم طهره إلاّ بصیرورته خلاًّ، لا بذهاب ثلثیه، وکذا الحال فی الزبیبی والتمری إذا غلیا أو نشّیا بنفسهما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غلی بالنار فحلیّـته بذهاب ثلثیه بها أیضاً، وأمّا حلّیّـته بذهاب ثلثیه إذا غلی بغیر النار فمحلّ تأمّل، بل منع، بل الأقوی توقّفهما علی صیرورته خلاًّ أو دبساً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 محمّد رضا الگلپایگانی، تقی القمّی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فإنّ الظاهر أنّ النشیش هو الغالی بنفسه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یعبّر عن عصیره فی لسان الروایات بالنبیذ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إلحاق الزبیب بالعنب فی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إلحاق عصیر الزبیب بعصیر العنب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هذه الحیلة الشرعیّة إنّما تنتج لرفع الحرمة لو قلنا بها فقط من دون النجاسة، وأمّا لو قیل بنجاسة العصیر قبل التثلیث فلا فائدة فی هذا العمل؛ إذ العصیر ینجس بالغلیان، والماء المصبّ فیه ینجس بمجرّد ملاقاته، ولا مطهّر له إلاّ أن یصار إلی صدق العصیر علی المجموع، وإنّ تثلیث المجموع یصدق علیه تثلیث العصیر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الاطمئنان عرفاً بذهاب ثلثی العصیر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یتمّ لو کان الداخل فی المرق والطبیخ حبّة العنب عینها أو الخارج منها، وقلنا بحلّیّة العصیر أو بالحرمة بدون النجاسة وصار مستهلکاً بالغلیان، وأمّا لو قیل بنجاسة العصیر فالحکم بطهارة المرق والطبیخ کما 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وإن کان حراماً بلا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علی صدق اسم الفقّاع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یوجب النشوة عادةً لا السکر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ویؤیّده الخبر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الفقّاع خمرٌ استصغره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علی ما هو الفقّاع فی العرف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صدق علیه اسم الفقّاع من الشعیر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فهو محکوم بالطهارة، لکن لو لم یکن من الفقّاع المعهود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طهارته وجواز الصلاة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طهارته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للمحقّق الکَرَکی فی خصوص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أقوی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الشاهرودی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علی کون الماء کثیراً من کرّ أو غیره، لا علی کونه بارداً أو حارّاً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تحقّق الجنابة من الحرام فی هذه الصورة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الصورة الثانیة نظر؛ لاحتمال عدم اشتداد الجنابة، وعدم حصولها من الوط‌ء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 البروجردی، عبداللّه الشیرازی، محمّد رضا الگلپایگانی، اللنکرانی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الحرمة مع عدم البلوغ کما 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رافعیّة غسله للجنابة إشکال، حتّی علی الشرعیّة بمناط الأمر بالأمر، لا بمناط حکومة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الإطلاقات؛ إذ غایة الأمر کون غسله حینئذٍ واجداً لمصلحة غیر ملزمة غیر صالحة لرفع تمام جنابته وإن کان صالحاً لتخفیفه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طهارته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طهارة عَرق ما عدا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ولطهارته وجه وإن لم تجز الصلاة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لزوماً الاجتناب عن الأرنب والثعلب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العلم بسبق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الاحتیاط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جواز الاغتسال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وبیوت المجوس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السبزواری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الشبهة موضوعیّة مطلقاً، کانت وضعیّة أو تکلیفیّة، تحریمیّة ووجوبیّة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حکموا بوجوب الفحص فی بعض الموارد کما فی بعض مسائل النکاح، وفیما لو کان موضوع الحکم ممّا لا یحصل العلم به إلاّ بالفحص کالنصاب الزکوی والاستطاعة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والأحوط الفحص؛ لعدم صدق عدم العلم فی أمثال ذلک کما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 تقی القمّی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ما یتعلّق بها فی الحواشی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عدم الثبوت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ثبوت النجاسة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فی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مستولٍ علی العین ولو بالغصب، کما یأتی منه التعمیم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وکالة أو ولایة أو إذن شرعیّ أو مالکیّ ولو بالفحوی، وفی شمول الید العادیة کالغصب إشکال، وإن کان له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فالمیزان والملاک مطلق الاستیلاء علی شیء بأی وجه کان، سواء کان بإذنٍ شرعی ولو بالفحوی أو غیرهما، نعم فی کفایة قول الصبی إشکال، والأحوط الاجتناب عن قول الصبی المراهق إذا أخبر بنجاسة ما تحت 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یصل إلی درجة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یتوقّف الحکم بثبوت الطهارة والنجاسة علی علمه، لا أ نّه بعد حصول العلم له لا اعتباریة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عدم اعتباره فی الطهارة 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 جریان الأصل فی بعض الأطراف مع البناء علی الاجتناب عن البعض الآخر، فکون العلم الإجمالی کالتفصیلی فی الجملة لا بالجملة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یشترط بالطهارة کالأکل والصلاة، لا فی مباشرة أحدهما برطوبة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قامت أمارة أو أصل علی تعیین النجاسة فی أحدهما المعیّن، فإنّه موجب لجواز ارتکاب البقیّة بمناط جعل البدل الغیر الفارق بین صورة قیامهما قبل العلم أو بعده، أو قامت علی مجرّد نجاسة أحدهما المعیّن بلا تعیین المعلوم الإجمالی فیه بمناط الانحلال المشروط فیه کون قیامهما مقارنین للعلم الإجمالی لا متأخّراً، ووجه الفرق بین جعل البدل وقضیّة الانحلال فی الأمر المزبور موکول إلی محلّه الّذی تعرّضناه فی مقالتنا،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اعتبار إفادة الظنّ الشخصی فی دلیل حجّیّـتها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یعتبر عدم الاطمئنان باشتباهها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إمکان شمول دلیل الاعتبار والحجّیّة للمتعارضین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تعارضت تسقط کلّ منهما عن الحجّیّة، نعم لو کانت مزیّة فی أحدهما یتعیّن العمل بذیها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العلم بالخلاف فی مستند الشهادة بین الشاهد ومن قامت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بعد کون احتمال السهو والنسیان والخطأ ونحوها ملغاة ببرکة الاُصول العقلائیّة، لا ملزم لذکر المستند، سواء کان هناک تخالف بین البیّنة والسامع فی المبنی أم لم یکن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ترتّب أثر شرعی علی الحجّة عند المشهود له وإن لم تکن ذات أثر عند الشاهدین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کفایته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یُعتبر فی قبول الشهادة توارد شهادتهما علی أمرٍ واحد شخصی، فالاختلاف إن کان غیر منافٍ لوحدة الواقعة لا یضرّ، ولو نفی أحدهما ما شهد به الآخر صریحاً، أمّا لو شهد کلّ واحد بواقعة غیر ما شهد به الآخر أو احتمل ذلک فلا تقبل وإن کان لهما أثر مشترک ولازم واحد، فإذا رأی الشاهد أنّ وقوع قطرة من الدم واختلفا فی لونها أو غیر ذلک لا یضرّ وتقبل الشهادة؛ لأنّ المشهود به أمر واحد، بخلاف ما لو قال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قطرة من دم زید وقعت فی الإناء، وقال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الثوب المتنّجس لعمرو وقع فیه، ومنه یعلم وجه النظر فی ما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 نّه یلحقه حکم أشدّهما فی مقام التطهیر، فیجب فیه التعدّد وإن اکتفینا بالمرّة من الدم؛ لاحتمال کونه بولاً، کما یحکم علیه بالعفو إذا کان أقلّ من درهم؛ لاحتمال کونه دماً عملاً بالأصل فی المقامین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قبول شهادة الشاهدین فی الفرض رجوعهما إلی الشهادة بأمرین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متّفق علیه، والآخر مختلف فیه، فإذا لم ترجع شهادتهما إلی ذلک لم تقبل، والنفی وعدمه لا أثر لهما فی قبول الشهادة وعدمه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الصورتین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عدم ثبوت النجاسة بقول عدل واحد، والظاهر أنّ ـ بناءً علیه ـ الأوجه عدم الوجوب أصلاً، لکن بناءً علی ما ذکرنا من الثبوت به یجتنب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الشهادة بنجاسة أحد هذین، لا بعینه المردّد عند الشاهدین، فیکون متعلّق شهادتهما وموردها أمراً واحداً، وهو الواحد المجمل بالمعنی المذکور کما هو ظاهر العبارة، ولیس المراد ما هو أعمّ من ذلک ومن کون نفس الشهادة مجملة مردّدة بین کون موردهما ما ذکر، وکونه هو المعیّن عندهما، إلاّ أنّهما أجملا فی التعبیر، فعبّرا بأحدهما حتّی یستشکل علیه بعدم الکفایة ما لم یحرز أ نّها علی النحو الأوّل، أو علی النحو الثانی، مع إحراز کون المعیّن عند أحدهما هو المعیّن عند الآخر لیحرز ورودهما علی مورد واحد، وکذا المراد من قوله بعید هذا، وأمّا لو شهد أحدهما بالإجمال هو ما ذکرنا کما هو ظاهره أیضاً، فلا یرد علیه أنّ مورد الوجوه الآتیة هو الإجمال بهذا المعنی دون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المشهود به الواحد بالإجمال، کما إذا شهدا بأنّ قطرة بول وقعت فی أحد الإناءین لا یعلم أ نّها وقعت فی أیّ منهما، وأمّا إذا کان الإجمال فی الشهادة بأن کان مراد کلٍّ من الشاهدین واحداً معیّناً إلاّ أ نّه عبّرا عنه بأحدهما فلا یکفی ما لم یحرز أنّ المعیّن عند أحدهما هو المعیّن عند الآخر، وکذا الحال إذا لم یحرز مرادهما من کلامهما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فرض اتّحاد المشهود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أوسطها أوسطها، ومحلّ هذه الوجوه أیضاً فیما إذا کان المشهود به لمن شهد بالإجمال الواحد بالإجمال، وأمّا إذا علم أو احتمل أنّ مراده نجاسة واحد معیّن عنده إلاّ أ نّه أجمل فی مقام الشهادة فلا إشکال فی عدم ثبوت نجاسة واحد منهما ما لم یحرز اتّحاد ما یشهد بنجاسته مع ما عیّنه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الأحوط لو لم یکن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عدم ثبوت النجاسة بقول عدلٍ واحد، والظاهر أنّ ـ بناءً علیه ـ الأوجه عدم الوجوب أصلاً، لکن بناءً علی ما ذکرنا من الثبوت به یجتنب عنهما إن کان الإجمال مقدّماً، وإلاّ یجتنب عن المعیّن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وجوب الاجتناب عنهما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إذ کلّ من الشاهدین یحکی عن واقعة غیر ما یحکی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 نعم لو اتّفقا فی النجاسة واختلفا فی الزمان تثبت النجاسة فی أحد الزمانین، ویجب الاجتناب عن الإناء فی الزمانین کالمسألة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لأنّ وجوبه إمّا من جهة الأصل، ولا یخفی عدم جریان الاستصحاب؛ لأنّ القول بأنّ الشهادة بنجاسته فعلاً فی قوّة کونه نجساً سابقاً إلی الآن، فالنجاسة السابقة معلومة ثابتة تستصحب، کما تری؛ لأ نّه یمکن کون الشهادة مبنیّة علی علمه بالنجاسة الحادثة، وبمحض شهادة الواحد بالنجاسة السابقة لا یثبت وجودها السابق علی مبناه حتّی تستصحب، وإن کان المقصود بالشهادة فهو أیضاً غیر صحیح؛ لأ نّهما لم یشهدا بأمر واحد، وأمّا علی ما ذکرنا فوجوب الاجتناب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کانا یشهدان بملاقاته لنجاسة معیّنة ولکنّهما یختلفان فی زمان ملاقاة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فالشیء علی قول أحدهما نجس بالفعل، وعلی شهادة الثانی نجس بالاستصحاب، فالظاهر وجوب الاجتناب، وإذا شکّ أو علم الاختلاف فی المشهود به لم یجب الاجتناب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یجری فیها التفصیل فی المسألة المتقدّمة، فیجتنب الشیء مع وحدة المشهود به، ولا یجب الاجتناب إذا شکّ أو علم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بناءً علی حجّیّة قول العدل الواحد یشکل؛ من حیث إنّ إخبار الثانی بسبق نجاسته لا معارض له فیستصحب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بل یمنع ذلک إذا کان العبد أو الجاریة مستقلّین فی الإرادة، وکذا فی ثوبهما التابع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مجال للنظر؛ لأنّ المتیقّن من سماع قول ذی الید فی الطهارة والنجاسة بحسب السیرة هو ذو الید المستقلّة، لا مطلقاً علی وجه یشمل المقام، وتوهّم کون کلّ واحد ذا ید علی تمام المال ـ ولذا قیل بتساقطهما فی مقام الحکایة عن الملکیّة عند المخاصمة ـ مدفوع بما حقّقناه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ذا الیدین المستقلّین علی تمام المال غیر معقول، فلا جَرَم یُحکم فی أمثال الموارد باستیلاء واحد قائم بهما علی وجه یصدق علی کلّ منهما کونه ذا ید ضمنیّة، ومثل هذا عند العرف بمنزلة الید علی نصف المال فی مقام الحکم بالملکیّة بنحو الإشاعة، ولازم هذا المعنی أیضاً وإن یوهم أن یوءخذ بإخبار کلّ منهما بطهارة نصفه أو نجاسته لا تمامه، ولکنّ ذلک کذلک لو کان إخباره أیضاً علی طبق یده علی وجه ینتهی إلی تصوّر نفس العین مشاعاً أو نجاسته، وأمّا مع عدم تصوّر ذلک فلا مجال للأخذ بخبره علی طبق یده المشاعة، فمن أین یشمله معقد السیرة المتقدّمة؟</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إخبارالمخبر بالطهارة مستنداً إلی الأصل،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الجملة هنا وفی کلّ تعارض ببیّنتین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کذا معارضة البیّنة مع قول صاحب الید فتقدّم البیّنة علیه، إلاّ إذا کان إخبار البیّنة مستنداً إلی الأصل فیقدّم قول صاحب الید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لا مطلقاً، بل علی التفصیل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عدم التهمة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الشاهرودی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ولو کان مراهقاً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منع، نعم لو کان مراهقاً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أیضاً إشکال، نعم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 إلی وجوه ضعیفة، کخروجه عن متیقّن الدلیل اللبّی أی السیرة العقلائیّة، وکخروجه بالاستعمال عن مورد الید وغیرهما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حجّیّة قول ذی الید إذا أخبر بعد خروج الشیء من یده نظر ومنع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الاصطهباناتی، الشاهرودی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الارتکاز العرفی قرینة لتقیید بعض المطلقات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ینتقل من أحدهما إلی الآخر بمجرّد الملاقاة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ومرسلة یونس المرویّة 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باب تطهیر الثیاب،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محمولة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حکم غسل مسّ میتة الإنسان بلا رطوبة مسریة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القول بکون المتنجّس منجّساً، وبما ذکر یظهر الحال فی بعض الفروع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تنجّس الماء المطلق القلیل بالمتنجّس محلّ نظر کما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یقوی عدم انفعال المتّصل بالوارد مطلقاً مع الدفع والجریان بقوّة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بالشرط المتقدّم، وهو کون العلوّ تسنیمیّاً أو تسریحیّاً یشبهه، لا مجرّد العلّو الانحداری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تفصیله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معرفة وجه الفرق بین الصورتین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اتّصل فی المحلّ المجاور للنجاسة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اتّصل المحلّ المجاور للنجاسة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لمکان الاستصحاب التعلیقی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علمت المصاحبة وشکّ فی بقائها إلی حین الملاقاة فاستصحاب النجاسة محکم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أنّ بدن الحیوان أو خصوص رجل الذباب لا یتنجّس، فإذا أزال العین لم یبقَ موقع للسریان، أمّا تلوث رجل الذباب بعین النجس فبدیهی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احتمال جفاف رجله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مع الشکّ فی زوالها یحکم ببقاء ما تلوّث بها من أعضاء الحیوان علی النجاسة، وتنجّس ما یلاقیه علی الثانی دون الأوّل، والأظهر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فالسرایة موجودة حینئذٍ حسب المرتکز العرفی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الفلزّات المذابة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المناط هو السرایة وعدمها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الإحالة علی العرف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الملاقی لها، ولعلّه 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الثقب ضیّقاً یمنع من اتّصال الماء بعضه ببعض لم یتنجّس ما فی الإبریق، وإذا کان واسعاً وکان الماء یخرج منه بدفعٍ وقوّة لم ینجس ما فی الإبریق کذلک، نعم إذا کان الثقب واسعاً وکان اتّصاله بالأرض یمنع من جریانه بقوّة تنجّس ما فی الإبریق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فصل بین الثقب والأرض، وإلاّ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التصاق ذلک الثقب بالأرض النجسة، وإلاّ یتنجّس ماء الإبریق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ترتیب آثار البقاء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دلیل دالّ علی تنجّس الجامدات غیر الرطبة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الزئبق والذهب الحکم المذکور لا یخلو من شیء، إلاّ مع العلم بعدم السرایة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 کلا الفرضین محلّ تأمّل، ومن أجل ذلک فإذا تنجّس الذهب الجامد بملاقاة البول مثلاً، ثمّ اُذیب فعدم سرایة النجاسة إلی جمیع أجزائه موضع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خصوص موضع الملاقاة کما 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مسریة فی نظر العرف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تشتدّ النجاسة إذا کان حکم الثانی أشدّ، کما احتمله أخیراً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الشبهة المعروفة من استصحاب النجاسة الکلّیّة من القسم الثانی، وإن کان ما أفاده فی أصل الحکم فی غایة المتانة، ولقد نقّحنا شرح عدم جریان مثل هذا الاستصحاب فی باب استصحاب الکلّی فی مقالتنا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إجراء حکم الأخفّ واستصحاب عدم تنجّسه بالأشدّ، ولا تعارض؛ لأ نّه بالنسبة إلی الأثر الزائد لا معارض له، والظاهر عدم الفرق فی إجراء الأصل بالنسبة إلی الأثر الزائد بین کونه أثراً مبایناً ، أو کونه من سنخ الأثر المشترک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یظهر من مجموع نصوص الباب عدم کون المتنجّس منجّساً علی الإطلاق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ویحتمل قویّاً عدم تنجیس المتنجّس بالواسطة مطلقاً، لا سیّما مع جفافه أو تعدّد الواسطة،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إجراوءها علیه مطلقاً، خصوصاً فیما إذا صبّ ماء الولوغ فی إناء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 الفرع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زوال أثر البول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الغسلة المزیلة التعدّد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فیه وفی ملاقی غسالة الغسلة الاُولی من البول فی وجه موافق للاحتیاط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ظهر ممّا مرّ منع اعتباره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مورده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أقسام الملاقاة أربعة؛ وذلک لأ نّه إمّا أن یکون الملاقی ـ بالکسر ـ والملاقی ـ بالفتح ـ خارجیّین أو داخلیّین، أو الملاقی ـ بالکسر ـ خارجی، والملاقی ـ بالفتح ـ داخلی، أو بالعکس، وعلی التقادیر کان التلاقی فی الباطن، وسیأتی ذکر ما هو المختار فی أحکام هذه الأقسام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الأخلاط الصدریّة الّتی تخرج من الصدر، فإذا کان معها دم یتنجّس خصوص محلّ الدم، والباقی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 لا فی الاُمور المتقدّمة علیها، ولا فی المتأخّرة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الاحتیاط حسن، ولا تجب مراعاته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الأقوی إذا صدق علیه الساتر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یصدق أ نّه لبسه وصلّی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الإلحاق فی هذه الصورة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 باللحاف لا یجزی فی صحّة الصلاة وإن کان طاهراً؛ لأ نّه لا یخرج بذلک عن الصلاة عاریاً، نعم إذا جعل اللحاف لباساً له أجزأه، إلاّ أنّ نجاسته حینئذٍ توجب بطلان الصلاة بلا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صدق الصلاة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صدق الصلاة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یحصل به مسمّی وضع الجبهة من الشیء الّذی یسجد علیه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تراب أو حجر أو خشب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اعتبار الطهارة فیها أحوط 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معفوّاً عنها علی فرض السرایة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یصحّ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إدخال الکلب ووضع العذرات والمیتات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منه قدس‌سره ما ینافی هذا الإطلاق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الفرق بین النجس والمتنجّس فی حرمة الإدخال مطلقاً إذا استلزم الهتک، وفی غیره إذا کان سبباً لتنجیس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المتنجّس والنجس ما لم یستلزم الهتک والتنجیس فی جریان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لمّا کان المبغوض کون المسجد نجساً والتنجیس إیجاد لهذا المبغوض حدوثاً وبقاءً، فیکون بقاء المسجد نجساً مستنداً إلیه، فتجب علیه الإزالة من هذه الحیثیّة، وإن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محکوم بحکمین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الإبقاء عیناً، ووجوب الإزالة 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أمکن الفرق من الجهات الخارجة، کمؤونة الإزالة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له جهة اختصاص به أیضاً مضافاً إلی وجوبه الکفائی علی الکلّ، فإنّ بقاء النجاسة فیه بقاء لعمله الّذی کان محرّماً علیه حدوثاً وبقاءً، فعلیه إعدام عمله، وللناظر إلزامه به وأخذ موءونته منه، وکذا المصحف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الأحوط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جمیع المشارب فی باب التزاحم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إشکال فی الحکم بالصحّة، وعلی الفرض لا فرق بین هذا المسجد أو مسجد آخر أو محلّ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فی مکان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المسألة مجال إشکال؛ لعدم جریان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مثله من کون الشرط واقعیّاً، کما یستفاد من روایة الجصّ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لولاه أمکن دعوی أنّ المتیقّن من السیرة والإجماعات هو شرطیّة الطهارة العلمیّة لا الواقعیّة، ولعلّ إلی هذه الجهة نظر المصنّف، ولکن فیه نظر جدّاً، کالنظر فی شمول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لمثله بحمل الطهارة فیه علی الطهارة الحدثیّة محضاً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دخل فی الصلاة من دون اطّلاعه بوجود النجاسة فی المسجد ثمّ التفت فی أثناء الصلاة، أم کان عالماً بالنجاسة قبل الدخول فی الصلاة فدخلها ذاهلاً عنها ثمّ التفت فی أثنائها، أم حدثت النجاسة فی حال الصلاة وهو قد علم بها فی تلک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کلّ تقدیر لو أتمّها فصلاته صحیحة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والحال أنّ المقام یدخل فی کبری باب التزاحم؛ إذ وجوب الإزالة فوراً یتزاحم مع حرمة قطع الصلاة، فیلزم إعمال قواعده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له وجه، فجوازه ما لم یکن هتکاً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نظر، والأحوط طمّ الحفر وعمارة الخراب إذا کان التنجّس من فعله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موجباً للتنجیس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سائر آلاته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تطهیره فی المحلّ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شیءٍ معتدٍّ به کتخریب الطاق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القول بکفایة تطهیر ظاهره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یثبت الجواز فی غیر ما یصلّی علیه من أبنیة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ویصدق علیه المسجد بالفعل، لکنّه خراب لا یصلّی فیه لکثرة التراب ونحوه، وفی غیر هذه الصورة لابدّ من 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لم یمکن فی بعض الفروض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فیما إذا احتاج التطهیر إلی بذل مال کثیر، بل لا یجب فیما یضرّ بحاله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زال الصدق العرفی بالفعل وإن کان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مسجداً، وهذا هو الفارق بین ما أفاده هنا وبین ما ذکره فی المسألة العاشرة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ضعیف، والمسألة غیر مبنیّة علیه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جواز الأوّل، وعدم وجوب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المسجدین یجب مراعاة الأهمّ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أمکن التوکیل فی التطهیر قبل الغسل 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عدم جوازه، إلاّ إذا استلزم التأخیر الهتک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فیتیمّم علی الأحوط ویبادر إلی الإزالة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عدم جریان الحکم فی البِیَع والکنائس والأدیرة، ولا دلیل علی حرمة تنجیسها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المحکوم بکفرهم کالنواصب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لم یستلزم الهتک، وکذا فی صورة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محمّد تقی الخونساری، جمال الدین الگلپایگانی، الأراکی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قامت علی الدخول أمارة من شاهد حال ونحوه، ولا سیّما فی السقف والجدران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هناک أصل بلا معارض فی 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صحّة التخصیص فیه، وهو محلّ تأمّل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المسجد قابلاً للخصوصیّة إشکال، إلاّ أن یکون المراد مثل مسجد السوق والقبیلة ممّا کان بحسب الخارج موضعاً لتعبّد طائفة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لو وقفه للصلاة فیه بدون قصد المسجدیّة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ذلک، فإنّه نوع من التسبیب، وهو الأقوی فیما یوجب الهتک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الوجوب من باب المقدّمة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إبقاء النجاسة موجباً للهتک وجب إعلام الغیر إذا ظنّ، بل واحتمل بذلک تطهیر الغیر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الأحوط مطلقاً، کما سیأتی منه قدس‌سره فی أحکام المساجد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المتیقّن منها مشاهد الأنبیاء والأئمّة علیهم‌السلام ، وفی إلحاق مشاهد أولادهم إشکال، والأقوی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الجزم بالحرمة مع عدم تحقّق عنوان الهتک مشکل، فالحکم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المذکورة فی حکم المصحف الشریف وسائر ما علم من الشرع احترامه محتاجة إلی التفصیل، نعم لا شبهة فی حرمة الهتک، بل بعض مراتبه فی بعض الموارد موجب للارتداد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المصحف أو غیره ممّا ثبت احترامه فی الشریعة المقدّسة لا ریب فی حرمة هتکه مطلقاً، بل لا یبعد أن یکون بعض مراتبه موجباً للکفر، وأمّا الأحکام المذکورة فی ضمن المسائل الآتیة فهی بإطلاقها عند عدم تحقّق الهتک مبنیّة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المذکورة فی هذه المسألة مبنیّة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حرفاً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هتکاً أو استلزم مسّه لخطّه، وإلاّ فالأقوی الجواز، ویکفی فی الأوّلین کونه معرضاً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لزم منه هتک أو مهانة،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إلاّ إذا استلزم هتکاً أو تنجیساً، أمّا لو وضعه علی ثوب نجس یابس فلا دلیل علی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الهتک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الهتک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التبرّک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مفتی الشیعة، السیستانی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ورق علیه اسم النبی أو الإمام، ومثل التربة المقدّسة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سدّ بابه؛ لأ نّه أحد طرق المنع عن الهتک الزائد،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طهّره هو بغیر إذن صاحبه أو بإذنه بالضمان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الحاصل من وجوب تطهیره وإن لم یطهر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یختصّ بمن نجّسها، فتجب المبادرة مع القدرة علی تطهیرها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ولاحتمال إلزامه بتطهیره بنفسه أو بصرف المؤونة منه وجه لا یخلو من 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یکن ضرریّاً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التعلیل ضعیف؛ لأ نّه لا ینافی تحقّق الضمان بموجب التنقیص الحاصل بنفس التنجیس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 عدم الجواز إذا استلزم التطهیر التصرّف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المالک مع علمه بالنجاسة ممتنعاً عن تطهیره وعن الإذن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إذا امتنع من الإذن والتطهیر ولم یمکن إجباره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وجوبها فی المقام إنّما هو بمعنی حرمة أکل النجس وشربه قبل تطهیره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حرمة أکل النجس وشربه، وکذا فی ما بعده فالوجوب مقدّمی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إلاّ إذا دلّ الدلیل علی جوازه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الأعیان النجسة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الانتفاع بالمیتة مطلقاً تأمّل، والأحوط الاجتناب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الإشارة فی الحواشی السابقة إلی أنّ الأقوی جواز بیع الأعیان النجسة فضلاً عن المتنجّسة، إلاّ ما خرج بالدلیل، کالخمر والکلب الهراش والخنزیر والمیتة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شمول إطلاق الأدلّة لما فیه غرض معتدّ به غیر منهیّ عنه شرعاً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الحکم منجّزاً بالنسبة إلیه یحرم التسبیب وإیجاد الداعی، بل یجب النهی عن المنکر، وإذا لم یکن منجّزاً فیحرم الأمران الأوّلان، ویجب الإعلام فیما ثبتت مبغوضیّة العمل بالمعنی الاسم المصدری عند الشارع مطلقاً، کشرب الخمر وأکل لحم الخنزیر ونحوهما، وإن لم تثبت مبغوضیّـته کذلک فعدم التسبیب هو الأحوط الّذی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حرمته إشکال، وإن کان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جوازه فیما لا یشترط فیه الطهارة الواقعیّة، وفی غیره الأحوط عدم التسبیب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دخل للقابلیّة فی المنظور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کون التقیید بهذا القید لأجل تصحیح البیع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مثل لباس المصلّی ممّا یشترط فیه الطهارة الظاهریّة لا مانع من التسبّب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وجوب إعلامه من باب المنع عن المنکر الواقعی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فیه وفی ما بعده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لکنّ وجوب ردعهم 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أقوی إشکال، بل منع، فالاحتیاط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جرت السیرة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وجوبه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الوجوب فی هذا الفرض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فی هذه الصورة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علیه الإخبار، إلاّ إذا علم أنّ عدم إعلامه یوجب ابتلاءه بنجاسةٍ فیجب حینئذٍ الإعلام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الوجوب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استأجر أو استودع أو غصب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وجوب الإعلام فیما یستعمله فی الأکل والشرب، والأحوط ذلک فیما یستعمله فیما یُشترط فیه الطهارة الواقعیّة، وفی غیرها الأقوی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خصوص الأکل أو الشرب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کالأکل والشرب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المتنجّس، أو ما بحکمه من البلل المشتبه، أو أطراف الشبهة المحصورة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قصوراً کان أو تقصیراً، نعم فی صورة تبدّل رأی المجتهد ادُّعی الإجماع علی الإجزاء بالنسبة إلیه وإلی مقلّدیه، وإلاّ فمقتضی القاعدة لزوم القضاء والإعادة، ولو کان معذوراً من جهة اجتهاده أو تقلیده، ولا فرق بین أن یکون خطأ اجتهاده فی أصل نجاسة شیءٍ، أو فی مانعیّـته للصلاة، أو فی شرطیّة ضدّه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جاهلاً بالحکم أم لا، وسواء کان معذوراً بجهله أم لا، وسواء کان بسیطاً أم مرکّباً، مع الظنّ فی البسیط أو الشکّ مع الفحص أو بدونه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الصحّة إذا أمکن التبدیل أو التطهیر مع عدم المنافی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هو الأعمّ من السبق علی الصلاة والسبق علی حال الالتفات، فالحکم بالبطلان مطلقاً محلّ نظر، بل فی الصورة الأخیرة یتدارک الجزء الواقع مع النجاسة بعد التطهیر أو النزع إن کان قابلاً للتدارک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إمکان التبدیل أو التطهیر من غیر لزوم المنافی، وإلاّ قطع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 یتمکّن من إدراک الصلاة فی ثوب طاهر ولو برکعة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النزع فی غیر الساتر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وجه لا ینافی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قطع الصلاة مع إدراک الرکعة، ومع عدمه الإتمام ثمّ القضاء فی الصورتین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یمکن نزعه والصلاة عاریاً، وإلاّ وجب نزعه وأتمّها عاریاً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النزع علی نحو ما ذکرنا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فیه أیضاً هو ما مرّ من التفصیل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الناسی بالموضوع بعد العلم بالنجاسة مثل الثوب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الإعادة أحوط، والصحّة أقوی إن تذکّر بعد الفراغ، وإن ذکر فی الأثناء فإن أمکن التطهیر أو التبدیل أتمّها بعدهما، وإلاّ استأنف الصلاة فی السعة وأتمّها عاریاً فی الضیق إن أمکن النزع، وإلاّ مضی فی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القضاء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فیلحق المعذور بالمعذور وغیره بغیره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یتّجه القول بعدم وجوبهما علیه؛ لعذره، وشمول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الأحکام المذکورة فی هذه المسألة تأمّل، فلا یترک الاحتیاط خصوصاً فی بعضها، بل جواز الدخول فی الصلاة مشکل فی بعض الصور، کما سیجیء من المتن أیضاً، نعم فی الفرع الثانی والرابع لا یبعد مع النظر وعدم الرؤیة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 نّه لا علم له بالنجاسة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العلم بسبقها فیه، وإلاّ تجب الإعادة والقضاء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 والاحتیاط سبیل 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کانت الأرض خارجة عن الابتلاء، وإلاّ فالأقوی بطلان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الإعادة أو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وما بعده محلّ إشکال، وأشکل منهما فرض الشکّ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فی صورة الشکّ فی کونه أقلّ من درهم، أو الشکّ فی أ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معفوّ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والأولی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اشترطت طهارة محلّیهما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تمام الوقت، أو مع الإتیان بالصلاة فی آخر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ضیق الوقت، أو الیأس من إمکان التبدیل أو الغسل إلی آخر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أحمد الخونساری، الآملی، السبزواری، حسن القمّی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بالصلاة فیه ثمّ عریاناً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عاریاً، والاحتیاط بالقضاء فی الطاهر بعد تیسّره لا ینبغی أن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علیه الصلاة عاریاً إذا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بل لو وجد غیره فالأحوط الصلاة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یجوز مطلقاً، وإن کان ما ذکره من التفصیل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الأولی والأحوط، والجواز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 التکرار مطلقاً، والصلاة فی ذاک الثوب الطاهر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ما لم یعلم بإیقاع الصلاة فی الطاهر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تفصیلاً، وأمّا إذا لم یکن ممیّزاً بوجه من الوجوه فمحلّ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المیزان زیادة المأتیّ علی المعلوم بواحد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یتمکّن من نزع الثوب، وإلاّ تعیّن نزعه وتطهیر البدن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نعم لو اضطرّ إلی لبس ذلک الثوب حال صلاته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به، ثمّ الجمع بین الصلاة عریاناً ومتستّراً بالنجس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إمکان صرف الماء فی رفع کثرة الآخر، وإلاّ فلا وجه للترجیح کما هو ظاهر، وکذلک الأمر فی الفرع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مندرجات هذه المسألة لا یخلو من إشکال، ولکنّه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جمیع الفروض المذکورة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جریان المیسور فی الجامع الوضعی نظر، وإن کان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إزالة العین مبنیّ علی مانعیّة محمول النجس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علی نحو یشبه التدهین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یتوقّف رفع الحدث علی رفع الخبث، کما لو کان علی بدن الجنب نجاسة فیتعیّن رفع الخبث بلا إشکال، ولکنّ نظر المتن إلی الدوران العرضی، وهو ما لو کان ثوبه أو بعض بدنه غیر أعضاء الوضوء نجساً فیتعیّن رفع الخبث أیضاً؛ لأنّ وجوبه مطلق، ورفع الحدث مشروط بالتمکّن، فإذا عارضه المطلق ارتفع الشرط وهو التمکّن، ووجب البدل وهو التیمّم، ولو عصی وتوضّأ فظاهرهم بطلان الوضوء؛ لعدم الأمر، ولکن حیث إنّ المقام من باب التزاحم فالصحّة غیر بعیدة، ثمّ إنّ عدم التمکّن یتحقّق بنفس الوجوب المطلق برفع الخبث، ولا حاجة إلی استعماله فی رفع الخبث أوّلاً فلا أولویّة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أمکن له أن یتوضّأ أو یغتسل، ویجمع غسالة وضوئه أو غسله فی إناء ونحوه فیطهّر بها الخبث، تعیّن علیه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المتعیّن فی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جواز البدار، أو باعتقاده عدم التمکّن من رفع النجاسة فی تمام أجزاء الوقت، أو استصحاب بقاء اضطراره إلی آخر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التمکّن من التطهیر أو التبدیل، وإلاّ صلّی بعد أحدهما، ولا یجب الاستئناف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أمکنه التطهیر فی الأثناء مع بقاء التستّر وعدم المنافی أجزأه ذلک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تمام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لزوم التأخیر إلی آخر الوقت مع رجاء زوال العذر، کما تقدّم فی نظیره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فی صورة الجهل بل النسیان الإعادة؛ لعدم شمول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لنسیانه، ولا أدلّة الاغتفار بالجهل بالنجاسة من الأوّل لمثل المورد؛ إذ المتیقّن منه هو اللباس والبدن، ولقد أشرنا إلی هذه الجهة سابقاً أیضاً، وتوهّم شمول مناط الجهل بالموضوع فی اللباس أو البدن للمقام منظور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یشترط فی العفو عنها بقاء الاتّصال، فلو انفصل عن الثوب أو البدن ثمّ عاد فلا عفو، أمّا لو نزع الثوب الملطّخ بالدم ثمّ لبسه مع بقاء الجرح فالعفو باقٍ، وفی شمول العفو لدم الفصد والحجامة تأمّل، وکذا دم البکارة، أمّا دم انفطار القدمین والکفّین فیشملهما العفو قطعاً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الأولی اعتبار تحقّق المشقّة فی التبدیل أو الإزالة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اعتبار تحقّق مشقّة الإزالة أو التبدیل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التقیید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التقیید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متنجّس معفوّ عنه، کما أنّ الدم نجس کذلک، والدلیل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لیث وغیره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الدواء المتنجّس بوضعه علی ذلک الموضع، فلا عفو عن الدواء النجس أو المتنجّس الّذی یوضع علی القرحة أو الجرح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عفوه؛ لعدم الدلیل علی عفوه، فیشمله إطلاقات مانعیّة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 إذا کان داخلاً ولم یکن فی تطهیره حرج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الداخلة منها ومن غیرها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العفو، والشبهة مصداقیّة لا یتمسّک فیها بعمومات وجوب الإزالة، والأصل بقاء جواز الصلاة فی الثوب الّذی أصابه ذلک الدم، وکذا لو شکّ فی البرء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من هذه الجهة فی أوّل الفصل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غسله مرّتین غُدوة وعشیّة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 الصلاة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الشاهرودی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مثل قرحة بیده واُخری برجله، وأمّا فی مثل أعلی الید وأسفلها، وفی مثل الظهر والبطن فلا یبعد العفو حتّی یبرء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المساوی ولا الأکثر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الحکم فیه بلا دلیل فلا یُترک الاحتیاط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فی دم غیره التجنّب؛ لروایتی البرقی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الاستحاضة، بل فی النفاس والحیض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 نجس العین ومنه المیتة جهات للمنع ذاتیّة غیر الدمیّة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متفاهم العرف الّذی هو المعیار فی أمثال هذه الاُمور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ما یقرب من عقد الإبهام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وجوباً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 لعدم مساعدة العرف علی الوحدة فی بعض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نظر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رطوبات الإنسان اللازمة له غالباً کعرقه وقیحه فالظاهر العفو عنها لو اتّصلت بالدم وإن زادت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غیر صافیة من شوب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جفاف الرطوبة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الاستهلاک بالدم فالأقوی فیه العفو أیضاً، ووجهه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تبطل الصلاة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محمّد تقی الخونساری، جمال الدین الگلپایگانی، الفانی، الأراکی، زین الدین، السیستانی، اللنکرانی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کالدماء الثلاثة مثلاً یبنی علی العفو، ولا یجب الاختبار، وإذا انکشف بعد الصلاة أ نّه من غیر المعفوّ عنه تجب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الشاهرودی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التفصیل إشکال، والأقوی جواز الصلاة فی المردّد بین المعفوّ وغیره مطلقاً، نعم لو تمکّن أن یختبر أ نّه بقدر الدرهم أو دونه فالأحوط اعتباره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العفو عن مقدار الدرهم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علی العفو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عرفاً منه توسّعاً، کما لو 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الدم من البدن وکان المجموع أقلّ من الدرهم، فإنّه لا یبعد العفو عنه وإن کان الاحتیاط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بفرک ودلک ونحوهما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المعیار السعة، لا الوزن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بقاء العفو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الاجتناب لو لم تکن مستهلکة فی 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فیما لا تتمّ به الصلاة أن لا تتمّ به لصغره ذاتاً، أو بعملٍ صیّره قطعةً واحدة عرفاً، لا لجعله بکیفیّة عارضة لا تتمّ الصلاة به معها، کالعمامة ولو خیطت بصورتها الخاصّة، نعم لو اعتید فی بعض الأماکن خیاطتها بحیث تبقی کذلک دائماً کانت کالقلنسوة، ویُعفی عن نجاستها وإن لا تتمّ به علی حاله، فلو کان ممّا تتمّ به بعد التصرّف بجعل طوله فی عرضه أو تمطیته ونحو ذلک لم یقدح فی العفو، نعم لو کان ممّا تتمّ به بإدارته ولو مرّتین أو ثلاث، إلاّ أن یخرج عن المتعارف کحبل طویل ونحوه، والمدار فیما تتمّ به الصلاة أن یکون له سعة یمکن إحاطتها بعورة المصلّی ذکراً أو اُنثی بحیث تکون ساترة للعورتین بغیر علاج، أمّا لو احتاج إلی علاج کربطه بخیط ونحوه فصدق الساتر علیه مشکل، وإن کان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فی محالّها، وأمّا إذا کانت فی غیر محالّها ففیها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فی مواضعها، وفی غیر ذلک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المیتة ونجس العین التجنّب، وإن کان العفو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العفو فیها لمکان إمکان الستر بها، والاستناد إلی روایة الرضوی ضعیف؛ لعدم الحجّیّة، کما مرّ مراراً، وتوجیه الخبر أضعف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ولو لاقتضاء الساتریّة فیه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المدار فی المانعیّة فی الصلاة علی صدق الصلاة فیه دون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ما صار من البواطن، مثل المیتة الّتی أکلها، أو الخمر الّذی شربه، أو الدم النجس الّذی اُدخل تحت جلده فهو معفوّ عنه فی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صورة کونها جزءاً لما لا تتمّ فیه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کون العفو عن نجاسة ثوب المربّیة منوطاً بالعسر والحرج الشخصیّین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کونها مربّیة، لا المربّی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والتخصّص بالذکر، کما عن بعضٍ ضعیف بعد ظهور لفظ المولود فی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المصدر فی الصفحة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الجنس، مضافاً إلی المناط الاطمئنانی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خنثی، فإنّ الموضوع بالنصّ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المصدر فی الصفحة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المولود، وهو شامل للجمیع لمن تغذّی بالطعام أم لا، والثوب واحداً أو أکثر، والعفو مخصوص بالبول دون مطلق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تعیّن غسله قبل الصلاة بعد صیرورتها مربّیة، ثمّ یعفی عن نجاسته بعد ذلک إلی تمام الخمس، ثمّ تغسله للدور الآخر وهکذا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عدم تمکّنها من إیقاع الصلاة فیه لکونه من غیر المأکول، أو رقیقاً حاکیاً أو نحوهما من المحاذیر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إلحاق غیر البول به لا یخلو عن إشکال، فلا یُترک الاحتیاط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یعتدّ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العدم فیه وفی لاحقه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وجه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 هذه المسألة وما قبلها منوط بالعسر والحرج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الضرورات تبیح المحذورات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بقائه إلی آخر الوقت کی یصدق علیه الاضطرار إلی الطبیعة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الماء النجس، سواء کان المضاف النجس أو غیره بالاستهلاک، ولا یطهر فی حال کونه مضافاً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جعل الاستهلاک مطهّراً للماء المضاف تسامح، وإلاّ لزم کونه مطهّراً للأعیان النجسة، فإنّ البول إذا استهلک فی الماء المطلق 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فالغرض من المطهِّر زوال الوصف لا زوال الموصوف، بل فی الحقیقة أنّ تلک الموارد لیس فیها زوال الوصف ولا الموصوف، فتدبّره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التفصیل وعدم تمامیّة ما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عدّه من الشروط مسامحة؛ لأ نّه من مقوّمات الغسل عند العرف، لا من شروطه الخارجة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عبداللّه الشیرازی، الخمینی، محمّد رضا الگلپایگانی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بالاستصحاب أو قاعدة الطهارة ونحوهما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عدم صیرورته مضافاً ولو بأحد أوصاف الطاهر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یأتی من التفصیل فی الفروع الآتیة، وسیأتی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التعفیر والکثیر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یقوم مقامه ممّا تخرج به الغسالة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عدم اعتبار الورود وعدم اعتبار العصر وعدم اعتبار التعدّد فی غیر المتنجّس بالولوغ، وأمّا البول مع زواله بالغسلة الاُولی فالثانیة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أجزائها الصغار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بالنظر العرفی، لا بالدقّة العقلیّة، وإقامة البرهان بأنّ بقاءهما دون بقاء معروضهما من الأجزاء الصغار مستلزماً لإحدی المستحیلات، کانتقال العرض عن المحلّ أو بقائه بلا معروض، أو حدوث المثل لا یعتدّ بها فی الاُمور التعبّدیّة، وببالی أنّ أحد المنکرین للملازمة بین الشرع والعقل أورد علی نفیها بهذه المقدّمة، حیث إنّ اللون والریح والطعم لا تدلّ شرعاً علی بقاء المعروض، ولکنّ العقل بعد ثبوت استحالة الاُمور المذکورة لدیه یحکم ببقائه، نعم هذا الإیراد مندفع ومنهدم الأساس فی محلّه، والتفصیل یطلب من باب الملازمة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تعدّ فی نظر العرف من أجزاء العین لا بالدقّة العقلیّة، وإلاّ فلا یمکن بقاء اللون والرائحة بدون بقاء الأجزاء الصغار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الطهارة والإطلاق مشکل، والمعتبر فی الماء الّذی یستعمل فی التطهیر أن یکون طاهراً ومطلقاً حال الاستیلاء وإن خرج عن ذلک بنفس الاستیلاء، ولا فرق فی ذلک بین الطهارة والإطلاق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کانت الإضافة بالنجس أم بالمتنجّس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بأوصاف النجس، أمّا التغیّر بأوصاف المتنجّس فالأظهر أ نّه لا بأس به، ولا یعتبر عدمه حتّی فی التطهیر بالقلیل فضلاً عن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یطهر إذا صار مضافاً حال العصر، ومع الشکّ فالأقوی الطهارة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الملوّن بنجس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الماء الکثیر والقلیل فی ذلک کما مرّ، ومنه یظهر الحال فی المعصور المضاف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بأوصاف النجس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احتسابها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 عبدالهادی الشیرازی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استعمال المزیلة منها فی التطهیر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یخلو عن قوّة فیما عدا الغسلة المزیلة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مطلق المتنجّس بالبول، عدا الآنیة الّتی یأتی حکمها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وغیره، سوی الجاری، نعم اعتبار التعدّد فی تطهیرهما بماء المطر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المتنجّس بالبول أنّ الغسلة الثانیة مع زواله بالاُولی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قصر الحکم علی الصبیّ فقط، کما أنّ الأحوط القصر علی المرتضع فی الحولین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بل الأحوط عصر الثوب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عدا الأوانی مطلقاً وإن تنجّست بغیر الولوغ، کما سیذکره فی المسألة التالیة،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تکفی الغسلة المزیلة للعین حتّی فی هذه الصورة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ولکن مع احتساب الغسلة المزیلة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الأحوط والأولی، وکفایة الغسلة الواحدة المزیلة لا 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المظروف ماءً أم غیره من المائعات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کیفیّة التعفیر أن یمسح بالتراب أوّلاً، ثمّ بترابٍ آخر فیه شیء من الماء، ثمّ یغسل التراب بالماء، ثمّ یغسل الإناء بالماء مرّتین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یجمع بین التعفیر والغسل بالامتزاج بالتراب، ثمّ یغسل بالماء مرّتین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کفایة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کفایتها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یحسب عرفاً تراباً ، وإلاّ فالتعدّی عن مورد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غیره فی غایة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کلّ ما صدق علیه أ نّه فضله وسؤره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یجری علیه حکم الولوغ فی کیفیّة التطهیر علی الأحوط، ولو صُبَّ الماء الّذی ولغ فیه الکلب فی إناء آخر جری علیه حکم الولوغ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اللحوق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المرّة فیهما، والسبع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الأکبر من الیربوع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مهدی الشیرازی، عبدالهادی الشیرازی، الخمینی، الخوئی، محمّد الشیرازی، حسن القمّی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اعتبار الطهارة، نعم هو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کان وسیعاً فی وقت حدوث الولوغ، ثمّ ضاق عرضاً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بوسیلة العودة الملفوفة بالقطن أو الخرقة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صدق علیه التعفیر والغسل بالتراب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قیام الماء مقام التراب عند التعذّر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الجریان بالنسبة إلی فضل الکلب فیما لم یتعارف جعل المأکول والمشروب فیه مع صدق الولوغ لا یخلو من 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صدق اسم الفضلة وجب تعفیر محلّها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التعفیر بعد الغسلة الاُولی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ما تقدّر بالخمر أو ولوغ الخنزیر وموت الجرذ، أمّا فی هذه فلا یُترک الاحتیاط بالثلاث والسبع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المتنجّس بالبول؛ لإطلاق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یصیب شیئاً إلاّ وقد طهّره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نقلاً عن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فی البول فیمکن تخصیص هذا الإطلاق بمفهوم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کان فی الجاری فمرّة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وعلی فرض التعارض بالعموم من وجه فلا أقلّ من الاستصحاب الموجب للتکرار، ومن هنا ظهر حال الولوغ فیه، فإنّه مع فرض عدم قابلیّة دلیل الولوغ لتخصیصه فلا أقلّ من التعارض المنتهی إلی التساقط الموجب للرجوع إلی الأصل المقتضی لإجراء حکم الولوغ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ذلک فی غیر المطر، وأمّا فیه فالأظهر السقوط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الأحوط فی الإناء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المعیار وصول الماء إلی المتنجّس کیفما اتّفق، وهو المستفاد من أمره علیه‌السلام بتحریک الإناء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من أبواب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مراعاة الفوریّة فی إدارته علی جمیع أجزائها بعد صبّ الماء والإفراغ عقیب الإدارة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الإتیان بالأکثر مطلقاً، سواء کانت الشبهة حکمیّة أو موضوعیّة، وقد سبق منه الحکم بلزوم الأکثر فی الشبهة الموضوعیّة فی مثل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الشکّ فی صدق مفهوم الظرف أو فی موضوعه خارجاً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 لعنوان الغسل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انفصال تمام الماء فی الغسلة المزیلة، ویکفی الصدق العرفی من غیر مداقّة، وکذا 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الاشتراط المذکور مبنیّ علی کون المتنجّس منجّساً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بل یمنع تطهیر القند بالماء القلیل إذا تنجّس ظاهره فضلاً عمّا إذا تنجّس باطنه، ومثله السکّر والملح وکلّ شیء لا ینفذ فیه الماء حتّی یکون مضافاً، ویمنع کذلک تطهیره بالماء المعتصم إذا تنجّس باطنه، أمّا الصابون والطین والخزف والخبز وأمثالها ممّا یرسب فیه بعض الغسالة فالأحوط أن یطهّر بالماء المعتصم، سواء تنجّس ظاهره أم باطنه، وإذا وجدت عین النجاسة فی باطنه کأجزاء البول مثلاً فلابدّ من تجفیفه أوّلاً، أو إبقائه فی الکثیر مدّة حتّی یعلم بزوال أجزاء النجاسة وغلبة الماء الطاهر علیها، ولا یبعد إمکان تطهیره بالماء القلیل أیضاً إذا زالت عنه عین النجاسة، وغلب الماء الطاهر علی جمیع أجزاء النجاسة فأزال قذارتها، ولکنّ إحراز غلبة الماء الطاهر علیها مشکل، فالأحوط الاقتصار فی تطهیره علی الماء المعتصم فی صورة تنجّس باطنه، فضلاً عن صورة وجود أجزاء النجاسة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مدخلیّـته فی تحقّق عنوان الغسل، وإلاّ ففیه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یعتبر العصر علی الأحوط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وجه الإشکال فی إطلاقه الشامل للمتنجّس بالبول أیضاً فی غیر الجاری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لأ نّه وإن قلنا بعدم لزوم الامتزاج وکفایة الاتّصال بالکثیر، إلاّ أ نّه فی المقام لا یصدق الاتّصال أیضاً، لأ نّ ما هو الموجود فی جسم المتنجّس رطوبة ولیس بماء عرفاً، فلابدّ إمّا من التجفیف، أو دخول الماء فیه بحدًّ تستهلک فیه تلک الرطوبة النجسة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الکفایة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 الماء الطاهر فی الأعماق الملاقیة للبول کافٍ، ولا یعتبر التجفیف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العصر، وکون الرضیع فی الحولین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اعتبار العصر فیه کغیره، بل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یوجب زوال عین النجاسة أو استهلاکها بالماء الطاهر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 الحکیم، الآملی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إن لم یکن أقوی اشتراطه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اعتبار هذا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وکذلک إذا کان الطفل متولّداً من کافرین، وفی الطفل المتغذّی بلبن الحیوان أو باللبن الصناعی إشکال، والأحوط عدم الإلحاق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الإلحاق، وکذا فی لاحِقِ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النداوة فلا عبرة بها، لا فی التنجیس ولا فی التطهیر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عدم نفوذ الماء الطاهر بوصف الإطلاق فی الصابون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طهر الباطن بتبع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طهارته هو الأقوی، بل قد یقال باستحالة وصول الماء إلی أجزائه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بعید جدّاً، بل أدعی استحالته، فلا إشکال فی أ نّه لا یمکن تطهیره، کما أنّ سائر المائعات المتنجّسة لا تطهر إلاّ بالاستهلاک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البناء علی استحالة التداخل الحقیقی، والبناء علی بطلان الجزء الّذی لا یتجزّأ لا یبقی معنی لهذه العبارة أصلاً؛ لأ نّه لا أجزاء بالفعل قبل ملاقاته لذلک الکرّ الحار، والأجزاء بالقوّة غیر متناهیة لا یمکن أن یتحقّق خارجاً، نعم یتجزّأ الدهن بواسطة ملاقاته لذلک الکرّ الحار إلی أجزاء بالفعل، فإن کان المراد من الأجزاء هذا المعنی فوصول الماء إلیها ضروری لا أ نّه غیر بعید؛ لأنّ هذا التجزّؤ جاء من ناحیة الوصول، لکنّ الشأن فی مطهریّة هذا المقدار من الوصول، وأنّ اطلاقات الغسل بالماء تشمله أم لا، وأمّا قیاسه علی الماء المتنجّس ففی غیر محلّه، خصوصاً بناءً علی القول بعدم الامتزاج وأ نّه یطهر بصرف الاتّصال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بعید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مهدی الشیرازی، الخوئی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هذا فوصول الماء إلی جـمیع أجـزائه بذلک مشکـل إن لم یکن من المستحیل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تجفیفه بعد جعله کذلک، ثمّ جعله ثانیاً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یکفی فیه المرّة، وإلاّ جعل فی ظرف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النحو الّذی یأتی فی تطهیر الصابون وأمثاله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یتنجّس باطنه، وإلاّ فمشکل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الالتزام بالتبعیّة علی تقدیر تنجّس الظرف بالمتنجّس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فیما جعل فیه أثر من عین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عدم اعتبار التثلیث فی الظرف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مشکل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ناحیة وضع الثوب المتنجّس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حکم المسألة من عدم اعتبار التثلیث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خروج مقدار معتدٍّ به من الغسالة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والمسألة اللاحقة محلّ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حصول الطهارة بذلک قبل تجفیفه إشکال وإن کان لا یبعد حصول الطهارة للباطن بنفوذ الماء فیه، وأولی منه بالإشکال طهارته بالماء القلیل، نعم لا إشکال فی طهارة ظاهره بالغسل بالماء القلیل أو الکثیر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وفیما بعده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مناط الطهارة فی الأشیاء المذکورة وأمثالها من الصابون وغیره، هو العلم بنفوذ الماء الکثیر المطلق فی جوفه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تنجّس ظاهره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التطهیر بالماء القلیل یطهر بصبّ الماء بعد إزالة العین، ومجتمع الماء یکون نجساً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لزوم التعدّد فی جمیع النجاسات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الزفت أو 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تطهیره ظاهراً بإخراج ماء الغسالة ولو بمغرفة أو خرقة تجذبه ثمّ صبّ الماءالطاهر وإخراجه بعد التطهیر احتیاطاً، وما ذکره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ویطّرد ذلک فی جمیع ما یرسب فیه ماء الغسل ولا یقبل العصر أو یفسده، فإنّ الأحوط بل الأقوی هو الاقتصار فی جمیع ذلک علی تطهیره بالکثیر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وکذا فی الأرض الرخوة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القول بکفایة الغسلة المزیلة فالأقوی الاکتفاء إذا کان الأحمر آخر ما یخرج، وکذا لو صبغ بالنیل النجس یطهر مع نفوذه بالکثیر والقلیل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بالعلاج باستعمال الصابون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وفی القلیل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نجاسة ماء الغسالة ولزوم إخراجها، کما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وإلاّ فالأقرب عدم اعتبارها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الغسلات لا یخلو من إشکال والأحوط اعتبار المرّتین بعد إزالة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لابدّ من صدق الغسل بعد زوال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صدق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التعدّد والعصر فی الخیط ولو مسمّاه، وکذا فی الجلد إذا کانا رخوین یرسب فیهما ماء الغسالة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بالنسبة إلی الخیط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 فی هذه المسألة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ذائب الفلزّات لا تنفذ النجاسة فی باطنه، نعم لو علم صیرورة الظاهر باطناً بالصیاغة نجس الباطن، ویمکن القول بأنّ الأجسام الصقیلة الّتی تزلق المایعات عنها ولا تتأثّر بها أصلاً لا تتحمّل النجاسة طبعاً، ولکن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سرایة النجاسة إلی باطنه نظر؛ إذ مثل هذا المیعان لا یوجب تأثیراً فی ملاقیه کی ترتکز فی أمثاله السرایة إلی جمیعها بمحض ملاقاة جزء منها، بل حکم میعانها حکم جوامدها فی عدم تنجّس أزید من موضع الملاقاة، وإن کان للتأمّل فی هذه الجهة مجال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طهارة الباطن فی أمثال ذلک بالتبعیّة، والاحتیاط سبیل 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المتنجّس المذاب، بخلاف ما کان مصبوباً فی الماء النجس فإنّه طاهر فی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المحمول عند من یستشکل فیه، وهکذا استعماله بعد ما سحق شیء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استعملت مدّة وشکّ فی ظهور الباطن فالظاهر عدم وجوب تطهیرها مع الشکّ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یعلم حکم الأسنان المصنوعة بید الکافر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وباطناً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نجاسة الکافر علی الإطلاق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شکّ فی صیرورة الباطن ظاهراً بالاستعمال طهّره،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ظاهره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الحجر الملحی إذا تنجّس ظاهره یطهر بالماء ما لم یَصِرْ مضافاً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کلّ متنجّس لا ینفکّ نفوذ الماء فیه عن إضافته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مراعاة ما یعتبر فی التطهیر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التجفیف والتثلیث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بحیث تعدّ فی نظر العرف من الأعراض الغیر المانعة عن وصول المطهّر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الدسومة عارضة علی النجاسة أو مخلوطة بها، وإلاّ فیطهر ظاهرها کما تنجّس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صدق الإناء یجب التثلیث، وإلاّ فتکفی المرّة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فی التطهیر بالمیاه القلیلة بمقتضی السیرة کون الماء واصلاً إلی المحلّ غیر واقف فیه عرفاً بأن یجری علیه ویفرغ فوراً، وحینئذٍ فطریق التطهیر بالمیاه القلیلة للأوانی المثبتة بإلقاء الماء فیها وتحریکه ولو بإعانة غیره، وإخراجه علی وجه لا یصدق علیه وقوف الماء فی المجاری ولو هنیئة عرفاً،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الاقتصار علی المتعارف من هذه الوجوه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 هذا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لصبٍّ واحدٍ، وإلاّ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التثلیث فی الصور الأربع أحوط، والمرّة المزیلة کافیة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صبّ الماء علی محلّ الغسالة المجتمعة بعد تفریغها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تفریغ الماء، ثمّ صبّ الماء علی محلّها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اللازم علی الأحوط إن لم یکن أقوی، نعم لا یلزم فی کلّ دفعة مرّة إذا احتاجت إلی دفعتین أو دفعات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وجوباً تطهیر الید وآلة الإخراج فی کلّ مرّة من الغسلات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لزوم طهارة الید والآلة فی کلّ غسلة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لزوم ذلک فی کلّ غسلة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کبیرة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الحوض لیس من الظروف، فیکفی فیه المرّة فی غیر البول والمرّتان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لابدّ فیهما منه کغیرهما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القلیل إخراج الغسالة بالغمز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فیما کان مانعاً عن وصول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باستیلاء الماء علیهما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بعض ما ذکر فی هذه المسألة من التأمّل، والأحوط إضافة غسلة اُخری زائداً علی ما هو الموظّف فی نحو هذه الموارد لیسلم عن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ذلک من لوازمه عادةً، کما هو المستفاد من فحوی الإطلاقات، وإلاّ فلا یخلو من إشکال؛ لعدم اقتضاء إطلاقات التطهیر بالمیاه القلیلة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وفیما بعده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الخوانساری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یراعی فی جمیع ما ذکر استمرار جریان الماء بحیث یصل ثانیاً إلی الموضع الطاهر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 الحکم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استمرّ بعد تنجّس الطاهر جری الماء علیهما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استمرّ جری الماء علیهما بعد تنجّس الطاهر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التفصیل بین المزیلة وغیرها فی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المستعمل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وأمّا الباطن فقد مرّ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وصول الماء المطلق إلی جمیع أجزائه، وصدق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أحد الوجهین، وهو خلاف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 وکذا فیما بعده،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طهارة الظرف بالتبع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الاحتیاط فی الظرف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والخفّ والإسکاف، وکلّ ما تعارف المشی به، کالأحذیة الملبوسة فی حال الإحرام، والقباقب بشرائط فی الماسّ والممسوس والمسّ والنجاسة المزالة بالمسّ، وسیأتی تفصیلها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الحاصلة من الأرض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عدم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الکفایة لا 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کفایة مسح التراب أو بعض الأجزاء الأصلیّة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صدق اسم الأرض علیها عرفاً، کما أ نّه لیس ببعید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إشکال فی عدم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 صدر الدین الصدر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أقواه عدم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یشترط طهارتها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قلیلة جدّاً بحیث لا تمنع من صدق الیبس والجفاف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القریبة من أسفلهما الواصلة إلی الأرض حال المشی أو المسح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واللاستیک ونحوها من المستحدثات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زمان، لا خصوص المتعارف فی زمان صدور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تعارف لبسه بدلاً عن النعل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إزالتها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بل لا یخلو اعتباره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 زین الدین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کانت طرفاً للعلم الإجمالی بالنجاسة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باطن القدم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العلم بتنجّس القدم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طهارة باطن القدم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المشی إلی أن یعلم بحصول الطهارة علی تقدیر وجود النجس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أصالة عدم الفرش غیر مجدیة لإثبات الأرضیّة لکونها أصلاً مثبتاً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عدم مطهّریّـته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لمکان الجزئیّة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الحکم فی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کما هو کذلک بالنسبة إلی عدم کفایة مسح التراب علی الرِجل والنعل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اعتبار کثیر من الشرائط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الشمس کالماء من المطهّرات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طهارة الأشجار وسائر النباتات بها محلّ تردّد، وکذا الظروف المثبتة والسفینة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إشکال فیما ینتقل منها بواسطة محلّها کالمسمّی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فارسیّة، وتعنی الظرف الّذی یوضع فیه الورد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فیه وفیما یماثله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ممّا لا جرم لها، أو ممّا لا یبقی جرمها بعد الجفاف ولو بإزالته قبل الجفاف کما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طهارة ما عمل من نبات الأرض أیضاً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طهرهما بالشمس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مطهّریة الشمس للگاری والچلاّبیة والقفّة خصوصاً الکبیر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یشترط ذلک، وإنّما یشترط أن لا تکون الأرض جافّة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زین الدین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سرایة النجاسة إلیه من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لو جفّفت الشمس أوّل مرّة ظاهر المبنی، ومرّة اُخری جفّفت باطنه لا یطهر الباطن فی هذا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 إسناد التجفیف إلی إشراق الشمس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لتحقّق الجفاف المعتبر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بل هو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تعدّ من أجزاء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تعدّ من أجزائها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المعطوف والمعطوف علیه تأمّل أقواه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الآلات الداخلة فی البناء کالأخشاب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الإشکال فی لزوم الجفاف وإن کان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الشکّ فی المانع الحکم بالطهارة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یفید البناء علی العدم للحکم بالطهارة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الإشکال فیه، وأنّ الأقوی عدم المطهّریّة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 الشریعتمداری، محمّد رضا الگلپایگانی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الأقوی عدم الطهارة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لتغایرها مع المشرَق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طهارته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هی بعیدة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الإشکال فی طهارة ما عدا الأرض وتوابعها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تبدّل الشیء إلی شیء آخر یعدّ فی نظر العرف متولّداً منه، فیکون الأوّل منعدماً، والثانی حادثاً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لخروجه عن أدلّة الصورة الاُولی ودخولها فی أدلّة الصورة الثانیة، ومنه ظهر أنّ فی جعل الاستحالة من المطهّرات نوع تسامح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تفرّق الأجزاء موجباً لتبدّل العنوان، بل الحقیقة عند العرف ـ وذلک کما فی البخار ـ فإنّه لیس إلاّ تفرّق الأجزاء المائیّة بواسطة الحرارة وانتشارها فی الهواء، ففی مثل ذلک لو حصل الشکّ فاستصحاب النجاسة لا یجری؛ لعدم بقاء الموضوع عرفاً، ودلیل ذلک النجس أیضاً لا یشمله، فالمرجع هی قاعدة الطهارة، وبمثل هذا البیان یمکن القول بطهارة الغبار النجس أو المتنجّس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الخبز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أحالته النار فحماً أم خزفاً أم آجرّاً أم جصّاً باقٍ علی النجاسة؛ لعدم صدق الاستحالة بحسب التعریف المذکور فی المتن، ومع الشکّ فی الاستحالة بحسب التعریف العرفی لا یحکم بالطهارة أیضاً؛ لبقاء موضوع النجاسة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بالطهارة للاستحالة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صیرورة الطین خزفاً أو آجرّاً لیس باستحالة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القول بالطهارة الظاهریّة بعد عدم جریان الاستصحاب؛ للشکّ فی بقاء الموضوع لأجل قاعدة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لأنّ شکّه موجب للشکّ فی بقاء الموضوع عرفاً، فلا یجری استصحاب نجاسته، فقاعدة الطهارة محکّمة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الانقلاب من مصادیق الاستحالة عرفاً، کما عن بعض القدماء فإفراده بالذکر لورود روایات فی موردَی الخمر والعصیر بالخصوص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لم یکن منها فهو مطهّر بحیاله واستقلاله، وفیه خصوصیّات ستأتی الإشارة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 الانقلاب من المطهّرات بعد الاستحالة خفاءٌ وما سیذکره الماتن قدس‌سره من الفرق بینهما لا محصّل له؛ ولذا جعل بعضهم مثل صاحب الحدائق صیرورة الخمر خلاًّ من الاستحالة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تعارف إلقاؤه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الطهارة فی صورة الملاقاة، أو وقوع العین مع الاستهلاک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الطهارة، والأحوط الاجتناب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طهارته بعد انقلاب الخمر خلاًّ؛ لاندکاک نجاسته العرضیّة الطارئة علیه بعنوان الجسمیّة فی نجاسته الذاتیّة المترتّبة علی عنوان الخمریّة، بشرط عدم إفراغ الإناء منه حال الخمریّة إلی إناءٍ آخر؛ لئلاّ یتنجّس بعد صیرورته خلاًّ بنجاسة الإناء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علی وجه الانقلاب، بل بمجرّد مزج غیره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نجاسة الخلّ وإن علم انقلاب الخمر بمجرّد وقوعها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النجاسة مع العلم بکونه من النجس أو المتنجّس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وقلنا بأنّ المتنجّس ینجّس لملاقیه، أو کان عین النجاسة فی السقف ولاقی بما یتقاطر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کفایته إشکال؛ لأنّ الملاقاة السابقة علی انقلابه ینجّس الخلّ، فلا یفید انقلابه خلاًّ فی طهارته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وبعده علی الأقوی، والظاهر أ نّه إذا مضی علیه مدّة کالیوم ومثله ینقلب خلاًّ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الکلّیّة مخدوشة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نظر وتأمّل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المقصود هنا أیضاً اعتبار انقلاب الخمر خلاًّ، وإذا صدق الانقلاب إلی الخلّ یطهر، وإن کان الانقلاب السابق علیه من العصیر إلی الخمر لا یصدق صیرورة العرضیّة ذاتیّة، مع أنّ عدم الصدق ممنوع؛ لتساوی الفرعین من هذه الحیثیّة، وإنّما الفارق أنّ المنجّس للعصیر فی الفرع الأوّل من سنخ النجس الذاتی اللاحق دون الفرع الثانی، وهذا لا یوجب الفرق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بقاء أثرها تأمّـل، والأقرب العدم؛ إذ الخلّ لم یلاقِ شیئاً من النجاسة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الاستهلاک انعدام الشیء عرفاً بما له من المفهوم العرفی، بسبب تفرّق أجزائه، وإن کان باقیاً واقعاً فینعدم بانعدامه عنوانه وحکمه المترتّب علیه، فإذا عاد الشیء عاد عنوانه فیترتّب علیه حکمه، بخلاف الاستحالة فإنّها تغیّر الموضوع وتبدّله إلی موضوع آخر، ففی صورة العود لا یعود حکمه الشرعی إلاّ أن یصدق علیه العنوان الأوّلی، أو یترتّب علیه تمام خواصّ الحقیقة الاُولی وآثارها التکوینیّة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لا تخلو من مسامحة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حقیقةً اُخری إشکال، بل هو انقلاب لا استحالة، وفی طهارة الماء والعرق المنقلبان من البخار المتصاعد عن النجس إشکال، والأقوی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بالاجتناب من غیر فرق بین الأعیان النجسة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فی الحکم بالنجاسة عدم کونه حقیقةً اُخری عرفاً وإن لم یصدق علیه الاسم، بل ولو اختلفت الخواصّ والآثار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ولو لم یکن؛ لکفایة صدق الاسم فی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غایة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مسکراً، وإلاّ إذا لم یصدق علیه الخمر یکون طاهراً حلالاً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بقاء الموضوع الأوّل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إن صار خمراً فیکون التطهیر والتحلیل منحصراً فی صیرورته خلاًّ، وإلاّ فیحصل تحلیله إمّا بالتخلیل أو بذهاب الثلثین، وقد تقدّم أ نّه لا ینجس بالغلیان، بل یحرم قبل ذهاب الثلثین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وعرفت التفصیل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الأقوی نجاسته وأ نّه یجب الاجتناب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 البروجردی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الفرق بینهما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عبرة به، وإنّما العبرة بالکیل والمساحة، ویرجع أحدهما إلی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یکون اطمئنانیّاً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قبول خبر العدل الواحد وإن لم یکن العصیر فی یده، بل لا یبعد قبول قول الثقة وإن لم یکن عدلاً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ولا مسلماً، کما تقدّم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 مبناه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ما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نعم بعد ذهاب الثلثین یطهر العامل وثیابه بالتبعیّة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بقاء موضوع الحکمین، والباقی لیس بموضوعٍ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الحلّیّة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وغلی ما فی الحبّة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مع العلم بغلیان ما فی جوف العنب، ومن أین یحصل هذا العلم مع عدم الملازمة بین غلیان القدر وغلیان جوف العنب؟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الغلیان، وبالطبخ دون ما لو فرض ذهابهما قبله، وسیأتی الکلام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 ثلثا الملقی فلا إشکال فی طهارة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الثلثین لکونه مطهّراً لما لم یذهب ثلثاه دون ما ذهب، فالبقاء علی النجاسة حینئذٍ فی هذا الفرض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عدم الإشکال فی طهارتهما بعد ذهاب الثلثین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تبیّن الفرق بین الصورتین وضعف الإشکال من الحاشیة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بینهما ظاهر؛ لأنّ ما ذهب ثلثاه لا تطرأ بغلیانه جدیداً نجاسته الذاتیّة، فلا تکون نجاسته إلاّ عرضیّة، بخلافه فی المقام فإنّ غیر الغالی بغلیانه یتنجّس ذاتاً فتنقلب نجاسته العرضیّة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ذهاب الثلثین بالنار أو الشمس دون الهواء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العصیر الزبیبی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باستصحاب الموضوع أو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تعارف ذلک لعلاجٍ وشبهه، وإلاّ ففی خصوص العنب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ینشّ العصیر ولم یغلِ بغیر النار، أمّا إذا نشّ أو غلی بغیر النار فقد ذکرنا أنّ الأحوط نجاسته، ولا یطهر إلاّ بانقلابه خلاًّ، وانقلابه خلاًّ یطهّر معه الأجسام الّتی لا ینفکّ عنها غالباً بالتبعیّة، کالعنب وقطع الطین وأمثالها، ولا یطهر الباذنجان والخیار الّذی یوضع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یعلم أنّ الغلیان یوجب الإسکار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 وکذلک فی بعض ما ذکر فی هذه الفروع إلی المطهِّر السابع، ولکنّ الأمر فیها سهل؛ لأنّ هذه الفروع مبنیّة علی نجاسة العصیر بالغلیان، وقد تقدّم القول بطهارته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زوال حموضته بعد صیرورته خلاًّ کما هو ظاهر اللفظ فلا یحرم ولا ینجس بالغلیان، ولا یحتاج إلی ذهاب الثلثین، وصدق العصیر علیه بعد صیرورته خلاًّ فی غایة 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المراد زوال حموضته قبل أن یصیر خلاًّ، فإن کان عصیراً ولم ینقلب خمراً فما ذکره متین، وإن انقلب خمراً ثمّ صار مثل الماء قبل صیرورته خلاًّ، فلا یحکم بطهارته إلاّ بالانقلاب، وإن لم یکن عصیراً لو لم یصر خمراً فلا بأس به أصلاً وإن غلی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یحرم ولا ینجس بالغلیان؛ لأ نّه خلّ فاسد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مسکراً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حاجته إلی التثلیث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یلزم کنفس التمر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انتقال النجس إلی جسم حیوان طاهر وصیرورته جزءاً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کلّیة طهارة دم ما لا نفس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إذا شک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کدمه محلّ التأمّل والنظر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القول بنجاسته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اختصاصه بالمتعارف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وأولی منها بالاجتناب ما إذا لاقاها بالرطوبة کافر آخر، کما إذا غسلها بعض أقاربه من الکفّار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أقوی تأمّل، وکذا فی سابقتها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ما کان علی بدنه أیضاً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یحکم بطهارة الرجل المرتدّ عن فطرة فی الظاهر بتوبته وإسلامه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هو الأقوی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لإطلاق أدلّتها، ولا غرابة فی ترتّب هذه الآثار علی المسلم، کما یترتّب القتل علی بعض المعاصی الصادرة من المسلم بخلاف سائر آثار الکفر من النجاسة وغیرها، فإنّها ارتفعت بارتفاع موضوعها وهو الکفر، وفی الحقیقة أدلّة التوبة خصّصت بأدلّة هذه الأربعة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وإن کان له وجه کما أفاده الشهید قدس‌سره ، ولکنّه لیس بوجیه؛ لمنافاته لقوله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تعتدّ زوجته عدّة الوفاة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 اختلافٍ یسیر فی اللفظ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مع العلم بها إذا کان عاملاً بموازین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حسن القمّی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ترتّب جمیع أحکام الإسلام علیه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وجوبه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النجاسة لم یثبت فی بعض هذه الموارد، فلا أثر للتبعیّة من هذه الجهة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التفصیل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القول بنجاسته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 فی إطلاقه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الاصطهباناتی، البروجردی، الآملی، محمّد رضا الگلپایگانی</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القول بعدم کون المتنجّس منجّساً لا دلیل علی التبعیّة فی المقام، ومنه یظهر ما فی نظائره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الاقتصار فی ذلک علی ما کان من لوازم التغسیل، وجرت السیرة علی عدم تطهیره من ید الغاسل وغیرها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طول السُدّة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الّتی یوضع علیها المیّت حین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عرضها أکثر ممّا یتعارف فالأحوط اختصاص الطهارة التبعیّة بموضع تقلیب المیت ومجری ماء غسله، ولا تعمّ الأطراف غیر المتعارفة من السُدّة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والخرقة الّتی یستر بها عورته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والخرقة الملفوفة بها حین غسله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 محمّد رضا الگلپایگانی</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التبعیّة وإن کانت لا تخلو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ثبوت مطهّریّة النزح فیه کی یستفاد من فحواه التبعیّة المزبورة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بصیرورته خمراً قبل التخلیل ففی طهارة ما لا یکون متعارفاً أو من لوازم التخلیل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الإشکال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الآلات علی إطلاقها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الاقتصار علی ما تعارف جعله فیه من الصدر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ما یتعارف فی الصدر الأوّل وضعه فیه قبل الغلیان أو حاله إشکال؛ لعدم مساعدة دلیل علی التبعیّة فی مثلها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الحکم بالطهارة فی هذه الموارد، إنّما الکلام فی وجهها، وفیه محتملات، وما ذکره الماتن أحدها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الطهارة ولو بعیداً علی الأحوط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جسد الحیوان بعد زوال عین النجاسة عنه محکوم بالطهارة، إمّا من جهة أنّ بدن الحیوان لا ینجس، وإمّا من جهة أنّ الزوال عنه مطهّر، وإمّا من جهة أنّ الجامد الملاقی للنجس لا ینجس، کما نفینا عنه البعد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فی الملاقاة صوراً مختلفة بحسب الحکم، ولا وجه للإطلاق فی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 البناء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 فإنّ النجس علی الوجه الأوّل إنّما هو طرف الریق المتّصل بالدم، لا تمام ریق الفم وإن اتّصل بعضه ببعض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الدم المتکوّن فی الفم لا یتنجّس به إلاّ ما اتّصل به من الریق، فغیره لا ینجِّس ما یلاقیه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الإطلاق بالنسبة إلی کلتا الشبهتین المفهومیة والمصداقیة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فی مبحث نجاسة البول أنّ ذلک غیر ثابت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أنّه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الشبهة الموضوعیة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تکن له حالة سابقة، وإلاّ وجب الأخذ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 وإن قلنا فی باب الوضوء والغسل بکونه من الباطن؛ لعدم التلازم بین المقامین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محلّ إشکال فی باب الطهارة الخبثیّة، فالأحوط غسلهما، وکذا کلّ ما یشکّ فی کونه من الباطن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 نّه لیس لحصول الجلل حدّ معیّن مضبوط، بل الصدق العرفی هو المرجع، وتحدیده بظهور النتن فی لحمه أو جلده أو الیوم واللیلة ضعیف لا یعبأ به، کما أنّ الأحوط تسریة الحکم إلی الجلاّل بکلّ عذرةٍ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أن یغتذی الحیوان بالعذرة وحدها حتّی یصدق علیه اسم الجلل عرفاً، وعلی هذا فإذا کان غذاء الحیوان مخلوطاً أو لم یصدق علیه اسم الجلل لم تجرِ علیه أحکامه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یتغذّی به، علفاً کان أو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اشتراط طهارته تأمّل، وإن کان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 البروجردی، الحکیم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الأکثر غیر صالحٍ للإستناد إلیه، إمّا لقصورٍ فی الصدور، أو الدلالة، أو الجهة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کفایة العشرین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مطهّر للدم المتخلّف فی الذبیحة بناءً علی نجاسته، ومانع عن نجاسته بناءً علی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فی طهارة ما عدا المتخلّف فی نفس اللحم المأکول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المسألة</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کیفیة غسل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مهدی الشیرازی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للاختصاص به، بل إطلاقه فی بعض الموارد المتقدّمة والآتیة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المزج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امتزاجه علی ما تقدّم فی المیاه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کونها أمارة لطهارة ما علم بنجاسته بالسیرة مع البناء علی عدم تنجیس المتنجّس فی غایة الإشکال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یشترط فی الحکم بمطهّریّة الغیبة إلاّ احتمال التطهیر من المسلم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یکفی مطلق ترتیب آثار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الحمل علی الصحّة لا تحرز به الطهارة، نعم ترتیب آثار الطهارة من ذی الید بمنزلة إخباره بالطهارة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 کفایة احتمال العلم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 حسن القمّی</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الأظهر فیه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الاشتراط، ولکنّ الأقوی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المنع عنه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 السبزواری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باب تقدیم الظاهر علی الأصل لحمل فعل المسلم علی الصحیح، لکنّک قد عرفت أنّ الالتزام بالطهارة لیس من هذا الباب، وأ نّه یکفی فیه الاحتمال فإذَن لا مورد لما أفاده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الغیبة موضوعة لجعل الطهارة الواقعیّة تکون مطهّریّـتها بحسب الواقع، وکذا الکلام فی الاستبراء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بالخرطات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عدم مطهّریّة بعضها فی مبحث المیاه، وبعضها فی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 فی بحث نجاسة 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منه عدم استبعاد طهارته بذلک إذا غلی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الصلاة، وهذا التقیید واضح، وعدم ذکره من جهة وضوحه، ولکنّه لابدّ وأن یذکر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وقبل التذکیة، کما تقدّم 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عدا الصلاة والطواف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ثبوت الاستحباب الشرعی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الجلود المجلوبة من بلاد الکفر إذا علم سبق ید المسلم إلیها، مثل ما هو المعمول فی زماننا من إرسال الجلود إلی تلک البلاد للإصلاح أو عمل الخفّ، بل احتمل کونها کذلک احتمالاً عقلائیاً طاهرة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قبول الحشرات للتذکیة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السباع دون الحشار، بل والمسوخ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بعض أنواع الحشرات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ما ذکر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بل الأحوط الإتیان بالمذکورات بقصد الرجاء والقربة؛ لعدم مسلّمیّة ورود النصّ لجمیعها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الرش فیه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فیه منه قدس‌سره ومنّا فی مسائل أحکام النجاسات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عثرنا علیه فی الروایات هو بیوت المجوس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ذکر جمع من الأصحاب ولم نعثر علی نصّ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بنصّ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وما بعده لیس له دلیل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الوثوق العقلائی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کفایة مجرّد الوثوق والاطمئنان ولو من غیر العدل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عدم کونه متّهماً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التفصیل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جرت السیرة علی قبوله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الثیاب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حصول الاطمئنان بالتطهیر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مطلقاً، بل مع حصول الاطمئنان بغسله علی الوجه الشرعی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فعل الغیر علی الصحّة فی المعاملة بالمعنی الأعمّ لا یتوقف علی کون العامل مسلماً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التفصیل فی تعارض البیّنة مع إخبار ذی الید أو تعارض البیّنتین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مستندة إلی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 حسن القمّی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یستند إلی الأصل ولم یکن شهادة علی النفی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الشاهرودی، الآملی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یحکم إلاّ بنجاسة أحدهما المردّد دون کلّ واحد منهما، ولا یتنجّس الملاقی إلاّ إذا لاقاهما جمیعاً دون أحدهما، ولو علم بطهارة أحدهما المعیّن أو قامت البیّنة علیها ثمّ اشتبها فسقوط استصحاب النجاسة السابقة أوضح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قامت البیّنة علی تطهیر أحدهما الغیر المعیّن علی الإجمال، وأمّا فی غیره فإجراء الاستصحاب فی کلیهما والحکم علیهما بالنجاسة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والأقوی الحکم بالطهارة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حین التطهّر عالماً بها وبصدد إزالتها بالغسل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یبنی علی زوال الاُولی فیحکم بحصول طهارة المحلّ منها، فلو لاقاه شیء فی الآنات الّتی یحتمل بقاوءها یحکم بطهارته، وفیه إشکال کما مرّ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الشک غیر معتنی به عند العقلاء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لاستصحاب عدم حدوث عین النجاسة ولکنه مشکل، فإنّه لا یعیّن کون النجاسة حکمیّة حتّی یکتفی فی رفعها بذلک المقدار من الغسل، وعلیه فیجری استصحاب بقائها حتّی یحرز التطهیر، ولعلّ هذا من باب استصحاب الکلّی من القسم الثانی مثل ما لو تردّد بین الأصغر والأکبر فاستصحاب عدم حدوث الأکبر لا یعیّن کونه أصغر حتّی یحکم بارتفاعه برافعه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اللزوم؛ لاستصحاب النجاسة واستصحاب عدم العین مثبت، ولیس أصل العدم هنا أصلاً عقلائیّاً متّبعاً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 بل لا یخلو عن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حصلت له حالة لا یتیقّن معها بطهارة ما یغسله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ذلک لازماً علی غیره، لکن عدم اللزوم حیث لا یکون شکّه فی التطهیر علی النحو المتعارف فإطلاق عدم الإعتداد لا یخلو عن مسامحة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image" Target="media/image2.jpeg"/><Relationship Id="rId525" Type="http://schemas.openxmlformats.org/officeDocument/2006/relationships/image" Target="media/image2.jpeg"/><Relationship Id="rId526" Type="http://schemas.openxmlformats.org/officeDocument/2006/relationships/footer" Target="footer519.xml"/><Relationship Id="rId527" Type="http://schemas.openxmlformats.org/officeDocument/2006/relationships/footnotes" Target="footnotes.xml"/><Relationship Id="rId528" Type="http://schemas.openxmlformats.org/officeDocument/2006/relationships/numbering" Target="numbering.xml"/><Relationship Id="rId529" Type="http://schemas.openxmlformats.org/officeDocument/2006/relationships/fontTable" Target="fontTable.xml"/><Relationship Id="rId530" Type="http://schemas.openxmlformats.org/officeDocument/2006/relationships/settings" Target="settings.xml"/><Relationship Id="rId5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593</Pages>
  <Words>85798</Words>
  <Characters>393485</Characters>
  <CharactersWithSpaces>466743</CharactersWithSpaces>
  <Paragraphs>12613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2026-08-24T06:00:42Z</dcterms:created>
  <dc:creator>ghaemiyeh.com</dc:creator>
  <dc:description/>
  <dc:language>en-US</dc:language>
  <cp:lastModifiedBy/>
  <dcterms:modified xsi:type="dcterms:W3CDTF">2026-08-24T09:30:59Z</dcterms:modified>
  <cp:revision>1</cp:revision>
  <dc:subject/>
  <dc:title>العروة الوثقی والتعلیقات علیها جلد 2</dc:title>
</cp:coreProperties>
</file>

<file path=docProps/custom.xml><?xml version="1.0" encoding="utf-8"?>
<Properties xmlns="http://schemas.openxmlformats.org/officeDocument/2006/custom-properties" xmlns:vt="http://schemas.openxmlformats.org/officeDocument/2006/docPropsVTypes"/>
</file>